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0607519"/>
    <w:bookmarkStart w:id="1" w:name="_Toc30607648"/>
    <w:bookmarkStart w:id="2" w:name="_Toc30607973"/>
    <w:bookmarkStart w:id="3" w:name="_Toc30608787"/>
    <w:bookmarkStart w:id="4" w:name="_Toc30610000"/>
    <w:bookmarkStart w:id="5" w:name="_Toc30610244"/>
    <w:bookmarkStart w:id="6" w:name="_Toc30638398"/>
    <w:bookmarkStart w:id="7" w:name="_Toc30644207"/>
    <w:bookmarkStart w:id="8" w:name="_Toc30644610"/>
    <w:bookmarkStart w:id="9" w:name="_Toc30645160"/>
    <w:bookmarkStart w:id="10" w:name="_Toc30646364"/>
    <w:bookmarkStart w:id="11" w:name="_Toc30646659"/>
    <w:bookmarkStart w:id="12" w:name="_Toc30646769"/>
    <w:bookmarkStart w:id="13" w:name="_Toc30648126"/>
    <w:bookmarkStart w:id="14" w:name="_Toc30649024"/>
    <w:bookmarkStart w:id="15" w:name="_Toc30649100"/>
    <w:bookmarkStart w:id="16" w:name="_Toc30649361"/>
    <w:bookmarkStart w:id="17" w:name="_Toc30649681"/>
    <w:bookmarkStart w:id="18" w:name="_Toc30651615"/>
    <w:bookmarkStart w:id="19" w:name="_Toc30652599"/>
    <w:bookmarkStart w:id="20" w:name="_Toc30652697"/>
    <w:bookmarkStart w:id="21" w:name="_Toc30654042"/>
    <w:bookmarkStart w:id="22" w:name="_Toc30654393"/>
    <w:bookmarkStart w:id="23" w:name="_Toc30655012"/>
    <w:bookmarkStart w:id="24" w:name="_Toc30655269"/>
    <w:bookmarkStart w:id="25" w:name="_Toc30656945"/>
    <w:bookmarkStart w:id="26" w:name="_Toc30661694"/>
    <w:bookmarkStart w:id="27" w:name="_Toc30666382"/>
    <w:bookmarkStart w:id="28" w:name="_Toc30666612"/>
    <w:bookmarkStart w:id="29" w:name="_Toc30667787"/>
    <w:bookmarkStart w:id="30" w:name="_Toc30669165"/>
    <w:bookmarkStart w:id="31" w:name="_Toc30671381"/>
    <w:bookmarkStart w:id="32" w:name="_Toc30673908"/>
    <w:bookmarkStart w:id="33" w:name="_Toc30691130"/>
    <w:bookmarkStart w:id="34" w:name="_Toc30691501"/>
    <w:bookmarkStart w:id="35" w:name="_Toc30691881"/>
    <w:bookmarkStart w:id="36" w:name="_Toc30692640"/>
    <w:bookmarkStart w:id="37" w:name="_Toc30693019"/>
    <w:bookmarkStart w:id="38" w:name="_Toc30693397"/>
    <w:bookmarkStart w:id="39" w:name="_Toc30693776"/>
    <w:bookmarkStart w:id="40" w:name="_Toc30694157"/>
    <w:bookmarkStart w:id="41" w:name="_Toc30698746"/>
    <w:bookmarkStart w:id="42" w:name="_Toc30699124"/>
    <w:bookmarkStart w:id="43" w:name="_Toc30699509"/>
    <w:bookmarkStart w:id="44" w:name="_Toc30700664"/>
    <w:bookmarkStart w:id="45" w:name="_Toc30701051"/>
    <w:bookmarkStart w:id="46" w:name="_Toc30743660"/>
    <w:bookmarkStart w:id="47" w:name="_Toc30754483"/>
    <w:bookmarkStart w:id="48" w:name="_Toc30756923"/>
    <w:bookmarkStart w:id="49" w:name="_Toc30757472"/>
    <w:bookmarkStart w:id="50" w:name="_Toc30757872"/>
    <w:bookmarkStart w:id="51" w:name="_Toc30762633"/>
    <w:bookmarkStart w:id="52" w:name="_Toc30767287"/>
    <w:bookmarkStart w:id="53" w:name="_Toc34823313"/>
    <w:p w14:paraId="05F1079F" w14:textId="77777777" w:rsidR="00277B85" w:rsidRPr="00F960B4" w:rsidRDefault="00A21C16">
      <w:pPr>
        <w:pStyle w:val="Heading1"/>
        <w:numPr>
          <w:ilvl w:val="0"/>
          <w:numId w:val="0"/>
        </w:numPr>
        <w:spacing w:before="0"/>
        <w:jc w:val="center"/>
        <w:rPr>
          <w:rFonts w:ascii="Arial" w:hAnsi="Arial" w:cs="Arial"/>
          <w:b/>
          <w:bCs/>
          <w:sz w:val="30"/>
        </w:rPr>
      </w:pPr>
      <w:r w:rsidRPr="00F960B4">
        <w:rPr>
          <w:rFonts w:ascii="Arial" w:hAnsi="Arial" w:cs="Arial"/>
          <w:b/>
          <w:bCs/>
          <w:color w:val="FF0000"/>
          <w:sz w:val="40"/>
        </w:rPr>
        <w:fldChar w:fldCharType="begin"/>
      </w:r>
      <w:r w:rsidRPr="00F960B4">
        <w:rPr>
          <w:rFonts w:ascii="Arial" w:hAnsi="Arial" w:cs="Arial"/>
          <w:b/>
          <w:bCs/>
          <w:color w:val="FF0000"/>
          <w:sz w:val="40"/>
        </w:rPr>
        <w:instrText xml:space="preserve"> HYPERLINK  \l "_2.__COURT" </w:instrText>
      </w:r>
      <w:r w:rsidRPr="00F960B4">
        <w:rPr>
          <w:rFonts w:ascii="Arial" w:hAnsi="Arial" w:cs="Arial"/>
          <w:b/>
          <w:bCs/>
          <w:color w:val="FF0000"/>
          <w:sz w:val="40"/>
        </w:rPr>
      </w:r>
      <w:r w:rsidRPr="00F960B4">
        <w:rPr>
          <w:rFonts w:ascii="Arial" w:hAnsi="Arial" w:cs="Arial"/>
          <w:b/>
          <w:bCs/>
          <w:color w:val="FF0000"/>
          <w:sz w:val="40"/>
        </w:rPr>
        <w:fldChar w:fldCharType="separate"/>
      </w:r>
      <w:r w:rsidR="00277B85" w:rsidRPr="00F960B4">
        <w:rPr>
          <w:rStyle w:val="Hyperlink"/>
          <w:rFonts w:ascii="Arial" w:hAnsi="Arial" w:cs="Arial"/>
          <w:b/>
          <w:bCs/>
          <w:color w:val="FF0000"/>
          <w:sz w:val="40"/>
          <w:u w:val="none"/>
        </w:rPr>
        <w:t>2.  COURT OV</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277B85" w:rsidRPr="00F960B4">
        <w:rPr>
          <w:rStyle w:val="Hyperlink"/>
          <w:rFonts w:ascii="Arial" w:hAnsi="Arial" w:cs="Arial"/>
          <w:b/>
          <w:bCs/>
          <w:color w:val="FF0000"/>
          <w:sz w:val="40"/>
          <w:u w:val="none"/>
        </w:rPr>
        <w:t>ERVIEW</w:t>
      </w:r>
      <w:bookmarkEnd w:id="53"/>
      <w:r w:rsidRPr="00F960B4">
        <w:rPr>
          <w:rFonts w:ascii="Arial" w:hAnsi="Arial" w:cs="Arial"/>
          <w:b/>
          <w:bCs/>
          <w:color w:val="FF0000"/>
          <w:sz w:val="40"/>
        </w:rPr>
        <w:fldChar w:fldCharType="end"/>
      </w:r>
    </w:p>
    <w:p w14:paraId="0ABE1863" w14:textId="77777777" w:rsidR="00277B85" w:rsidRDefault="00277B85">
      <w:pPr>
        <w:jc w:val="both"/>
        <w:rPr>
          <w:rFonts w:ascii="Arial" w:hAnsi="Arial" w:cs="Arial"/>
          <w:sz w:val="16"/>
        </w:rPr>
      </w:pPr>
    </w:p>
    <w:p w14:paraId="39BA353A" w14:textId="77777777" w:rsidR="00277B85" w:rsidRPr="0047250D"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bookmarkStart w:id="54" w:name="_Toc30607520"/>
      <w:bookmarkStart w:id="55" w:name="_Toc30607649"/>
      <w:bookmarkStart w:id="56" w:name="_Toc30607974"/>
      <w:bookmarkStart w:id="57" w:name="_Toc30608788"/>
      <w:bookmarkStart w:id="58" w:name="_Toc30610001"/>
      <w:bookmarkStart w:id="59" w:name="_Toc30610245"/>
      <w:bookmarkStart w:id="60" w:name="_Toc30638399"/>
      <w:bookmarkStart w:id="61" w:name="_Toc30644208"/>
      <w:bookmarkStart w:id="62" w:name="_Toc30644611"/>
      <w:bookmarkStart w:id="63" w:name="_Toc30645161"/>
      <w:bookmarkStart w:id="64" w:name="_Toc30646365"/>
      <w:bookmarkStart w:id="65" w:name="_Toc30646660"/>
      <w:bookmarkStart w:id="66" w:name="_Toc30646770"/>
      <w:bookmarkStart w:id="67" w:name="_Toc30648127"/>
      <w:bookmarkStart w:id="68" w:name="_Toc30649025"/>
      <w:bookmarkStart w:id="69" w:name="_Toc30649101"/>
      <w:bookmarkStart w:id="70" w:name="_Toc30649362"/>
      <w:bookmarkStart w:id="71" w:name="_Toc30649682"/>
      <w:bookmarkStart w:id="72" w:name="_Toc30651616"/>
      <w:bookmarkStart w:id="73" w:name="_Toc30652600"/>
      <w:bookmarkStart w:id="74" w:name="_Toc30652698"/>
      <w:bookmarkStart w:id="75" w:name="_Toc30654043"/>
      <w:bookmarkStart w:id="76" w:name="_Toc30654394"/>
      <w:bookmarkStart w:id="77" w:name="_Toc30655013"/>
      <w:bookmarkStart w:id="78" w:name="_Toc30655270"/>
      <w:bookmarkStart w:id="79" w:name="_Toc30656946"/>
      <w:bookmarkStart w:id="80" w:name="_Toc30661695"/>
      <w:bookmarkStart w:id="81" w:name="_Toc30666383"/>
      <w:bookmarkStart w:id="82" w:name="_Toc30666613"/>
      <w:bookmarkStart w:id="83" w:name="_Toc30667788"/>
      <w:bookmarkStart w:id="84" w:name="_Toc30669166"/>
      <w:bookmarkStart w:id="85" w:name="_Toc30671382"/>
      <w:bookmarkStart w:id="86" w:name="_Toc30673909"/>
      <w:bookmarkStart w:id="87" w:name="_Toc30691131"/>
      <w:bookmarkStart w:id="88" w:name="_Toc30691502"/>
      <w:bookmarkStart w:id="89" w:name="_Toc30691882"/>
      <w:bookmarkStart w:id="90" w:name="_Toc30692641"/>
      <w:bookmarkStart w:id="91" w:name="_Toc30693020"/>
      <w:bookmarkStart w:id="92" w:name="_Toc30693398"/>
      <w:bookmarkStart w:id="93" w:name="_Toc30693777"/>
      <w:bookmarkStart w:id="94" w:name="_Toc30694158"/>
      <w:bookmarkStart w:id="95" w:name="_Toc30698747"/>
      <w:bookmarkStart w:id="96" w:name="_Toc30699125"/>
      <w:bookmarkStart w:id="97" w:name="_Toc30699510"/>
      <w:bookmarkStart w:id="98" w:name="_Toc30700665"/>
      <w:bookmarkStart w:id="99" w:name="_Toc30701052"/>
      <w:bookmarkStart w:id="100" w:name="_Toc30743661"/>
      <w:bookmarkStart w:id="101" w:name="_Toc30754484"/>
      <w:bookmarkStart w:id="102" w:name="_Toc30756924"/>
      <w:bookmarkStart w:id="103" w:name="_Toc30757473"/>
      <w:bookmarkStart w:id="104" w:name="_Toc30757873"/>
      <w:bookmarkStart w:id="105" w:name="_Toc30762634"/>
      <w:bookmarkStart w:id="106" w:name="_Toc30767288"/>
      <w:bookmarkStart w:id="107" w:name="_Toc34823314"/>
    </w:p>
    <w:p w14:paraId="3798D2CE" w14:textId="77777777" w:rsidR="00277B85" w:rsidRDefault="00277B85">
      <w:pPr>
        <w:pBdr>
          <w:top w:val="single" w:sz="4" w:space="1" w:color="auto"/>
          <w:left w:val="single" w:sz="4" w:space="4" w:color="auto"/>
          <w:bottom w:val="single" w:sz="4" w:space="1" w:color="auto"/>
          <w:right w:val="single" w:sz="4" w:space="4" w:color="auto"/>
        </w:pBdr>
        <w:jc w:val="center"/>
        <w:rPr>
          <w:rFonts w:ascii="Arial" w:hAnsi="Arial" w:cs="Arial"/>
          <w:b/>
          <w:bCs/>
          <w:u w:val="single"/>
        </w:rPr>
      </w:pPr>
      <w:r>
        <w:rPr>
          <w:rFonts w:ascii="Arial" w:hAnsi="Arial" w:cs="Arial"/>
          <w:b/>
          <w:bCs/>
          <w:sz w:val="28"/>
          <w:u w:val="single"/>
        </w:rPr>
        <w:t>CONTENTS</w:t>
      </w:r>
    </w:p>
    <w:p w14:paraId="7CDBEF6A" w14:textId="77777777" w:rsidR="00277B85"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p>
    <w:p w14:paraId="1C7CB9C2" w14:textId="0AD56FBC" w:rsidR="00277B85" w:rsidRPr="00A21C16" w:rsidRDefault="00000000">
      <w:pPr>
        <w:pBdr>
          <w:top w:val="single" w:sz="4" w:space="1" w:color="auto"/>
          <w:left w:val="single" w:sz="4" w:space="4" w:color="auto"/>
          <w:bottom w:val="single" w:sz="4" w:space="1" w:color="auto"/>
          <w:right w:val="single" w:sz="4" w:space="4" w:color="auto"/>
        </w:pBdr>
        <w:rPr>
          <w:rFonts w:ascii="Arial" w:hAnsi="Arial" w:cs="Arial"/>
          <w:b/>
          <w:bCs/>
        </w:rPr>
      </w:pPr>
      <w:hyperlink w:anchor="_2.1_Establishment,_Vision" w:history="1">
        <w:r w:rsidR="00277B85" w:rsidRPr="00A21C16">
          <w:rPr>
            <w:rStyle w:val="Hyperlink"/>
            <w:rFonts w:ascii="Arial" w:hAnsi="Arial" w:cs="Arial"/>
            <w:b/>
            <w:bCs/>
            <w:u w:val="none"/>
          </w:rPr>
          <w:t>2.1</w:t>
        </w:r>
        <w:r w:rsidR="00277B85" w:rsidRPr="00A21C16">
          <w:rPr>
            <w:rStyle w:val="Hyperlink"/>
            <w:rFonts w:ascii="Arial" w:hAnsi="Arial" w:cs="Arial"/>
            <w:b/>
            <w:bCs/>
            <w:u w:val="none"/>
          </w:rPr>
          <w:tab/>
          <w:t xml:space="preserve">Establishment, </w:t>
        </w:r>
        <w:r w:rsidR="005B73F4">
          <w:rPr>
            <w:rStyle w:val="Hyperlink"/>
            <w:rFonts w:ascii="Arial" w:hAnsi="Arial" w:cs="Arial"/>
            <w:b/>
            <w:bCs/>
            <w:u w:val="none"/>
          </w:rPr>
          <w:t>Role, Strategic Priorities</w:t>
        </w:r>
        <w:r w:rsidR="00277B85" w:rsidRPr="00A21C16">
          <w:rPr>
            <w:rStyle w:val="Hyperlink"/>
            <w:rFonts w:ascii="Arial" w:hAnsi="Arial" w:cs="Arial"/>
            <w:b/>
            <w:bCs/>
            <w:u w:val="none"/>
          </w:rPr>
          <w:t xml:space="preserve"> &amp; Purpose</w:t>
        </w:r>
      </w:hyperlink>
    </w:p>
    <w:p w14:paraId="77EF11E1" w14:textId="77777777" w:rsidR="00277B85" w:rsidRPr="00A21C16" w:rsidRDefault="00000000"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2_Judicial_&amp;" w:history="1">
        <w:r w:rsidR="00277B85" w:rsidRPr="00A21C16">
          <w:rPr>
            <w:rStyle w:val="Hyperlink"/>
            <w:rFonts w:ascii="Arial" w:hAnsi="Arial" w:cs="Arial"/>
            <w:b/>
            <w:bCs/>
            <w:u w:val="none"/>
          </w:rPr>
          <w:t>2.2</w:t>
        </w:r>
        <w:r w:rsidR="00277B85" w:rsidRPr="00A21C16">
          <w:rPr>
            <w:rStyle w:val="Hyperlink"/>
            <w:rFonts w:ascii="Arial" w:hAnsi="Arial" w:cs="Arial"/>
            <w:b/>
            <w:bCs/>
            <w:u w:val="none"/>
          </w:rPr>
          <w:tab/>
          <w:t xml:space="preserve">Judicial &amp; </w:t>
        </w:r>
        <w:r w:rsidR="00C444AC">
          <w:rPr>
            <w:rStyle w:val="Hyperlink"/>
            <w:rFonts w:ascii="Arial" w:hAnsi="Arial" w:cs="Arial"/>
            <w:b/>
            <w:bCs/>
            <w:u w:val="none"/>
          </w:rPr>
          <w:t>A</w:t>
        </w:r>
        <w:r w:rsidR="00277B85" w:rsidRPr="00A21C16">
          <w:rPr>
            <w:rStyle w:val="Hyperlink"/>
            <w:rFonts w:ascii="Arial" w:hAnsi="Arial" w:cs="Arial"/>
            <w:b/>
            <w:bCs/>
            <w:u w:val="none"/>
          </w:rPr>
          <w:t>dministrative officers of the Court</w:t>
        </w:r>
      </w:hyperlink>
    </w:p>
    <w:p w14:paraId="298DCCBE" w14:textId="51A5466F" w:rsidR="00277B85" w:rsidRPr="00352DEB" w:rsidRDefault="00000000"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3_Organisational_structure" w:history="1">
        <w:r w:rsidR="00277B85" w:rsidRPr="00352DEB">
          <w:rPr>
            <w:rStyle w:val="Hyperlink"/>
            <w:rFonts w:ascii="Arial" w:hAnsi="Arial" w:cs="Arial"/>
            <w:b/>
            <w:bCs/>
            <w:u w:val="none"/>
          </w:rPr>
          <w:t>2.3</w:t>
        </w:r>
        <w:r w:rsidR="00277B85" w:rsidRPr="00352DEB">
          <w:rPr>
            <w:rStyle w:val="Hyperlink"/>
            <w:rFonts w:ascii="Arial" w:hAnsi="Arial" w:cs="Arial"/>
            <w:b/>
            <w:bCs/>
            <w:u w:val="none"/>
          </w:rPr>
          <w:tab/>
          <w:t xml:space="preserve">Organisational </w:t>
        </w:r>
        <w:r w:rsidR="0093162A" w:rsidRPr="00352DEB">
          <w:rPr>
            <w:rStyle w:val="Hyperlink"/>
            <w:rFonts w:ascii="Arial" w:hAnsi="Arial" w:cs="Arial"/>
            <w:b/>
            <w:bCs/>
            <w:u w:val="none"/>
          </w:rPr>
          <w:t>S</w:t>
        </w:r>
        <w:r w:rsidR="00277B85" w:rsidRPr="00352DEB">
          <w:rPr>
            <w:rStyle w:val="Hyperlink"/>
            <w:rFonts w:ascii="Arial" w:hAnsi="Arial" w:cs="Arial"/>
            <w:b/>
            <w:bCs/>
            <w:u w:val="none"/>
          </w:rPr>
          <w:t xml:space="preserve">tructure of the Children's Court </w:t>
        </w:r>
        <w:r w:rsidR="00352DEB" w:rsidRPr="00352DEB">
          <w:rPr>
            <w:rStyle w:val="Hyperlink"/>
            <w:rFonts w:ascii="Arial" w:hAnsi="Arial" w:cs="Arial"/>
            <w:b/>
            <w:bCs/>
            <w:u w:val="none"/>
          </w:rPr>
          <w:t>at Melbourne</w:t>
        </w:r>
      </w:hyperlink>
    </w:p>
    <w:p w14:paraId="3FF44CFF" w14:textId="77777777" w:rsidR="00277B85" w:rsidRPr="00A21C16" w:rsidRDefault="00000000"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4_Divisions_of" w:history="1">
        <w:r w:rsidR="00277B85" w:rsidRPr="00A21C16">
          <w:rPr>
            <w:rStyle w:val="Hyperlink"/>
            <w:rFonts w:ascii="Arial" w:hAnsi="Arial" w:cs="Arial"/>
            <w:b/>
            <w:bCs/>
            <w:u w:val="none"/>
          </w:rPr>
          <w:t>2.4</w:t>
        </w:r>
        <w:r w:rsidR="00277B85" w:rsidRPr="00A21C16">
          <w:rPr>
            <w:rStyle w:val="Hyperlink"/>
            <w:rFonts w:ascii="Arial" w:hAnsi="Arial" w:cs="Arial"/>
            <w:b/>
            <w:bCs/>
            <w:u w:val="none"/>
          </w:rPr>
          <w:tab/>
          <w:t>Divisions of the Court</w:t>
        </w:r>
      </w:hyperlink>
    </w:p>
    <w:p w14:paraId="1A3AA06A" w14:textId="77777777" w:rsidR="00277B85" w:rsidRPr="00A21C16" w:rsidRDefault="00000000"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5_Venues_of" w:history="1">
        <w:r w:rsidR="00277B85" w:rsidRPr="00A21C16">
          <w:rPr>
            <w:rStyle w:val="Hyperlink"/>
            <w:rFonts w:ascii="Arial" w:hAnsi="Arial" w:cs="Arial"/>
            <w:b/>
            <w:bCs/>
            <w:u w:val="none"/>
          </w:rPr>
          <w:t>2.5</w:t>
        </w:r>
        <w:r w:rsidR="00277B85" w:rsidRPr="00A21C16">
          <w:rPr>
            <w:rStyle w:val="Hyperlink"/>
            <w:rFonts w:ascii="Arial" w:hAnsi="Arial" w:cs="Arial"/>
            <w:b/>
            <w:bCs/>
            <w:u w:val="none"/>
          </w:rPr>
          <w:tab/>
          <w:t>Venues of the Court</w:t>
        </w:r>
      </w:hyperlink>
    </w:p>
    <w:p w14:paraId="35958EA5" w14:textId="44C6F72C" w:rsidR="00962CA3" w:rsidRPr="00962CA3" w:rsidRDefault="00000000" w:rsidP="00962CA3">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5.1_Sections_505" w:history="1">
        <w:r w:rsidR="00962CA3" w:rsidRPr="00962CA3">
          <w:rPr>
            <w:rStyle w:val="Hyperlink"/>
            <w:rFonts w:ascii="Arial" w:hAnsi="Arial" w:cs="Arial"/>
            <w:b/>
            <w:bCs/>
            <w:sz w:val="20"/>
            <w:u w:val="none"/>
          </w:rPr>
          <w:tab/>
          <w:t>2.5.1</w:t>
        </w:r>
        <w:r w:rsidR="00962CA3" w:rsidRPr="00962CA3">
          <w:rPr>
            <w:rStyle w:val="Hyperlink"/>
            <w:rFonts w:ascii="Arial" w:hAnsi="Arial" w:cs="Arial"/>
            <w:b/>
            <w:bCs/>
            <w:sz w:val="20"/>
            <w:u w:val="none"/>
          </w:rPr>
          <w:tab/>
          <w:t>Sections 505 &amp; 505A of the CYFA</w:t>
        </w:r>
      </w:hyperlink>
    </w:p>
    <w:p w14:paraId="458E21C3" w14:textId="6CC34422" w:rsidR="00962CA3" w:rsidRPr="00077D71" w:rsidRDefault="00962CA3" w:rsidP="00962CA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077D71">
        <w:rPr>
          <w:rFonts w:ascii="Arial" w:hAnsi="Arial" w:cs="Arial"/>
          <w:b/>
          <w:bCs/>
          <w:sz w:val="20"/>
        </w:rPr>
        <w:fldChar w:fldCharType="begin"/>
      </w:r>
      <w:r w:rsidRPr="00077D71">
        <w:rPr>
          <w:rFonts w:ascii="Arial" w:hAnsi="Arial" w:cs="Arial"/>
          <w:b/>
          <w:bCs/>
          <w:sz w:val="20"/>
        </w:rPr>
        <w:instrText xml:space="preserve"> HYPERLINK  \l "_2.5.2_Current_Victorian" </w:instrText>
      </w:r>
      <w:r w:rsidRPr="00077D71">
        <w:rPr>
          <w:rFonts w:ascii="Arial" w:hAnsi="Arial" w:cs="Arial"/>
          <w:b/>
          <w:bCs/>
          <w:sz w:val="20"/>
        </w:rPr>
      </w:r>
      <w:r w:rsidRPr="00077D71">
        <w:rPr>
          <w:rFonts w:ascii="Arial" w:hAnsi="Arial" w:cs="Arial"/>
          <w:b/>
          <w:bCs/>
          <w:sz w:val="20"/>
        </w:rPr>
        <w:fldChar w:fldCharType="separate"/>
      </w:r>
      <w:r w:rsidRPr="00077D71">
        <w:rPr>
          <w:rStyle w:val="Hyperlink"/>
          <w:rFonts w:ascii="Arial" w:hAnsi="Arial" w:cs="Arial"/>
          <w:b/>
          <w:bCs/>
          <w:sz w:val="20"/>
          <w:u w:val="none"/>
        </w:rPr>
        <w:tab/>
        <w:t>2.5.2</w:t>
      </w:r>
      <w:r w:rsidRPr="00077D71">
        <w:rPr>
          <w:rStyle w:val="Hyperlink"/>
          <w:rFonts w:ascii="Arial" w:hAnsi="Arial" w:cs="Arial"/>
          <w:b/>
          <w:bCs/>
          <w:sz w:val="20"/>
          <w:u w:val="none"/>
        </w:rPr>
        <w:tab/>
        <w:t>Victorian Children’s Court venues</w:t>
      </w:r>
    </w:p>
    <w:p w14:paraId="78B21D2A" w14:textId="04F0618D" w:rsidR="00962CA3" w:rsidRPr="006541FB" w:rsidRDefault="00962CA3" w:rsidP="00962CA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077D71">
        <w:rPr>
          <w:rFonts w:ascii="Arial" w:hAnsi="Arial" w:cs="Arial"/>
          <w:b/>
          <w:bCs/>
          <w:sz w:val="20"/>
        </w:rPr>
        <w:fldChar w:fldCharType="end"/>
      </w:r>
      <w:r w:rsidR="00077D71" w:rsidRPr="006541FB">
        <w:rPr>
          <w:rFonts w:ascii="Arial" w:hAnsi="Arial" w:cs="Arial"/>
          <w:b/>
          <w:bCs/>
          <w:sz w:val="20"/>
        </w:rPr>
        <w:fldChar w:fldCharType="begin"/>
      </w:r>
      <w:r w:rsidR="00077D71" w:rsidRPr="006541FB">
        <w:rPr>
          <w:rFonts w:ascii="Arial" w:hAnsi="Arial" w:cs="Arial"/>
          <w:b/>
          <w:bCs/>
          <w:sz w:val="20"/>
        </w:rPr>
        <w:instrText xml:space="preserve"> HYPERLINK  \l "_2.5.3_Children’s_Court" </w:instrText>
      </w:r>
      <w:r w:rsidR="00077D71" w:rsidRPr="006541FB">
        <w:rPr>
          <w:rFonts w:ascii="Arial" w:hAnsi="Arial" w:cs="Arial"/>
          <w:b/>
          <w:bCs/>
          <w:sz w:val="20"/>
        </w:rPr>
      </w:r>
      <w:r w:rsidR="00077D71" w:rsidRPr="006541FB">
        <w:rPr>
          <w:rFonts w:ascii="Arial" w:hAnsi="Arial" w:cs="Arial"/>
          <w:b/>
          <w:bCs/>
          <w:sz w:val="20"/>
        </w:rPr>
        <w:fldChar w:fldCharType="separate"/>
      </w:r>
      <w:r w:rsidRPr="006541FB">
        <w:rPr>
          <w:rStyle w:val="Hyperlink"/>
          <w:rFonts w:ascii="Arial" w:hAnsi="Arial" w:cs="Arial"/>
          <w:b/>
          <w:bCs/>
          <w:sz w:val="20"/>
          <w:u w:val="none"/>
        </w:rPr>
        <w:tab/>
        <w:t>2.5.3</w:t>
      </w:r>
      <w:r w:rsidRPr="006541FB">
        <w:rPr>
          <w:rStyle w:val="Hyperlink"/>
          <w:rFonts w:ascii="Arial" w:hAnsi="Arial" w:cs="Arial"/>
          <w:b/>
          <w:bCs/>
          <w:sz w:val="20"/>
          <w:u w:val="none"/>
        </w:rPr>
        <w:tab/>
      </w:r>
      <w:r w:rsidR="00077D71" w:rsidRPr="006541FB">
        <w:rPr>
          <w:rStyle w:val="Hyperlink"/>
          <w:rFonts w:ascii="Arial" w:hAnsi="Arial" w:cs="Arial"/>
          <w:b/>
          <w:bCs/>
          <w:sz w:val="20"/>
          <w:u w:val="none"/>
        </w:rPr>
        <w:t xml:space="preserve">Children’s Court </w:t>
      </w:r>
      <w:r w:rsidR="001922E5" w:rsidRPr="006541FB">
        <w:rPr>
          <w:rStyle w:val="Hyperlink"/>
          <w:rFonts w:ascii="Arial" w:hAnsi="Arial" w:cs="Arial"/>
          <w:b/>
          <w:bCs/>
          <w:sz w:val="20"/>
          <w:u w:val="none"/>
        </w:rPr>
        <w:t xml:space="preserve">Weekend </w:t>
      </w:r>
      <w:r w:rsidR="00077D71" w:rsidRPr="006541FB">
        <w:rPr>
          <w:rStyle w:val="Hyperlink"/>
          <w:rFonts w:ascii="Arial" w:hAnsi="Arial" w:cs="Arial"/>
          <w:b/>
          <w:bCs/>
          <w:sz w:val="20"/>
          <w:u w:val="none"/>
        </w:rPr>
        <w:t>Online Remand Court [WORC]</w:t>
      </w:r>
    </w:p>
    <w:p w14:paraId="74C38277" w14:textId="1183E612" w:rsidR="00827F9A" w:rsidRPr="006541FB" w:rsidRDefault="00077D71" w:rsidP="00827F9A">
      <w:pPr>
        <w:pBdr>
          <w:top w:val="single" w:sz="4" w:space="1" w:color="auto"/>
          <w:left w:val="single" w:sz="4" w:space="4" w:color="auto"/>
          <w:bottom w:val="single" w:sz="4" w:space="1" w:color="auto"/>
          <w:right w:val="single" w:sz="4" w:space="4" w:color="auto"/>
        </w:pBdr>
        <w:rPr>
          <w:rFonts w:ascii="Arial" w:hAnsi="Arial" w:cs="Arial"/>
          <w:b/>
          <w:bCs/>
          <w:sz w:val="20"/>
        </w:rPr>
      </w:pPr>
      <w:r w:rsidRPr="006541FB">
        <w:rPr>
          <w:rFonts w:ascii="Arial" w:hAnsi="Arial" w:cs="Arial"/>
          <w:b/>
          <w:bCs/>
          <w:sz w:val="20"/>
        </w:rPr>
        <w:fldChar w:fldCharType="end"/>
      </w:r>
      <w:hyperlink w:anchor="_2.5.4_The_Court" w:history="1">
        <w:r w:rsidR="00827F9A" w:rsidRPr="006541FB">
          <w:rPr>
            <w:rStyle w:val="Hyperlink"/>
            <w:rFonts w:ascii="Arial" w:hAnsi="Arial" w:cs="Arial"/>
            <w:b/>
            <w:bCs/>
            <w:sz w:val="20"/>
            <w:u w:val="none"/>
          </w:rPr>
          <w:tab/>
          <w:t>2.5.4</w:t>
        </w:r>
        <w:r w:rsidR="00827F9A" w:rsidRPr="006541FB">
          <w:rPr>
            <w:rStyle w:val="Hyperlink"/>
            <w:rFonts w:ascii="Arial" w:hAnsi="Arial" w:cs="Arial"/>
            <w:b/>
            <w:bCs/>
            <w:sz w:val="20"/>
            <w:u w:val="none"/>
          </w:rPr>
          <w:tab/>
          <w:t>The Court Security Act 1980</w:t>
        </w:r>
      </w:hyperlink>
    </w:p>
    <w:p w14:paraId="5628CAD0" w14:textId="0B710F83" w:rsidR="00277B85" w:rsidRPr="00A21C16" w:rsidRDefault="00000000"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6_A_specialist" w:history="1">
        <w:r w:rsidR="00277B85" w:rsidRPr="00A21C16">
          <w:rPr>
            <w:rStyle w:val="Hyperlink"/>
            <w:rFonts w:ascii="Arial" w:hAnsi="Arial" w:cs="Arial"/>
            <w:b/>
            <w:bCs/>
            <w:u w:val="none"/>
          </w:rPr>
          <w:t>2.6</w:t>
        </w:r>
        <w:r w:rsidR="00277B85" w:rsidRPr="00A21C16">
          <w:rPr>
            <w:rStyle w:val="Hyperlink"/>
            <w:rFonts w:ascii="Arial" w:hAnsi="Arial" w:cs="Arial"/>
            <w:b/>
            <w:bCs/>
            <w:u w:val="none"/>
          </w:rPr>
          <w:tab/>
          <w:t>A specialist court</w:t>
        </w:r>
      </w:hyperlink>
    </w:p>
    <w:p w14:paraId="75F97243" w14:textId="41EFCC59" w:rsidR="00277B85" w:rsidRPr="00A21C16" w:rsidRDefault="00000000"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7_The_Court_1" w:history="1">
        <w:r w:rsidR="00277B85" w:rsidRPr="00A21C16">
          <w:rPr>
            <w:rStyle w:val="Hyperlink"/>
            <w:rFonts w:ascii="Arial" w:hAnsi="Arial" w:cs="Arial"/>
            <w:b/>
            <w:bCs/>
            <w:u w:val="none"/>
          </w:rPr>
          <w:t>2.7</w:t>
        </w:r>
        <w:r w:rsidR="00277B85" w:rsidRPr="00A21C16">
          <w:rPr>
            <w:rStyle w:val="Hyperlink"/>
            <w:rFonts w:ascii="Arial" w:hAnsi="Arial" w:cs="Arial"/>
            <w:b/>
            <w:bCs/>
            <w:u w:val="none"/>
          </w:rPr>
          <w:tab/>
          <w:t>The Court is generally open to the public</w:t>
        </w:r>
      </w:hyperlink>
    </w:p>
    <w:p w14:paraId="7DA17956" w14:textId="7B9BCBEE" w:rsidR="005619BF" w:rsidRPr="00A21C16" w:rsidRDefault="00000000" w:rsidP="005619BF">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7.1_Section_523_1" w:history="1">
        <w:r w:rsidR="005619BF" w:rsidRPr="00A21C16">
          <w:rPr>
            <w:rStyle w:val="Hyperlink"/>
            <w:rFonts w:ascii="Arial" w:hAnsi="Arial" w:cs="Arial"/>
            <w:b/>
            <w:bCs/>
            <w:sz w:val="20"/>
            <w:u w:val="none"/>
          </w:rPr>
          <w:tab/>
          <w:t>2.7.1</w:t>
        </w:r>
        <w:r w:rsidR="005619BF" w:rsidRPr="00A21C16">
          <w:rPr>
            <w:rStyle w:val="Hyperlink"/>
            <w:rFonts w:ascii="Arial" w:hAnsi="Arial" w:cs="Arial"/>
            <w:b/>
            <w:bCs/>
            <w:sz w:val="20"/>
            <w:u w:val="none"/>
          </w:rPr>
          <w:tab/>
          <w:t>Section 523 of the CYF</w:t>
        </w:r>
        <w:r w:rsidR="00455703">
          <w:rPr>
            <w:rStyle w:val="Hyperlink"/>
            <w:rFonts w:ascii="Arial" w:hAnsi="Arial" w:cs="Arial"/>
            <w:b/>
            <w:bCs/>
            <w:sz w:val="20"/>
            <w:u w:val="none"/>
          </w:rPr>
          <w:t xml:space="preserve">A and sections 8A &amp; 8B of the </w:t>
        </w:r>
        <w:r w:rsidR="00455703" w:rsidRPr="00455703">
          <w:rPr>
            <w:rStyle w:val="Hyperlink"/>
            <w:rFonts w:ascii="Arial" w:hAnsi="Arial" w:cs="Arial"/>
            <w:b/>
            <w:bCs/>
            <w:i/>
            <w:iCs/>
            <w:sz w:val="20"/>
            <w:u w:val="none"/>
          </w:rPr>
          <w:t>Open Courts Act 2013</w:t>
        </w:r>
      </w:hyperlink>
    </w:p>
    <w:p w14:paraId="36B8C1F8" w14:textId="5C520C8E" w:rsidR="005619BF" w:rsidRPr="00541057" w:rsidRDefault="00000000" w:rsidP="005619BF">
      <w:pPr>
        <w:pBdr>
          <w:top w:val="single" w:sz="4" w:space="1" w:color="auto"/>
          <w:left w:val="single" w:sz="4" w:space="4" w:color="auto"/>
          <w:bottom w:val="single" w:sz="4" w:space="1" w:color="auto"/>
          <w:right w:val="single" w:sz="4" w:space="4" w:color="auto"/>
        </w:pBdr>
        <w:rPr>
          <w:rFonts w:ascii="Arial" w:hAnsi="Arial" w:cs="Arial"/>
          <w:b/>
          <w:bCs/>
          <w:sz w:val="20"/>
        </w:rPr>
      </w:pPr>
      <w:hyperlink w:anchor="_2.7.2_Sections_28" w:history="1">
        <w:r w:rsidR="005619BF" w:rsidRPr="00541057">
          <w:rPr>
            <w:rStyle w:val="Hyperlink"/>
            <w:rFonts w:ascii="Arial" w:hAnsi="Arial" w:cs="Arial"/>
            <w:b/>
            <w:bCs/>
            <w:sz w:val="20"/>
            <w:u w:val="none"/>
          </w:rPr>
          <w:tab/>
          <w:t>2.7.2</w:t>
        </w:r>
        <w:r w:rsidR="005619BF" w:rsidRPr="00541057">
          <w:rPr>
            <w:rStyle w:val="Hyperlink"/>
            <w:rFonts w:ascii="Arial" w:hAnsi="Arial" w:cs="Arial"/>
            <w:b/>
            <w:bCs/>
            <w:sz w:val="20"/>
            <w:u w:val="none"/>
          </w:rPr>
          <w:tab/>
        </w:r>
        <w:r w:rsidR="00755FF0" w:rsidRPr="00541057">
          <w:rPr>
            <w:rStyle w:val="Hyperlink"/>
            <w:rFonts w:ascii="Arial" w:hAnsi="Arial" w:cs="Arial"/>
            <w:b/>
            <w:bCs/>
            <w:sz w:val="20"/>
            <w:u w:val="none"/>
          </w:rPr>
          <w:t xml:space="preserve">Sections 28 </w:t>
        </w:r>
        <w:r w:rsidR="00FA1BDE">
          <w:rPr>
            <w:rStyle w:val="Hyperlink"/>
            <w:rFonts w:ascii="Arial" w:hAnsi="Arial" w:cs="Arial"/>
            <w:b/>
            <w:bCs/>
            <w:sz w:val="20"/>
            <w:u w:val="none"/>
          </w:rPr>
          <w:t>to</w:t>
        </w:r>
        <w:r w:rsidR="00755FF0" w:rsidRPr="00541057">
          <w:rPr>
            <w:rStyle w:val="Hyperlink"/>
            <w:rFonts w:ascii="Arial" w:hAnsi="Arial" w:cs="Arial"/>
            <w:b/>
            <w:bCs/>
            <w:sz w:val="20"/>
            <w:u w:val="none"/>
          </w:rPr>
          <w:t xml:space="preserve"> 30 of t</w:t>
        </w:r>
        <w:r w:rsidR="005619BF" w:rsidRPr="00541057">
          <w:rPr>
            <w:rStyle w:val="Hyperlink"/>
            <w:rFonts w:ascii="Arial" w:hAnsi="Arial" w:cs="Arial"/>
            <w:b/>
            <w:bCs/>
            <w:sz w:val="20"/>
            <w:u w:val="none"/>
          </w:rPr>
          <w:t>he Open Courts Act 2013</w:t>
        </w:r>
      </w:hyperlink>
    </w:p>
    <w:p w14:paraId="68F605F5" w14:textId="6F960248" w:rsidR="00FE6808" w:rsidRPr="00A21C16" w:rsidRDefault="00000000" w:rsidP="005619BF">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2.7.3_Pseudonym_orders" w:history="1">
        <w:r w:rsidR="00FE6808" w:rsidRPr="00A21C16">
          <w:rPr>
            <w:rStyle w:val="Hyperlink"/>
            <w:rFonts w:ascii="Arial" w:hAnsi="Arial" w:cs="Arial"/>
            <w:b/>
            <w:bCs/>
            <w:sz w:val="20"/>
            <w:u w:val="none"/>
          </w:rPr>
          <w:tab/>
          <w:t>2.7.3</w:t>
        </w:r>
        <w:r w:rsidR="00FE6808" w:rsidRPr="00A21C16">
          <w:rPr>
            <w:rStyle w:val="Hyperlink"/>
            <w:rFonts w:ascii="Arial" w:hAnsi="Arial" w:cs="Arial"/>
            <w:b/>
            <w:bCs/>
            <w:sz w:val="20"/>
            <w:u w:val="none"/>
          </w:rPr>
          <w:tab/>
          <w:t>Pseudonym orders</w:t>
        </w:r>
      </w:hyperlink>
    </w:p>
    <w:p w14:paraId="414F710E" w14:textId="77777777" w:rsidR="00CA061D" w:rsidRPr="00D000AA" w:rsidRDefault="00F97751" w:rsidP="005619BF">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begin"/>
      </w:r>
      <w:r w:rsidRPr="00D000AA">
        <w:rPr>
          <w:rFonts w:ascii="Arial" w:hAnsi="Arial" w:cs="Arial"/>
          <w:b/>
          <w:bCs/>
          <w:color w:val="000000"/>
          <w:sz w:val="20"/>
        </w:rPr>
        <w:instrText xml:space="preserve"> HYPERLINK  \l "_2.7.4_Media_applications" </w:instrText>
      </w:r>
      <w:r w:rsidRPr="00D000AA">
        <w:rPr>
          <w:rFonts w:ascii="Arial" w:hAnsi="Arial" w:cs="Arial"/>
          <w:b/>
          <w:bCs/>
          <w:color w:val="000000"/>
          <w:sz w:val="20"/>
        </w:rPr>
      </w:r>
      <w:r w:rsidRPr="00D000AA">
        <w:rPr>
          <w:rFonts w:ascii="Arial" w:hAnsi="Arial" w:cs="Arial"/>
          <w:b/>
          <w:bCs/>
          <w:color w:val="000000"/>
          <w:sz w:val="20"/>
        </w:rPr>
        <w:fldChar w:fldCharType="separate"/>
      </w:r>
      <w:r w:rsidR="00CA061D" w:rsidRPr="00D000AA">
        <w:rPr>
          <w:rStyle w:val="Hyperlink"/>
          <w:rFonts w:ascii="Arial" w:hAnsi="Arial" w:cs="Arial"/>
          <w:b/>
          <w:bCs/>
          <w:sz w:val="20"/>
          <w:u w:val="none"/>
        </w:rPr>
        <w:tab/>
        <w:t>2.7.4</w:t>
      </w:r>
      <w:r w:rsidR="00CA061D" w:rsidRPr="00D000AA">
        <w:rPr>
          <w:rStyle w:val="Hyperlink"/>
          <w:rFonts w:ascii="Arial" w:hAnsi="Arial" w:cs="Arial"/>
          <w:b/>
          <w:bCs/>
          <w:sz w:val="20"/>
          <w:u w:val="none"/>
        </w:rPr>
        <w:tab/>
        <w:t>M</w:t>
      </w:r>
      <w:r w:rsidR="00236EE0" w:rsidRPr="00D000AA">
        <w:rPr>
          <w:rStyle w:val="Hyperlink"/>
          <w:rFonts w:ascii="Arial" w:hAnsi="Arial" w:cs="Arial"/>
          <w:b/>
          <w:bCs/>
          <w:sz w:val="20"/>
          <w:u w:val="none"/>
        </w:rPr>
        <w:t xml:space="preserve">edia applications for </w:t>
      </w:r>
      <w:r w:rsidR="00CA061D" w:rsidRPr="00D000AA">
        <w:rPr>
          <w:rStyle w:val="Hyperlink"/>
          <w:rFonts w:ascii="Arial" w:hAnsi="Arial" w:cs="Arial"/>
          <w:b/>
          <w:bCs/>
          <w:sz w:val="20"/>
          <w:u w:val="none"/>
        </w:rPr>
        <w:t>copies of court documents</w:t>
      </w:r>
      <w:r w:rsidRPr="00D000AA">
        <w:rPr>
          <w:rStyle w:val="Hyperlink"/>
          <w:rFonts w:ascii="Arial" w:hAnsi="Arial" w:cs="Arial"/>
          <w:b/>
          <w:bCs/>
          <w:sz w:val="20"/>
          <w:u w:val="none"/>
        </w:rPr>
        <w:t xml:space="preserve"> in Criminal Division cases</w:t>
      </w:r>
    </w:p>
    <w:p w14:paraId="1FB0F2E4" w14:textId="77777777" w:rsidR="00236EE0" w:rsidRPr="00D000AA" w:rsidRDefault="00F97751" w:rsidP="00236EE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end"/>
      </w:r>
      <w:r w:rsidR="00D000AA" w:rsidRPr="00D000AA">
        <w:rPr>
          <w:rFonts w:ascii="Arial" w:hAnsi="Arial" w:cs="Arial"/>
          <w:b/>
          <w:bCs/>
          <w:color w:val="000000"/>
          <w:sz w:val="20"/>
        </w:rPr>
        <w:fldChar w:fldCharType="begin"/>
      </w:r>
      <w:r w:rsidR="00D000AA" w:rsidRPr="00D000AA">
        <w:rPr>
          <w:rFonts w:ascii="Arial" w:hAnsi="Arial" w:cs="Arial"/>
          <w:b/>
          <w:bCs/>
          <w:color w:val="000000"/>
          <w:sz w:val="20"/>
        </w:rPr>
        <w:instrText xml:space="preserve"> HYPERLINK  \l "_2.7.5_Media_applications_1" </w:instrText>
      </w:r>
      <w:r w:rsidR="00D000AA" w:rsidRPr="00D000AA">
        <w:rPr>
          <w:rFonts w:ascii="Arial" w:hAnsi="Arial" w:cs="Arial"/>
          <w:b/>
          <w:bCs/>
          <w:color w:val="000000"/>
          <w:sz w:val="20"/>
        </w:rPr>
      </w:r>
      <w:r w:rsidR="00D000AA" w:rsidRPr="00D000AA">
        <w:rPr>
          <w:rFonts w:ascii="Arial" w:hAnsi="Arial" w:cs="Arial"/>
          <w:b/>
          <w:bCs/>
          <w:color w:val="000000"/>
          <w:sz w:val="20"/>
        </w:rPr>
        <w:fldChar w:fldCharType="separate"/>
      </w:r>
      <w:r w:rsidR="00236EE0" w:rsidRPr="00D000AA">
        <w:rPr>
          <w:rStyle w:val="Hyperlink"/>
          <w:rFonts w:ascii="Arial" w:hAnsi="Arial" w:cs="Arial"/>
          <w:b/>
          <w:bCs/>
          <w:sz w:val="20"/>
          <w:u w:val="none"/>
        </w:rPr>
        <w:tab/>
        <w:t>2.7.5</w:t>
      </w:r>
      <w:r w:rsidR="00236EE0" w:rsidRPr="00D000AA">
        <w:rPr>
          <w:rStyle w:val="Hyperlink"/>
          <w:rFonts w:ascii="Arial" w:hAnsi="Arial" w:cs="Arial"/>
          <w:b/>
          <w:bCs/>
          <w:sz w:val="20"/>
          <w:u w:val="none"/>
        </w:rPr>
        <w:tab/>
        <w:t>Media applications for copies of audio or audiovisual recordings</w:t>
      </w:r>
      <w:r w:rsidR="00D000AA" w:rsidRPr="00D000AA">
        <w:rPr>
          <w:rStyle w:val="Hyperlink"/>
          <w:rFonts w:ascii="Arial" w:hAnsi="Arial" w:cs="Arial"/>
          <w:b/>
          <w:bCs/>
          <w:sz w:val="20"/>
          <w:u w:val="none"/>
        </w:rPr>
        <w:t xml:space="preserve"> of police int’s</w:t>
      </w:r>
    </w:p>
    <w:p w14:paraId="04C26AB1" w14:textId="55C8B744" w:rsidR="007C31E4" w:rsidRPr="00D000AA" w:rsidRDefault="00D000AA" w:rsidP="007C31E4">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end"/>
      </w:r>
      <w:r w:rsidR="007C31E4" w:rsidRPr="00D000AA">
        <w:rPr>
          <w:rFonts w:ascii="Arial" w:hAnsi="Arial" w:cs="Arial"/>
          <w:b/>
          <w:bCs/>
          <w:color w:val="000000"/>
          <w:sz w:val="20"/>
        </w:rPr>
        <w:fldChar w:fldCharType="begin"/>
      </w:r>
      <w:r w:rsidR="007C31E4">
        <w:rPr>
          <w:rFonts w:ascii="Arial" w:hAnsi="Arial" w:cs="Arial"/>
          <w:b/>
          <w:bCs/>
          <w:color w:val="000000"/>
          <w:sz w:val="20"/>
        </w:rPr>
        <w:instrText>HYPERLINK  \l "_2.7.6_Recording_of"</w:instrText>
      </w:r>
      <w:r w:rsidR="007C31E4" w:rsidRPr="00D000AA">
        <w:rPr>
          <w:rFonts w:ascii="Arial" w:hAnsi="Arial" w:cs="Arial"/>
          <w:b/>
          <w:bCs/>
          <w:color w:val="000000"/>
          <w:sz w:val="20"/>
        </w:rPr>
      </w:r>
      <w:r w:rsidR="007C31E4" w:rsidRPr="00D000AA">
        <w:rPr>
          <w:rFonts w:ascii="Arial" w:hAnsi="Arial" w:cs="Arial"/>
          <w:b/>
          <w:bCs/>
          <w:color w:val="000000"/>
          <w:sz w:val="20"/>
        </w:rPr>
        <w:fldChar w:fldCharType="separate"/>
      </w:r>
      <w:r w:rsidR="007C31E4" w:rsidRPr="00D000AA">
        <w:rPr>
          <w:rStyle w:val="Hyperlink"/>
          <w:rFonts w:ascii="Arial" w:hAnsi="Arial" w:cs="Arial"/>
          <w:b/>
          <w:bCs/>
          <w:sz w:val="20"/>
          <w:u w:val="none"/>
        </w:rPr>
        <w:tab/>
        <w:t>2.7.</w:t>
      </w:r>
      <w:r w:rsidR="007C31E4">
        <w:rPr>
          <w:rStyle w:val="Hyperlink"/>
          <w:rFonts w:ascii="Arial" w:hAnsi="Arial" w:cs="Arial"/>
          <w:b/>
          <w:bCs/>
          <w:sz w:val="20"/>
          <w:u w:val="none"/>
        </w:rPr>
        <w:t>6</w:t>
      </w:r>
      <w:r w:rsidR="007C31E4" w:rsidRPr="00D000AA">
        <w:rPr>
          <w:rStyle w:val="Hyperlink"/>
          <w:rFonts w:ascii="Arial" w:hAnsi="Arial" w:cs="Arial"/>
          <w:b/>
          <w:bCs/>
          <w:sz w:val="20"/>
          <w:u w:val="none"/>
        </w:rPr>
        <w:tab/>
      </w:r>
      <w:r w:rsidR="007C31E4">
        <w:rPr>
          <w:rStyle w:val="Hyperlink"/>
          <w:rFonts w:ascii="Arial" w:hAnsi="Arial" w:cs="Arial"/>
          <w:b/>
          <w:bCs/>
          <w:sz w:val="20"/>
          <w:u w:val="none"/>
        </w:rPr>
        <w:t>Recording of proceedings in the Children’s Court</w:t>
      </w:r>
    </w:p>
    <w:p w14:paraId="6262CF45" w14:textId="004ABF9A" w:rsidR="00277B85" w:rsidRPr="00A21C16" w:rsidRDefault="007C31E4" w:rsidP="007C31E4">
      <w:pPr>
        <w:pBdr>
          <w:top w:val="single" w:sz="4" w:space="1" w:color="auto"/>
          <w:left w:val="single" w:sz="4" w:space="4" w:color="auto"/>
          <w:bottom w:val="single" w:sz="4" w:space="1" w:color="auto"/>
          <w:right w:val="single" w:sz="4" w:space="4" w:color="auto"/>
        </w:pBdr>
        <w:spacing w:before="100"/>
        <w:rPr>
          <w:rFonts w:ascii="Arial" w:hAnsi="Arial" w:cs="Arial"/>
          <w:b/>
          <w:bCs/>
        </w:rPr>
      </w:pPr>
      <w:r w:rsidRPr="00D000AA">
        <w:rPr>
          <w:rFonts w:ascii="Arial" w:hAnsi="Arial" w:cs="Arial"/>
          <w:b/>
          <w:bCs/>
          <w:color w:val="000000"/>
          <w:sz w:val="20"/>
        </w:rPr>
        <w:fldChar w:fldCharType="end"/>
      </w:r>
      <w:hyperlink w:anchor="_2.8_Restriction_on" w:history="1">
        <w:r w:rsidR="00277B85" w:rsidRPr="00A21C16">
          <w:rPr>
            <w:rStyle w:val="Hyperlink"/>
            <w:rFonts w:ascii="Arial" w:hAnsi="Arial" w:cs="Arial"/>
            <w:b/>
            <w:bCs/>
            <w:u w:val="none"/>
          </w:rPr>
          <w:t>2.8</w:t>
        </w:r>
        <w:r w:rsidR="00277B85" w:rsidRPr="00A21C16">
          <w:rPr>
            <w:rStyle w:val="Hyperlink"/>
            <w:rFonts w:ascii="Arial" w:hAnsi="Arial" w:cs="Arial"/>
            <w:b/>
            <w:bCs/>
            <w:u w:val="none"/>
          </w:rPr>
          <w:tab/>
          <w:t>Restriction on publication of proceedings</w:t>
        </w:r>
      </w:hyperlink>
    </w:p>
    <w:p w14:paraId="03B67DFC" w14:textId="77777777" w:rsidR="00AF349B" w:rsidRPr="00A21C16" w:rsidRDefault="00000000" w:rsidP="00AF349B">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8.1_Statutory_prohibition" w:history="1">
        <w:r w:rsidR="00AF349B" w:rsidRPr="00A21C16">
          <w:rPr>
            <w:rStyle w:val="Hyperlink"/>
            <w:rFonts w:ascii="Arial" w:hAnsi="Arial" w:cs="Arial"/>
            <w:b/>
            <w:bCs/>
            <w:sz w:val="20"/>
            <w:u w:val="none"/>
          </w:rPr>
          <w:tab/>
          <w:t>2.8.1</w:t>
        </w:r>
        <w:r w:rsidR="00AF349B" w:rsidRPr="00A21C16">
          <w:rPr>
            <w:rStyle w:val="Hyperlink"/>
            <w:rFonts w:ascii="Arial" w:hAnsi="Arial" w:cs="Arial"/>
            <w:b/>
            <w:bCs/>
            <w:sz w:val="20"/>
            <w:u w:val="none"/>
          </w:rPr>
          <w:tab/>
        </w:r>
        <w:r w:rsidR="00F42304" w:rsidRPr="00A21C16">
          <w:rPr>
            <w:rStyle w:val="Hyperlink"/>
            <w:rFonts w:ascii="Arial" w:hAnsi="Arial" w:cs="Arial"/>
            <w:b/>
            <w:bCs/>
            <w:sz w:val="20"/>
            <w:u w:val="none"/>
          </w:rPr>
          <w:t>Statutory prohibition</w:t>
        </w:r>
        <w:r w:rsidR="00AF349B" w:rsidRPr="00A21C16">
          <w:rPr>
            <w:rStyle w:val="Hyperlink"/>
            <w:rFonts w:ascii="Arial" w:hAnsi="Arial" w:cs="Arial"/>
            <w:b/>
            <w:bCs/>
            <w:sz w:val="20"/>
            <w:u w:val="none"/>
          </w:rPr>
          <w:t xml:space="preserve"> on publication of identifying particulars</w:t>
        </w:r>
        <w:r w:rsidR="002D4F6F" w:rsidRPr="00A21C16">
          <w:rPr>
            <w:rStyle w:val="Hyperlink"/>
            <w:rFonts w:ascii="Arial" w:hAnsi="Arial" w:cs="Arial"/>
            <w:b/>
            <w:bCs/>
            <w:sz w:val="20"/>
            <w:u w:val="none"/>
          </w:rPr>
          <w:t>–s.534 of the CYFA</w:t>
        </w:r>
      </w:hyperlink>
    </w:p>
    <w:p w14:paraId="0B0BDFF4" w14:textId="7570B7A2" w:rsidR="00AF349B" w:rsidRPr="00A433FD" w:rsidRDefault="00A433FD" w:rsidP="00AF349B">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Pr>
          <w:rFonts w:ascii="Arial" w:hAnsi="Arial" w:cs="Arial"/>
          <w:b/>
          <w:bCs/>
          <w:sz w:val="20"/>
        </w:rPr>
        <w:fldChar w:fldCharType="begin"/>
      </w:r>
      <w:r>
        <w:rPr>
          <w:rFonts w:ascii="Arial" w:hAnsi="Arial" w:cs="Arial"/>
          <w:b/>
          <w:bCs/>
          <w:sz w:val="20"/>
        </w:rPr>
        <w:instrText>HYPERLINK  \l "_2.8.2_Suppression_orders"</w:instrText>
      </w:r>
      <w:r>
        <w:rPr>
          <w:rFonts w:ascii="Arial" w:hAnsi="Arial" w:cs="Arial"/>
          <w:b/>
          <w:bCs/>
          <w:sz w:val="20"/>
        </w:rPr>
      </w:r>
      <w:r>
        <w:rPr>
          <w:rFonts w:ascii="Arial" w:hAnsi="Arial" w:cs="Arial"/>
          <w:b/>
          <w:bCs/>
          <w:sz w:val="20"/>
        </w:rPr>
        <w:fldChar w:fldCharType="separate"/>
      </w:r>
      <w:r w:rsidR="00AF349B" w:rsidRPr="00A433FD">
        <w:rPr>
          <w:rStyle w:val="Hyperlink"/>
          <w:rFonts w:ascii="Arial" w:hAnsi="Arial" w:cs="Arial"/>
          <w:b/>
          <w:bCs/>
          <w:sz w:val="20"/>
          <w:u w:val="none"/>
        </w:rPr>
        <w:tab/>
        <w:t>2.8.2</w:t>
      </w:r>
      <w:r w:rsidR="00AF349B" w:rsidRPr="00A433FD">
        <w:rPr>
          <w:rStyle w:val="Hyperlink"/>
          <w:rFonts w:ascii="Arial" w:hAnsi="Arial" w:cs="Arial"/>
          <w:b/>
          <w:bCs/>
          <w:sz w:val="20"/>
          <w:u w:val="none"/>
        </w:rPr>
        <w:tab/>
      </w:r>
      <w:r w:rsidR="00F42304" w:rsidRPr="00A433FD">
        <w:rPr>
          <w:rStyle w:val="Hyperlink"/>
          <w:rFonts w:ascii="Arial" w:hAnsi="Arial" w:cs="Arial"/>
          <w:b/>
          <w:bCs/>
          <w:sz w:val="20"/>
          <w:u w:val="none"/>
        </w:rPr>
        <w:t>Suppression</w:t>
      </w:r>
      <w:r w:rsidR="006B7966" w:rsidRPr="00A433FD">
        <w:rPr>
          <w:rStyle w:val="Hyperlink"/>
          <w:rFonts w:ascii="Arial" w:hAnsi="Arial" w:cs="Arial"/>
          <w:b/>
          <w:bCs/>
          <w:sz w:val="20"/>
          <w:u w:val="none"/>
        </w:rPr>
        <w:t xml:space="preserve"> orders</w:t>
      </w:r>
    </w:p>
    <w:p w14:paraId="6D6338E8" w14:textId="20B8DC6D" w:rsidR="00692D54" w:rsidRPr="00C76FAC" w:rsidRDefault="00A433FD" w:rsidP="00E41D05">
      <w:pPr>
        <w:pBdr>
          <w:top w:val="single" w:sz="4" w:space="1" w:color="auto"/>
          <w:left w:val="single" w:sz="4" w:space="4" w:color="auto"/>
          <w:bottom w:val="single" w:sz="4" w:space="1" w:color="auto"/>
          <w:right w:val="single" w:sz="4" w:space="4" w:color="auto"/>
        </w:pBdr>
        <w:rPr>
          <w:rFonts w:ascii="Arial" w:hAnsi="Arial" w:cs="Arial"/>
          <w:b/>
          <w:bCs/>
          <w:sz w:val="20"/>
          <w:szCs w:val="20"/>
        </w:rPr>
      </w:pPr>
      <w:r>
        <w:rPr>
          <w:rFonts w:ascii="Arial" w:hAnsi="Arial" w:cs="Arial"/>
          <w:b/>
          <w:bCs/>
          <w:sz w:val="20"/>
        </w:rPr>
        <w:fldChar w:fldCharType="end"/>
      </w:r>
      <w:r w:rsidR="00692D54" w:rsidRPr="00C76FAC">
        <w:rPr>
          <w:rFonts w:ascii="Arial" w:hAnsi="Arial" w:cs="Arial"/>
          <w:b/>
          <w:bCs/>
          <w:sz w:val="20"/>
          <w:szCs w:val="20"/>
        </w:rPr>
        <w:tab/>
      </w:r>
      <w:hyperlink w:anchor="_2.8.3_‘Take-down’_orders" w:history="1">
        <w:r w:rsidR="00692D54" w:rsidRPr="00C76FAC">
          <w:rPr>
            <w:rStyle w:val="Hyperlink"/>
            <w:rFonts w:ascii="Arial" w:hAnsi="Arial" w:cs="Arial"/>
            <w:b/>
            <w:bCs/>
            <w:sz w:val="20"/>
            <w:szCs w:val="20"/>
            <w:u w:val="none"/>
          </w:rPr>
          <w:t>2.8.3</w:t>
        </w:r>
        <w:r w:rsidR="00692D54" w:rsidRPr="00C76FAC">
          <w:rPr>
            <w:rStyle w:val="Hyperlink"/>
            <w:rFonts w:ascii="Arial" w:hAnsi="Arial" w:cs="Arial"/>
            <w:b/>
            <w:bCs/>
            <w:sz w:val="20"/>
            <w:szCs w:val="20"/>
            <w:u w:val="none"/>
          </w:rPr>
          <w:tab/>
          <w:t>‘Take down’ orders</w:t>
        </w:r>
      </w:hyperlink>
    </w:p>
    <w:p w14:paraId="47AD62B3" w14:textId="2695C70B" w:rsidR="00BF3DE5" w:rsidRPr="003F02FB" w:rsidRDefault="00BF3DE5" w:rsidP="00E41D05">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3F02FB">
        <w:rPr>
          <w:rFonts w:ascii="Arial" w:hAnsi="Arial" w:cs="Arial"/>
          <w:b/>
          <w:bCs/>
          <w:sz w:val="20"/>
          <w:szCs w:val="20"/>
        </w:rPr>
        <w:tab/>
      </w:r>
      <w:hyperlink w:anchor="_2.8.4_Relationship_between" w:history="1">
        <w:r w:rsidR="003F02FB" w:rsidRPr="003F02FB">
          <w:rPr>
            <w:rStyle w:val="Hyperlink"/>
            <w:rFonts w:ascii="Arial" w:hAnsi="Arial" w:cs="Arial"/>
            <w:b/>
            <w:bCs/>
            <w:sz w:val="20"/>
            <w:szCs w:val="20"/>
            <w:u w:val="none"/>
          </w:rPr>
          <w:t>2.8.</w:t>
        </w:r>
        <w:r w:rsidR="00692D54">
          <w:rPr>
            <w:rStyle w:val="Hyperlink"/>
            <w:rFonts w:ascii="Arial" w:hAnsi="Arial" w:cs="Arial"/>
            <w:b/>
            <w:bCs/>
            <w:sz w:val="20"/>
            <w:szCs w:val="20"/>
            <w:u w:val="none"/>
          </w:rPr>
          <w:t>4</w:t>
        </w:r>
        <w:r w:rsidR="003F02FB" w:rsidRPr="003F02FB">
          <w:rPr>
            <w:rStyle w:val="Hyperlink"/>
            <w:rFonts w:ascii="Arial" w:hAnsi="Arial" w:cs="Arial"/>
            <w:b/>
            <w:bCs/>
            <w:sz w:val="20"/>
            <w:szCs w:val="20"/>
            <w:u w:val="none"/>
          </w:rPr>
          <w:tab/>
        </w:r>
        <w:r w:rsidR="003F02FB">
          <w:rPr>
            <w:rStyle w:val="Hyperlink"/>
            <w:rFonts w:ascii="Arial" w:hAnsi="Arial" w:cs="Arial"/>
            <w:b/>
            <w:bCs/>
            <w:sz w:val="20"/>
            <w:u w:val="none"/>
          </w:rPr>
          <w:t>R</w:t>
        </w:r>
        <w:r w:rsidR="003F02FB" w:rsidRPr="003F02FB">
          <w:rPr>
            <w:rStyle w:val="Hyperlink"/>
            <w:rFonts w:ascii="Arial" w:hAnsi="Arial" w:cs="Arial"/>
            <w:b/>
            <w:bCs/>
            <w:sz w:val="20"/>
            <w:u w:val="none"/>
          </w:rPr>
          <w:t>elationship between s.534 CYFA and the Open Courts Act 2013</w:t>
        </w:r>
      </w:hyperlink>
    </w:p>
    <w:p w14:paraId="619B37FB" w14:textId="69C075D1" w:rsidR="00E41D05" w:rsidRPr="00A21C16" w:rsidRDefault="00000000" w:rsidP="00E41D05">
      <w:pPr>
        <w:pBdr>
          <w:top w:val="single" w:sz="4" w:space="1" w:color="auto"/>
          <w:left w:val="single" w:sz="4" w:space="4" w:color="auto"/>
          <w:bottom w:val="single" w:sz="4" w:space="1" w:color="auto"/>
          <w:right w:val="single" w:sz="4" w:space="4" w:color="auto"/>
        </w:pBdr>
        <w:rPr>
          <w:rFonts w:ascii="Arial" w:hAnsi="Arial" w:cs="Arial"/>
          <w:b/>
          <w:bCs/>
          <w:sz w:val="20"/>
        </w:rPr>
      </w:pPr>
      <w:hyperlink w:anchor="_2.8.3_Section_10(5)" w:history="1">
        <w:r w:rsidR="00E41D05" w:rsidRPr="00A21C16">
          <w:rPr>
            <w:rStyle w:val="Hyperlink"/>
            <w:rFonts w:ascii="Arial" w:hAnsi="Arial" w:cs="Arial"/>
            <w:b/>
            <w:bCs/>
            <w:sz w:val="20"/>
            <w:u w:val="none"/>
          </w:rPr>
          <w:tab/>
          <w:t>2.8.</w:t>
        </w:r>
        <w:r w:rsidR="00692D54">
          <w:rPr>
            <w:rStyle w:val="Hyperlink"/>
            <w:rFonts w:ascii="Arial" w:hAnsi="Arial" w:cs="Arial"/>
            <w:b/>
            <w:bCs/>
            <w:sz w:val="20"/>
            <w:u w:val="none"/>
          </w:rPr>
          <w:t>5</w:t>
        </w:r>
        <w:r w:rsidR="00E41D05" w:rsidRPr="00A21C16">
          <w:rPr>
            <w:rStyle w:val="Hyperlink"/>
            <w:rFonts w:ascii="Arial" w:hAnsi="Arial" w:cs="Arial"/>
            <w:b/>
            <w:bCs/>
            <w:sz w:val="20"/>
            <w:u w:val="none"/>
          </w:rPr>
          <w:tab/>
          <w:t>Section 10(5</w:t>
        </w:r>
        <w:r w:rsidR="00173CFF" w:rsidRPr="00A21C16">
          <w:rPr>
            <w:rStyle w:val="Hyperlink"/>
            <w:rFonts w:ascii="Arial" w:hAnsi="Arial" w:cs="Arial"/>
            <w:b/>
            <w:bCs/>
            <w:sz w:val="20"/>
            <w:u w:val="none"/>
          </w:rPr>
          <w:t xml:space="preserve">) of the </w:t>
        </w:r>
        <w:r w:rsidR="00173CFF" w:rsidRPr="00541057">
          <w:rPr>
            <w:rStyle w:val="Hyperlink"/>
            <w:rFonts w:ascii="Arial" w:hAnsi="Arial" w:cs="Arial"/>
            <w:b/>
            <w:bCs/>
            <w:sz w:val="20"/>
            <w:u w:val="none"/>
          </w:rPr>
          <w:t>Witness Protection Act</w:t>
        </w:r>
      </w:hyperlink>
    </w:p>
    <w:p w14:paraId="1ABF75B2" w14:textId="77777777" w:rsidR="00277B85" w:rsidRPr="00A21C16" w:rsidRDefault="00000000"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9_Bail_justices" w:history="1">
        <w:r w:rsidR="00277B85" w:rsidRPr="00A21C16">
          <w:rPr>
            <w:rStyle w:val="Hyperlink"/>
            <w:rFonts w:ascii="Arial" w:hAnsi="Arial" w:cs="Arial"/>
            <w:b/>
            <w:bCs/>
            <w:u w:val="none"/>
          </w:rPr>
          <w:t>2.9</w:t>
        </w:r>
        <w:r w:rsidR="00277B85" w:rsidRPr="00A21C16">
          <w:rPr>
            <w:rStyle w:val="Hyperlink"/>
            <w:rFonts w:ascii="Arial" w:hAnsi="Arial" w:cs="Arial"/>
            <w:b/>
            <w:bCs/>
            <w:u w:val="none"/>
          </w:rPr>
          <w:tab/>
          <w:t>Bail justices</w:t>
        </w:r>
      </w:hyperlink>
    </w:p>
    <w:p w14:paraId="3E12FB84" w14:textId="77777777" w:rsidR="00277B85" w:rsidRPr="00A21C16" w:rsidRDefault="00000000"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10_Court_services" w:history="1">
        <w:r w:rsidR="00277B85" w:rsidRPr="00A21C16">
          <w:rPr>
            <w:rStyle w:val="Hyperlink"/>
            <w:rFonts w:ascii="Arial" w:hAnsi="Arial" w:cs="Arial"/>
            <w:b/>
            <w:bCs/>
            <w:u w:val="none"/>
          </w:rPr>
          <w:t>2.10</w:t>
        </w:r>
        <w:r w:rsidR="00277B85" w:rsidRPr="00A21C16">
          <w:rPr>
            <w:rStyle w:val="Hyperlink"/>
            <w:rFonts w:ascii="Arial" w:hAnsi="Arial" w:cs="Arial"/>
            <w:b/>
            <w:bCs/>
            <w:u w:val="none"/>
          </w:rPr>
          <w:tab/>
          <w:t>Court services</w:t>
        </w:r>
      </w:hyperlink>
    </w:p>
    <w:p w14:paraId="7947C639" w14:textId="77777777" w:rsidR="00277B85" w:rsidRPr="00A21C16" w:rsidRDefault="00000000" w:rsidP="00AF349B">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10.1_Youth_Justice" w:history="1">
        <w:r w:rsidR="00277B85" w:rsidRPr="00A21C16">
          <w:rPr>
            <w:rStyle w:val="Hyperlink"/>
            <w:rFonts w:ascii="Arial" w:hAnsi="Arial" w:cs="Arial"/>
            <w:b/>
            <w:bCs/>
            <w:sz w:val="20"/>
            <w:u w:val="none"/>
          </w:rPr>
          <w:tab/>
          <w:t>2.10.1</w:t>
        </w:r>
        <w:r w:rsidR="00277B85" w:rsidRPr="00A21C16">
          <w:rPr>
            <w:rStyle w:val="Hyperlink"/>
            <w:rFonts w:ascii="Arial" w:hAnsi="Arial" w:cs="Arial"/>
            <w:b/>
            <w:bCs/>
            <w:sz w:val="20"/>
            <w:u w:val="none"/>
          </w:rPr>
          <w:tab/>
          <w:t>Juvenile Justice</w:t>
        </w:r>
      </w:hyperlink>
    </w:p>
    <w:p w14:paraId="518C7FA7" w14:textId="77777777" w:rsidR="00277B85" w:rsidRPr="00A21C16" w:rsidRDefault="00000000">
      <w:pPr>
        <w:pBdr>
          <w:top w:val="single" w:sz="4" w:space="1" w:color="auto"/>
          <w:left w:val="single" w:sz="4" w:space="4" w:color="auto"/>
          <w:bottom w:val="single" w:sz="4" w:space="1" w:color="auto"/>
          <w:right w:val="single" w:sz="4" w:space="4" w:color="auto"/>
        </w:pBdr>
        <w:rPr>
          <w:rFonts w:ascii="Arial" w:hAnsi="Arial" w:cs="Arial"/>
          <w:b/>
          <w:bCs/>
          <w:sz w:val="20"/>
        </w:rPr>
      </w:pPr>
      <w:hyperlink w:anchor="_2.10.2_Child_Witness" w:history="1">
        <w:r w:rsidR="00A34933" w:rsidRPr="00A21C16">
          <w:rPr>
            <w:rStyle w:val="Hyperlink"/>
            <w:rFonts w:ascii="Arial" w:hAnsi="Arial" w:cs="Arial"/>
            <w:b/>
            <w:bCs/>
            <w:sz w:val="20"/>
            <w:u w:val="none"/>
          </w:rPr>
          <w:tab/>
          <w:t>2.10.</w:t>
        </w:r>
        <w:r w:rsidR="00A34933">
          <w:rPr>
            <w:rStyle w:val="Hyperlink"/>
            <w:rFonts w:ascii="Arial" w:hAnsi="Arial" w:cs="Arial"/>
            <w:b/>
            <w:bCs/>
            <w:sz w:val="20"/>
            <w:u w:val="none"/>
          </w:rPr>
          <w:t>2</w:t>
        </w:r>
        <w:r w:rsidR="00A34933" w:rsidRPr="00A21C16">
          <w:rPr>
            <w:rStyle w:val="Hyperlink"/>
            <w:rFonts w:ascii="Arial" w:hAnsi="Arial" w:cs="Arial"/>
            <w:b/>
            <w:bCs/>
            <w:sz w:val="20"/>
            <w:u w:val="none"/>
          </w:rPr>
          <w:tab/>
          <w:t>Child Witness Service</w:t>
        </w:r>
      </w:hyperlink>
    </w:p>
    <w:p w14:paraId="160A08C1" w14:textId="77777777" w:rsidR="00277B85" w:rsidRPr="00A34933" w:rsidRDefault="00A3493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A34933">
        <w:rPr>
          <w:rFonts w:ascii="Arial" w:hAnsi="Arial" w:cs="Arial"/>
          <w:b/>
          <w:bCs/>
          <w:sz w:val="20"/>
        </w:rPr>
        <w:fldChar w:fldCharType="begin"/>
      </w:r>
      <w:r w:rsidRPr="00A34933">
        <w:rPr>
          <w:rFonts w:ascii="Arial" w:hAnsi="Arial" w:cs="Arial"/>
          <w:b/>
          <w:bCs/>
          <w:sz w:val="20"/>
        </w:rPr>
        <w:instrText xml:space="preserve"> HYPERLINK  \l "_2.10.3_Court_Network_1" </w:instrText>
      </w:r>
      <w:r w:rsidRPr="00A34933">
        <w:rPr>
          <w:rFonts w:ascii="Arial" w:hAnsi="Arial" w:cs="Arial"/>
          <w:b/>
          <w:bCs/>
          <w:sz w:val="20"/>
        </w:rPr>
      </w:r>
      <w:r w:rsidRPr="00A34933">
        <w:rPr>
          <w:rFonts w:ascii="Arial" w:hAnsi="Arial" w:cs="Arial"/>
          <w:b/>
          <w:bCs/>
          <w:sz w:val="20"/>
        </w:rPr>
        <w:fldChar w:fldCharType="separate"/>
      </w:r>
      <w:r w:rsidR="00277B85" w:rsidRPr="00A34933">
        <w:rPr>
          <w:rStyle w:val="Hyperlink"/>
          <w:rFonts w:ascii="Arial" w:hAnsi="Arial" w:cs="Arial"/>
          <w:b/>
          <w:bCs/>
          <w:sz w:val="20"/>
          <w:u w:val="none"/>
        </w:rPr>
        <w:tab/>
        <w:t>2.10.3</w:t>
      </w:r>
      <w:r w:rsidR="00277B85" w:rsidRPr="00A34933">
        <w:rPr>
          <w:rStyle w:val="Hyperlink"/>
          <w:rFonts w:ascii="Arial" w:hAnsi="Arial" w:cs="Arial"/>
          <w:b/>
          <w:bCs/>
          <w:sz w:val="20"/>
          <w:u w:val="none"/>
        </w:rPr>
        <w:tab/>
        <w:t>Court Network</w:t>
      </w:r>
    </w:p>
    <w:p w14:paraId="19FE9AD9" w14:textId="77777777" w:rsidR="00277B85" w:rsidRPr="00A21C16" w:rsidRDefault="00A34933">
      <w:pPr>
        <w:pBdr>
          <w:top w:val="single" w:sz="4" w:space="1" w:color="auto"/>
          <w:left w:val="single" w:sz="4" w:space="4" w:color="auto"/>
          <w:bottom w:val="single" w:sz="4" w:space="1" w:color="auto"/>
          <w:right w:val="single" w:sz="4" w:space="4" w:color="auto"/>
        </w:pBdr>
        <w:rPr>
          <w:rFonts w:ascii="Arial" w:hAnsi="Arial" w:cs="Arial"/>
          <w:b/>
          <w:bCs/>
          <w:sz w:val="20"/>
        </w:rPr>
      </w:pPr>
      <w:r w:rsidRPr="00A34933">
        <w:rPr>
          <w:rFonts w:ascii="Arial" w:hAnsi="Arial" w:cs="Arial"/>
          <w:b/>
          <w:bCs/>
          <w:sz w:val="20"/>
        </w:rPr>
        <w:fldChar w:fldCharType="end"/>
      </w:r>
      <w:hyperlink w:anchor="_2.10.4_Victoria_Legal" w:history="1">
        <w:r w:rsidR="00277B85" w:rsidRPr="00A21C16">
          <w:rPr>
            <w:rStyle w:val="Hyperlink"/>
            <w:rFonts w:ascii="Arial" w:hAnsi="Arial" w:cs="Arial"/>
            <w:b/>
            <w:bCs/>
            <w:sz w:val="20"/>
            <w:u w:val="none"/>
          </w:rPr>
          <w:tab/>
          <w:t>2.10.4</w:t>
        </w:r>
        <w:r w:rsidR="00277B85" w:rsidRPr="00A21C16">
          <w:rPr>
            <w:rStyle w:val="Hyperlink"/>
            <w:rFonts w:ascii="Arial" w:hAnsi="Arial" w:cs="Arial"/>
            <w:b/>
            <w:bCs/>
            <w:sz w:val="20"/>
            <w:u w:val="none"/>
          </w:rPr>
          <w:tab/>
          <w:t>Victoria Legal Aid</w:t>
        </w:r>
      </w:hyperlink>
    </w:p>
    <w:p w14:paraId="57873C4A" w14:textId="6B7B92B0" w:rsidR="00277B85" w:rsidRDefault="0000000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hyperlink w:anchor="_2.10.5_Interpreters" w:history="1">
        <w:r w:rsidR="00277B85" w:rsidRPr="00A21C16">
          <w:rPr>
            <w:rStyle w:val="Hyperlink"/>
            <w:rFonts w:ascii="Arial" w:hAnsi="Arial" w:cs="Arial"/>
            <w:b/>
            <w:bCs/>
            <w:sz w:val="20"/>
            <w:u w:val="none"/>
          </w:rPr>
          <w:tab/>
          <w:t>2.10.5</w:t>
        </w:r>
        <w:r w:rsidR="00277B85" w:rsidRPr="00A21C16">
          <w:rPr>
            <w:rStyle w:val="Hyperlink"/>
            <w:rFonts w:ascii="Arial" w:hAnsi="Arial" w:cs="Arial"/>
            <w:b/>
            <w:bCs/>
            <w:sz w:val="20"/>
            <w:u w:val="none"/>
          </w:rPr>
          <w:tab/>
          <w:t>Interpreters</w:t>
        </w:r>
      </w:hyperlink>
    </w:p>
    <w:p w14:paraId="5317C583" w14:textId="56FD6E0C" w:rsidR="00CE36B3" w:rsidRPr="008D75A3" w:rsidRDefault="00CE36B3">
      <w:pPr>
        <w:pBdr>
          <w:top w:val="single" w:sz="4" w:space="1" w:color="auto"/>
          <w:left w:val="single" w:sz="4" w:space="4" w:color="auto"/>
          <w:bottom w:val="single" w:sz="4" w:space="1" w:color="auto"/>
          <w:right w:val="single" w:sz="4" w:space="4" w:color="auto"/>
        </w:pBdr>
        <w:rPr>
          <w:rFonts w:ascii="Arial" w:hAnsi="Arial" w:cs="Arial"/>
          <w:b/>
          <w:bCs/>
          <w:sz w:val="20"/>
        </w:rPr>
      </w:pPr>
      <w:r w:rsidRPr="008D75A3">
        <w:rPr>
          <w:rStyle w:val="Hyperlink"/>
          <w:rFonts w:ascii="Arial" w:hAnsi="Arial" w:cs="Arial"/>
          <w:b/>
          <w:bCs/>
          <w:sz w:val="20"/>
          <w:u w:val="none"/>
        </w:rPr>
        <w:tab/>
      </w:r>
      <w:hyperlink w:anchor="_2.10.7_Mental_Health" w:history="1">
        <w:r w:rsidRPr="008D75A3">
          <w:rPr>
            <w:rStyle w:val="Hyperlink"/>
            <w:rFonts w:ascii="Arial" w:hAnsi="Arial" w:cs="Arial"/>
            <w:b/>
            <w:bCs/>
            <w:sz w:val="20"/>
            <w:u w:val="none"/>
          </w:rPr>
          <w:t>2.10.</w:t>
        </w:r>
        <w:r w:rsidR="006F0082">
          <w:rPr>
            <w:rStyle w:val="Hyperlink"/>
            <w:rFonts w:ascii="Arial" w:hAnsi="Arial" w:cs="Arial"/>
            <w:b/>
            <w:bCs/>
            <w:sz w:val="20"/>
            <w:u w:val="none"/>
          </w:rPr>
          <w:t>6</w:t>
        </w:r>
        <w:r w:rsidRPr="008D75A3">
          <w:rPr>
            <w:rStyle w:val="Hyperlink"/>
            <w:rFonts w:ascii="Arial" w:hAnsi="Arial" w:cs="Arial"/>
            <w:b/>
            <w:bCs/>
            <w:sz w:val="20"/>
            <w:u w:val="none"/>
          </w:rPr>
          <w:tab/>
          <w:t>Mental Health Advice and Response Service</w:t>
        </w:r>
      </w:hyperlink>
      <w:r w:rsidR="006F0082">
        <w:rPr>
          <w:rStyle w:val="Hyperlink"/>
          <w:rFonts w:ascii="Arial" w:hAnsi="Arial" w:cs="Arial"/>
          <w:b/>
          <w:bCs/>
          <w:sz w:val="20"/>
          <w:u w:val="none"/>
        </w:rPr>
        <w:t xml:space="preserve"> [MHARS]</w:t>
      </w:r>
    </w:p>
    <w:p w14:paraId="2A9F13B2" w14:textId="77777777" w:rsidR="006F0082" w:rsidRDefault="006F0082" w:rsidP="006F0082">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384A15">
        <w:rPr>
          <w:rStyle w:val="Hyperlink"/>
          <w:rFonts w:ascii="Arial" w:hAnsi="Arial" w:cs="Arial"/>
          <w:b/>
          <w:bCs/>
          <w:sz w:val="20"/>
          <w:u w:val="none"/>
        </w:rPr>
        <w:tab/>
      </w:r>
      <w:hyperlink w:anchor="_2.10.6_Education_Justice" w:history="1">
        <w:r w:rsidRPr="00384A15">
          <w:rPr>
            <w:rStyle w:val="Hyperlink"/>
            <w:rFonts w:ascii="Arial" w:hAnsi="Arial" w:cs="Arial"/>
            <w:b/>
            <w:bCs/>
            <w:sz w:val="20"/>
            <w:u w:val="none"/>
          </w:rPr>
          <w:t>2.10.</w:t>
        </w:r>
        <w:r>
          <w:rPr>
            <w:rStyle w:val="Hyperlink"/>
            <w:rFonts w:ascii="Arial" w:hAnsi="Arial" w:cs="Arial"/>
            <w:b/>
            <w:bCs/>
            <w:sz w:val="20"/>
            <w:u w:val="none"/>
          </w:rPr>
          <w:t>7</w:t>
        </w:r>
        <w:r w:rsidRPr="00384A15">
          <w:rPr>
            <w:rStyle w:val="Hyperlink"/>
            <w:rFonts w:ascii="Arial" w:hAnsi="Arial" w:cs="Arial"/>
            <w:b/>
            <w:bCs/>
            <w:sz w:val="20"/>
            <w:u w:val="none"/>
          </w:rPr>
          <w:tab/>
          <w:t>Education Justice Initiative</w:t>
        </w:r>
      </w:hyperlink>
    </w:p>
    <w:p w14:paraId="0B3CE7BF" w14:textId="38EF4680" w:rsidR="0006258E" w:rsidRDefault="0006258E" w:rsidP="0006258E">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384A15">
        <w:rPr>
          <w:rStyle w:val="Hyperlink"/>
          <w:rFonts w:ascii="Arial" w:hAnsi="Arial" w:cs="Arial"/>
          <w:b/>
          <w:bCs/>
          <w:sz w:val="20"/>
          <w:u w:val="none"/>
        </w:rPr>
        <w:tab/>
      </w:r>
      <w:hyperlink w:anchor="_2.10.6_Education_Justice" w:history="1">
        <w:r w:rsidRPr="00384A15">
          <w:rPr>
            <w:rStyle w:val="Hyperlink"/>
            <w:rFonts w:ascii="Arial" w:hAnsi="Arial" w:cs="Arial"/>
            <w:b/>
            <w:bCs/>
            <w:sz w:val="20"/>
            <w:u w:val="none"/>
          </w:rPr>
          <w:t>2.10.</w:t>
        </w:r>
        <w:r>
          <w:rPr>
            <w:rStyle w:val="Hyperlink"/>
            <w:rFonts w:ascii="Arial" w:hAnsi="Arial" w:cs="Arial"/>
            <w:b/>
            <w:bCs/>
            <w:sz w:val="20"/>
            <w:u w:val="none"/>
          </w:rPr>
          <w:t>8</w:t>
        </w:r>
        <w:r w:rsidRPr="00384A15">
          <w:rPr>
            <w:rStyle w:val="Hyperlink"/>
            <w:rFonts w:ascii="Arial" w:hAnsi="Arial" w:cs="Arial"/>
            <w:b/>
            <w:bCs/>
            <w:sz w:val="20"/>
            <w:u w:val="none"/>
          </w:rPr>
          <w:tab/>
        </w:r>
        <w:r>
          <w:rPr>
            <w:rStyle w:val="Hyperlink"/>
            <w:rFonts w:ascii="Arial" w:hAnsi="Arial" w:cs="Arial"/>
            <w:b/>
            <w:bCs/>
            <w:sz w:val="20"/>
            <w:u w:val="none"/>
          </w:rPr>
          <w:t>Court</w:t>
        </w:r>
      </w:hyperlink>
      <w:r>
        <w:rPr>
          <w:rStyle w:val="Hyperlink"/>
          <w:rFonts w:ascii="Arial" w:hAnsi="Arial" w:cs="Arial"/>
          <w:b/>
          <w:bCs/>
          <w:sz w:val="20"/>
          <w:u w:val="none"/>
        </w:rPr>
        <w:t xml:space="preserve"> Support Coordinators</w:t>
      </w:r>
    </w:p>
    <w:p w14:paraId="57255DA9" w14:textId="230D9510" w:rsidR="00277B85" w:rsidRPr="00A34933"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p>
    <w:p w14:paraId="4F86F7E2" w14:textId="77777777" w:rsidR="00277B85" w:rsidRDefault="00277B85">
      <w:pPr>
        <w:jc w:val="both"/>
        <w:rPr>
          <w:rFonts w:ascii="Arial" w:hAnsi="Arial" w:cs="Arial"/>
          <w:sz w:val="20"/>
        </w:rPr>
      </w:pPr>
    </w:p>
    <w:p w14:paraId="5EC09927" w14:textId="77777777" w:rsidR="00541057" w:rsidRPr="00792C10" w:rsidRDefault="00541057" w:rsidP="00541057">
      <w:pPr>
        <w:pStyle w:val="Heading2"/>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bookmarkStart w:id="108" w:name="_2.1_Establishment,_Vision"/>
      <w:bookmarkEnd w:id="108"/>
      <w:r w:rsidRPr="00792C10">
        <w:rPr>
          <w:rFonts w:ascii="Arial" w:hAnsi="Arial" w:cs="Arial"/>
          <w:b/>
          <w:bCs/>
          <w:color w:val="FFFFFF" w:themeColor="background1"/>
          <w:sz w:val="22"/>
          <w:szCs w:val="18"/>
        </w:rPr>
        <w:t>UNLESS INDICATED OTHERWISE, ALL LEGISLATION REFERRED TO IS VICTORIAN.</w:t>
      </w:r>
    </w:p>
    <w:p w14:paraId="1DC05373" w14:textId="77777777" w:rsidR="00541057" w:rsidRPr="000C6804" w:rsidRDefault="00541057" w:rsidP="00541057">
      <w:pPr>
        <w:rPr>
          <w:rFonts w:ascii="Arial" w:hAnsi="Arial" w:cs="Arial"/>
          <w:sz w:val="20"/>
        </w:rPr>
      </w:pPr>
    </w:p>
    <w:p w14:paraId="07E06AA1" w14:textId="3AEF4119" w:rsidR="00277B85" w:rsidRDefault="00277B85">
      <w:pPr>
        <w:pStyle w:val="Heading2"/>
        <w:tabs>
          <w:tab w:val="left" w:pos="567"/>
        </w:tabs>
        <w:spacing w:line="240" w:lineRule="auto"/>
        <w:rPr>
          <w:rFonts w:ascii="Arial" w:hAnsi="Arial" w:cs="Arial"/>
          <w:b/>
          <w:bCs/>
        </w:rPr>
      </w:pPr>
      <w:r>
        <w:rPr>
          <w:rFonts w:ascii="Arial" w:hAnsi="Arial" w:cs="Arial"/>
          <w:b/>
          <w:bCs/>
        </w:rPr>
        <w:t>2.1</w:t>
      </w:r>
      <w:r>
        <w:rPr>
          <w:rFonts w:ascii="Arial" w:hAnsi="Arial" w:cs="Arial"/>
          <w:b/>
          <w:bCs/>
        </w:rPr>
        <w:tab/>
        <w:t>Establishment</w:t>
      </w:r>
      <w:bookmarkEnd w:id="54"/>
      <w:bookmarkEnd w:id="55"/>
      <w:bookmarkEnd w:id="56"/>
      <w:bookmarkEnd w:id="57"/>
      <w:bookmarkEnd w:id="58"/>
      <w:r>
        <w:rPr>
          <w:rFonts w:ascii="Arial" w:hAnsi="Arial" w:cs="Arial"/>
          <w:b/>
          <w:bCs/>
        </w:rPr>
        <w:t xml:space="preserve">, </w:t>
      </w:r>
      <w:r w:rsidR="005B73F4">
        <w:rPr>
          <w:rFonts w:ascii="Arial" w:hAnsi="Arial" w:cs="Arial"/>
          <w:b/>
          <w:bCs/>
        </w:rPr>
        <w:t>Role, Strategic Priorities</w:t>
      </w:r>
      <w:r>
        <w:rPr>
          <w:rFonts w:ascii="Arial" w:hAnsi="Arial" w:cs="Arial"/>
          <w:b/>
          <w:bCs/>
        </w:rPr>
        <w:t xml:space="preserve"> &amp; Purpose</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7674794" w14:textId="77777777" w:rsidR="00277B85" w:rsidRDefault="00277B85">
      <w:pPr>
        <w:jc w:val="both"/>
        <w:rPr>
          <w:rFonts w:ascii="Arial" w:hAnsi="Arial" w:cs="Arial"/>
          <w:sz w:val="20"/>
        </w:rPr>
      </w:pPr>
    </w:p>
    <w:p w14:paraId="6031CF3B" w14:textId="62D55823" w:rsidR="00277B85" w:rsidRDefault="00277B85">
      <w:pPr>
        <w:jc w:val="both"/>
        <w:rPr>
          <w:rFonts w:ascii="Arial" w:hAnsi="Arial" w:cs="Arial"/>
          <w:sz w:val="20"/>
        </w:rPr>
      </w:pPr>
      <w:r>
        <w:rPr>
          <w:rFonts w:ascii="Arial" w:hAnsi="Arial" w:cs="Arial"/>
          <w:sz w:val="20"/>
        </w:rPr>
        <w:t>The Children's C</w:t>
      </w:r>
      <w:r w:rsidR="004F4C22">
        <w:rPr>
          <w:rFonts w:ascii="Arial" w:hAnsi="Arial" w:cs="Arial"/>
          <w:sz w:val="20"/>
        </w:rPr>
        <w:t>ourt of Victoria ['the Court'] wa</w:t>
      </w:r>
      <w:r>
        <w:rPr>
          <w:rFonts w:ascii="Arial" w:hAnsi="Arial" w:cs="Arial"/>
          <w:sz w:val="20"/>
        </w:rPr>
        <w:t>s</w:t>
      </w:r>
      <w:r w:rsidR="00FC57C8">
        <w:rPr>
          <w:rFonts w:ascii="Arial" w:hAnsi="Arial" w:cs="Arial"/>
          <w:sz w:val="20"/>
        </w:rPr>
        <w:t xml:space="preserve"> most recently</w:t>
      </w:r>
      <w:r>
        <w:rPr>
          <w:rFonts w:ascii="Arial" w:hAnsi="Arial" w:cs="Arial"/>
          <w:sz w:val="20"/>
        </w:rPr>
        <w:t xml:space="preserve"> </w:t>
      </w:r>
      <w:r w:rsidRPr="005272DF">
        <w:rPr>
          <w:rFonts w:ascii="Arial" w:hAnsi="Arial" w:cs="Arial"/>
          <w:b/>
          <w:bCs/>
          <w:sz w:val="20"/>
        </w:rPr>
        <w:t>established</w:t>
      </w:r>
      <w:r>
        <w:rPr>
          <w:rFonts w:ascii="Arial" w:hAnsi="Arial" w:cs="Arial"/>
          <w:sz w:val="20"/>
        </w:rPr>
        <w:t xml:space="preserve"> by s.8(1) of the </w:t>
      </w:r>
      <w:r w:rsidRPr="00F66CA4">
        <w:rPr>
          <w:rFonts w:ascii="Arial" w:hAnsi="Arial" w:cs="Arial"/>
          <w:i/>
          <w:color w:val="000000"/>
          <w:sz w:val="20"/>
        </w:rPr>
        <w:t xml:space="preserve">Children and Young Persons Act 1989 </w:t>
      </w:r>
      <w:r w:rsidR="004F4C22">
        <w:rPr>
          <w:rFonts w:ascii="Arial" w:hAnsi="Arial" w:cs="Arial"/>
          <w:color w:val="000000"/>
          <w:sz w:val="20"/>
        </w:rPr>
        <w:t>(</w:t>
      </w:r>
      <w:r>
        <w:rPr>
          <w:rFonts w:ascii="Arial" w:hAnsi="Arial" w:cs="Arial"/>
          <w:color w:val="000000"/>
          <w:sz w:val="20"/>
        </w:rPr>
        <w:t>No.56/1989</w:t>
      </w:r>
      <w:r w:rsidR="004F4C22">
        <w:rPr>
          <w:rFonts w:ascii="Arial" w:hAnsi="Arial" w:cs="Arial"/>
          <w:color w:val="000000"/>
          <w:sz w:val="20"/>
        </w:rPr>
        <w:t>)</w:t>
      </w:r>
      <w:r>
        <w:rPr>
          <w:rFonts w:ascii="Arial" w:hAnsi="Arial" w:cs="Arial"/>
          <w:color w:val="000000"/>
          <w:sz w:val="20"/>
        </w:rPr>
        <w:t xml:space="preserve"> </w:t>
      </w:r>
      <w:r w:rsidR="004F4C22">
        <w:rPr>
          <w:rFonts w:ascii="Arial" w:hAnsi="Arial" w:cs="Arial"/>
          <w:color w:val="000000"/>
          <w:sz w:val="20"/>
        </w:rPr>
        <w:t>[</w:t>
      </w:r>
      <w:r>
        <w:rPr>
          <w:rFonts w:ascii="Arial" w:hAnsi="Arial" w:cs="Arial"/>
          <w:color w:val="000000"/>
          <w:sz w:val="20"/>
        </w:rPr>
        <w:t>'CYPA'</w:t>
      </w:r>
      <w:r w:rsidR="004F4C22">
        <w:rPr>
          <w:rFonts w:ascii="Arial" w:hAnsi="Arial" w:cs="Arial"/>
          <w:color w:val="000000"/>
          <w:sz w:val="20"/>
        </w:rPr>
        <w:t xml:space="preserve">] and is continued in operation by s.504(1) of the </w:t>
      </w:r>
      <w:r w:rsidR="004F4C22" w:rsidRPr="00F66CA4">
        <w:rPr>
          <w:rFonts w:ascii="Arial" w:hAnsi="Arial" w:cs="Arial"/>
          <w:i/>
          <w:iCs/>
          <w:color w:val="000000"/>
          <w:sz w:val="20"/>
        </w:rPr>
        <w:t>Children, Youth and Families Act 2005</w:t>
      </w:r>
      <w:r w:rsidR="004F4C22">
        <w:rPr>
          <w:rFonts w:ascii="Arial" w:hAnsi="Arial" w:cs="Arial"/>
          <w:color w:val="000000"/>
          <w:sz w:val="20"/>
        </w:rPr>
        <w:t xml:space="preserve"> (No.96/2005) [‘CYFA’].</w:t>
      </w:r>
    </w:p>
    <w:p w14:paraId="71E7FBCC" w14:textId="77777777" w:rsidR="00277B85" w:rsidRDefault="00277B85">
      <w:pPr>
        <w:rPr>
          <w:rFonts w:ascii="Arial" w:hAnsi="Arial" w:cs="Arial"/>
          <w:sz w:val="20"/>
        </w:rPr>
      </w:pPr>
    </w:p>
    <w:p w14:paraId="6BB3BA7E" w14:textId="0C272867" w:rsidR="00277B85" w:rsidRDefault="002F79AC">
      <w:pPr>
        <w:jc w:val="both"/>
        <w:rPr>
          <w:rFonts w:ascii="Arial" w:hAnsi="Arial" w:cs="Arial"/>
          <w:sz w:val="20"/>
        </w:rPr>
      </w:pPr>
      <w:r>
        <w:rPr>
          <w:rFonts w:ascii="Arial" w:hAnsi="Arial" w:cs="Arial"/>
          <w:sz w:val="20"/>
        </w:rPr>
        <w:t>The Court’s</w:t>
      </w:r>
      <w:r w:rsidR="00277B85">
        <w:rPr>
          <w:rFonts w:ascii="Arial" w:hAnsi="Arial" w:cs="Arial"/>
          <w:sz w:val="20"/>
        </w:rPr>
        <w:t xml:space="preserve"> </w:t>
      </w:r>
      <w:r w:rsidR="005B73F4" w:rsidRPr="005272DF">
        <w:rPr>
          <w:rFonts w:ascii="Arial" w:hAnsi="Arial" w:cs="Arial"/>
          <w:b/>
          <w:bCs/>
          <w:sz w:val="20"/>
        </w:rPr>
        <w:t>v</w:t>
      </w:r>
      <w:r w:rsidR="00277B85" w:rsidRPr="005272DF">
        <w:rPr>
          <w:rFonts w:ascii="Arial" w:hAnsi="Arial" w:cs="Arial"/>
          <w:b/>
          <w:bCs/>
          <w:sz w:val="20"/>
        </w:rPr>
        <w:t>ision</w:t>
      </w:r>
      <w:r w:rsidR="00277B85">
        <w:rPr>
          <w:rFonts w:ascii="Arial" w:hAnsi="Arial" w:cs="Arial"/>
          <w:sz w:val="20"/>
        </w:rPr>
        <w:t xml:space="preserve"> is: "</w:t>
      </w:r>
      <w:r w:rsidR="005B73F4">
        <w:rPr>
          <w:rFonts w:ascii="Arial" w:hAnsi="Arial" w:cs="Arial"/>
          <w:sz w:val="20"/>
        </w:rPr>
        <w:t>Consistent access for all Victorians to a dedicated, specialist Children’s Court where cases involving children and young people are heard in safe and culturally appropriate environments</w:t>
      </w:r>
      <w:r w:rsidR="00277B85">
        <w:rPr>
          <w:rFonts w:ascii="Arial" w:hAnsi="Arial" w:cs="Arial"/>
          <w:sz w:val="20"/>
        </w:rPr>
        <w:t>."</w:t>
      </w:r>
    </w:p>
    <w:p w14:paraId="69065780" w14:textId="3AB4A8D5" w:rsidR="00277B85" w:rsidRDefault="00277B85">
      <w:pPr>
        <w:jc w:val="both"/>
        <w:rPr>
          <w:rFonts w:ascii="Arial" w:hAnsi="Arial" w:cs="Arial"/>
          <w:sz w:val="20"/>
        </w:rPr>
      </w:pPr>
    </w:p>
    <w:p w14:paraId="3FBDBA7C" w14:textId="768D7924" w:rsidR="005B73F4" w:rsidRDefault="005B73F4">
      <w:pPr>
        <w:jc w:val="both"/>
        <w:rPr>
          <w:rFonts w:ascii="Arial" w:hAnsi="Arial" w:cs="Arial"/>
          <w:sz w:val="20"/>
        </w:rPr>
      </w:pPr>
      <w:r>
        <w:rPr>
          <w:rFonts w:ascii="Arial" w:hAnsi="Arial" w:cs="Arial"/>
          <w:sz w:val="20"/>
        </w:rPr>
        <w:t xml:space="preserve">Its </w:t>
      </w:r>
      <w:r w:rsidRPr="005272DF">
        <w:rPr>
          <w:rFonts w:ascii="Arial" w:hAnsi="Arial" w:cs="Arial"/>
          <w:b/>
          <w:bCs/>
          <w:sz w:val="20"/>
        </w:rPr>
        <w:t>role</w:t>
      </w:r>
      <w:r>
        <w:rPr>
          <w:rFonts w:ascii="Arial" w:hAnsi="Arial" w:cs="Arial"/>
          <w:sz w:val="20"/>
        </w:rPr>
        <w:t xml:space="preserve"> is described as follows: “The Children’s Court expertly and fairly applies the law in cases involving children and young people.  We work closely with youth justice, legal services, child protection and other community-based services to provide a multi-disciplinary court response to address </w:t>
      </w:r>
      <w:r w:rsidR="005272DF">
        <w:rPr>
          <w:rFonts w:ascii="Arial" w:hAnsi="Arial" w:cs="Arial"/>
          <w:sz w:val="20"/>
        </w:rPr>
        <w:t xml:space="preserve">the best </w:t>
      </w:r>
      <w:r w:rsidR="005272DF">
        <w:rPr>
          <w:rFonts w:ascii="Arial" w:hAnsi="Arial" w:cs="Arial"/>
          <w:sz w:val="20"/>
        </w:rPr>
        <w:lastRenderedPageBreak/>
        <w:t>interests of children in need of protection.  We promote the accountability and rehabilitation of young offenders and, in doing so, improve community safety.”</w:t>
      </w:r>
    </w:p>
    <w:p w14:paraId="06619D2E" w14:textId="2C6D55F0" w:rsidR="005B73F4" w:rsidRDefault="005B73F4">
      <w:pPr>
        <w:jc w:val="both"/>
        <w:rPr>
          <w:rFonts w:ascii="Arial" w:hAnsi="Arial" w:cs="Arial"/>
          <w:sz w:val="20"/>
        </w:rPr>
      </w:pPr>
    </w:p>
    <w:p w14:paraId="79869567" w14:textId="2E8194C9" w:rsidR="005272DF" w:rsidRDefault="005272DF">
      <w:pPr>
        <w:jc w:val="both"/>
        <w:rPr>
          <w:rFonts w:ascii="Arial" w:hAnsi="Arial" w:cs="Arial"/>
          <w:sz w:val="20"/>
        </w:rPr>
      </w:pPr>
      <w:r>
        <w:rPr>
          <w:rFonts w:ascii="Arial" w:hAnsi="Arial" w:cs="Arial"/>
          <w:sz w:val="20"/>
        </w:rPr>
        <w:t xml:space="preserve">In a document entitled “Statement of Priorities 2022-2025”, the Court’s </w:t>
      </w:r>
      <w:r w:rsidRPr="005272DF">
        <w:rPr>
          <w:rFonts w:ascii="Arial" w:hAnsi="Arial" w:cs="Arial"/>
          <w:b/>
          <w:bCs/>
          <w:sz w:val="20"/>
        </w:rPr>
        <w:t>strategic priorities</w:t>
      </w:r>
      <w:r>
        <w:rPr>
          <w:rFonts w:ascii="Arial" w:hAnsi="Arial" w:cs="Arial"/>
          <w:sz w:val="20"/>
        </w:rPr>
        <w:t xml:space="preserve"> are summarised as follows:</w:t>
      </w:r>
    </w:p>
    <w:p w14:paraId="68B7090F" w14:textId="5817F1C7" w:rsidR="005272DF" w:rsidRPr="005272DF" w:rsidRDefault="005272DF" w:rsidP="00C23CF0">
      <w:pPr>
        <w:pStyle w:val="ListParagraph"/>
        <w:numPr>
          <w:ilvl w:val="0"/>
          <w:numId w:val="27"/>
        </w:numPr>
        <w:spacing w:before="100"/>
        <w:ind w:left="714" w:hanging="357"/>
        <w:jc w:val="both"/>
        <w:rPr>
          <w:rFonts w:ascii="Arial" w:hAnsi="Arial" w:cs="Arial"/>
          <w:b/>
          <w:bCs/>
          <w:sz w:val="20"/>
        </w:rPr>
      </w:pPr>
      <w:r w:rsidRPr="005272DF">
        <w:rPr>
          <w:rFonts w:ascii="Arial" w:hAnsi="Arial" w:cs="Arial"/>
          <w:b/>
          <w:bCs/>
          <w:sz w:val="20"/>
        </w:rPr>
        <w:t>Implement Self Determination Plan</w:t>
      </w:r>
    </w:p>
    <w:p w14:paraId="66C62D96" w14:textId="6E4B97EA"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Ensure the delivery of all initiatives in the Children’s Court Self Determination Plan that sits within the CSV Self Determination Plan – </w:t>
      </w:r>
      <w:proofErr w:type="spellStart"/>
      <w:r>
        <w:rPr>
          <w:rFonts w:ascii="Arial" w:hAnsi="Arial" w:cs="Arial"/>
          <w:sz w:val="20"/>
        </w:rPr>
        <w:t>Yaanadhan</w:t>
      </w:r>
      <w:proofErr w:type="spellEnd"/>
      <w:r>
        <w:rPr>
          <w:rFonts w:ascii="Arial" w:hAnsi="Arial" w:cs="Arial"/>
          <w:sz w:val="20"/>
        </w:rPr>
        <w:t xml:space="preserve"> </w:t>
      </w:r>
      <w:proofErr w:type="spellStart"/>
      <w:r>
        <w:rPr>
          <w:rFonts w:ascii="Arial" w:hAnsi="Arial" w:cs="Arial"/>
          <w:sz w:val="20"/>
        </w:rPr>
        <w:t>Manamith</w:t>
      </w:r>
      <w:proofErr w:type="spellEnd"/>
      <w:r>
        <w:rPr>
          <w:rFonts w:ascii="Arial" w:hAnsi="Arial" w:cs="Arial"/>
          <w:sz w:val="20"/>
        </w:rPr>
        <w:t xml:space="preserve"> </w:t>
      </w:r>
      <w:proofErr w:type="spellStart"/>
      <w:r>
        <w:rPr>
          <w:rFonts w:ascii="Arial" w:hAnsi="Arial" w:cs="Arial"/>
          <w:sz w:val="20"/>
        </w:rPr>
        <w:t>Yirramboi</w:t>
      </w:r>
      <w:proofErr w:type="spellEnd"/>
      <w:r>
        <w:rPr>
          <w:rFonts w:ascii="Arial" w:hAnsi="Arial" w:cs="Arial"/>
          <w:sz w:val="20"/>
        </w:rPr>
        <w:t>: Striving for a Better Tomorrow.</w:t>
      </w:r>
    </w:p>
    <w:p w14:paraId="650FD92D" w14:textId="66C5FC77" w:rsidR="005272DF" w:rsidRP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This Plan sits across all the Court’s Strategic Priorities, ensuring that Koori self-determination underpins all aspects of the Court’s planning and operations.</w:t>
      </w:r>
    </w:p>
    <w:p w14:paraId="265B743F" w14:textId="1E563974" w:rsidR="005272DF" w:rsidRPr="005272DF" w:rsidRDefault="005272DF"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Improve the Court User Experience</w:t>
      </w:r>
    </w:p>
    <w:p w14:paraId="7047DAEB" w14:textId="2F1582F5"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Review and adapt service models based on sound evidence to meet the changing needs of Victorian families and young people.</w:t>
      </w:r>
    </w:p>
    <w:p w14:paraId="0FA64EC1" w14:textId="3C15E847"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Undertake an evaluation of online hearings to guide future operating models.</w:t>
      </w:r>
    </w:p>
    <w:p w14:paraId="7A27EC72" w14:textId="4DF1652C"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Explore and identify Family Violence best practices and improve Family Violence responses.</w:t>
      </w:r>
    </w:p>
    <w:p w14:paraId="68A6C34E" w14:textId="11E1751B" w:rsidR="005272DF"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Refresh the Children’s Koori Court Model to ensure it continues to be tailored to meet the needs of Aboriginal young people and look for opportunities for expansion to more locations across the state.</w:t>
      </w:r>
    </w:p>
    <w:p w14:paraId="609F64C5" w14:textId="2ECCB699" w:rsidR="005272DF"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Support the implementation of the Disability Advice and Response Team (DART), a new support service which will assist in screening for disability and referral to services to address the young person’s disability needs.</w:t>
      </w:r>
    </w:p>
    <w:p w14:paraId="7E85DA67" w14:textId="40A36252" w:rsidR="000824A4"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Establish the Children’s Court Online Bail and Remand Court. [This </w:t>
      </w:r>
      <w:r w:rsidR="00786621">
        <w:rPr>
          <w:rFonts w:ascii="Arial" w:hAnsi="Arial" w:cs="Arial"/>
          <w:sz w:val="20"/>
        </w:rPr>
        <w:t xml:space="preserve">initiative commenced on 03/09/2022 and is described in </w:t>
      </w:r>
      <w:r w:rsidR="00786621" w:rsidRPr="00784343">
        <w:rPr>
          <w:rFonts w:ascii="Arial" w:hAnsi="Arial" w:cs="Arial"/>
          <w:b/>
          <w:bCs/>
          <w:sz w:val="20"/>
          <w:shd w:val="clear" w:color="auto" w:fill="C5E0B3"/>
        </w:rPr>
        <w:t>section 2.5.3</w:t>
      </w:r>
      <w:r w:rsidR="00786621">
        <w:rPr>
          <w:rFonts w:ascii="Arial" w:hAnsi="Arial" w:cs="Arial"/>
          <w:sz w:val="20"/>
        </w:rPr>
        <w:t xml:space="preserve"> below.]</w:t>
      </w:r>
    </w:p>
    <w:p w14:paraId="4E3E8155" w14:textId="7158FD02" w:rsidR="000824A4" w:rsidRPr="005272DF" w:rsidRDefault="000824A4"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 xml:space="preserve">Increase </w:t>
      </w:r>
      <w:r w:rsidR="00786621">
        <w:rPr>
          <w:rFonts w:ascii="Arial" w:hAnsi="Arial" w:cs="Arial"/>
          <w:b/>
          <w:bCs/>
          <w:sz w:val="20"/>
        </w:rPr>
        <w:t>the number of specialist Children’s Courts</w:t>
      </w:r>
    </w:p>
    <w:p w14:paraId="5945E7A0" w14:textId="2B7E6DEC"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Use existing and new assets to deliver high-quality Children’s Court services.</w:t>
      </w:r>
    </w:p>
    <w:p w14:paraId="69D3CE8C" w14:textId="2418A43E"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Develop, design and deliver dedicated Children’s Courts at Bendigo and Wyndham.</w:t>
      </w:r>
    </w:p>
    <w:p w14:paraId="7DA7C080" w14:textId="06629833"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Deliver a dedicated specialist Children’s Court at Dandenong to strengthen access to justice services in Melbourne’s South-east.</w:t>
      </w:r>
    </w:p>
    <w:p w14:paraId="2790E111" w14:textId="2579CCBD"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Redevelop the Moorabbin Children’s Court to improve access to Children’s Court services.</w:t>
      </w:r>
    </w:p>
    <w:p w14:paraId="7C1718AC" w14:textId="0774E656"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Identify priority locations and plan for new dedicated specialist Children’s Courts.</w:t>
      </w:r>
    </w:p>
    <w:p w14:paraId="03260ED2" w14:textId="50B39B9A" w:rsidR="00786621" w:rsidRPr="005272DF" w:rsidRDefault="00786621" w:rsidP="00C23CF0">
      <w:pPr>
        <w:pStyle w:val="ListParagraph"/>
        <w:numPr>
          <w:ilvl w:val="0"/>
          <w:numId w:val="27"/>
        </w:numPr>
        <w:spacing w:before="120"/>
        <w:jc w:val="both"/>
        <w:rPr>
          <w:rFonts w:ascii="Arial" w:hAnsi="Arial" w:cs="Arial"/>
          <w:b/>
          <w:bCs/>
          <w:sz w:val="20"/>
        </w:rPr>
      </w:pPr>
      <w:r>
        <w:rPr>
          <w:rFonts w:ascii="Arial" w:hAnsi="Arial" w:cs="Arial"/>
          <w:b/>
          <w:bCs/>
          <w:sz w:val="20"/>
        </w:rPr>
        <w:t>Engage with the Community</w:t>
      </w:r>
    </w:p>
    <w:p w14:paraId="0B6A3268" w14:textId="64871B13"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Explore ways to increase and improve the way the court engages with court users.</w:t>
      </w:r>
    </w:p>
    <w:p w14:paraId="041C8099" w14:textId="33606C1B"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Undertake regular court user surveys and targeted evaluations to understand and respond to court user needs.</w:t>
      </w:r>
    </w:p>
    <w:p w14:paraId="547E25A1" w14:textId="1150733F"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Make information easily available and tailored to the communication needs of court users.</w:t>
      </w:r>
    </w:p>
    <w:p w14:paraId="0676663C" w14:textId="0A3D0096"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Promote better understanding of the unique role of the Children’s Court to improve public confidence in the justice system.</w:t>
      </w:r>
    </w:p>
    <w:p w14:paraId="4DD77060" w14:textId="139BFB18" w:rsidR="00786621" w:rsidRPr="005272DF" w:rsidRDefault="00786621"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Develop and support our people</w:t>
      </w:r>
    </w:p>
    <w:p w14:paraId="3952BAF5" w14:textId="0FD47205"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Design and implement a </w:t>
      </w:r>
      <w:r w:rsidR="00F72C19">
        <w:rPr>
          <w:rFonts w:ascii="Arial" w:hAnsi="Arial" w:cs="Arial"/>
          <w:sz w:val="20"/>
        </w:rPr>
        <w:t>workforce plan that ensures we have the roles and structures to achieve our vision and fulfil our unique role.</w:t>
      </w:r>
    </w:p>
    <w:p w14:paraId="35DB25FE" w14:textId="26545C0E" w:rsidR="00786621" w:rsidRDefault="00F72C19"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Develop safety and wellbeing strategies that define the foundations for maintaining a healthy workplace.</w:t>
      </w:r>
    </w:p>
    <w:p w14:paraId="334D44B6" w14:textId="0C7CBD9D" w:rsidR="00786621" w:rsidRDefault="00F72C19"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Ensure access to high quality and contemporary education and training for staff to maintain and further enhance specialist capabilities.</w:t>
      </w:r>
    </w:p>
    <w:p w14:paraId="5CFF04C4" w14:textId="76022089" w:rsidR="00786621" w:rsidRPr="005272DF" w:rsidRDefault="00786621"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Enhance participation and efficiency through technology</w:t>
      </w:r>
    </w:p>
    <w:p w14:paraId="60A3FE8A" w14:textId="09F0DAFE"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Design and implement a modern end-to-end Case Management System. [This is in the process of construction: see </w:t>
      </w:r>
      <w:r w:rsidRPr="00784343">
        <w:rPr>
          <w:rFonts w:ascii="Arial" w:hAnsi="Arial" w:cs="Arial"/>
          <w:b/>
          <w:bCs/>
          <w:sz w:val="20"/>
          <w:shd w:val="clear" w:color="auto" w:fill="C5E0B3"/>
        </w:rPr>
        <w:t xml:space="preserve">section </w:t>
      </w:r>
      <w:r w:rsidR="003A27B7" w:rsidRPr="00784343">
        <w:rPr>
          <w:rFonts w:ascii="Arial" w:hAnsi="Arial" w:cs="Arial"/>
          <w:b/>
          <w:bCs/>
          <w:sz w:val="20"/>
          <w:shd w:val="clear" w:color="auto" w:fill="C5E0B3"/>
        </w:rPr>
        <w:t>1.6.3</w:t>
      </w:r>
      <w:r w:rsidR="003A27B7">
        <w:rPr>
          <w:rFonts w:ascii="Arial" w:hAnsi="Arial" w:cs="Arial"/>
          <w:sz w:val="20"/>
        </w:rPr>
        <w:t xml:space="preserve"> of the Research Materials.]</w:t>
      </w:r>
    </w:p>
    <w:p w14:paraId="0E68D11F" w14:textId="1776021C" w:rsidR="00786621" w:rsidRDefault="003A27B7"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Improve wayfinding and information provided to court users.</w:t>
      </w:r>
    </w:p>
    <w:p w14:paraId="662B55B2" w14:textId="5BF3D44C" w:rsidR="00786621" w:rsidRDefault="003A27B7"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Update Children’s Court courtrooms with the attest technology to enable greater accessibility and flexibility in the way matters are heard.</w:t>
      </w:r>
    </w:p>
    <w:p w14:paraId="3357C0B6" w14:textId="55302E73" w:rsidR="00277B85" w:rsidRDefault="005272DF" w:rsidP="00D15FA3">
      <w:pPr>
        <w:spacing w:before="120"/>
        <w:jc w:val="both"/>
        <w:rPr>
          <w:rFonts w:ascii="Arial" w:hAnsi="Arial" w:cs="Arial"/>
          <w:sz w:val="20"/>
        </w:rPr>
      </w:pPr>
      <w:r>
        <w:rPr>
          <w:rFonts w:ascii="Arial" w:hAnsi="Arial" w:cs="Arial"/>
          <w:sz w:val="20"/>
        </w:rPr>
        <w:lastRenderedPageBreak/>
        <w:t>The Court’s</w:t>
      </w:r>
      <w:r w:rsidR="00277B85">
        <w:rPr>
          <w:rFonts w:ascii="Arial" w:hAnsi="Arial" w:cs="Arial"/>
          <w:sz w:val="20"/>
        </w:rPr>
        <w:t xml:space="preserve"> </w:t>
      </w:r>
      <w:r w:rsidR="00277B85" w:rsidRPr="005272DF">
        <w:rPr>
          <w:rFonts w:ascii="Arial" w:hAnsi="Arial" w:cs="Arial"/>
          <w:b/>
          <w:bCs/>
          <w:sz w:val="20"/>
        </w:rPr>
        <w:t>purpose</w:t>
      </w:r>
      <w:r w:rsidR="00277B85">
        <w:rPr>
          <w:rFonts w:ascii="Arial" w:hAnsi="Arial" w:cs="Arial"/>
          <w:sz w:val="20"/>
        </w:rPr>
        <w:t xml:space="preserve"> is: "To provide an efficient, modern and responsive specialist court to hear and determine cases involving children and young persons in a timely, just and equitable manner which is easily understood by court users and the public generally."</w:t>
      </w:r>
    </w:p>
    <w:p w14:paraId="4888DF95" w14:textId="77777777" w:rsidR="00277B85" w:rsidRDefault="00277B85">
      <w:pPr>
        <w:rPr>
          <w:rFonts w:ascii="Arial" w:hAnsi="Arial" w:cs="Arial"/>
          <w:sz w:val="20"/>
        </w:rPr>
      </w:pPr>
    </w:p>
    <w:p w14:paraId="45F62C53" w14:textId="77777777" w:rsidR="00C841C2" w:rsidRDefault="004E36B5" w:rsidP="004E36B5">
      <w:pPr>
        <w:jc w:val="both"/>
        <w:rPr>
          <w:rFonts w:ascii="Arial" w:hAnsi="Arial" w:cs="Arial"/>
          <w:sz w:val="20"/>
        </w:rPr>
      </w:pPr>
      <w:r>
        <w:rPr>
          <w:rFonts w:ascii="Arial" w:hAnsi="Arial" w:cs="Arial"/>
          <w:sz w:val="20"/>
        </w:rPr>
        <w:t xml:space="preserve">It </w:t>
      </w:r>
      <w:r w:rsidR="00393AB6">
        <w:rPr>
          <w:rFonts w:ascii="Arial" w:hAnsi="Arial" w:cs="Arial"/>
          <w:sz w:val="20"/>
        </w:rPr>
        <w:t xml:space="preserve">is important to emphasize what the Court’s purpose is not.  As an </w:t>
      </w:r>
      <w:r>
        <w:rPr>
          <w:rFonts w:ascii="Arial" w:hAnsi="Arial" w:cs="Arial"/>
          <w:sz w:val="20"/>
        </w:rPr>
        <w:t xml:space="preserve">institution of judicial decision-making, </w:t>
      </w:r>
      <w:r w:rsidR="00393AB6">
        <w:rPr>
          <w:rFonts w:ascii="Arial" w:hAnsi="Arial" w:cs="Arial"/>
          <w:sz w:val="20"/>
        </w:rPr>
        <w:t xml:space="preserve">the Court </w:t>
      </w:r>
      <w:r w:rsidR="00C841C2">
        <w:rPr>
          <w:rFonts w:ascii="Arial" w:hAnsi="Arial" w:cs="Arial"/>
          <w:sz w:val="20"/>
        </w:rPr>
        <w:t>has no power to</w:t>
      </w:r>
      <w:r>
        <w:rPr>
          <w:rFonts w:ascii="Arial" w:hAnsi="Arial" w:cs="Arial"/>
          <w:sz w:val="20"/>
        </w:rPr>
        <w:t xml:space="preserve"> become involved with a child until either</w:t>
      </w:r>
      <w:r w:rsidR="00C841C2">
        <w:rPr>
          <w:rFonts w:ascii="Arial" w:hAnsi="Arial" w:cs="Arial"/>
          <w:sz w:val="20"/>
        </w:rPr>
        <w:t>-</w:t>
      </w:r>
    </w:p>
    <w:p w14:paraId="100F33C9" w14:textId="77777777"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rPr>
        <w:t xml:space="preserve">an officer of </w:t>
      </w:r>
      <w:r w:rsidR="004E36B5">
        <w:rPr>
          <w:rFonts w:ascii="Arial" w:hAnsi="Arial" w:cs="Arial"/>
          <w:sz w:val="20"/>
        </w:rPr>
        <w:t xml:space="preserve">the </w:t>
      </w:r>
      <w:r w:rsidR="004E36B5">
        <w:rPr>
          <w:rFonts w:ascii="Arial" w:hAnsi="Arial" w:cs="Arial"/>
          <w:sz w:val="20"/>
          <w:szCs w:val="20"/>
        </w:rPr>
        <w:t xml:space="preserve">Child Protection Service of the Victorian Government's Department of </w:t>
      </w:r>
      <w:r w:rsidR="000A5CEF">
        <w:rPr>
          <w:rFonts w:ascii="Arial" w:hAnsi="Arial" w:cs="Arial"/>
          <w:sz w:val="20"/>
          <w:szCs w:val="20"/>
        </w:rPr>
        <w:t>Families, Fairness and Housing</w:t>
      </w:r>
      <w:r>
        <w:rPr>
          <w:rFonts w:ascii="Arial" w:hAnsi="Arial" w:cs="Arial"/>
          <w:sz w:val="20"/>
          <w:szCs w:val="20"/>
        </w:rPr>
        <w:t>;</w:t>
      </w:r>
    </w:p>
    <w:p w14:paraId="3242725F" w14:textId="77777777"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szCs w:val="20"/>
        </w:rPr>
        <w:t xml:space="preserve">an officer of </w:t>
      </w:r>
      <w:r w:rsidR="004E36B5">
        <w:rPr>
          <w:rFonts w:ascii="Arial" w:hAnsi="Arial" w:cs="Arial"/>
          <w:sz w:val="20"/>
          <w:szCs w:val="20"/>
        </w:rPr>
        <w:t>Victoria Police</w:t>
      </w:r>
      <w:r>
        <w:rPr>
          <w:rFonts w:ascii="Arial" w:hAnsi="Arial" w:cs="Arial"/>
          <w:sz w:val="20"/>
          <w:szCs w:val="20"/>
        </w:rPr>
        <w:t>;</w:t>
      </w:r>
      <w:r w:rsidR="004E36B5">
        <w:rPr>
          <w:rFonts w:ascii="Arial" w:hAnsi="Arial" w:cs="Arial"/>
          <w:sz w:val="20"/>
          <w:szCs w:val="20"/>
        </w:rPr>
        <w:t xml:space="preserve"> </w:t>
      </w:r>
      <w:r>
        <w:rPr>
          <w:rFonts w:ascii="Arial" w:hAnsi="Arial" w:cs="Arial"/>
          <w:sz w:val="20"/>
          <w:szCs w:val="20"/>
        </w:rPr>
        <w:t>or</w:t>
      </w:r>
    </w:p>
    <w:p w14:paraId="3A2A83E0" w14:textId="781C1369"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szCs w:val="20"/>
        </w:rPr>
        <w:t xml:space="preserve">some other </w:t>
      </w:r>
      <w:r w:rsidR="005115F8">
        <w:rPr>
          <w:rFonts w:ascii="Arial" w:hAnsi="Arial" w:cs="Arial"/>
          <w:sz w:val="20"/>
          <w:szCs w:val="20"/>
        </w:rPr>
        <w:t xml:space="preserve">authorised </w:t>
      </w:r>
      <w:r>
        <w:rPr>
          <w:rFonts w:ascii="Arial" w:hAnsi="Arial" w:cs="Arial"/>
          <w:sz w:val="20"/>
          <w:szCs w:val="20"/>
        </w:rPr>
        <w:t>person-</w:t>
      </w:r>
    </w:p>
    <w:p w14:paraId="0C11E84B" w14:textId="77777777" w:rsidR="004E36B5" w:rsidRDefault="004E36B5" w:rsidP="004F4C22">
      <w:pPr>
        <w:jc w:val="both"/>
        <w:rPr>
          <w:rFonts w:ascii="Arial" w:hAnsi="Arial" w:cs="Arial"/>
          <w:sz w:val="20"/>
          <w:szCs w:val="20"/>
        </w:rPr>
      </w:pPr>
      <w:r>
        <w:rPr>
          <w:rFonts w:ascii="Arial" w:hAnsi="Arial" w:cs="Arial"/>
          <w:sz w:val="20"/>
          <w:szCs w:val="20"/>
        </w:rPr>
        <w:t xml:space="preserve">decides to invoke its jurisdiction by commencing a case in the Court.  The Court has no authority to play a general watch-dog role like an ombudsman or a commissioner for children.  Nor does it provide any overall or continuous supervision of </w:t>
      </w:r>
      <w:r w:rsidR="00C841C2">
        <w:rPr>
          <w:rFonts w:ascii="Arial" w:hAnsi="Arial" w:cs="Arial"/>
          <w:sz w:val="20"/>
          <w:szCs w:val="20"/>
        </w:rPr>
        <w:t xml:space="preserve">the Child Protection Service or </w:t>
      </w:r>
      <w:r>
        <w:rPr>
          <w:rFonts w:ascii="Arial" w:hAnsi="Arial" w:cs="Arial"/>
          <w:sz w:val="20"/>
          <w:szCs w:val="20"/>
        </w:rPr>
        <w:t xml:space="preserve">any other agency involved with a child once the particular case before it has been completed.  Nor, </w:t>
      </w:r>
      <w:r w:rsidR="00C841C2">
        <w:rPr>
          <w:rFonts w:ascii="Arial" w:hAnsi="Arial" w:cs="Arial"/>
          <w:sz w:val="20"/>
          <w:szCs w:val="20"/>
        </w:rPr>
        <w:t xml:space="preserve">unlike the Coroner’s Court, </w:t>
      </w:r>
      <w:r>
        <w:rPr>
          <w:rFonts w:ascii="Arial" w:hAnsi="Arial" w:cs="Arial"/>
          <w:sz w:val="20"/>
          <w:szCs w:val="20"/>
        </w:rPr>
        <w:t xml:space="preserve">does it have an investigative arm </w:t>
      </w:r>
      <w:r w:rsidR="00C841C2">
        <w:rPr>
          <w:rFonts w:ascii="Arial" w:hAnsi="Arial" w:cs="Arial"/>
          <w:sz w:val="20"/>
          <w:szCs w:val="20"/>
        </w:rPr>
        <w:t xml:space="preserve">except </w:t>
      </w:r>
      <w:r w:rsidR="00393AB6">
        <w:rPr>
          <w:rFonts w:ascii="Arial" w:hAnsi="Arial" w:cs="Arial"/>
          <w:sz w:val="20"/>
          <w:szCs w:val="20"/>
        </w:rPr>
        <w:t>insofar as</w:t>
      </w:r>
      <w:r w:rsidR="00C841C2">
        <w:rPr>
          <w:rFonts w:ascii="Arial" w:hAnsi="Arial" w:cs="Arial"/>
          <w:sz w:val="20"/>
          <w:szCs w:val="20"/>
        </w:rPr>
        <w:t xml:space="preserve"> the assistance provided by the Children’s Court Clinic </w:t>
      </w:r>
      <w:r w:rsidR="00393AB6">
        <w:rPr>
          <w:rFonts w:ascii="Arial" w:hAnsi="Arial" w:cs="Arial"/>
          <w:sz w:val="20"/>
          <w:szCs w:val="20"/>
        </w:rPr>
        <w:t xml:space="preserve">in the context of a particular case </w:t>
      </w:r>
      <w:r w:rsidR="00301C9D">
        <w:rPr>
          <w:rFonts w:ascii="Arial" w:hAnsi="Arial" w:cs="Arial"/>
          <w:sz w:val="20"/>
          <w:szCs w:val="20"/>
        </w:rPr>
        <w:t xml:space="preserve">or its power to issue subpoenas </w:t>
      </w:r>
      <w:r w:rsidR="00C841C2">
        <w:rPr>
          <w:rFonts w:ascii="Arial" w:hAnsi="Arial" w:cs="Arial"/>
          <w:sz w:val="20"/>
          <w:szCs w:val="20"/>
        </w:rPr>
        <w:t xml:space="preserve">could be so classified.  The Court </w:t>
      </w:r>
      <w:r>
        <w:rPr>
          <w:rFonts w:ascii="Arial" w:hAnsi="Arial" w:cs="Arial"/>
          <w:sz w:val="20"/>
          <w:szCs w:val="20"/>
        </w:rPr>
        <w:t xml:space="preserve">is, by definition, a reactive </w:t>
      </w:r>
      <w:r w:rsidR="00D24533">
        <w:rPr>
          <w:rFonts w:ascii="Arial" w:hAnsi="Arial" w:cs="Arial"/>
          <w:sz w:val="20"/>
          <w:szCs w:val="20"/>
        </w:rPr>
        <w:t>part of the system, although in its written decisions it sometimes makes general comments about perceived failures within the system.</w:t>
      </w:r>
    </w:p>
    <w:p w14:paraId="26093667" w14:textId="77777777" w:rsidR="004E36B5" w:rsidRDefault="004E36B5">
      <w:pPr>
        <w:rPr>
          <w:rFonts w:ascii="Arial" w:hAnsi="Arial" w:cs="Arial"/>
          <w:sz w:val="20"/>
        </w:rPr>
      </w:pPr>
    </w:p>
    <w:p w14:paraId="4A78C6E3" w14:textId="76C9269D" w:rsidR="00301C9D" w:rsidRDefault="00301C9D" w:rsidP="002121C6">
      <w:pPr>
        <w:jc w:val="both"/>
        <w:rPr>
          <w:rFonts w:ascii="Arial" w:hAnsi="Arial" w:cs="Arial"/>
          <w:sz w:val="20"/>
        </w:rPr>
      </w:pPr>
      <w:r>
        <w:rPr>
          <w:rFonts w:ascii="Arial" w:hAnsi="Arial" w:cs="Arial"/>
          <w:sz w:val="20"/>
        </w:rPr>
        <w:t xml:space="preserve">It is also important to understand that the Court is </w:t>
      </w:r>
      <w:r w:rsidR="002121C6">
        <w:rPr>
          <w:rFonts w:ascii="Arial" w:hAnsi="Arial" w:cs="Arial"/>
          <w:sz w:val="20"/>
        </w:rPr>
        <w:t xml:space="preserve">completely independent of the Department of </w:t>
      </w:r>
      <w:r w:rsidR="000A5CEF">
        <w:rPr>
          <w:rFonts w:ascii="Arial" w:hAnsi="Arial" w:cs="Arial"/>
          <w:sz w:val="20"/>
          <w:szCs w:val="20"/>
        </w:rPr>
        <w:t>Families, Fairness and Housing</w:t>
      </w:r>
      <w:r w:rsidR="002121C6">
        <w:rPr>
          <w:rFonts w:ascii="Arial" w:hAnsi="Arial" w:cs="Arial"/>
          <w:sz w:val="20"/>
        </w:rPr>
        <w:t xml:space="preserve"> </w:t>
      </w:r>
      <w:r w:rsidR="00A356F2">
        <w:rPr>
          <w:rFonts w:ascii="Arial" w:hAnsi="Arial" w:cs="Arial"/>
          <w:sz w:val="20"/>
        </w:rPr>
        <w:t xml:space="preserve">and Victoria Police </w:t>
      </w:r>
      <w:r w:rsidR="002121C6">
        <w:rPr>
          <w:rFonts w:ascii="Arial" w:hAnsi="Arial" w:cs="Arial"/>
          <w:sz w:val="20"/>
        </w:rPr>
        <w:t>just as it is of a</w:t>
      </w:r>
      <w:r w:rsidR="001A07B1">
        <w:rPr>
          <w:rFonts w:ascii="Arial" w:hAnsi="Arial" w:cs="Arial"/>
          <w:sz w:val="20"/>
        </w:rPr>
        <w:t>ll</w:t>
      </w:r>
      <w:r w:rsidR="002121C6">
        <w:rPr>
          <w:rFonts w:ascii="Arial" w:hAnsi="Arial" w:cs="Arial"/>
          <w:sz w:val="20"/>
        </w:rPr>
        <w:t xml:space="preserve"> of the other parties – parents, children, extended family members or others </w:t>
      </w:r>
      <w:r w:rsidR="00C72E5B">
        <w:rPr>
          <w:rFonts w:ascii="Arial" w:hAnsi="Arial" w:cs="Arial"/>
          <w:sz w:val="20"/>
        </w:rPr>
        <w:t>–</w:t>
      </w:r>
      <w:r w:rsidR="002121C6">
        <w:rPr>
          <w:rFonts w:ascii="Arial" w:hAnsi="Arial" w:cs="Arial"/>
          <w:sz w:val="20"/>
        </w:rPr>
        <w:t xml:space="preserve"> who</w:t>
      </w:r>
      <w:r w:rsidR="00C72E5B">
        <w:rPr>
          <w:rFonts w:ascii="Arial" w:hAnsi="Arial" w:cs="Arial"/>
          <w:sz w:val="20"/>
        </w:rPr>
        <w:t xml:space="preserve"> </w:t>
      </w:r>
      <w:r w:rsidR="002121C6">
        <w:rPr>
          <w:rFonts w:ascii="Arial" w:hAnsi="Arial" w:cs="Arial"/>
          <w:sz w:val="20"/>
        </w:rPr>
        <w:t xml:space="preserve">appear in cases before it.  In his report entitled “Protective Services for Children in Victoria” Justice Fogarty made this </w:t>
      </w:r>
      <w:r w:rsidR="00F378E0">
        <w:rPr>
          <w:rFonts w:ascii="Arial" w:hAnsi="Arial" w:cs="Arial"/>
          <w:sz w:val="20"/>
        </w:rPr>
        <w:t xml:space="preserve">crystal </w:t>
      </w:r>
      <w:r w:rsidR="002121C6">
        <w:rPr>
          <w:rFonts w:ascii="Arial" w:hAnsi="Arial" w:cs="Arial"/>
          <w:sz w:val="20"/>
        </w:rPr>
        <w:t xml:space="preserve">clear as long ago as 1993 yet the Court still regularly hears comments </w:t>
      </w:r>
      <w:r w:rsidR="00C34F32">
        <w:rPr>
          <w:rFonts w:ascii="Arial" w:hAnsi="Arial" w:cs="Arial"/>
          <w:sz w:val="20"/>
        </w:rPr>
        <w:t>along the lines</w:t>
      </w:r>
      <w:r w:rsidR="002121C6">
        <w:rPr>
          <w:rFonts w:ascii="Arial" w:hAnsi="Arial" w:cs="Arial"/>
          <w:sz w:val="20"/>
        </w:rPr>
        <w:t xml:space="preserve"> that the Court and the Department are engaged in a partnership to protect the children of Victoria.  The </w:t>
      </w:r>
      <w:r w:rsidR="00BE7B86">
        <w:rPr>
          <w:rFonts w:ascii="Arial" w:hAnsi="Arial" w:cs="Arial"/>
          <w:sz w:val="20"/>
        </w:rPr>
        <w:t xml:space="preserve">Children’s Court is not in a partnership with anybody.  </w:t>
      </w:r>
      <w:r w:rsidR="00F378E0">
        <w:rPr>
          <w:rFonts w:ascii="Arial" w:hAnsi="Arial" w:cs="Arial"/>
          <w:sz w:val="20"/>
        </w:rPr>
        <w:t xml:space="preserve">It is not a “stakeholder” in anything nor are </w:t>
      </w:r>
      <w:r w:rsidR="00E259B1">
        <w:rPr>
          <w:rFonts w:ascii="Arial" w:hAnsi="Arial" w:cs="Arial"/>
          <w:sz w:val="20"/>
        </w:rPr>
        <w:t xml:space="preserve">the </w:t>
      </w:r>
      <w:r w:rsidR="00F378E0">
        <w:rPr>
          <w:rFonts w:ascii="Arial" w:hAnsi="Arial" w:cs="Arial"/>
          <w:sz w:val="20"/>
        </w:rPr>
        <w:t xml:space="preserve">police </w:t>
      </w:r>
      <w:r w:rsidR="00E259B1">
        <w:rPr>
          <w:rFonts w:ascii="Arial" w:hAnsi="Arial" w:cs="Arial"/>
          <w:sz w:val="20"/>
        </w:rPr>
        <w:t>n</w:t>
      </w:r>
      <w:r w:rsidR="00F378E0">
        <w:rPr>
          <w:rFonts w:ascii="Arial" w:hAnsi="Arial" w:cs="Arial"/>
          <w:sz w:val="20"/>
        </w:rPr>
        <w:t xml:space="preserve">or the Department of </w:t>
      </w:r>
      <w:r w:rsidR="000A5CEF">
        <w:rPr>
          <w:rFonts w:ascii="Arial" w:hAnsi="Arial" w:cs="Arial"/>
          <w:sz w:val="20"/>
          <w:szCs w:val="20"/>
        </w:rPr>
        <w:t>Families, Fairness and Housing</w:t>
      </w:r>
      <w:r w:rsidR="00F378E0">
        <w:rPr>
          <w:rFonts w:ascii="Arial" w:hAnsi="Arial" w:cs="Arial"/>
          <w:sz w:val="20"/>
        </w:rPr>
        <w:t xml:space="preserve"> “stakeholders” in it.  </w:t>
      </w:r>
      <w:r w:rsidR="00A356F2">
        <w:rPr>
          <w:rFonts w:ascii="Arial" w:hAnsi="Arial" w:cs="Arial"/>
          <w:sz w:val="20"/>
        </w:rPr>
        <w:t xml:space="preserve">They have no greater “ownership” </w:t>
      </w:r>
      <w:r w:rsidR="005115F8">
        <w:rPr>
          <w:rFonts w:ascii="Arial" w:hAnsi="Arial" w:cs="Arial"/>
          <w:sz w:val="20"/>
        </w:rPr>
        <w:t>of</w:t>
      </w:r>
      <w:r w:rsidR="00A356F2">
        <w:rPr>
          <w:rFonts w:ascii="Arial" w:hAnsi="Arial" w:cs="Arial"/>
          <w:sz w:val="20"/>
        </w:rPr>
        <w:t xml:space="preserve"> the Court than any other litigant.  The Court’</w:t>
      </w:r>
      <w:r w:rsidR="00BE7B86">
        <w:rPr>
          <w:rFonts w:ascii="Arial" w:hAnsi="Arial" w:cs="Arial"/>
          <w:sz w:val="20"/>
        </w:rPr>
        <w:t>s</w:t>
      </w:r>
      <w:r w:rsidR="005115F8">
        <w:rPr>
          <w:rFonts w:ascii="Arial" w:hAnsi="Arial" w:cs="Arial"/>
          <w:sz w:val="20"/>
        </w:rPr>
        <w:t xml:space="preserve"> </w:t>
      </w:r>
      <w:r w:rsidR="00C34F32">
        <w:rPr>
          <w:rFonts w:ascii="Arial" w:hAnsi="Arial" w:cs="Arial"/>
          <w:sz w:val="20"/>
        </w:rPr>
        <w:t xml:space="preserve">independent </w:t>
      </w:r>
      <w:r w:rsidR="002121C6">
        <w:rPr>
          <w:rFonts w:ascii="Arial" w:hAnsi="Arial" w:cs="Arial"/>
          <w:sz w:val="20"/>
        </w:rPr>
        <w:t xml:space="preserve">nature and </w:t>
      </w:r>
      <w:r w:rsidR="00C34F32">
        <w:rPr>
          <w:rFonts w:ascii="Arial" w:hAnsi="Arial" w:cs="Arial"/>
          <w:sz w:val="20"/>
        </w:rPr>
        <w:t xml:space="preserve">its </w:t>
      </w:r>
      <w:r w:rsidR="002121C6">
        <w:rPr>
          <w:rFonts w:ascii="Arial" w:hAnsi="Arial" w:cs="Arial"/>
          <w:sz w:val="20"/>
        </w:rPr>
        <w:t xml:space="preserve">purpose </w:t>
      </w:r>
      <w:r w:rsidR="00BE7B86">
        <w:rPr>
          <w:rFonts w:ascii="Arial" w:hAnsi="Arial" w:cs="Arial"/>
          <w:sz w:val="20"/>
        </w:rPr>
        <w:t>w</w:t>
      </w:r>
      <w:r w:rsidR="00C34F32">
        <w:rPr>
          <w:rFonts w:ascii="Arial" w:hAnsi="Arial" w:cs="Arial"/>
          <w:sz w:val="20"/>
        </w:rPr>
        <w:t>ere</w:t>
      </w:r>
      <w:r w:rsidR="002121C6">
        <w:rPr>
          <w:rFonts w:ascii="Arial" w:hAnsi="Arial" w:cs="Arial"/>
          <w:sz w:val="20"/>
        </w:rPr>
        <w:t xml:space="preserve"> described by Justice Fogarty at pp.142-143 of his report as follows:</w:t>
      </w:r>
    </w:p>
    <w:p w14:paraId="1672D885" w14:textId="77777777" w:rsidR="002121C6" w:rsidRDefault="002121C6" w:rsidP="005818AF">
      <w:pPr>
        <w:spacing w:before="120"/>
        <w:ind w:left="567" w:right="567"/>
        <w:jc w:val="both"/>
        <w:rPr>
          <w:rFonts w:ascii="Arial" w:hAnsi="Arial" w:cs="Arial"/>
          <w:sz w:val="20"/>
        </w:rPr>
      </w:pPr>
      <w:r>
        <w:rPr>
          <w:rFonts w:ascii="Arial" w:hAnsi="Arial" w:cs="Arial"/>
          <w:sz w:val="20"/>
        </w:rPr>
        <w:t>“</w:t>
      </w:r>
      <w:r w:rsidR="00BE7B86">
        <w:rPr>
          <w:rFonts w:ascii="Arial" w:hAnsi="Arial" w:cs="Arial"/>
          <w:sz w:val="20"/>
        </w:rPr>
        <w:t>Whilst different models could have been provided for the court or tribunal carrying out the responsibilities now imposed on the Children’s Court, the fact is that throughout its history in Victoria these duties have been carried out through a court, but coupled with provisions that it is to proceed without undue formality and that it is not to be inhibited by the normal Court rules of procedure and evidence.  That is also the approach generally accepted in each of the other States.</w:t>
      </w:r>
    </w:p>
    <w:p w14:paraId="4EE928ED" w14:textId="77777777" w:rsidR="00BE7B86" w:rsidRDefault="00BE7B86" w:rsidP="005818AF">
      <w:pPr>
        <w:spacing w:before="120"/>
        <w:ind w:left="567" w:right="567"/>
        <w:jc w:val="both"/>
        <w:rPr>
          <w:rFonts w:ascii="Arial" w:hAnsi="Arial" w:cs="Arial"/>
          <w:sz w:val="20"/>
        </w:rPr>
      </w:pPr>
      <w:r>
        <w:rPr>
          <w:rFonts w:ascii="Arial" w:hAnsi="Arial" w:cs="Arial"/>
          <w:sz w:val="20"/>
        </w:rPr>
        <w:t xml:space="preserve">Much of the criticism [of the Court], especially from the Department, proceeds in my view from a failure to understand this.  </w:t>
      </w:r>
      <w:r w:rsidR="005818AF">
        <w:rPr>
          <w:rFonts w:ascii="Arial" w:hAnsi="Arial" w:cs="Arial"/>
          <w:sz w:val="20"/>
        </w:rPr>
        <w:t>A significant reason for the existence of the Children’s Court is that it stands independent of the Department, the children and the parents and represents the community in the determination of these extremely difficult and delicate issues which are likely to have a profound, perhaps permanent, effect on the lives of the young children involved.  Consequently, it is necessary for the Court to be independent and to be seen to be independent, especially from the Department which is a party in every proceeding before it.  It must have the confidence of the parents who come before it and the confidence of the community that it will act in an independent way in accordance with the legislation.</w:t>
      </w:r>
    </w:p>
    <w:p w14:paraId="61D3F84B" w14:textId="77777777" w:rsidR="005818AF" w:rsidRDefault="005818AF" w:rsidP="005818AF">
      <w:pPr>
        <w:spacing w:before="120"/>
        <w:ind w:left="567" w:right="567"/>
        <w:jc w:val="both"/>
        <w:rPr>
          <w:rFonts w:ascii="Arial" w:hAnsi="Arial" w:cs="Arial"/>
          <w:sz w:val="20"/>
        </w:rPr>
      </w:pPr>
      <w:r>
        <w:rPr>
          <w:rFonts w:ascii="Arial" w:hAnsi="Arial" w:cs="Arial"/>
          <w:sz w:val="20"/>
        </w:rPr>
        <w:t>At times I was left with the impression in discussion with some officers of the Department, that they would really like to regard the Court as a natural extension of the Department and that they are uncomfortable with its independence.  Whilst that view was not articulated in a direct way, it is important that even at a subconscious level that attitude be recognized and rejected.  I felt at times, both at a high level within the Department and from speaking with some workers, that there was a view that because a notification of abuse had been investigated by the Department and because it had reached a conclusion as to what order should be made, there was something obstructive about a process by which those opinions and views were independently assessed and at times rejected.</w:t>
      </w:r>
    </w:p>
    <w:p w14:paraId="1BE93A2D" w14:textId="77777777" w:rsidR="005818AF" w:rsidRDefault="005818AF" w:rsidP="005818AF">
      <w:pPr>
        <w:spacing w:before="120"/>
        <w:ind w:left="567" w:right="567"/>
        <w:jc w:val="both"/>
        <w:rPr>
          <w:rFonts w:ascii="Arial" w:hAnsi="Arial" w:cs="Arial"/>
          <w:sz w:val="20"/>
        </w:rPr>
      </w:pPr>
      <w:r>
        <w:rPr>
          <w:rFonts w:ascii="Arial" w:hAnsi="Arial" w:cs="Arial"/>
          <w:sz w:val="20"/>
        </w:rPr>
        <w:t>In reality, the orders sought by the Department are accepted by the Children’s Court in a surprisingly high percentage of cases.  The figures demonstrate that this happened in excess of 80% of cases and even amongst the remaining 20% a number are withdrawn or not proceeded with by the Department as distinct from being rejected by the Court.</w:t>
      </w:r>
    </w:p>
    <w:p w14:paraId="5D699D86" w14:textId="77777777" w:rsidR="005818AF" w:rsidRDefault="005818AF" w:rsidP="005818AF">
      <w:pPr>
        <w:spacing w:before="120"/>
        <w:ind w:left="567" w:right="567"/>
        <w:jc w:val="both"/>
        <w:rPr>
          <w:rFonts w:ascii="Arial" w:hAnsi="Arial" w:cs="Arial"/>
          <w:sz w:val="20"/>
        </w:rPr>
      </w:pPr>
      <w:r>
        <w:rPr>
          <w:rFonts w:ascii="Arial" w:hAnsi="Arial" w:cs="Arial"/>
          <w:sz w:val="20"/>
        </w:rPr>
        <w:t>In my view the Children’s Court must maintain its position of independence and integrity and if anything that position should be reinforced rather than diminished.”</w:t>
      </w:r>
    </w:p>
    <w:p w14:paraId="37CCFAF7" w14:textId="342442A6" w:rsidR="00301C9D" w:rsidRDefault="00301C9D">
      <w:pPr>
        <w:rPr>
          <w:rFonts w:ascii="Arial" w:hAnsi="Arial" w:cs="Arial"/>
          <w:sz w:val="20"/>
        </w:rPr>
      </w:pPr>
    </w:p>
    <w:p w14:paraId="6E1DA861" w14:textId="3AECBA5A" w:rsidR="003A27B7" w:rsidRDefault="003A27B7">
      <w:pPr>
        <w:rPr>
          <w:rFonts w:ascii="Arial" w:hAnsi="Arial" w:cs="Arial"/>
          <w:bCs/>
          <w:sz w:val="20"/>
        </w:rPr>
      </w:pPr>
      <w:r>
        <w:rPr>
          <w:rFonts w:ascii="Arial" w:hAnsi="Arial" w:cs="Arial"/>
          <w:sz w:val="20"/>
        </w:rPr>
        <w:t xml:space="preserve">See also </w:t>
      </w:r>
      <w:r w:rsidRPr="00657490">
        <w:rPr>
          <w:rFonts w:ascii="Arial" w:hAnsi="Arial" w:cs="Arial"/>
          <w:bCs/>
          <w:i/>
          <w:iCs/>
          <w:sz w:val="20"/>
        </w:rPr>
        <w:t>Re</w:t>
      </w:r>
      <w:r>
        <w:rPr>
          <w:rFonts w:ascii="Arial" w:hAnsi="Arial" w:cs="Arial"/>
          <w:bCs/>
          <w:i/>
          <w:iCs/>
          <w:sz w:val="20"/>
        </w:rPr>
        <w:t xml:space="preserve"> </w:t>
      </w:r>
      <w:r w:rsidRPr="00657490">
        <w:rPr>
          <w:rFonts w:ascii="Arial" w:hAnsi="Arial" w:cs="Arial"/>
          <w:bCs/>
          <w:i/>
          <w:iCs/>
          <w:sz w:val="20"/>
        </w:rPr>
        <w:t>C Children</w:t>
      </w:r>
      <w:r>
        <w:rPr>
          <w:rFonts w:ascii="Arial" w:hAnsi="Arial" w:cs="Arial"/>
          <w:bCs/>
          <w:sz w:val="20"/>
        </w:rPr>
        <w:t xml:space="preserve"> [Children’s Court of Victoria-Power M, unreported, 18/07/2013] at pp.98-100.</w:t>
      </w:r>
    </w:p>
    <w:p w14:paraId="26B5D761" w14:textId="77777777" w:rsidR="003A27B7" w:rsidRDefault="003A27B7">
      <w:pPr>
        <w:rPr>
          <w:rFonts w:ascii="Arial" w:hAnsi="Arial" w:cs="Arial"/>
          <w:sz w:val="20"/>
        </w:rPr>
      </w:pPr>
    </w:p>
    <w:p w14:paraId="4DC4B50A" w14:textId="77777777" w:rsidR="00277B85" w:rsidRDefault="00277B85" w:rsidP="00D24533">
      <w:pPr>
        <w:pStyle w:val="Heading2"/>
        <w:keepNext/>
        <w:keepLines/>
        <w:tabs>
          <w:tab w:val="left" w:pos="567"/>
        </w:tabs>
        <w:spacing w:line="240" w:lineRule="auto"/>
        <w:rPr>
          <w:rFonts w:ascii="Arial" w:hAnsi="Arial" w:cs="Arial"/>
          <w:b/>
          <w:bCs/>
        </w:rPr>
      </w:pPr>
      <w:bookmarkStart w:id="109" w:name="_2.2_Judicial_&amp;"/>
      <w:bookmarkStart w:id="110" w:name="_Toc30607522"/>
      <w:bookmarkStart w:id="111" w:name="_Toc30607651"/>
      <w:bookmarkStart w:id="112" w:name="_Toc30607976"/>
      <w:bookmarkStart w:id="113" w:name="_Toc30608790"/>
      <w:bookmarkStart w:id="114" w:name="_Toc30610003"/>
      <w:bookmarkStart w:id="115" w:name="_Toc30610246"/>
      <w:bookmarkStart w:id="116" w:name="_Toc30638400"/>
      <w:bookmarkStart w:id="117" w:name="_Toc30644209"/>
      <w:bookmarkStart w:id="118" w:name="_Toc30644612"/>
      <w:bookmarkStart w:id="119" w:name="_Toc30645162"/>
      <w:bookmarkStart w:id="120" w:name="_Toc30646366"/>
      <w:bookmarkStart w:id="121" w:name="_Toc30646661"/>
      <w:bookmarkStart w:id="122" w:name="_Toc30646771"/>
      <w:bookmarkStart w:id="123" w:name="_Toc30648128"/>
      <w:bookmarkStart w:id="124" w:name="_Toc30649026"/>
      <w:bookmarkStart w:id="125" w:name="_Toc30649102"/>
      <w:bookmarkStart w:id="126" w:name="_Toc30649363"/>
      <w:bookmarkStart w:id="127" w:name="_Toc30649683"/>
      <w:bookmarkStart w:id="128" w:name="_Toc30651617"/>
      <w:bookmarkStart w:id="129" w:name="_Toc30652601"/>
      <w:bookmarkStart w:id="130" w:name="_Toc30652699"/>
      <w:bookmarkStart w:id="131" w:name="_Toc30654044"/>
      <w:bookmarkStart w:id="132" w:name="_Toc30654395"/>
      <w:bookmarkStart w:id="133" w:name="_Toc30655014"/>
      <w:bookmarkStart w:id="134" w:name="_Toc30655271"/>
      <w:bookmarkStart w:id="135" w:name="_Toc30656947"/>
      <w:bookmarkStart w:id="136" w:name="_Toc30661696"/>
      <w:bookmarkStart w:id="137" w:name="_Toc30666384"/>
      <w:bookmarkStart w:id="138" w:name="_Toc30666614"/>
      <w:bookmarkStart w:id="139" w:name="_Toc30667789"/>
      <w:bookmarkStart w:id="140" w:name="_Toc30669167"/>
      <w:bookmarkStart w:id="141" w:name="_Toc30671383"/>
      <w:bookmarkStart w:id="142" w:name="_Toc30673910"/>
      <w:bookmarkStart w:id="143" w:name="_Toc30691132"/>
      <w:bookmarkStart w:id="144" w:name="_Toc30691503"/>
      <w:bookmarkStart w:id="145" w:name="_Toc30691883"/>
      <w:bookmarkStart w:id="146" w:name="_Toc30692642"/>
      <w:bookmarkStart w:id="147" w:name="_Toc30693021"/>
      <w:bookmarkStart w:id="148" w:name="_Toc30693399"/>
      <w:bookmarkStart w:id="149" w:name="_Toc30693778"/>
      <w:bookmarkStart w:id="150" w:name="_Toc30694159"/>
      <w:bookmarkStart w:id="151" w:name="_Toc30698748"/>
      <w:bookmarkStart w:id="152" w:name="_Toc30699126"/>
      <w:bookmarkStart w:id="153" w:name="_Toc30699511"/>
      <w:bookmarkStart w:id="154" w:name="_Toc30700666"/>
      <w:bookmarkStart w:id="155" w:name="_Toc30701053"/>
      <w:bookmarkStart w:id="156" w:name="_Toc30743662"/>
      <w:bookmarkStart w:id="157" w:name="_Toc30754485"/>
      <w:bookmarkStart w:id="158" w:name="_Toc30756925"/>
      <w:bookmarkStart w:id="159" w:name="_Toc30757474"/>
      <w:bookmarkStart w:id="160" w:name="_Toc30757874"/>
      <w:bookmarkStart w:id="161" w:name="_Toc30762635"/>
      <w:bookmarkStart w:id="162" w:name="_Toc30767289"/>
      <w:bookmarkStart w:id="163" w:name="_Toc34823315"/>
      <w:bookmarkEnd w:id="109"/>
      <w:r>
        <w:rPr>
          <w:rFonts w:ascii="Arial" w:hAnsi="Arial" w:cs="Arial"/>
          <w:b/>
          <w:bCs/>
        </w:rPr>
        <w:t>2.2</w:t>
      </w:r>
      <w:r>
        <w:rPr>
          <w:rFonts w:ascii="Arial" w:hAnsi="Arial" w:cs="Arial"/>
          <w:b/>
          <w:bCs/>
        </w:rPr>
        <w:tab/>
        <w:t xml:space="preserve">Judicial &amp; </w:t>
      </w:r>
      <w:r w:rsidR="00C444AC">
        <w:rPr>
          <w:rFonts w:ascii="Arial" w:hAnsi="Arial" w:cs="Arial"/>
          <w:b/>
          <w:bCs/>
        </w:rPr>
        <w:t>A</w:t>
      </w:r>
      <w:r>
        <w:rPr>
          <w:rFonts w:ascii="Arial" w:hAnsi="Arial" w:cs="Arial"/>
          <w:b/>
          <w:bCs/>
        </w:rPr>
        <w:t>dministrative officers of the Court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E621C46" w14:textId="77777777" w:rsidR="00277B85" w:rsidRDefault="00277B85" w:rsidP="00D24533">
      <w:pPr>
        <w:keepNext/>
        <w:keepLines/>
        <w:jc w:val="both"/>
        <w:rPr>
          <w:rFonts w:ascii="Arial" w:hAnsi="Arial" w:cs="Arial"/>
          <w:sz w:val="20"/>
        </w:rPr>
      </w:pPr>
    </w:p>
    <w:p w14:paraId="64E36286" w14:textId="77777777" w:rsidR="00277B85" w:rsidRDefault="00277B85" w:rsidP="00D24533">
      <w:pPr>
        <w:keepNext/>
        <w:keepLines/>
        <w:jc w:val="both"/>
        <w:rPr>
          <w:rFonts w:ascii="Arial" w:hAnsi="Arial" w:cs="Arial"/>
          <w:sz w:val="20"/>
        </w:rPr>
      </w:pPr>
      <w:r>
        <w:rPr>
          <w:rFonts w:ascii="Arial" w:hAnsi="Arial" w:cs="Arial"/>
          <w:sz w:val="20"/>
        </w:rPr>
        <w:t>Under s.</w:t>
      </w:r>
      <w:r w:rsidR="004F4C22">
        <w:rPr>
          <w:rFonts w:ascii="Arial" w:hAnsi="Arial" w:cs="Arial"/>
          <w:sz w:val="20"/>
        </w:rPr>
        <w:t>504</w:t>
      </w:r>
      <w:r>
        <w:rPr>
          <w:rFonts w:ascii="Arial" w:hAnsi="Arial" w:cs="Arial"/>
          <w:sz w:val="20"/>
        </w:rPr>
        <w:t>(2) of the CY</w:t>
      </w:r>
      <w:r w:rsidR="004F4C22">
        <w:rPr>
          <w:rFonts w:ascii="Arial" w:hAnsi="Arial" w:cs="Arial"/>
          <w:sz w:val="20"/>
        </w:rPr>
        <w:t>F</w:t>
      </w:r>
      <w:r>
        <w:rPr>
          <w:rFonts w:ascii="Arial" w:hAnsi="Arial" w:cs="Arial"/>
          <w:sz w:val="20"/>
        </w:rPr>
        <w:t>A, the Court consists of:</w:t>
      </w:r>
    </w:p>
    <w:p w14:paraId="02479842" w14:textId="77777777" w:rsidR="00277B85" w:rsidRDefault="00277B85" w:rsidP="0073729A">
      <w:pPr>
        <w:numPr>
          <w:ilvl w:val="0"/>
          <w:numId w:val="4"/>
        </w:numPr>
        <w:tabs>
          <w:tab w:val="num" w:pos="723"/>
        </w:tabs>
        <w:jc w:val="both"/>
        <w:rPr>
          <w:rFonts w:ascii="Arial" w:hAnsi="Arial" w:cs="Arial"/>
          <w:sz w:val="20"/>
        </w:rPr>
      </w:pPr>
      <w:r>
        <w:rPr>
          <w:rFonts w:ascii="Arial" w:hAnsi="Arial" w:cs="Arial"/>
          <w:sz w:val="20"/>
        </w:rPr>
        <w:t>a President;</w:t>
      </w:r>
    </w:p>
    <w:p w14:paraId="0FA8CCD5" w14:textId="77777777" w:rsidR="00E83AF3" w:rsidRDefault="00277B85" w:rsidP="0073729A">
      <w:pPr>
        <w:numPr>
          <w:ilvl w:val="0"/>
          <w:numId w:val="4"/>
        </w:numPr>
        <w:tabs>
          <w:tab w:val="num" w:pos="723"/>
        </w:tabs>
        <w:jc w:val="both"/>
        <w:rPr>
          <w:rFonts w:ascii="Arial" w:hAnsi="Arial" w:cs="Arial"/>
          <w:sz w:val="20"/>
        </w:rPr>
      </w:pPr>
      <w:r>
        <w:rPr>
          <w:rFonts w:ascii="Arial" w:hAnsi="Arial" w:cs="Arial"/>
          <w:sz w:val="20"/>
        </w:rPr>
        <w:t>the magistrates;</w:t>
      </w:r>
    </w:p>
    <w:p w14:paraId="59C6CB57" w14:textId="77777777" w:rsidR="00277B85" w:rsidRDefault="00E83AF3" w:rsidP="0073729A">
      <w:pPr>
        <w:numPr>
          <w:ilvl w:val="0"/>
          <w:numId w:val="4"/>
        </w:numPr>
        <w:tabs>
          <w:tab w:val="num" w:pos="723"/>
        </w:tabs>
        <w:jc w:val="both"/>
        <w:rPr>
          <w:rFonts w:ascii="Arial" w:hAnsi="Arial" w:cs="Arial"/>
          <w:sz w:val="20"/>
        </w:rPr>
      </w:pPr>
      <w:r>
        <w:rPr>
          <w:rFonts w:ascii="Arial" w:hAnsi="Arial" w:cs="Arial"/>
          <w:sz w:val="20"/>
        </w:rPr>
        <w:t>the judicial registrars;</w:t>
      </w:r>
      <w:r w:rsidR="00277B85">
        <w:rPr>
          <w:rFonts w:ascii="Arial" w:hAnsi="Arial" w:cs="Arial"/>
          <w:sz w:val="20"/>
        </w:rPr>
        <w:t xml:space="preserve"> and</w:t>
      </w:r>
    </w:p>
    <w:p w14:paraId="3A73AFC8" w14:textId="77777777" w:rsidR="00277B85" w:rsidRDefault="00277B85" w:rsidP="0073729A">
      <w:pPr>
        <w:numPr>
          <w:ilvl w:val="0"/>
          <w:numId w:val="4"/>
        </w:numPr>
        <w:tabs>
          <w:tab w:val="num" w:pos="723"/>
        </w:tabs>
        <w:jc w:val="both"/>
        <w:rPr>
          <w:rFonts w:ascii="Arial" w:hAnsi="Arial" w:cs="Arial"/>
          <w:sz w:val="20"/>
        </w:rPr>
      </w:pPr>
      <w:r>
        <w:rPr>
          <w:rFonts w:ascii="Arial" w:hAnsi="Arial" w:cs="Arial"/>
          <w:sz w:val="20"/>
        </w:rPr>
        <w:t>the registrars-</w:t>
      </w:r>
    </w:p>
    <w:p w14:paraId="032B6A12" w14:textId="77777777" w:rsidR="00277B85" w:rsidRDefault="00277B85">
      <w:pPr>
        <w:jc w:val="both"/>
        <w:rPr>
          <w:rFonts w:ascii="Arial" w:hAnsi="Arial" w:cs="Arial"/>
          <w:sz w:val="20"/>
        </w:rPr>
      </w:pPr>
      <w:r>
        <w:rPr>
          <w:rFonts w:ascii="Arial" w:hAnsi="Arial" w:cs="Arial"/>
          <w:sz w:val="20"/>
        </w:rPr>
        <w:t>of the Court.</w:t>
      </w:r>
    </w:p>
    <w:p w14:paraId="3390E2EC" w14:textId="77777777" w:rsidR="00277B85" w:rsidRDefault="00277B85">
      <w:pPr>
        <w:jc w:val="both"/>
        <w:rPr>
          <w:rFonts w:ascii="Arial" w:hAnsi="Arial" w:cs="Arial"/>
          <w:sz w:val="20"/>
        </w:rPr>
      </w:pPr>
    </w:p>
    <w:p w14:paraId="585E3BEC" w14:textId="77777777" w:rsidR="00C34F32" w:rsidRDefault="00277B85">
      <w:pPr>
        <w:jc w:val="both"/>
        <w:rPr>
          <w:rFonts w:ascii="Arial" w:hAnsi="Arial" w:cs="Arial"/>
          <w:sz w:val="20"/>
        </w:rPr>
      </w:pPr>
      <w:r>
        <w:rPr>
          <w:rFonts w:ascii="Arial" w:hAnsi="Arial" w:cs="Arial"/>
          <w:sz w:val="20"/>
        </w:rPr>
        <w:t>The President is a judge of the County Court who is appointed by the Governor in Council on the recommendation of the Attorney-General made after consultation with the Chief Judge: s.</w:t>
      </w:r>
      <w:r w:rsidR="004F4C22">
        <w:rPr>
          <w:rFonts w:ascii="Arial" w:hAnsi="Arial" w:cs="Arial"/>
          <w:sz w:val="20"/>
        </w:rPr>
        <w:t>508</w:t>
      </w:r>
      <w:r>
        <w:rPr>
          <w:rFonts w:ascii="Arial" w:hAnsi="Arial" w:cs="Arial"/>
          <w:sz w:val="20"/>
        </w:rPr>
        <w:t>(2).  The President holds office for a term not exceeding 5 years and is eligible for reappointment: s.</w:t>
      </w:r>
      <w:r w:rsidR="004F4C22">
        <w:rPr>
          <w:rFonts w:ascii="Arial" w:hAnsi="Arial" w:cs="Arial"/>
          <w:sz w:val="20"/>
        </w:rPr>
        <w:t>508</w:t>
      </w:r>
      <w:r>
        <w:rPr>
          <w:rFonts w:ascii="Arial" w:hAnsi="Arial" w:cs="Arial"/>
          <w:sz w:val="20"/>
        </w:rPr>
        <w:t>(3)(a).  The President may exercise any power conferred on a magistrate by or under the CY</w:t>
      </w:r>
      <w:r w:rsidR="00F829F1">
        <w:rPr>
          <w:rFonts w:ascii="Arial" w:hAnsi="Arial" w:cs="Arial"/>
          <w:sz w:val="20"/>
        </w:rPr>
        <w:t>F</w:t>
      </w:r>
      <w:r>
        <w:rPr>
          <w:rFonts w:ascii="Arial" w:hAnsi="Arial" w:cs="Arial"/>
          <w:sz w:val="20"/>
        </w:rPr>
        <w:t xml:space="preserve">A or any other Act: </w:t>
      </w:r>
      <w:r w:rsidR="008A0CA3">
        <w:rPr>
          <w:rFonts w:ascii="Arial" w:hAnsi="Arial" w:cs="Arial"/>
          <w:sz w:val="20"/>
        </w:rPr>
        <w:t>s.</w:t>
      </w:r>
      <w:r w:rsidR="004F4C22">
        <w:rPr>
          <w:rFonts w:ascii="Arial" w:hAnsi="Arial" w:cs="Arial"/>
          <w:sz w:val="20"/>
        </w:rPr>
        <w:t>508</w:t>
      </w:r>
      <w:r w:rsidR="008A0CA3">
        <w:rPr>
          <w:rFonts w:ascii="Arial" w:hAnsi="Arial" w:cs="Arial"/>
          <w:sz w:val="20"/>
        </w:rPr>
        <w:t>(8).</w:t>
      </w:r>
    </w:p>
    <w:p w14:paraId="322DA274" w14:textId="77777777" w:rsidR="00C34F32" w:rsidRDefault="00C34F32">
      <w:pPr>
        <w:jc w:val="both"/>
        <w:rPr>
          <w:rFonts w:ascii="Arial" w:hAnsi="Arial" w:cs="Arial"/>
          <w:sz w:val="20"/>
        </w:rPr>
      </w:pPr>
    </w:p>
    <w:p w14:paraId="1BBE0E31" w14:textId="77777777" w:rsidR="00277B85" w:rsidRPr="00BE6441" w:rsidRDefault="008A0CA3" w:rsidP="005115F8">
      <w:pPr>
        <w:jc w:val="both"/>
        <w:rPr>
          <w:rFonts w:ascii="Arial" w:hAnsi="Arial" w:cs="Arial"/>
          <w:color w:val="000000"/>
          <w:sz w:val="20"/>
        </w:rPr>
      </w:pPr>
      <w:r w:rsidRPr="000E6664">
        <w:rPr>
          <w:rFonts w:ascii="Arial" w:hAnsi="Arial" w:cs="Arial"/>
          <w:color w:val="000000"/>
          <w:sz w:val="20"/>
        </w:rPr>
        <w:t xml:space="preserve">The first </w:t>
      </w:r>
      <w:r w:rsidR="00277B85" w:rsidRPr="000E6664">
        <w:rPr>
          <w:rFonts w:ascii="Arial" w:hAnsi="Arial" w:cs="Arial"/>
          <w:color w:val="000000"/>
          <w:sz w:val="20"/>
        </w:rPr>
        <w:t xml:space="preserve">President of the Court </w:t>
      </w:r>
      <w:r w:rsidRPr="000E6664">
        <w:rPr>
          <w:rFonts w:ascii="Arial" w:hAnsi="Arial" w:cs="Arial"/>
          <w:color w:val="000000"/>
          <w:sz w:val="20"/>
        </w:rPr>
        <w:t>wa</w:t>
      </w:r>
      <w:r w:rsidR="00277B85" w:rsidRPr="000E6664">
        <w:rPr>
          <w:rFonts w:ascii="Arial" w:hAnsi="Arial" w:cs="Arial"/>
          <w:color w:val="000000"/>
          <w:sz w:val="20"/>
        </w:rPr>
        <w:t xml:space="preserve">s Judge Jennifer Coate.  She was appointed in June 2000.  She had previously been Senior Magistrate of the Court since December 1995.  Her predecessor, Mr Greg Levine, is currently a </w:t>
      </w:r>
      <w:r w:rsidR="00C15721">
        <w:rPr>
          <w:rFonts w:ascii="Arial" w:hAnsi="Arial" w:cs="Arial"/>
          <w:color w:val="000000"/>
          <w:sz w:val="20"/>
        </w:rPr>
        <w:t xml:space="preserve">Reserve </w:t>
      </w:r>
      <w:r w:rsidR="00277B85" w:rsidRPr="000E6664">
        <w:rPr>
          <w:rFonts w:ascii="Arial" w:hAnsi="Arial" w:cs="Arial"/>
          <w:color w:val="000000"/>
          <w:sz w:val="20"/>
        </w:rPr>
        <w:t>Magistrate at the Court.</w:t>
      </w:r>
      <w:r w:rsidRPr="000E6664">
        <w:rPr>
          <w:rFonts w:ascii="Arial" w:hAnsi="Arial" w:cs="Arial"/>
          <w:color w:val="000000"/>
          <w:sz w:val="20"/>
        </w:rPr>
        <w:t xml:space="preserve">  The </w:t>
      </w:r>
      <w:r w:rsidR="003011B5" w:rsidRPr="000E6664">
        <w:rPr>
          <w:rFonts w:ascii="Arial" w:hAnsi="Arial" w:cs="Arial"/>
          <w:color w:val="000000"/>
          <w:sz w:val="20"/>
        </w:rPr>
        <w:t>second</w:t>
      </w:r>
      <w:r w:rsidR="00C15721">
        <w:rPr>
          <w:rFonts w:ascii="Arial" w:hAnsi="Arial" w:cs="Arial"/>
          <w:color w:val="000000"/>
          <w:sz w:val="20"/>
        </w:rPr>
        <w:t xml:space="preserve"> President</w:t>
      </w:r>
      <w:r w:rsidRPr="000E6664">
        <w:rPr>
          <w:rFonts w:ascii="Arial" w:hAnsi="Arial" w:cs="Arial"/>
          <w:color w:val="000000"/>
          <w:sz w:val="20"/>
        </w:rPr>
        <w:t xml:space="preserve">, appointed in late April 2006, </w:t>
      </w:r>
      <w:r w:rsidR="003011B5" w:rsidRPr="000E6664">
        <w:rPr>
          <w:rFonts w:ascii="Arial" w:hAnsi="Arial" w:cs="Arial"/>
          <w:color w:val="000000"/>
          <w:sz w:val="20"/>
        </w:rPr>
        <w:t>wa</w:t>
      </w:r>
      <w:r w:rsidRPr="000E6664">
        <w:rPr>
          <w:rFonts w:ascii="Arial" w:hAnsi="Arial" w:cs="Arial"/>
          <w:color w:val="000000"/>
          <w:sz w:val="20"/>
        </w:rPr>
        <w:t xml:space="preserve">s Judge Paul Grant who was previously a </w:t>
      </w:r>
      <w:r w:rsidR="00C34F32" w:rsidRPr="000E6664">
        <w:rPr>
          <w:rFonts w:ascii="Arial" w:hAnsi="Arial" w:cs="Arial"/>
          <w:color w:val="000000"/>
          <w:sz w:val="20"/>
        </w:rPr>
        <w:t>Deputy Chief</w:t>
      </w:r>
      <w:r w:rsidRPr="000E6664">
        <w:rPr>
          <w:rFonts w:ascii="Arial" w:hAnsi="Arial" w:cs="Arial"/>
          <w:color w:val="000000"/>
          <w:sz w:val="20"/>
        </w:rPr>
        <w:t xml:space="preserve"> Magistrate in the Magistrates’ Court.</w:t>
      </w:r>
      <w:r w:rsidR="003011B5" w:rsidRPr="000E6664">
        <w:rPr>
          <w:rFonts w:ascii="Arial" w:hAnsi="Arial" w:cs="Arial"/>
          <w:color w:val="000000"/>
          <w:sz w:val="20"/>
        </w:rPr>
        <w:t xml:space="preserve">  </w:t>
      </w:r>
      <w:r w:rsidR="00C15721" w:rsidRPr="00BE6441">
        <w:rPr>
          <w:rFonts w:ascii="Arial" w:hAnsi="Arial" w:cs="Arial"/>
          <w:color w:val="000000"/>
          <w:sz w:val="20"/>
        </w:rPr>
        <w:t>The third President</w:t>
      </w:r>
      <w:r w:rsidR="003011B5" w:rsidRPr="00BE6441">
        <w:rPr>
          <w:rFonts w:ascii="Arial" w:hAnsi="Arial" w:cs="Arial"/>
          <w:color w:val="000000"/>
          <w:sz w:val="20"/>
        </w:rPr>
        <w:t xml:space="preserve">, appointed on 01 May 2013, </w:t>
      </w:r>
      <w:r w:rsidR="00C15721" w:rsidRPr="00BE6441">
        <w:rPr>
          <w:rFonts w:ascii="Arial" w:hAnsi="Arial" w:cs="Arial"/>
          <w:color w:val="000000"/>
          <w:sz w:val="20"/>
        </w:rPr>
        <w:t>wa</w:t>
      </w:r>
      <w:r w:rsidR="003011B5" w:rsidRPr="00BE6441">
        <w:rPr>
          <w:rFonts w:ascii="Arial" w:hAnsi="Arial" w:cs="Arial"/>
          <w:color w:val="000000"/>
          <w:sz w:val="20"/>
        </w:rPr>
        <w:t>s Judge Peter Couzens who was previously a Regional Coordinating Magistrate.</w:t>
      </w:r>
      <w:r w:rsidR="00C15721" w:rsidRPr="00BE6441">
        <w:rPr>
          <w:rFonts w:ascii="Arial" w:hAnsi="Arial" w:cs="Arial"/>
          <w:color w:val="000000"/>
          <w:sz w:val="20"/>
        </w:rPr>
        <w:t xml:space="preserve">  The </w:t>
      </w:r>
      <w:r w:rsidR="00F108E1" w:rsidRPr="00BE6441">
        <w:rPr>
          <w:rFonts w:ascii="Arial" w:hAnsi="Arial" w:cs="Arial"/>
          <w:color w:val="000000"/>
          <w:sz w:val="20"/>
        </w:rPr>
        <w:t>fourth</w:t>
      </w:r>
      <w:r w:rsidR="00C15721" w:rsidRPr="00BE6441">
        <w:rPr>
          <w:rFonts w:ascii="Arial" w:hAnsi="Arial" w:cs="Arial"/>
          <w:color w:val="000000"/>
          <w:sz w:val="20"/>
        </w:rPr>
        <w:t xml:space="preserve"> President, appointed on </w:t>
      </w:r>
      <w:r w:rsidR="00015A24" w:rsidRPr="00BE6441">
        <w:rPr>
          <w:rFonts w:ascii="Arial" w:hAnsi="Arial" w:cs="Arial"/>
          <w:color w:val="000000"/>
          <w:sz w:val="20"/>
        </w:rPr>
        <w:t>12</w:t>
      </w:r>
      <w:r w:rsidR="00C15721" w:rsidRPr="00BE6441">
        <w:rPr>
          <w:rFonts w:ascii="Arial" w:hAnsi="Arial" w:cs="Arial"/>
          <w:color w:val="000000"/>
          <w:sz w:val="20"/>
        </w:rPr>
        <w:t xml:space="preserve"> May 2015, </w:t>
      </w:r>
      <w:r w:rsidR="00F108E1" w:rsidRPr="00BE6441">
        <w:rPr>
          <w:rFonts w:ascii="Arial" w:hAnsi="Arial" w:cs="Arial"/>
          <w:color w:val="000000"/>
          <w:sz w:val="20"/>
        </w:rPr>
        <w:t>wa</w:t>
      </w:r>
      <w:r w:rsidR="00C15721" w:rsidRPr="00BE6441">
        <w:rPr>
          <w:rFonts w:ascii="Arial" w:hAnsi="Arial" w:cs="Arial"/>
          <w:color w:val="000000"/>
          <w:sz w:val="20"/>
        </w:rPr>
        <w:t>s Judge Amanda Chambers who was previously a Magistrate.</w:t>
      </w:r>
      <w:r w:rsidR="00F108E1" w:rsidRPr="00BE6441">
        <w:rPr>
          <w:rFonts w:ascii="Arial" w:hAnsi="Arial" w:cs="Arial"/>
          <w:color w:val="000000"/>
          <w:sz w:val="20"/>
        </w:rPr>
        <w:t xml:space="preserve">  The current President, as and from 01 January 2021, is Judge Jack Vandersteen who was previously a Regional Coordinating Magistrate.</w:t>
      </w:r>
    </w:p>
    <w:p w14:paraId="65331D4E" w14:textId="77777777" w:rsidR="00277B85" w:rsidRPr="000E6664" w:rsidRDefault="00277B85">
      <w:pPr>
        <w:jc w:val="both"/>
        <w:rPr>
          <w:rFonts w:ascii="Arial" w:hAnsi="Arial" w:cs="Arial"/>
          <w:color w:val="000000"/>
          <w:sz w:val="20"/>
        </w:rPr>
      </w:pPr>
    </w:p>
    <w:p w14:paraId="74F81951" w14:textId="05666BB9" w:rsidR="00277B85" w:rsidRPr="000E6664" w:rsidRDefault="00277B85">
      <w:pPr>
        <w:jc w:val="both"/>
        <w:rPr>
          <w:rFonts w:ascii="Arial" w:hAnsi="Arial" w:cs="Arial"/>
          <w:color w:val="000000"/>
          <w:sz w:val="20"/>
        </w:rPr>
      </w:pPr>
      <w:r w:rsidRPr="000E6664">
        <w:rPr>
          <w:rFonts w:ascii="Arial" w:hAnsi="Arial" w:cs="Arial"/>
          <w:color w:val="000000"/>
          <w:sz w:val="20"/>
        </w:rPr>
        <w:t>The President, after consulting the Chief Magistrate, may assign any person who is appointed a magistrate or a</w:t>
      </w:r>
      <w:r w:rsidR="000D597F" w:rsidRPr="000E6664">
        <w:rPr>
          <w:rFonts w:ascii="Arial" w:hAnsi="Arial" w:cs="Arial"/>
          <w:color w:val="000000"/>
          <w:sz w:val="20"/>
        </w:rPr>
        <w:t xml:space="preserve"> reserve</w:t>
      </w:r>
      <w:r w:rsidRPr="000E6664">
        <w:rPr>
          <w:rFonts w:ascii="Arial" w:hAnsi="Arial" w:cs="Arial"/>
          <w:color w:val="000000"/>
          <w:sz w:val="20"/>
        </w:rPr>
        <w:t xml:space="preserve"> magistrate to be a magistrate for the Court, whether exclusively or in addition to any other duties: s.</w:t>
      </w:r>
      <w:r w:rsidR="001D4301" w:rsidRPr="000E6664">
        <w:rPr>
          <w:rFonts w:ascii="Arial" w:hAnsi="Arial" w:cs="Arial"/>
          <w:color w:val="000000"/>
          <w:sz w:val="20"/>
        </w:rPr>
        <w:t>507</w:t>
      </w:r>
      <w:r w:rsidRPr="000E6664">
        <w:rPr>
          <w:rFonts w:ascii="Arial" w:hAnsi="Arial" w:cs="Arial"/>
          <w:color w:val="000000"/>
          <w:sz w:val="20"/>
        </w:rPr>
        <w:t>(1).  In making such assignment, the President must have regard to the experience of the person assigned in matters relating to child welfare: s.</w:t>
      </w:r>
      <w:r w:rsidR="001D4301" w:rsidRPr="000E6664">
        <w:rPr>
          <w:rFonts w:ascii="Arial" w:hAnsi="Arial" w:cs="Arial"/>
          <w:color w:val="000000"/>
          <w:sz w:val="20"/>
        </w:rPr>
        <w:t>507</w:t>
      </w:r>
      <w:r w:rsidRPr="000E6664">
        <w:rPr>
          <w:rFonts w:ascii="Arial" w:hAnsi="Arial" w:cs="Arial"/>
          <w:color w:val="000000"/>
          <w:sz w:val="20"/>
        </w:rPr>
        <w:t>(2).  The President, after consulting the Chief Magistrate, may at any time revoke such assignment: s.</w:t>
      </w:r>
      <w:r w:rsidR="001D4301" w:rsidRPr="000E6664">
        <w:rPr>
          <w:rFonts w:ascii="Arial" w:hAnsi="Arial" w:cs="Arial"/>
          <w:color w:val="000000"/>
          <w:sz w:val="20"/>
        </w:rPr>
        <w:t>507</w:t>
      </w:r>
      <w:r w:rsidRPr="000E6664">
        <w:rPr>
          <w:rFonts w:ascii="Arial" w:hAnsi="Arial" w:cs="Arial"/>
          <w:color w:val="000000"/>
          <w:sz w:val="20"/>
        </w:rPr>
        <w:t>(3).</w:t>
      </w:r>
      <w:r w:rsidR="00832A7F">
        <w:rPr>
          <w:rFonts w:ascii="Arial" w:hAnsi="Arial" w:cs="Arial"/>
          <w:color w:val="000000"/>
          <w:sz w:val="20"/>
        </w:rPr>
        <w:t xml:space="preserve">  See also </w:t>
      </w:r>
      <w:hyperlink w:anchor="_2.6_A_specialist" w:history="1">
        <w:r w:rsidR="00832A7F" w:rsidRPr="00784343">
          <w:rPr>
            <w:rStyle w:val="Hyperlink"/>
            <w:rFonts w:ascii="Arial" w:hAnsi="Arial" w:cs="Arial"/>
            <w:b/>
            <w:bCs/>
            <w:sz w:val="20"/>
            <w:shd w:val="clear" w:color="auto" w:fill="C5E0B3"/>
          </w:rPr>
          <w:t>Part 2.6</w:t>
        </w:r>
      </w:hyperlink>
      <w:r w:rsidR="00832A7F">
        <w:rPr>
          <w:rFonts w:ascii="Arial" w:hAnsi="Arial" w:cs="Arial"/>
          <w:color w:val="000000"/>
          <w:sz w:val="20"/>
        </w:rPr>
        <w:t xml:space="preserve"> below.</w:t>
      </w:r>
    </w:p>
    <w:p w14:paraId="6CF02C6A" w14:textId="77777777" w:rsidR="00277B85" w:rsidRPr="000E6664" w:rsidRDefault="00277B85">
      <w:pPr>
        <w:jc w:val="both"/>
        <w:rPr>
          <w:rFonts w:ascii="Arial" w:hAnsi="Arial" w:cs="Arial"/>
          <w:color w:val="000000"/>
          <w:sz w:val="20"/>
        </w:rPr>
      </w:pPr>
    </w:p>
    <w:p w14:paraId="54E4BF3D" w14:textId="77777777" w:rsidR="00277B85" w:rsidRPr="000E6664" w:rsidRDefault="00277B85">
      <w:pPr>
        <w:jc w:val="both"/>
        <w:rPr>
          <w:rFonts w:ascii="Arial" w:hAnsi="Arial" w:cs="Arial"/>
          <w:color w:val="000000"/>
          <w:sz w:val="20"/>
        </w:rPr>
      </w:pPr>
      <w:r w:rsidRPr="000E6664">
        <w:rPr>
          <w:rFonts w:ascii="Arial" w:hAnsi="Arial" w:cs="Arial"/>
          <w:color w:val="000000"/>
          <w:sz w:val="20"/>
        </w:rPr>
        <w:t>Under ss.</w:t>
      </w:r>
      <w:r w:rsidR="001D4301" w:rsidRPr="000E6664">
        <w:rPr>
          <w:rFonts w:ascii="Arial" w:hAnsi="Arial" w:cs="Arial"/>
          <w:color w:val="000000"/>
          <w:sz w:val="20"/>
        </w:rPr>
        <w:t>509</w:t>
      </w:r>
      <w:r w:rsidRPr="000E6664">
        <w:rPr>
          <w:rFonts w:ascii="Arial" w:hAnsi="Arial" w:cs="Arial"/>
          <w:color w:val="000000"/>
          <w:sz w:val="20"/>
        </w:rPr>
        <w:t xml:space="preserve">(1) &amp; </w:t>
      </w:r>
      <w:r w:rsidR="001D4301" w:rsidRPr="000E6664">
        <w:rPr>
          <w:rFonts w:ascii="Arial" w:hAnsi="Arial" w:cs="Arial"/>
          <w:color w:val="000000"/>
          <w:sz w:val="20"/>
        </w:rPr>
        <w:t>509</w:t>
      </w:r>
      <w:r w:rsidRPr="000E6664">
        <w:rPr>
          <w:rFonts w:ascii="Arial" w:hAnsi="Arial" w:cs="Arial"/>
          <w:color w:val="000000"/>
          <w:sz w:val="20"/>
        </w:rPr>
        <w:t>(3), the Governor in Council may appoint a magistrate nominated by the President to be Acting President for a term not exceeding 3 months during any period when:</w:t>
      </w:r>
    </w:p>
    <w:p w14:paraId="6689742E" w14:textId="77777777" w:rsidR="00277B85" w:rsidRPr="000E6664" w:rsidRDefault="00277B85" w:rsidP="0073729A">
      <w:pPr>
        <w:numPr>
          <w:ilvl w:val="0"/>
          <w:numId w:val="5"/>
        </w:numPr>
        <w:tabs>
          <w:tab w:val="num" w:pos="723"/>
        </w:tabs>
        <w:jc w:val="both"/>
        <w:rPr>
          <w:rFonts w:ascii="Arial" w:hAnsi="Arial" w:cs="Arial"/>
          <w:color w:val="000000"/>
          <w:sz w:val="20"/>
        </w:rPr>
      </w:pPr>
      <w:r w:rsidRPr="000E6664">
        <w:rPr>
          <w:rFonts w:ascii="Arial" w:hAnsi="Arial" w:cs="Arial"/>
          <w:color w:val="000000"/>
          <w:sz w:val="20"/>
        </w:rPr>
        <w:t>there is a vacancy in the office of President; or</w:t>
      </w:r>
    </w:p>
    <w:p w14:paraId="423AED91" w14:textId="77777777" w:rsidR="00277B85" w:rsidRPr="000E6664" w:rsidRDefault="00277B85" w:rsidP="0073729A">
      <w:pPr>
        <w:numPr>
          <w:ilvl w:val="0"/>
          <w:numId w:val="5"/>
        </w:numPr>
        <w:tabs>
          <w:tab w:val="num" w:pos="723"/>
        </w:tabs>
        <w:jc w:val="both"/>
        <w:rPr>
          <w:rFonts w:ascii="Arial" w:hAnsi="Arial" w:cs="Arial"/>
          <w:color w:val="000000"/>
          <w:sz w:val="20"/>
        </w:rPr>
      </w:pPr>
      <w:r w:rsidRPr="000E6664">
        <w:rPr>
          <w:rFonts w:ascii="Arial" w:hAnsi="Arial" w:cs="Arial"/>
          <w:color w:val="000000"/>
          <w:sz w:val="20"/>
        </w:rPr>
        <w:t>the President is absent on leave or temporarily unable to perform the duties of the office.</w:t>
      </w:r>
    </w:p>
    <w:p w14:paraId="69B899E2" w14:textId="77777777" w:rsidR="00F829F1" w:rsidRDefault="00F829F1" w:rsidP="00F829F1">
      <w:pPr>
        <w:jc w:val="both"/>
        <w:rPr>
          <w:rFonts w:ascii="Arial" w:hAnsi="Arial" w:cs="Arial"/>
          <w:color w:val="000000"/>
          <w:sz w:val="20"/>
        </w:rPr>
      </w:pPr>
    </w:p>
    <w:p w14:paraId="06C265C6" w14:textId="77777777" w:rsidR="007E161F" w:rsidRDefault="007E161F" w:rsidP="007E161F">
      <w:pPr>
        <w:jc w:val="both"/>
        <w:rPr>
          <w:rFonts w:ascii="Arial" w:hAnsi="Arial" w:cs="Arial"/>
          <w:color w:val="000000"/>
          <w:sz w:val="20"/>
        </w:rPr>
      </w:pPr>
      <w:r>
        <w:rPr>
          <w:rFonts w:ascii="Arial" w:hAnsi="Arial" w:cs="Arial"/>
          <w:color w:val="000000"/>
          <w:sz w:val="20"/>
        </w:rPr>
        <w:t xml:space="preserve">Provisions relating to judicial registrars, including appointment, duties, powers, remuneration and terms &amp; conditions, are set out in Part 7.6A of the CYFA and in the </w:t>
      </w:r>
      <w:r w:rsidRPr="00F66CA4">
        <w:rPr>
          <w:rFonts w:ascii="Arial" w:hAnsi="Arial" w:cs="Arial"/>
          <w:i/>
          <w:iCs/>
          <w:color w:val="000000"/>
          <w:sz w:val="20"/>
        </w:rPr>
        <w:t>Children, Youth and Families (Children’s Court Judicial Registrars) Rules 2021</w:t>
      </w:r>
      <w:r>
        <w:rPr>
          <w:rFonts w:ascii="Arial" w:hAnsi="Arial" w:cs="Arial"/>
          <w:color w:val="000000"/>
          <w:sz w:val="20"/>
        </w:rPr>
        <w:t xml:space="preserve"> [S.R.No.22/2021], as amended from 23/07/2021 by S.R.No.90/2021.  The powers of judicial registrars in the Children’s Court include the power:</w:t>
      </w:r>
    </w:p>
    <w:p w14:paraId="6AC70431"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2.03</w:t>
      </w:r>
      <w:r>
        <w:rPr>
          <w:rFonts w:ascii="Arial" w:hAnsi="Arial" w:cs="Arial"/>
          <w:color w:val="000000"/>
          <w:sz w:val="20"/>
        </w:rPr>
        <w:t>: to deal with the 6 listed matters whether or not contested;</w:t>
      </w:r>
    </w:p>
    <w:p w14:paraId="6FF8AC88" w14:textId="77777777" w:rsidR="007E161F" w:rsidRPr="000E6664" w:rsidRDefault="007E161F" w:rsidP="007E161F">
      <w:pPr>
        <w:numPr>
          <w:ilvl w:val="0"/>
          <w:numId w:val="7"/>
        </w:numPr>
        <w:tabs>
          <w:tab w:val="num" w:pos="723"/>
        </w:tabs>
        <w:ind w:left="907" w:hanging="907"/>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2.04</w:t>
      </w:r>
      <w:r>
        <w:rPr>
          <w:rFonts w:ascii="Arial" w:hAnsi="Arial" w:cs="Arial"/>
          <w:color w:val="000000"/>
          <w:sz w:val="20"/>
        </w:rPr>
        <w:t>: to deal with the 11 listed Criminal Division matters whether or not contested;</w:t>
      </w:r>
    </w:p>
    <w:p w14:paraId="31FFCA6E"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2.05</w:t>
      </w:r>
      <w:r>
        <w:rPr>
          <w:rFonts w:ascii="Arial" w:hAnsi="Arial" w:cs="Arial"/>
          <w:color w:val="000000"/>
          <w:sz w:val="20"/>
        </w:rPr>
        <w:t>: to deal with the 4 listed Criminal Division matters – including diversion – if uncontested;</w:t>
      </w:r>
    </w:p>
    <w:p w14:paraId="3D059C87" w14:textId="77777777" w:rsidR="007E161F"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4A65A2">
        <w:rPr>
          <w:rFonts w:ascii="Arial" w:hAnsi="Arial" w:cs="Arial"/>
          <w:color w:val="000000"/>
          <w:sz w:val="20"/>
          <w:u w:val="single"/>
        </w:rPr>
        <w:t>2.06</w:t>
      </w:r>
      <w:r>
        <w:rPr>
          <w:rFonts w:ascii="Arial" w:hAnsi="Arial" w:cs="Arial"/>
          <w:color w:val="000000"/>
          <w:sz w:val="20"/>
        </w:rPr>
        <w:t xml:space="preserve">: to deal with the 5 listed Family Division matters – including matters under the </w:t>
      </w:r>
      <w:r w:rsidRPr="004A65A2">
        <w:rPr>
          <w:rFonts w:ascii="Arial" w:hAnsi="Arial" w:cs="Arial"/>
          <w:i/>
          <w:iCs/>
          <w:color w:val="000000"/>
          <w:sz w:val="20"/>
        </w:rPr>
        <w:t>Family Violence Protection Act 2008</w:t>
      </w:r>
      <w:r>
        <w:rPr>
          <w:rFonts w:ascii="Arial" w:hAnsi="Arial" w:cs="Arial"/>
          <w:color w:val="000000"/>
          <w:sz w:val="20"/>
        </w:rPr>
        <w:t xml:space="preserve"> and the </w:t>
      </w:r>
      <w:r w:rsidRPr="004A65A2">
        <w:rPr>
          <w:rFonts w:ascii="Arial" w:hAnsi="Arial" w:cs="Arial"/>
          <w:i/>
          <w:iCs/>
          <w:color w:val="000000"/>
          <w:sz w:val="20"/>
        </w:rPr>
        <w:t>Personal Safety Intervention Orders Act 2010</w:t>
      </w:r>
      <w:r>
        <w:rPr>
          <w:rFonts w:ascii="Arial" w:hAnsi="Arial" w:cs="Arial"/>
          <w:color w:val="000000"/>
          <w:sz w:val="20"/>
        </w:rPr>
        <w:t xml:space="preserve"> – whether or not contested;</w:t>
      </w:r>
    </w:p>
    <w:p w14:paraId="1B52B439" w14:textId="77777777" w:rsidR="007E161F" w:rsidRPr="000E6664" w:rsidRDefault="007E161F" w:rsidP="007E161F">
      <w:pPr>
        <w:numPr>
          <w:ilvl w:val="0"/>
          <w:numId w:val="7"/>
        </w:numPr>
        <w:tabs>
          <w:tab w:val="num" w:pos="723"/>
        </w:tabs>
        <w:jc w:val="both"/>
        <w:rPr>
          <w:rFonts w:ascii="Arial" w:hAnsi="Arial" w:cs="Arial"/>
          <w:color w:val="000000"/>
          <w:sz w:val="20"/>
        </w:rPr>
      </w:pPr>
      <w:r w:rsidRPr="00012988">
        <w:rPr>
          <w:rFonts w:ascii="Arial" w:hAnsi="Arial" w:cs="Arial"/>
          <w:color w:val="000000"/>
          <w:sz w:val="20"/>
          <w:u w:val="single"/>
        </w:rPr>
        <w:t>r.2.07</w:t>
      </w:r>
      <w:r>
        <w:rPr>
          <w:rFonts w:ascii="Arial" w:hAnsi="Arial" w:cs="Arial"/>
          <w:color w:val="000000"/>
          <w:sz w:val="20"/>
        </w:rPr>
        <w:t>: in addition to r.2.06(1) to deal with any other uncontested Family Division applications;</w:t>
      </w:r>
    </w:p>
    <w:p w14:paraId="4ED8A5A1"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4A65A2">
        <w:rPr>
          <w:rFonts w:ascii="Arial" w:hAnsi="Arial" w:cs="Arial"/>
          <w:color w:val="000000"/>
          <w:sz w:val="20"/>
          <w:u w:val="single"/>
        </w:rPr>
        <w:t>2.0</w:t>
      </w:r>
      <w:r>
        <w:rPr>
          <w:rFonts w:ascii="Arial" w:hAnsi="Arial" w:cs="Arial"/>
          <w:color w:val="000000"/>
          <w:sz w:val="20"/>
          <w:u w:val="single"/>
        </w:rPr>
        <w:t>9</w:t>
      </w:r>
      <w:r>
        <w:rPr>
          <w:rFonts w:ascii="Arial" w:hAnsi="Arial" w:cs="Arial"/>
          <w:color w:val="000000"/>
          <w:sz w:val="20"/>
        </w:rPr>
        <w:t>: to perform the duties and exercise the powers of registrars.</w:t>
      </w:r>
    </w:p>
    <w:p w14:paraId="6856F0CC" w14:textId="77777777" w:rsidR="007E161F" w:rsidRPr="000E6664" w:rsidRDefault="007E161F" w:rsidP="007E161F">
      <w:pPr>
        <w:tabs>
          <w:tab w:val="num" w:pos="723"/>
        </w:tabs>
        <w:jc w:val="both"/>
        <w:rPr>
          <w:rFonts w:ascii="Arial" w:hAnsi="Arial" w:cs="Arial"/>
          <w:color w:val="000000"/>
          <w:sz w:val="20"/>
        </w:rPr>
      </w:pPr>
      <w:r>
        <w:rPr>
          <w:rFonts w:ascii="Arial" w:hAnsi="Arial" w:cs="Arial"/>
          <w:color w:val="000000"/>
          <w:sz w:val="20"/>
        </w:rPr>
        <w:t>In addition, r.2.06(2) provides that the Court constituted by a judicial registrar may preside at the following hearing types in the Family Division: a judicial resolution conference, a readiness hearing, a directions hearing, a mention or special mention and a return from a conciliation conference.</w:t>
      </w:r>
    </w:p>
    <w:p w14:paraId="6A609DBF" w14:textId="77777777" w:rsidR="007E161F" w:rsidRPr="000E6664" w:rsidRDefault="007E161F" w:rsidP="007E161F">
      <w:pPr>
        <w:jc w:val="both"/>
        <w:rPr>
          <w:rFonts w:ascii="Arial" w:hAnsi="Arial" w:cs="Arial"/>
          <w:color w:val="000000"/>
          <w:sz w:val="20"/>
        </w:rPr>
      </w:pPr>
    </w:p>
    <w:p w14:paraId="0209AA0F" w14:textId="42702403" w:rsidR="00277B85" w:rsidRPr="000E6664" w:rsidRDefault="004938D3">
      <w:pPr>
        <w:jc w:val="both"/>
        <w:rPr>
          <w:rFonts w:ascii="Arial" w:hAnsi="Arial" w:cs="Arial"/>
          <w:color w:val="000000"/>
          <w:sz w:val="20"/>
        </w:rPr>
      </w:pPr>
      <w:r>
        <w:rPr>
          <w:rFonts w:ascii="Arial" w:hAnsi="Arial" w:cs="Arial"/>
          <w:color w:val="000000"/>
          <w:sz w:val="20"/>
        </w:rPr>
        <w:t>T</w:t>
      </w:r>
      <w:r w:rsidR="00277B85" w:rsidRPr="000E6664">
        <w:rPr>
          <w:rFonts w:ascii="Arial" w:hAnsi="Arial" w:cs="Arial"/>
          <w:color w:val="000000"/>
          <w:sz w:val="20"/>
        </w:rPr>
        <w:t>he President may assign duties to a magistrate for the Court [s.</w:t>
      </w:r>
      <w:r w:rsidR="001D4301" w:rsidRPr="000E6664">
        <w:rPr>
          <w:rFonts w:ascii="Arial" w:hAnsi="Arial" w:cs="Arial"/>
          <w:color w:val="000000"/>
          <w:sz w:val="20"/>
        </w:rPr>
        <w:t>5</w:t>
      </w:r>
      <w:r w:rsidR="00277B85" w:rsidRPr="000E6664">
        <w:rPr>
          <w:rFonts w:ascii="Arial" w:hAnsi="Arial" w:cs="Arial"/>
          <w:color w:val="000000"/>
          <w:sz w:val="20"/>
        </w:rPr>
        <w:t>1</w:t>
      </w:r>
      <w:r w:rsidR="001D4301" w:rsidRPr="000E6664">
        <w:rPr>
          <w:rFonts w:ascii="Arial" w:hAnsi="Arial" w:cs="Arial"/>
          <w:color w:val="000000"/>
          <w:sz w:val="20"/>
        </w:rPr>
        <w:t>0</w:t>
      </w:r>
      <w:r w:rsidR="00277B85" w:rsidRPr="000E6664">
        <w:rPr>
          <w:rFonts w:ascii="Arial" w:hAnsi="Arial" w:cs="Arial"/>
          <w:color w:val="000000"/>
          <w:sz w:val="20"/>
        </w:rPr>
        <w:t xml:space="preserve">(1)] </w:t>
      </w:r>
      <w:r w:rsidR="00F829F1">
        <w:rPr>
          <w:rFonts w:ascii="Arial" w:hAnsi="Arial" w:cs="Arial"/>
          <w:color w:val="000000"/>
          <w:sz w:val="20"/>
        </w:rPr>
        <w:t>and to a judicial registrar [s.542A(1)].  S</w:t>
      </w:r>
      <w:r w:rsidR="00277B85" w:rsidRPr="000E6664">
        <w:rPr>
          <w:rFonts w:ascii="Arial" w:hAnsi="Arial" w:cs="Arial"/>
          <w:color w:val="000000"/>
          <w:sz w:val="20"/>
        </w:rPr>
        <w:t>uch magistrate</w:t>
      </w:r>
      <w:r w:rsidR="00F829F1">
        <w:rPr>
          <w:rFonts w:ascii="Arial" w:hAnsi="Arial" w:cs="Arial"/>
          <w:color w:val="000000"/>
          <w:sz w:val="20"/>
        </w:rPr>
        <w:t>/judicial registrar</w:t>
      </w:r>
      <w:r w:rsidR="00277B85" w:rsidRPr="000E6664">
        <w:rPr>
          <w:rFonts w:ascii="Arial" w:hAnsi="Arial" w:cs="Arial"/>
          <w:color w:val="000000"/>
          <w:sz w:val="20"/>
        </w:rPr>
        <w:t xml:space="preserve"> must carry out the duties so assigned [s.</w:t>
      </w:r>
      <w:r w:rsidR="001D4301" w:rsidRPr="000E6664">
        <w:rPr>
          <w:rFonts w:ascii="Arial" w:hAnsi="Arial" w:cs="Arial"/>
          <w:color w:val="000000"/>
          <w:sz w:val="20"/>
        </w:rPr>
        <w:t>5</w:t>
      </w:r>
      <w:r w:rsidR="00277B85" w:rsidRPr="000E6664">
        <w:rPr>
          <w:rFonts w:ascii="Arial" w:hAnsi="Arial" w:cs="Arial"/>
          <w:color w:val="000000"/>
          <w:sz w:val="20"/>
        </w:rPr>
        <w:t>1</w:t>
      </w:r>
      <w:r w:rsidR="001D4301" w:rsidRPr="000E6664">
        <w:rPr>
          <w:rFonts w:ascii="Arial" w:hAnsi="Arial" w:cs="Arial"/>
          <w:color w:val="000000"/>
          <w:sz w:val="20"/>
        </w:rPr>
        <w:t>0</w:t>
      </w:r>
      <w:r w:rsidR="00277B85" w:rsidRPr="000E6664">
        <w:rPr>
          <w:rFonts w:ascii="Arial" w:hAnsi="Arial" w:cs="Arial"/>
          <w:color w:val="000000"/>
          <w:sz w:val="20"/>
        </w:rPr>
        <w:t>(2)</w:t>
      </w:r>
      <w:r w:rsidR="00F829F1">
        <w:rPr>
          <w:rFonts w:ascii="Arial" w:hAnsi="Arial" w:cs="Arial"/>
          <w:color w:val="000000"/>
          <w:sz w:val="20"/>
        </w:rPr>
        <w:t>/ s.542A(2)</w:t>
      </w:r>
      <w:r w:rsidR="00277B85" w:rsidRPr="000E6664">
        <w:rPr>
          <w:rFonts w:ascii="Arial" w:hAnsi="Arial" w:cs="Arial"/>
          <w:color w:val="000000"/>
          <w:sz w:val="20"/>
        </w:rPr>
        <w:t xml:space="preserve">].  </w:t>
      </w:r>
      <w:r w:rsidR="008063F9">
        <w:rPr>
          <w:rFonts w:ascii="Arial" w:hAnsi="Arial" w:cs="Arial"/>
          <w:color w:val="000000"/>
          <w:sz w:val="20"/>
        </w:rPr>
        <w:t xml:space="preserve">Nothing in s.13 of the Magistrates’ Court Act 1989 gives the Chief Magistrate any power to assign duties to a magistrate for the Children’s Court in respect of his or her office as a magistrate for the Court [s.510(3)].  </w:t>
      </w:r>
      <w:r w:rsidR="00277B85" w:rsidRPr="000E6664">
        <w:rPr>
          <w:rFonts w:ascii="Arial" w:hAnsi="Arial" w:cs="Arial"/>
          <w:color w:val="000000"/>
          <w:sz w:val="20"/>
        </w:rPr>
        <w:t>It is important to note that although the President has power to assign duties to a magistrate</w:t>
      </w:r>
      <w:r w:rsidR="00F829F1">
        <w:rPr>
          <w:rFonts w:ascii="Arial" w:hAnsi="Arial" w:cs="Arial"/>
          <w:color w:val="000000"/>
          <w:sz w:val="20"/>
        </w:rPr>
        <w:t xml:space="preserve"> and to a judicial registrar</w:t>
      </w:r>
      <w:r w:rsidR="00277B85" w:rsidRPr="000E6664">
        <w:rPr>
          <w:rFonts w:ascii="Arial" w:hAnsi="Arial" w:cs="Arial"/>
          <w:color w:val="000000"/>
          <w:sz w:val="20"/>
        </w:rPr>
        <w:t xml:space="preserve">, the principles of judicial independence do not permit the President to direct a magistrate </w:t>
      </w:r>
      <w:r w:rsidR="00F829F1">
        <w:rPr>
          <w:rFonts w:ascii="Arial" w:hAnsi="Arial" w:cs="Arial"/>
          <w:color w:val="000000"/>
          <w:sz w:val="20"/>
        </w:rPr>
        <w:t xml:space="preserve">or a judicial registrar </w:t>
      </w:r>
      <w:r w:rsidR="00277B85" w:rsidRPr="000E6664">
        <w:rPr>
          <w:rFonts w:ascii="Arial" w:hAnsi="Arial" w:cs="Arial"/>
          <w:color w:val="000000"/>
          <w:sz w:val="20"/>
        </w:rPr>
        <w:t>as to how to carry out his or her judicial function.</w:t>
      </w:r>
    </w:p>
    <w:p w14:paraId="47CDA8C9" w14:textId="77777777" w:rsidR="00E83AF3" w:rsidRPr="000E6664" w:rsidRDefault="00E83AF3">
      <w:pPr>
        <w:jc w:val="both"/>
        <w:rPr>
          <w:rFonts w:ascii="Arial" w:hAnsi="Arial" w:cs="Arial"/>
          <w:color w:val="000000"/>
          <w:sz w:val="20"/>
        </w:rPr>
      </w:pPr>
    </w:p>
    <w:p w14:paraId="37D10EB9" w14:textId="77777777" w:rsidR="00277B85" w:rsidRPr="000E6664" w:rsidRDefault="00277B85" w:rsidP="00D15FA3">
      <w:pPr>
        <w:keepNext/>
        <w:keepLines/>
        <w:jc w:val="both"/>
        <w:rPr>
          <w:rFonts w:ascii="Arial" w:hAnsi="Arial" w:cs="Arial"/>
          <w:color w:val="000000"/>
          <w:sz w:val="20"/>
        </w:rPr>
      </w:pPr>
      <w:r w:rsidRPr="000E6664">
        <w:rPr>
          <w:rFonts w:ascii="Arial" w:hAnsi="Arial" w:cs="Arial"/>
          <w:color w:val="000000"/>
          <w:sz w:val="20"/>
        </w:rPr>
        <w:t>The following officers of the Court are authorised by s.</w:t>
      </w:r>
      <w:r w:rsidR="00146E61" w:rsidRPr="000E6664">
        <w:rPr>
          <w:rFonts w:ascii="Arial" w:hAnsi="Arial" w:cs="Arial"/>
          <w:color w:val="000000"/>
          <w:sz w:val="20"/>
        </w:rPr>
        <w:t>535</w:t>
      </w:r>
      <w:r w:rsidRPr="000E6664">
        <w:rPr>
          <w:rFonts w:ascii="Arial" w:hAnsi="Arial" w:cs="Arial"/>
          <w:color w:val="000000"/>
          <w:sz w:val="20"/>
        </w:rPr>
        <w:t>(1) of the CY</w:t>
      </w:r>
      <w:r w:rsidR="00146E61" w:rsidRPr="000E6664">
        <w:rPr>
          <w:rFonts w:ascii="Arial" w:hAnsi="Arial" w:cs="Arial"/>
          <w:color w:val="000000"/>
          <w:sz w:val="20"/>
        </w:rPr>
        <w:t>F</w:t>
      </w:r>
      <w:r w:rsidRPr="000E6664">
        <w:rPr>
          <w:rFonts w:ascii="Arial" w:hAnsi="Arial" w:cs="Arial"/>
          <w:color w:val="000000"/>
          <w:sz w:val="20"/>
        </w:rPr>
        <w:t>A:</w:t>
      </w:r>
    </w:p>
    <w:p w14:paraId="6A2EA8AB"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a principal registrar;</w:t>
      </w:r>
    </w:p>
    <w:p w14:paraId="1B09A3AE"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registrars; and</w:t>
      </w:r>
    </w:p>
    <w:p w14:paraId="5BD911D7"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deputy registrars.</w:t>
      </w:r>
    </w:p>
    <w:p w14:paraId="318E57D2" w14:textId="77777777" w:rsidR="00277B85" w:rsidRPr="000E6664" w:rsidRDefault="00277B85">
      <w:pPr>
        <w:jc w:val="both"/>
        <w:rPr>
          <w:rFonts w:ascii="Arial" w:hAnsi="Arial" w:cs="Arial"/>
          <w:color w:val="000000"/>
          <w:sz w:val="20"/>
        </w:rPr>
      </w:pPr>
    </w:p>
    <w:p w14:paraId="3CCBF0A6" w14:textId="77777777" w:rsidR="00277B85" w:rsidRPr="000E6664" w:rsidRDefault="00277B85">
      <w:pPr>
        <w:jc w:val="both"/>
        <w:rPr>
          <w:rFonts w:ascii="Arial" w:hAnsi="Arial" w:cs="Arial"/>
          <w:color w:val="000000"/>
          <w:sz w:val="20"/>
        </w:rPr>
      </w:pPr>
      <w:r w:rsidRPr="000E6664">
        <w:rPr>
          <w:rFonts w:ascii="Arial" w:hAnsi="Arial" w:cs="Arial"/>
          <w:color w:val="000000"/>
          <w:sz w:val="20"/>
        </w:rPr>
        <w:t>The duties, powers and functions of these officers are set out in the CY</w:t>
      </w:r>
      <w:r w:rsidR="00146E61" w:rsidRPr="000E6664">
        <w:rPr>
          <w:rFonts w:ascii="Arial" w:hAnsi="Arial" w:cs="Arial"/>
          <w:color w:val="000000"/>
          <w:sz w:val="20"/>
        </w:rPr>
        <w:t>F</w:t>
      </w:r>
      <w:r w:rsidRPr="000E6664">
        <w:rPr>
          <w:rFonts w:ascii="Arial" w:hAnsi="Arial" w:cs="Arial"/>
          <w:color w:val="000000"/>
          <w:sz w:val="20"/>
        </w:rPr>
        <w:t>A and the regulations [s.</w:t>
      </w:r>
      <w:r w:rsidR="00146E61" w:rsidRPr="000E6664">
        <w:rPr>
          <w:rFonts w:ascii="Arial" w:hAnsi="Arial" w:cs="Arial"/>
          <w:color w:val="000000"/>
          <w:sz w:val="20"/>
        </w:rPr>
        <w:t>535</w:t>
      </w:r>
      <w:r w:rsidRPr="000E6664">
        <w:rPr>
          <w:rFonts w:ascii="Arial" w:hAnsi="Arial" w:cs="Arial"/>
          <w:color w:val="000000"/>
          <w:sz w:val="20"/>
        </w:rPr>
        <w:t>(3)].  Pursuant to s.</w:t>
      </w:r>
      <w:r w:rsidR="00146E61" w:rsidRPr="000E6664">
        <w:rPr>
          <w:rFonts w:ascii="Arial" w:hAnsi="Arial" w:cs="Arial"/>
          <w:color w:val="000000"/>
          <w:sz w:val="20"/>
        </w:rPr>
        <w:t>539</w:t>
      </w:r>
      <w:r w:rsidRPr="000E6664">
        <w:rPr>
          <w:rFonts w:ascii="Arial" w:hAnsi="Arial" w:cs="Arial"/>
          <w:color w:val="000000"/>
          <w:sz w:val="20"/>
        </w:rPr>
        <w:t>, these include:</w:t>
      </w:r>
    </w:p>
    <w:p w14:paraId="76DBF694"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power to issue any process out of the Court;</w:t>
      </w:r>
    </w:p>
    <w:p w14:paraId="6F8F89A4"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power to administer an oath</w:t>
      </w:r>
      <w:r w:rsidR="00780597">
        <w:rPr>
          <w:rFonts w:ascii="Arial" w:hAnsi="Arial" w:cs="Arial"/>
          <w:color w:val="000000"/>
          <w:sz w:val="20"/>
        </w:rPr>
        <w:t xml:space="preserve"> or affirmation</w:t>
      </w:r>
      <w:r w:rsidRPr="000E6664">
        <w:rPr>
          <w:rFonts w:ascii="Arial" w:hAnsi="Arial" w:cs="Arial"/>
          <w:color w:val="000000"/>
          <w:sz w:val="20"/>
        </w:rPr>
        <w:t>;</w:t>
      </w:r>
    </w:p>
    <w:p w14:paraId="70A05EC6"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with the consent of the parties to a proceeding in the Family Division, power to extend an interim accommodation of a kind referred to in ss.</w:t>
      </w:r>
      <w:r w:rsidR="00146E61" w:rsidRPr="000E6664">
        <w:rPr>
          <w:rFonts w:ascii="Arial" w:hAnsi="Arial" w:cs="Arial"/>
          <w:color w:val="000000"/>
          <w:sz w:val="20"/>
        </w:rPr>
        <w:t>26</w:t>
      </w:r>
      <w:r w:rsidRPr="000E6664">
        <w:rPr>
          <w:rFonts w:ascii="Arial" w:hAnsi="Arial" w:cs="Arial"/>
          <w:color w:val="000000"/>
          <w:sz w:val="20"/>
        </w:rPr>
        <w:t xml:space="preserve">3(1)(a) &amp; </w:t>
      </w:r>
      <w:r w:rsidR="00146E61" w:rsidRPr="000E6664">
        <w:rPr>
          <w:rFonts w:ascii="Arial" w:hAnsi="Arial" w:cs="Arial"/>
          <w:color w:val="000000"/>
          <w:sz w:val="20"/>
        </w:rPr>
        <w:t>26</w:t>
      </w:r>
      <w:r w:rsidRPr="000E6664">
        <w:rPr>
          <w:rFonts w:ascii="Arial" w:hAnsi="Arial" w:cs="Arial"/>
          <w:color w:val="000000"/>
          <w:sz w:val="20"/>
        </w:rPr>
        <w:t>3(1)(b) of the CY</w:t>
      </w:r>
      <w:r w:rsidR="00146E61" w:rsidRPr="000E6664">
        <w:rPr>
          <w:rFonts w:ascii="Arial" w:hAnsi="Arial" w:cs="Arial"/>
          <w:color w:val="000000"/>
          <w:sz w:val="20"/>
        </w:rPr>
        <w:t>F</w:t>
      </w:r>
      <w:r w:rsidRPr="000E6664">
        <w:rPr>
          <w:rFonts w:ascii="Arial" w:hAnsi="Arial" w:cs="Arial"/>
          <w:color w:val="000000"/>
          <w:sz w:val="20"/>
        </w:rPr>
        <w:t>A;</w:t>
      </w:r>
    </w:p>
    <w:p w14:paraId="5360B80E"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 xml:space="preserve">power to </w:t>
      </w:r>
      <w:r w:rsidR="008242B1">
        <w:rPr>
          <w:rFonts w:ascii="Arial" w:hAnsi="Arial" w:cs="Arial"/>
          <w:color w:val="000000"/>
          <w:sz w:val="20"/>
        </w:rPr>
        <w:t xml:space="preserve">abridge or </w:t>
      </w:r>
      <w:r w:rsidRPr="000E6664">
        <w:rPr>
          <w:rFonts w:ascii="Arial" w:hAnsi="Arial" w:cs="Arial"/>
          <w:color w:val="000000"/>
          <w:sz w:val="20"/>
        </w:rPr>
        <w:t xml:space="preserve">extend the bail of a person </w:t>
      </w:r>
      <w:r w:rsidR="008242B1">
        <w:rPr>
          <w:rFonts w:ascii="Arial" w:hAnsi="Arial" w:cs="Arial"/>
          <w:color w:val="000000"/>
          <w:sz w:val="20"/>
        </w:rPr>
        <w:t>granted bail in relation to a criminal proceeding;</w:t>
      </w:r>
    </w:p>
    <w:p w14:paraId="4081E11B" w14:textId="7A9848E8" w:rsidR="008242B1"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 xml:space="preserve">power to endorse a warrant to arrest in accordance with s.62 of the </w:t>
      </w:r>
      <w:r w:rsidRPr="005161F3">
        <w:rPr>
          <w:rFonts w:ascii="Arial" w:hAnsi="Arial" w:cs="Arial"/>
          <w:i/>
          <w:iCs/>
          <w:color w:val="000000"/>
          <w:sz w:val="20"/>
        </w:rPr>
        <w:t>Magistrates' Court Act 1989</w:t>
      </w:r>
      <w:r w:rsidR="00012988" w:rsidRPr="00012988">
        <w:rPr>
          <w:rFonts w:ascii="Arial" w:hAnsi="Arial" w:cs="Arial"/>
          <w:color w:val="000000"/>
          <w:sz w:val="20"/>
        </w:rPr>
        <w:t>;</w:t>
      </w:r>
    </w:p>
    <w:p w14:paraId="51A5917D" w14:textId="1F096E08" w:rsidR="00277B85" w:rsidRPr="000E6664" w:rsidRDefault="008242B1" w:rsidP="0073729A">
      <w:pPr>
        <w:numPr>
          <w:ilvl w:val="0"/>
          <w:numId w:val="7"/>
        </w:numPr>
        <w:tabs>
          <w:tab w:val="num" w:pos="723"/>
        </w:tabs>
        <w:jc w:val="both"/>
        <w:rPr>
          <w:rFonts w:ascii="Arial" w:hAnsi="Arial" w:cs="Arial"/>
          <w:color w:val="000000"/>
          <w:sz w:val="20"/>
        </w:rPr>
      </w:pPr>
      <w:r>
        <w:rPr>
          <w:rFonts w:ascii="Arial" w:hAnsi="Arial" w:cs="Arial"/>
          <w:color w:val="000000"/>
          <w:sz w:val="20"/>
        </w:rPr>
        <w:t>powers to do various things under intervention order legislation</w:t>
      </w:r>
      <w:r w:rsidR="008E72CA">
        <w:rPr>
          <w:rFonts w:ascii="Arial" w:hAnsi="Arial" w:cs="Arial"/>
          <w:color w:val="000000"/>
          <w:sz w:val="20"/>
        </w:rPr>
        <w:t>.</w:t>
      </w:r>
    </w:p>
    <w:p w14:paraId="57CB4997" w14:textId="77777777" w:rsidR="00C34F32" w:rsidRPr="000E6664" w:rsidRDefault="00277B85">
      <w:pPr>
        <w:jc w:val="both"/>
        <w:rPr>
          <w:rFonts w:ascii="Arial" w:hAnsi="Arial" w:cs="Arial"/>
          <w:color w:val="000000"/>
          <w:sz w:val="20"/>
        </w:rPr>
      </w:pPr>
      <w:r w:rsidRPr="000E6664">
        <w:rPr>
          <w:rFonts w:ascii="Arial" w:hAnsi="Arial" w:cs="Arial"/>
          <w:color w:val="000000"/>
          <w:sz w:val="20"/>
        </w:rPr>
        <w:t xml:space="preserve">See also s.21 of the </w:t>
      </w:r>
      <w:r w:rsidRPr="005161F3">
        <w:rPr>
          <w:rFonts w:ascii="Arial" w:hAnsi="Arial" w:cs="Arial"/>
          <w:i/>
          <w:iCs/>
          <w:color w:val="000000"/>
          <w:sz w:val="20"/>
        </w:rPr>
        <w:t>Magistrates' Court Act 1989</w:t>
      </w:r>
      <w:r w:rsidRPr="000E6664">
        <w:rPr>
          <w:rFonts w:ascii="Arial" w:hAnsi="Arial" w:cs="Arial"/>
          <w:color w:val="000000"/>
          <w:sz w:val="20"/>
        </w:rPr>
        <w:t>.</w:t>
      </w:r>
    </w:p>
    <w:p w14:paraId="2CD31640" w14:textId="77777777" w:rsidR="00C34F32" w:rsidRPr="000E6664" w:rsidRDefault="00C34F32">
      <w:pPr>
        <w:jc w:val="both"/>
        <w:rPr>
          <w:rFonts w:ascii="Arial" w:hAnsi="Arial" w:cs="Arial"/>
          <w:color w:val="000000"/>
          <w:sz w:val="20"/>
        </w:rPr>
      </w:pPr>
    </w:p>
    <w:p w14:paraId="39095A69" w14:textId="77777777" w:rsidR="00277B85" w:rsidRPr="000E6664" w:rsidRDefault="00277B85">
      <w:pPr>
        <w:jc w:val="both"/>
        <w:rPr>
          <w:rFonts w:ascii="Arial" w:hAnsi="Arial" w:cs="Arial"/>
          <w:color w:val="000000"/>
          <w:sz w:val="20"/>
        </w:rPr>
      </w:pPr>
      <w:r w:rsidRPr="000E6664">
        <w:rPr>
          <w:rFonts w:ascii="Arial" w:hAnsi="Arial" w:cs="Arial"/>
          <w:color w:val="000000"/>
          <w:sz w:val="20"/>
        </w:rPr>
        <w:t>The current Principal Registrar of the Court is Ms Leanne de Morton who has held that position since the retirement of her predecessor, Mr Godfrey Cabral, in December 2002.  Mr Cabral had previously been Principal Registrar since September 1998.</w:t>
      </w:r>
    </w:p>
    <w:p w14:paraId="36DE3AB9" w14:textId="77777777" w:rsidR="00277B85" w:rsidRPr="000E6664" w:rsidRDefault="00277B85">
      <w:pPr>
        <w:jc w:val="both"/>
        <w:rPr>
          <w:rFonts w:ascii="Arial" w:hAnsi="Arial" w:cs="Arial"/>
          <w:color w:val="000000"/>
          <w:sz w:val="20"/>
        </w:rPr>
      </w:pPr>
    </w:p>
    <w:p w14:paraId="067F971D" w14:textId="77777777" w:rsidR="00277B85" w:rsidRPr="000E6664" w:rsidRDefault="00277B85">
      <w:pPr>
        <w:jc w:val="both"/>
        <w:rPr>
          <w:rFonts w:ascii="Arial" w:hAnsi="Arial" w:cs="Arial"/>
          <w:color w:val="000000"/>
          <w:sz w:val="20"/>
        </w:rPr>
      </w:pPr>
      <w:r w:rsidRPr="000E6664">
        <w:rPr>
          <w:rFonts w:ascii="Arial" w:hAnsi="Arial" w:cs="Arial"/>
          <w:color w:val="000000"/>
          <w:sz w:val="20"/>
        </w:rPr>
        <w:t xml:space="preserve">Section </w:t>
      </w:r>
      <w:r w:rsidR="00146E61" w:rsidRPr="000E6664">
        <w:rPr>
          <w:rFonts w:ascii="Arial" w:hAnsi="Arial" w:cs="Arial"/>
          <w:color w:val="000000"/>
          <w:sz w:val="20"/>
        </w:rPr>
        <w:t>545</w:t>
      </w:r>
      <w:r w:rsidRPr="000E6664">
        <w:rPr>
          <w:rFonts w:ascii="Arial" w:hAnsi="Arial" w:cs="Arial"/>
          <w:color w:val="000000"/>
          <w:sz w:val="20"/>
        </w:rPr>
        <w:t xml:space="preserve">(1) </w:t>
      </w:r>
      <w:r w:rsidR="00146E61" w:rsidRPr="000E6664">
        <w:rPr>
          <w:rFonts w:ascii="Arial" w:hAnsi="Arial" w:cs="Arial"/>
          <w:color w:val="000000"/>
          <w:sz w:val="20"/>
        </w:rPr>
        <w:t>of the CYFA continu</w:t>
      </w:r>
      <w:r w:rsidRPr="000E6664">
        <w:rPr>
          <w:rFonts w:ascii="Arial" w:hAnsi="Arial" w:cs="Arial"/>
          <w:color w:val="000000"/>
          <w:sz w:val="20"/>
        </w:rPr>
        <w:t>es the Children's Court Liaison Office</w:t>
      </w:r>
      <w:r w:rsidR="00146E61" w:rsidRPr="000E6664">
        <w:rPr>
          <w:rFonts w:ascii="Arial" w:hAnsi="Arial" w:cs="Arial"/>
          <w:color w:val="000000"/>
          <w:sz w:val="20"/>
        </w:rPr>
        <w:t>, established by s.36(1) of the CYPA.  The functions of the Children’s Court Liaison Office are</w:t>
      </w:r>
      <w:r w:rsidRPr="000E6664">
        <w:rPr>
          <w:rFonts w:ascii="Arial" w:hAnsi="Arial" w:cs="Arial"/>
          <w:color w:val="000000"/>
          <w:sz w:val="20"/>
        </w:rPr>
        <w:t xml:space="preserve"> set out in s.</w:t>
      </w:r>
      <w:r w:rsidR="00146E61" w:rsidRPr="000E6664">
        <w:rPr>
          <w:rFonts w:ascii="Arial" w:hAnsi="Arial" w:cs="Arial"/>
          <w:color w:val="000000"/>
          <w:sz w:val="20"/>
        </w:rPr>
        <w:t>545</w:t>
      </w:r>
      <w:r w:rsidRPr="000E6664">
        <w:rPr>
          <w:rFonts w:ascii="Arial" w:hAnsi="Arial" w:cs="Arial"/>
          <w:color w:val="000000"/>
          <w:sz w:val="20"/>
        </w:rPr>
        <w:t>(3)</w:t>
      </w:r>
      <w:r w:rsidR="003456D6" w:rsidRPr="000E6664">
        <w:rPr>
          <w:rFonts w:ascii="Arial" w:hAnsi="Arial" w:cs="Arial"/>
          <w:color w:val="000000"/>
          <w:sz w:val="20"/>
        </w:rPr>
        <w:t>:</w:t>
      </w:r>
    </w:p>
    <w:p w14:paraId="67D4E715" w14:textId="77777777" w:rsidR="003456D6"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(a)</w:t>
      </w:r>
      <w:r w:rsidRPr="000E6664">
        <w:rPr>
          <w:rFonts w:ascii="Arial" w:hAnsi="Arial" w:cs="Arial"/>
          <w:color w:val="000000"/>
          <w:sz w:val="20"/>
        </w:rPr>
        <w:tab/>
        <w:t>to provide information and advice about the Court to children, families and the community;</w:t>
      </w:r>
    </w:p>
    <w:p w14:paraId="6DB20FA1"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(b)</w:t>
      </w:r>
      <w:r w:rsidRPr="000E6664">
        <w:rPr>
          <w:rFonts w:ascii="Arial" w:hAnsi="Arial" w:cs="Arial"/>
          <w:color w:val="000000"/>
          <w:sz w:val="20"/>
        </w:rPr>
        <w:tab/>
        <w:t>to co-ordinate the provision to the Court of any reports that are required;</w:t>
      </w:r>
    </w:p>
    <w:p w14:paraId="630E8F1E"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(c)</w:t>
      </w:r>
      <w:r w:rsidRPr="000E6664">
        <w:rPr>
          <w:rFonts w:ascii="Arial" w:hAnsi="Arial" w:cs="Arial"/>
          <w:color w:val="000000"/>
          <w:sz w:val="20"/>
        </w:rPr>
        <w:tab/>
        <w:t>to collect and keep general information and statistics on the operation of the Court;</w:t>
      </w:r>
    </w:p>
    <w:p w14:paraId="40956703"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(d)</w:t>
      </w:r>
      <w:r w:rsidRPr="000E6664">
        <w:rPr>
          <w:rFonts w:ascii="Arial" w:hAnsi="Arial" w:cs="Arial"/>
          <w:color w:val="000000"/>
          <w:sz w:val="20"/>
        </w:rPr>
        <w:tab/>
        <w:t>to provide general advice and assistance to the Court; and</w:t>
      </w:r>
    </w:p>
    <w:p w14:paraId="3E9DB442"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(e)</w:t>
      </w:r>
      <w:r w:rsidRPr="000E6664">
        <w:rPr>
          <w:rFonts w:ascii="Arial" w:hAnsi="Arial" w:cs="Arial"/>
          <w:color w:val="000000"/>
          <w:sz w:val="20"/>
        </w:rPr>
        <w:tab/>
        <w:t>to undertake any research that is required to enable it to carry out its functions.</w:t>
      </w:r>
    </w:p>
    <w:p w14:paraId="1E21FE27" w14:textId="77777777" w:rsidR="00AE0485" w:rsidRDefault="00AE0485" w:rsidP="00AE0485">
      <w:pPr>
        <w:jc w:val="both"/>
        <w:rPr>
          <w:rFonts w:ascii="Arial" w:hAnsi="Arial" w:cs="Arial"/>
          <w:color w:val="000000"/>
          <w:sz w:val="20"/>
        </w:rPr>
      </w:pPr>
    </w:p>
    <w:p w14:paraId="358C6819" w14:textId="77777777" w:rsidR="00277B85" w:rsidRPr="00BE6441" w:rsidRDefault="00277B85" w:rsidP="00AE0485">
      <w:pPr>
        <w:pStyle w:val="Heading2"/>
        <w:tabs>
          <w:tab w:val="left" w:pos="567"/>
        </w:tabs>
        <w:spacing w:line="240" w:lineRule="auto"/>
        <w:rPr>
          <w:rFonts w:ascii="Arial" w:hAnsi="Arial" w:cs="Arial"/>
          <w:b/>
          <w:bCs/>
          <w:color w:val="000000"/>
        </w:rPr>
      </w:pPr>
      <w:bookmarkStart w:id="164" w:name="_2.3_Organisational_structure"/>
      <w:bookmarkStart w:id="165" w:name="_Toc30608791"/>
      <w:bookmarkStart w:id="166" w:name="_Toc30610004"/>
      <w:bookmarkStart w:id="167" w:name="_Toc30610247"/>
      <w:bookmarkStart w:id="168" w:name="_Toc30638401"/>
      <w:bookmarkStart w:id="169" w:name="_Toc30644210"/>
      <w:bookmarkStart w:id="170" w:name="_Toc30644613"/>
      <w:bookmarkStart w:id="171" w:name="_Toc30645163"/>
      <w:bookmarkStart w:id="172" w:name="_Toc30646367"/>
      <w:bookmarkStart w:id="173" w:name="_Toc30646662"/>
      <w:bookmarkStart w:id="174" w:name="_Toc30646772"/>
      <w:bookmarkStart w:id="175" w:name="_Toc30648129"/>
      <w:bookmarkStart w:id="176" w:name="_Toc30649027"/>
      <w:bookmarkStart w:id="177" w:name="_Toc30649103"/>
      <w:bookmarkStart w:id="178" w:name="_Toc30649364"/>
      <w:bookmarkStart w:id="179" w:name="_Toc30649684"/>
      <w:bookmarkStart w:id="180" w:name="_Toc30651618"/>
      <w:bookmarkStart w:id="181" w:name="_Toc30652602"/>
      <w:bookmarkStart w:id="182" w:name="_Toc30652700"/>
      <w:bookmarkStart w:id="183" w:name="_Toc30654045"/>
      <w:bookmarkStart w:id="184" w:name="_Toc30654396"/>
      <w:bookmarkStart w:id="185" w:name="_Toc30655015"/>
      <w:bookmarkStart w:id="186" w:name="_Toc30655272"/>
      <w:bookmarkStart w:id="187" w:name="_Toc30656948"/>
      <w:bookmarkStart w:id="188" w:name="_Toc30661697"/>
      <w:bookmarkStart w:id="189" w:name="_Toc30666385"/>
      <w:bookmarkStart w:id="190" w:name="_Toc30666615"/>
      <w:bookmarkStart w:id="191" w:name="_Toc30667790"/>
      <w:bookmarkStart w:id="192" w:name="_Toc30669168"/>
      <w:bookmarkStart w:id="193" w:name="_Toc30671384"/>
      <w:bookmarkStart w:id="194" w:name="_Toc30673911"/>
      <w:bookmarkStart w:id="195" w:name="_Toc30691133"/>
      <w:bookmarkStart w:id="196" w:name="_Toc30691504"/>
      <w:bookmarkStart w:id="197" w:name="_Toc30691884"/>
      <w:bookmarkStart w:id="198" w:name="_Toc30692643"/>
      <w:bookmarkStart w:id="199" w:name="_Toc30693022"/>
      <w:bookmarkStart w:id="200" w:name="_Toc30693400"/>
      <w:bookmarkStart w:id="201" w:name="_Toc30693779"/>
      <w:bookmarkStart w:id="202" w:name="_Toc30694160"/>
      <w:bookmarkStart w:id="203" w:name="_Toc30698749"/>
      <w:bookmarkStart w:id="204" w:name="_Toc30699127"/>
      <w:bookmarkStart w:id="205" w:name="_Toc30699512"/>
      <w:bookmarkStart w:id="206" w:name="_Toc30700667"/>
      <w:bookmarkStart w:id="207" w:name="_Toc30701054"/>
      <w:bookmarkStart w:id="208" w:name="_Toc30743663"/>
      <w:bookmarkStart w:id="209" w:name="_Toc30754486"/>
      <w:bookmarkStart w:id="210" w:name="_Toc30756926"/>
      <w:bookmarkStart w:id="211" w:name="_Toc30757475"/>
      <w:bookmarkStart w:id="212" w:name="_Toc30757875"/>
      <w:bookmarkStart w:id="213" w:name="_Toc30762636"/>
      <w:bookmarkStart w:id="214" w:name="_Toc30767290"/>
      <w:bookmarkStart w:id="215" w:name="_Toc34823316"/>
      <w:bookmarkEnd w:id="164"/>
      <w:r w:rsidRPr="00BE6441">
        <w:rPr>
          <w:rFonts w:ascii="Arial" w:hAnsi="Arial" w:cs="Arial"/>
          <w:b/>
          <w:bCs/>
          <w:color w:val="000000"/>
        </w:rPr>
        <w:t>2.3</w:t>
      </w:r>
      <w:r w:rsidRPr="00BE6441">
        <w:rPr>
          <w:rFonts w:ascii="Arial" w:hAnsi="Arial" w:cs="Arial"/>
          <w:b/>
          <w:bCs/>
          <w:color w:val="000000"/>
        </w:rPr>
        <w:tab/>
        <w:t xml:space="preserve">Organisational </w:t>
      </w:r>
      <w:r w:rsidR="0093162A">
        <w:rPr>
          <w:rFonts w:ascii="Arial" w:hAnsi="Arial" w:cs="Arial"/>
          <w:b/>
          <w:bCs/>
          <w:color w:val="000000"/>
        </w:rPr>
        <w:t>S</w:t>
      </w:r>
      <w:r w:rsidRPr="00BE6441">
        <w:rPr>
          <w:rFonts w:ascii="Arial" w:hAnsi="Arial" w:cs="Arial"/>
          <w:b/>
          <w:bCs/>
          <w:color w:val="000000"/>
        </w:rPr>
        <w:t>tructure of the Children's Court at Melbourne</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6826950" w14:textId="281FA22F" w:rsidR="00052294" w:rsidRDefault="00052294" w:rsidP="00052294">
      <w:pPr>
        <w:rPr>
          <w:rFonts w:ascii="Arial" w:hAnsi="Arial" w:cs="Arial"/>
          <w:sz w:val="20"/>
        </w:rPr>
      </w:pPr>
      <w:bookmarkStart w:id="216" w:name="_Toc30608792"/>
      <w:bookmarkStart w:id="217" w:name="_Toc30610005"/>
      <w:bookmarkStart w:id="218" w:name="_Toc30610248"/>
      <w:bookmarkStart w:id="219" w:name="_Toc30638402"/>
      <w:bookmarkStart w:id="220" w:name="_Toc30644211"/>
      <w:bookmarkStart w:id="221" w:name="_Toc30644614"/>
      <w:bookmarkStart w:id="222" w:name="_Toc30645164"/>
      <w:bookmarkStart w:id="223" w:name="_Toc30646368"/>
      <w:bookmarkStart w:id="224" w:name="_Toc30646663"/>
      <w:bookmarkStart w:id="225" w:name="_Toc30646773"/>
      <w:bookmarkStart w:id="226" w:name="_Toc30648130"/>
      <w:bookmarkStart w:id="227" w:name="_Toc30649028"/>
      <w:bookmarkStart w:id="228" w:name="_Toc30649104"/>
      <w:bookmarkStart w:id="229" w:name="_Toc30649365"/>
      <w:bookmarkStart w:id="230" w:name="_Toc30649685"/>
      <w:bookmarkStart w:id="231" w:name="_Toc30651619"/>
      <w:bookmarkStart w:id="232" w:name="_Toc30652603"/>
      <w:bookmarkStart w:id="233" w:name="_Toc30652701"/>
      <w:bookmarkStart w:id="234" w:name="_Toc30654046"/>
      <w:bookmarkStart w:id="235" w:name="_Toc30654397"/>
      <w:bookmarkStart w:id="236" w:name="_Toc30655016"/>
      <w:bookmarkStart w:id="237" w:name="_Toc30655273"/>
      <w:bookmarkStart w:id="238" w:name="_Toc30656949"/>
      <w:bookmarkStart w:id="239" w:name="_Toc30661698"/>
      <w:bookmarkStart w:id="240" w:name="_Toc30666386"/>
      <w:bookmarkStart w:id="241" w:name="_Toc30666616"/>
      <w:bookmarkStart w:id="242" w:name="_Toc30667791"/>
      <w:bookmarkStart w:id="243" w:name="_Toc30669169"/>
      <w:bookmarkStart w:id="244" w:name="_Toc30671385"/>
      <w:bookmarkStart w:id="245" w:name="_Toc30673912"/>
      <w:bookmarkStart w:id="246" w:name="_Toc30691134"/>
      <w:bookmarkStart w:id="247" w:name="_Toc30691505"/>
      <w:bookmarkStart w:id="248" w:name="_Toc30691885"/>
      <w:bookmarkStart w:id="249" w:name="_Toc30692644"/>
      <w:bookmarkStart w:id="250" w:name="_Toc30693023"/>
      <w:bookmarkStart w:id="251" w:name="_Toc30693401"/>
      <w:bookmarkStart w:id="252" w:name="_Toc30693780"/>
      <w:bookmarkStart w:id="253" w:name="_Toc30694161"/>
      <w:bookmarkStart w:id="254" w:name="_Toc30698750"/>
      <w:bookmarkStart w:id="255" w:name="_Toc30699128"/>
      <w:bookmarkStart w:id="256" w:name="_Toc30699513"/>
      <w:bookmarkStart w:id="257" w:name="_Toc30700668"/>
      <w:bookmarkStart w:id="258" w:name="_Toc30701055"/>
      <w:bookmarkStart w:id="259" w:name="_Toc30743664"/>
      <w:bookmarkStart w:id="260" w:name="_Toc30754487"/>
      <w:bookmarkStart w:id="261" w:name="_Toc30756927"/>
      <w:bookmarkStart w:id="262" w:name="_Toc30757476"/>
      <w:bookmarkStart w:id="263" w:name="_Toc30757876"/>
      <w:bookmarkStart w:id="264" w:name="_Toc30762637"/>
      <w:bookmarkStart w:id="265" w:name="_Toc30767291"/>
      <w:bookmarkStart w:id="266" w:name="_Toc34823317"/>
    </w:p>
    <w:tbl>
      <w:tblPr>
        <w:tblW w:w="7847"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159"/>
        <w:gridCol w:w="2688"/>
      </w:tblGrid>
      <w:tr w:rsidR="00F108E1" w:rsidRPr="00D03F68" w14:paraId="3EA335ED" w14:textId="77777777" w:rsidTr="00E10AB9">
        <w:tc>
          <w:tcPr>
            <w:tcW w:w="5000" w:type="pct"/>
            <w:gridSpan w:val="2"/>
            <w:tcBorders>
              <w:top w:val="single" w:sz="12" w:space="0" w:color="auto"/>
              <w:bottom w:val="single" w:sz="12" w:space="0" w:color="auto"/>
            </w:tcBorders>
            <w:shd w:val="pct10" w:color="auto" w:fill="auto"/>
          </w:tcPr>
          <w:p w14:paraId="340F00EC" w14:textId="57E8F19D" w:rsidR="00CD1A94" w:rsidRPr="00D03F68" w:rsidRDefault="00CD1A94" w:rsidP="00741D39">
            <w:pPr>
              <w:jc w:val="center"/>
              <w:rPr>
                <w:rFonts w:ascii="Arial" w:hAnsi="Arial" w:cs="Arial"/>
                <w:b/>
              </w:rPr>
            </w:pPr>
            <w:r w:rsidRPr="00D03F68">
              <w:rPr>
                <w:rFonts w:ascii="Arial" w:hAnsi="Arial" w:cs="Arial"/>
                <w:b/>
              </w:rPr>
              <w:t xml:space="preserve">OFFICE HOLDERS – </w:t>
            </w:r>
            <w:r w:rsidR="00FC57C8">
              <w:rPr>
                <w:rFonts w:ascii="Arial" w:hAnsi="Arial" w:cs="Arial"/>
                <w:b/>
              </w:rPr>
              <w:t>31</w:t>
            </w:r>
            <w:r w:rsidR="000B2AC4" w:rsidRPr="00D03F68">
              <w:rPr>
                <w:rFonts w:ascii="Arial" w:hAnsi="Arial" w:cs="Arial"/>
                <w:b/>
              </w:rPr>
              <w:t xml:space="preserve"> </w:t>
            </w:r>
            <w:r w:rsidR="00FC57C8">
              <w:rPr>
                <w:rFonts w:ascii="Arial" w:hAnsi="Arial" w:cs="Arial"/>
                <w:b/>
              </w:rPr>
              <w:t>MAY</w:t>
            </w:r>
            <w:r w:rsidRPr="00D03F68">
              <w:rPr>
                <w:rFonts w:ascii="Arial" w:hAnsi="Arial" w:cs="Arial"/>
                <w:b/>
              </w:rPr>
              <w:t xml:space="preserve"> 20</w:t>
            </w:r>
            <w:r w:rsidR="00F108E1">
              <w:rPr>
                <w:rFonts w:ascii="Arial" w:hAnsi="Arial" w:cs="Arial"/>
                <w:b/>
              </w:rPr>
              <w:t>2</w:t>
            </w:r>
            <w:r w:rsidR="00FC57C8">
              <w:rPr>
                <w:rFonts w:ascii="Arial" w:hAnsi="Arial" w:cs="Arial"/>
                <w:b/>
              </w:rPr>
              <w:t>4</w:t>
            </w:r>
          </w:p>
        </w:tc>
      </w:tr>
      <w:tr w:rsidR="00CD1A94" w:rsidRPr="00D03F68" w14:paraId="7C624502" w14:textId="77777777" w:rsidTr="00E10AB9">
        <w:tc>
          <w:tcPr>
            <w:tcW w:w="3287" w:type="pct"/>
            <w:tcBorders>
              <w:top w:val="single" w:sz="12" w:space="0" w:color="auto"/>
              <w:bottom w:val="single" w:sz="4" w:space="0" w:color="auto"/>
            </w:tcBorders>
          </w:tcPr>
          <w:p w14:paraId="165896EC" w14:textId="77777777" w:rsidR="00CD1A94" w:rsidRPr="00D03F68" w:rsidRDefault="00CD1A94" w:rsidP="00D03F68">
            <w:pPr>
              <w:jc w:val="center"/>
              <w:rPr>
                <w:rFonts w:ascii="Arial" w:hAnsi="Arial" w:cs="Arial"/>
                <w:color w:val="000000"/>
                <w:sz w:val="20"/>
              </w:rPr>
            </w:pPr>
            <w:r w:rsidRPr="00D03F68">
              <w:rPr>
                <w:rFonts w:ascii="Arial" w:hAnsi="Arial" w:cs="Arial"/>
                <w:color w:val="000000"/>
                <w:sz w:val="20"/>
              </w:rPr>
              <w:t>President</w:t>
            </w:r>
          </w:p>
        </w:tc>
        <w:tc>
          <w:tcPr>
            <w:tcW w:w="1713" w:type="pct"/>
            <w:tcBorders>
              <w:top w:val="single" w:sz="12" w:space="0" w:color="auto"/>
              <w:bottom w:val="single" w:sz="4" w:space="0" w:color="auto"/>
            </w:tcBorders>
          </w:tcPr>
          <w:p w14:paraId="5FA29CB2" w14:textId="77777777" w:rsidR="00CD1A94" w:rsidRPr="00F108E1" w:rsidRDefault="00CD1A94" w:rsidP="00443B8A">
            <w:pPr>
              <w:jc w:val="center"/>
              <w:rPr>
                <w:rFonts w:ascii="Arial" w:hAnsi="Arial" w:cs="Arial"/>
                <w:color w:val="000000"/>
                <w:sz w:val="20"/>
              </w:rPr>
            </w:pPr>
            <w:r w:rsidRPr="00F108E1">
              <w:rPr>
                <w:rFonts w:ascii="Arial" w:hAnsi="Arial" w:cs="Arial"/>
                <w:color w:val="000000"/>
                <w:sz w:val="20"/>
              </w:rPr>
              <w:t xml:space="preserve">Judge </w:t>
            </w:r>
            <w:r w:rsidR="00F108E1" w:rsidRPr="00F108E1">
              <w:rPr>
                <w:rFonts w:ascii="Arial" w:hAnsi="Arial" w:cs="Arial"/>
                <w:color w:val="000000"/>
                <w:sz w:val="20"/>
              </w:rPr>
              <w:t>J</w:t>
            </w:r>
            <w:r w:rsidR="00F108E1" w:rsidRPr="00F108E1">
              <w:rPr>
                <w:rFonts w:ascii="Arial" w:hAnsi="Arial" w:cs="Arial"/>
                <w:sz w:val="20"/>
              </w:rPr>
              <w:t>ack Vandersteen</w:t>
            </w:r>
          </w:p>
        </w:tc>
      </w:tr>
      <w:tr w:rsidR="00C83A58" w:rsidRPr="00D03F68" w14:paraId="56844213" w14:textId="77777777" w:rsidTr="00E10AB9">
        <w:tc>
          <w:tcPr>
            <w:tcW w:w="3287" w:type="pct"/>
            <w:tcBorders>
              <w:top w:val="single" w:sz="4" w:space="0" w:color="auto"/>
            </w:tcBorders>
          </w:tcPr>
          <w:p w14:paraId="60FE5097"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Chief Executive Officer</w:t>
            </w:r>
          </w:p>
        </w:tc>
        <w:tc>
          <w:tcPr>
            <w:tcW w:w="1713" w:type="pct"/>
            <w:tcBorders>
              <w:top w:val="single" w:sz="4" w:space="0" w:color="auto"/>
            </w:tcBorders>
          </w:tcPr>
          <w:p w14:paraId="17669C3B" w14:textId="77777777" w:rsidR="00C83A58" w:rsidRPr="00D03F68" w:rsidRDefault="00070B9C" w:rsidP="00070B9C">
            <w:pPr>
              <w:jc w:val="center"/>
              <w:rPr>
                <w:rFonts w:ascii="Arial" w:hAnsi="Arial" w:cs="Arial"/>
                <w:color w:val="000000"/>
                <w:sz w:val="20"/>
              </w:rPr>
            </w:pPr>
            <w:r>
              <w:rPr>
                <w:rFonts w:ascii="Arial" w:hAnsi="Arial" w:cs="Arial"/>
                <w:color w:val="000000"/>
                <w:sz w:val="20"/>
              </w:rPr>
              <w:t>Mr Simon McDonald</w:t>
            </w:r>
          </w:p>
        </w:tc>
      </w:tr>
      <w:tr w:rsidR="00FC57C8" w:rsidRPr="00D03F68" w14:paraId="1D6A5B25" w14:textId="77777777" w:rsidTr="00215E6F">
        <w:tc>
          <w:tcPr>
            <w:tcW w:w="3287" w:type="pct"/>
          </w:tcPr>
          <w:p w14:paraId="6CEB62AB" w14:textId="3E041639" w:rsidR="00FC57C8" w:rsidRPr="00BB7723" w:rsidRDefault="00FC57C8" w:rsidP="00215E6F">
            <w:pPr>
              <w:jc w:val="center"/>
              <w:rPr>
                <w:rFonts w:ascii="Arial" w:hAnsi="Arial" w:cs="Arial"/>
                <w:color w:val="000000"/>
                <w:sz w:val="20"/>
              </w:rPr>
            </w:pPr>
            <w:r>
              <w:rPr>
                <w:rFonts w:ascii="Arial" w:hAnsi="Arial" w:cs="Arial"/>
                <w:color w:val="000000"/>
                <w:sz w:val="20"/>
              </w:rPr>
              <w:t>Deputy Chief Executive Officer</w:t>
            </w:r>
          </w:p>
        </w:tc>
        <w:tc>
          <w:tcPr>
            <w:tcW w:w="1713" w:type="pct"/>
          </w:tcPr>
          <w:p w14:paraId="1D353621" w14:textId="77777777" w:rsidR="00FC57C8" w:rsidRPr="00D03F68" w:rsidRDefault="00FC57C8" w:rsidP="00215E6F">
            <w:pPr>
              <w:jc w:val="center"/>
              <w:rPr>
                <w:rFonts w:ascii="Arial" w:hAnsi="Arial" w:cs="Arial"/>
                <w:color w:val="000000"/>
                <w:sz w:val="20"/>
              </w:rPr>
            </w:pPr>
            <w:r w:rsidRPr="00D03F68">
              <w:rPr>
                <w:rFonts w:ascii="Arial" w:hAnsi="Arial" w:cs="Arial"/>
                <w:color w:val="000000"/>
                <w:sz w:val="20"/>
              </w:rPr>
              <w:t xml:space="preserve">Ms </w:t>
            </w:r>
            <w:r>
              <w:rPr>
                <w:rFonts w:ascii="Arial" w:hAnsi="Arial" w:cs="Arial"/>
                <w:color w:val="000000"/>
                <w:sz w:val="20"/>
              </w:rPr>
              <w:t>Kylie Pieters</w:t>
            </w:r>
          </w:p>
        </w:tc>
      </w:tr>
      <w:tr w:rsidR="0052502D" w:rsidRPr="00D03F68" w14:paraId="6B1E045C" w14:textId="77777777" w:rsidTr="00E10AB9">
        <w:tc>
          <w:tcPr>
            <w:tcW w:w="3287" w:type="pct"/>
          </w:tcPr>
          <w:p w14:paraId="2AE7A70C" w14:textId="77777777" w:rsidR="0052502D" w:rsidRPr="00D03F68" w:rsidRDefault="00430E7B" w:rsidP="00D03F68">
            <w:pPr>
              <w:jc w:val="center"/>
              <w:rPr>
                <w:rFonts w:ascii="Arial" w:hAnsi="Arial" w:cs="Arial"/>
                <w:color w:val="000000"/>
                <w:sz w:val="20"/>
              </w:rPr>
            </w:pPr>
            <w:r>
              <w:rPr>
                <w:rFonts w:ascii="Arial" w:hAnsi="Arial" w:cs="Arial"/>
                <w:color w:val="000000"/>
                <w:sz w:val="20"/>
              </w:rPr>
              <w:t>Chief Operating Officer</w:t>
            </w:r>
          </w:p>
        </w:tc>
        <w:tc>
          <w:tcPr>
            <w:tcW w:w="1713" w:type="pct"/>
          </w:tcPr>
          <w:p w14:paraId="14005087" w14:textId="77777777" w:rsidR="0052502D" w:rsidRPr="00D03F68" w:rsidRDefault="00430E7B" w:rsidP="00430E7B">
            <w:pPr>
              <w:jc w:val="center"/>
              <w:rPr>
                <w:rFonts w:ascii="Arial" w:hAnsi="Arial" w:cs="Arial"/>
                <w:color w:val="000000"/>
                <w:sz w:val="20"/>
              </w:rPr>
            </w:pPr>
            <w:r>
              <w:rPr>
                <w:rFonts w:ascii="Arial" w:hAnsi="Arial" w:cs="Arial"/>
                <w:color w:val="000000"/>
                <w:sz w:val="20"/>
              </w:rPr>
              <w:t>Mr Rob Challis</w:t>
            </w:r>
          </w:p>
        </w:tc>
      </w:tr>
      <w:tr w:rsidR="00C83A58" w:rsidRPr="00D03F68" w14:paraId="617A8C16" w14:textId="77777777" w:rsidTr="00E10AB9">
        <w:tc>
          <w:tcPr>
            <w:tcW w:w="3287" w:type="pct"/>
          </w:tcPr>
          <w:p w14:paraId="799A3BE6"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Principal Registrar</w:t>
            </w:r>
          </w:p>
        </w:tc>
        <w:tc>
          <w:tcPr>
            <w:tcW w:w="1713" w:type="pct"/>
          </w:tcPr>
          <w:p w14:paraId="2CF8D7C6"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Ms Leanne de Morton</w:t>
            </w:r>
          </w:p>
        </w:tc>
      </w:tr>
      <w:tr w:rsidR="0031003A" w:rsidRPr="00D03F68" w14:paraId="74BD2FD0" w14:textId="77777777" w:rsidTr="00E10AB9">
        <w:tc>
          <w:tcPr>
            <w:tcW w:w="3287" w:type="pct"/>
          </w:tcPr>
          <w:p w14:paraId="51252911" w14:textId="77777777" w:rsidR="0031003A" w:rsidRPr="00D03F68" w:rsidRDefault="0031003A" w:rsidP="003E421C">
            <w:pPr>
              <w:jc w:val="center"/>
              <w:rPr>
                <w:rFonts w:ascii="Arial" w:hAnsi="Arial" w:cs="Arial"/>
                <w:color w:val="000000"/>
                <w:sz w:val="20"/>
              </w:rPr>
            </w:pPr>
            <w:r>
              <w:rPr>
                <w:rFonts w:ascii="Arial" w:hAnsi="Arial" w:cs="Arial"/>
                <w:color w:val="000000"/>
                <w:sz w:val="20"/>
              </w:rPr>
              <w:t>Strategic Advisor to the President</w:t>
            </w:r>
          </w:p>
        </w:tc>
        <w:tc>
          <w:tcPr>
            <w:tcW w:w="1713" w:type="pct"/>
          </w:tcPr>
          <w:p w14:paraId="19A547B8" w14:textId="77777777" w:rsidR="0031003A" w:rsidRPr="00D03F68" w:rsidRDefault="0031003A" w:rsidP="003E421C">
            <w:pPr>
              <w:jc w:val="center"/>
              <w:rPr>
                <w:rFonts w:ascii="Arial" w:hAnsi="Arial" w:cs="Arial"/>
                <w:color w:val="000000"/>
                <w:sz w:val="20"/>
              </w:rPr>
            </w:pPr>
            <w:r>
              <w:rPr>
                <w:rFonts w:ascii="Arial" w:hAnsi="Arial" w:cs="Arial"/>
                <w:color w:val="000000"/>
                <w:sz w:val="20"/>
              </w:rPr>
              <w:t>Ms Louise James</w:t>
            </w:r>
          </w:p>
        </w:tc>
      </w:tr>
      <w:tr w:rsidR="0031003A" w:rsidRPr="00D03F68" w14:paraId="30530499" w14:textId="77777777" w:rsidTr="00E10AB9">
        <w:tc>
          <w:tcPr>
            <w:tcW w:w="3287" w:type="pct"/>
          </w:tcPr>
          <w:p w14:paraId="18E033D4" w14:textId="0B475E30" w:rsidR="0031003A" w:rsidRPr="00D03F68" w:rsidRDefault="00FC57C8" w:rsidP="003E421C">
            <w:pPr>
              <w:jc w:val="center"/>
              <w:rPr>
                <w:rFonts w:ascii="Arial" w:hAnsi="Arial" w:cs="Arial"/>
                <w:color w:val="000000"/>
                <w:sz w:val="20"/>
              </w:rPr>
            </w:pPr>
            <w:r>
              <w:rPr>
                <w:rFonts w:ascii="Arial" w:hAnsi="Arial" w:cs="Arial"/>
                <w:color w:val="000000"/>
                <w:sz w:val="20"/>
              </w:rPr>
              <w:t>Director, Strategic Policy &amp; Planning</w:t>
            </w:r>
          </w:p>
        </w:tc>
        <w:tc>
          <w:tcPr>
            <w:tcW w:w="1713" w:type="pct"/>
          </w:tcPr>
          <w:p w14:paraId="6C3109D4" w14:textId="033130FE" w:rsidR="0031003A" w:rsidRPr="00D03F68" w:rsidRDefault="0031003A" w:rsidP="003E421C">
            <w:pPr>
              <w:jc w:val="center"/>
              <w:rPr>
                <w:rFonts w:ascii="Arial" w:hAnsi="Arial" w:cs="Arial"/>
                <w:color w:val="000000"/>
                <w:sz w:val="20"/>
              </w:rPr>
            </w:pPr>
            <w:r>
              <w:rPr>
                <w:rFonts w:ascii="Arial" w:hAnsi="Arial" w:cs="Arial"/>
                <w:color w:val="000000"/>
                <w:sz w:val="20"/>
              </w:rPr>
              <w:t>Mr Peter Lamb</w:t>
            </w:r>
          </w:p>
        </w:tc>
      </w:tr>
      <w:tr w:rsidR="00E250AE" w:rsidRPr="00D03F68" w14:paraId="3F8B30E0" w14:textId="77777777" w:rsidTr="00E10AB9">
        <w:tc>
          <w:tcPr>
            <w:tcW w:w="3287" w:type="pct"/>
          </w:tcPr>
          <w:p w14:paraId="5375705E" w14:textId="78DED1A8" w:rsidR="00E250AE" w:rsidRPr="00D03F68" w:rsidRDefault="00E250AE" w:rsidP="003E421C">
            <w:pPr>
              <w:jc w:val="center"/>
              <w:rPr>
                <w:rFonts w:ascii="Arial" w:hAnsi="Arial" w:cs="Arial"/>
                <w:color w:val="000000"/>
                <w:sz w:val="20"/>
              </w:rPr>
            </w:pPr>
            <w:r>
              <w:rPr>
                <w:rFonts w:ascii="Arial" w:hAnsi="Arial" w:cs="Arial"/>
                <w:color w:val="000000"/>
                <w:sz w:val="20"/>
              </w:rPr>
              <w:t>Senior Legal Officer</w:t>
            </w:r>
            <w:r w:rsidR="00FC57C8">
              <w:rPr>
                <w:rFonts w:ascii="Arial" w:hAnsi="Arial" w:cs="Arial"/>
                <w:color w:val="000000"/>
                <w:sz w:val="20"/>
              </w:rPr>
              <w:t>, Office of the President</w:t>
            </w:r>
          </w:p>
        </w:tc>
        <w:tc>
          <w:tcPr>
            <w:tcW w:w="1713" w:type="pct"/>
          </w:tcPr>
          <w:p w14:paraId="5B64A7EE" w14:textId="77777777" w:rsidR="00E250AE" w:rsidRPr="00D03F68" w:rsidRDefault="00E250AE" w:rsidP="003E421C">
            <w:pPr>
              <w:jc w:val="center"/>
              <w:rPr>
                <w:rFonts w:ascii="Arial" w:hAnsi="Arial" w:cs="Arial"/>
                <w:color w:val="000000"/>
                <w:sz w:val="20"/>
              </w:rPr>
            </w:pPr>
            <w:r>
              <w:rPr>
                <w:rFonts w:ascii="Arial" w:hAnsi="Arial" w:cs="Arial"/>
                <w:color w:val="000000"/>
                <w:sz w:val="20"/>
              </w:rPr>
              <w:t>Dr Lisa Lee</w:t>
            </w:r>
          </w:p>
        </w:tc>
      </w:tr>
      <w:tr w:rsidR="0023791E" w:rsidRPr="00D03F68" w14:paraId="3A608570" w14:textId="77777777" w:rsidTr="00E10AB9">
        <w:tc>
          <w:tcPr>
            <w:tcW w:w="3287" w:type="pct"/>
          </w:tcPr>
          <w:p w14:paraId="245F73B5" w14:textId="26F0A5B7" w:rsidR="0023791E" w:rsidRPr="00D03F68" w:rsidRDefault="0023791E" w:rsidP="003E421C">
            <w:pPr>
              <w:jc w:val="center"/>
              <w:rPr>
                <w:rFonts w:ascii="Arial" w:hAnsi="Arial" w:cs="Arial"/>
                <w:color w:val="000000"/>
                <w:sz w:val="20"/>
              </w:rPr>
            </w:pPr>
            <w:r>
              <w:rPr>
                <w:rFonts w:ascii="Arial" w:hAnsi="Arial" w:cs="Arial"/>
                <w:color w:val="000000"/>
                <w:sz w:val="20"/>
              </w:rPr>
              <w:t>Senior</w:t>
            </w:r>
            <w:r w:rsidRPr="00D03F68">
              <w:rPr>
                <w:rFonts w:ascii="Arial" w:hAnsi="Arial" w:cs="Arial"/>
                <w:color w:val="000000"/>
                <w:sz w:val="20"/>
              </w:rPr>
              <w:t xml:space="preserve"> Registrar</w:t>
            </w:r>
          </w:p>
        </w:tc>
        <w:tc>
          <w:tcPr>
            <w:tcW w:w="1713" w:type="pct"/>
          </w:tcPr>
          <w:p w14:paraId="7CE6B952" w14:textId="0C5077CA" w:rsidR="0023791E" w:rsidRPr="00D03F68" w:rsidRDefault="0023791E" w:rsidP="003E421C">
            <w:pPr>
              <w:jc w:val="center"/>
              <w:rPr>
                <w:rFonts w:ascii="Arial" w:hAnsi="Arial" w:cs="Arial"/>
                <w:color w:val="000000"/>
                <w:sz w:val="20"/>
              </w:rPr>
            </w:pPr>
            <w:r w:rsidRPr="00D03F68">
              <w:rPr>
                <w:rFonts w:ascii="Arial" w:hAnsi="Arial" w:cs="Arial"/>
                <w:color w:val="000000"/>
                <w:sz w:val="20"/>
              </w:rPr>
              <w:t xml:space="preserve">Ms </w:t>
            </w:r>
            <w:r>
              <w:rPr>
                <w:rFonts w:ascii="Arial" w:hAnsi="Arial" w:cs="Arial"/>
                <w:color w:val="000000"/>
                <w:sz w:val="20"/>
              </w:rPr>
              <w:t xml:space="preserve">Emma </w:t>
            </w:r>
            <w:r w:rsidR="0031003A">
              <w:rPr>
                <w:rFonts w:ascii="Arial" w:hAnsi="Arial" w:cs="Arial"/>
                <w:color w:val="000000"/>
                <w:sz w:val="20"/>
              </w:rPr>
              <w:t>Taylor</w:t>
            </w:r>
          </w:p>
        </w:tc>
      </w:tr>
      <w:tr w:rsidR="00C83A58" w:rsidRPr="00D03F68" w14:paraId="2366A0DB" w14:textId="77777777" w:rsidTr="00E10AB9">
        <w:tc>
          <w:tcPr>
            <w:tcW w:w="3287" w:type="pct"/>
          </w:tcPr>
          <w:p w14:paraId="59D8A0B0" w14:textId="77777777" w:rsidR="00C83A58" w:rsidRPr="00D03F68" w:rsidRDefault="00430E7B" w:rsidP="00D03F68">
            <w:pPr>
              <w:jc w:val="center"/>
              <w:rPr>
                <w:rFonts w:ascii="Arial" w:hAnsi="Arial" w:cs="Arial"/>
                <w:color w:val="000000"/>
                <w:sz w:val="20"/>
              </w:rPr>
            </w:pPr>
            <w:r>
              <w:rPr>
                <w:rFonts w:ascii="Arial" w:hAnsi="Arial" w:cs="Arial"/>
                <w:color w:val="000000"/>
                <w:sz w:val="20"/>
              </w:rPr>
              <w:t>State</w:t>
            </w:r>
            <w:r w:rsidR="00C83A58" w:rsidRPr="00D03F68">
              <w:rPr>
                <w:rFonts w:ascii="Arial" w:hAnsi="Arial" w:cs="Arial"/>
                <w:color w:val="000000"/>
                <w:sz w:val="20"/>
              </w:rPr>
              <w:t xml:space="preserve"> Co-ordinator</w:t>
            </w:r>
          </w:p>
        </w:tc>
        <w:tc>
          <w:tcPr>
            <w:tcW w:w="1713" w:type="pct"/>
          </w:tcPr>
          <w:p w14:paraId="66995534" w14:textId="77777777" w:rsidR="00C83A58" w:rsidRPr="00D03F68" w:rsidRDefault="00070B9C" w:rsidP="00D03F68">
            <w:pPr>
              <w:jc w:val="center"/>
              <w:rPr>
                <w:rFonts w:ascii="Arial" w:hAnsi="Arial" w:cs="Arial"/>
                <w:color w:val="000000"/>
                <w:sz w:val="20"/>
              </w:rPr>
            </w:pPr>
            <w:r>
              <w:rPr>
                <w:rFonts w:ascii="Arial" w:hAnsi="Arial" w:cs="Arial"/>
                <w:color w:val="000000"/>
                <w:sz w:val="20"/>
              </w:rPr>
              <w:t>Mr Glenn Barnes</w:t>
            </w:r>
          </w:p>
        </w:tc>
      </w:tr>
      <w:tr w:rsidR="00BB7723" w:rsidRPr="00D03F68" w14:paraId="776F5E6A" w14:textId="77777777" w:rsidTr="00E10AB9">
        <w:tc>
          <w:tcPr>
            <w:tcW w:w="3287" w:type="pct"/>
          </w:tcPr>
          <w:p w14:paraId="734CB4E6" w14:textId="77777777" w:rsidR="00BB7723" w:rsidRPr="00D03F68" w:rsidRDefault="00BB7723" w:rsidP="009068C8">
            <w:pPr>
              <w:jc w:val="center"/>
              <w:rPr>
                <w:rFonts w:ascii="Arial" w:hAnsi="Arial" w:cs="Arial"/>
                <w:color w:val="000000"/>
                <w:sz w:val="20"/>
              </w:rPr>
            </w:pPr>
            <w:r>
              <w:rPr>
                <w:rFonts w:ascii="Arial" w:hAnsi="Arial" w:cs="Arial"/>
                <w:color w:val="000000"/>
                <w:sz w:val="20"/>
              </w:rPr>
              <w:t>Special Advisor to the President</w:t>
            </w:r>
          </w:p>
        </w:tc>
        <w:tc>
          <w:tcPr>
            <w:tcW w:w="1713" w:type="pct"/>
          </w:tcPr>
          <w:p w14:paraId="60C4C2BB" w14:textId="77777777" w:rsidR="00BB7723" w:rsidRPr="00D03F68" w:rsidRDefault="00BB7723" w:rsidP="009068C8">
            <w:pPr>
              <w:jc w:val="center"/>
              <w:rPr>
                <w:rFonts w:ascii="Arial" w:hAnsi="Arial" w:cs="Arial"/>
                <w:color w:val="000000"/>
                <w:sz w:val="20"/>
              </w:rPr>
            </w:pPr>
            <w:r>
              <w:rPr>
                <w:rFonts w:ascii="Arial" w:hAnsi="Arial" w:cs="Arial"/>
                <w:color w:val="000000"/>
                <w:sz w:val="20"/>
              </w:rPr>
              <w:t>Mr Peter Power</w:t>
            </w:r>
          </w:p>
        </w:tc>
      </w:tr>
    </w:tbl>
    <w:p w14:paraId="499285E1" w14:textId="6C5C3442" w:rsidR="00052294" w:rsidRPr="00754459" w:rsidRDefault="00C47D81" w:rsidP="00052294">
      <w:pPr>
        <w:rPr>
          <w:rFonts w:ascii="Arial" w:hAnsi="Arial" w:cs="Arial"/>
          <w:sz w:val="20"/>
          <w:szCs w:val="20"/>
        </w:rPr>
      </w:pPr>
      <w:r w:rsidRPr="00754459">
        <w:rPr>
          <w:rFonts w:ascii="Arial" w:hAnsi="Arial" w:cs="Arial"/>
          <w:noProof/>
          <w:sz w:val="20"/>
          <w:szCs w:val="20"/>
        </w:rPr>
        <mc:AlternateContent>
          <mc:Choice Requires="wps">
            <w:drawing>
              <wp:anchor distT="0" distB="0" distL="114300" distR="114300" simplePos="0" relativeHeight="251656704" behindDoc="0" locked="0" layoutInCell="0" allowOverlap="1" wp14:anchorId="7B678F9B" wp14:editId="3315F4C7">
                <wp:simplePos x="0" y="0"/>
                <wp:positionH relativeFrom="column">
                  <wp:posOffset>4802505</wp:posOffset>
                </wp:positionH>
                <wp:positionV relativeFrom="paragraph">
                  <wp:posOffset>101600</wp:posOffset>
                </wp:positionV>
                <wp:extent cx="0" cy="11430"/>
                <wp:effectExtent l="6985" t="12065" r="12065" b="5080"/>
                <wp:wrapNone/>
                <wp:docPr id="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A7EAB" id="Line 169"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15pt,8pt" to="378.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" o:allowincell="f"/>
            </w:pict>
          </mc:Fallback>
        </mc:AlternateContent>
      </w:r>
    </w:p>
    <w:p w14:paraId="1526F16B" w14:textId="77777777" w:rsidR="00277B85" w:rsidRDefault="00277B85">
      <w:pPr>
        <w:pStyle w:val="Heading2"/>
        <w:tabs>
          <w:tab w:val="left" w:pos="567"/>
        </w:tabs>
        <w:spacing w:line="240" w:lineRule="auto"/>
        <w:rPr>
          <w:rFonts w:ascii="Arial" w:hAnsi="Arial" w:cs="Arial"/>
          <w:b/>
          <w:bCs/>
        </w:rPr>
      </w:pPr>
      <w:bookmarkStart w:id="267" w:name="_2.4_Divisions_of"/>
      <w:bookmarkEnd w:id="267"/>
      <w:r>
        <w:rPr>
          <w:rFonts w:ascii="Arial" w:hAnsi="Arial" w:cs="Arial"/>
          <w:b/>
          <w:bCs/>
        </w:rPr>
        <w:t>2.4</w:t>
      </w:r>
      <w:r>
        <w:rPr>
          <w:rFonts w:ascii="Arial" w:hAnsi="Arial" w:cs="Arial"/>
          <w:b/>
          <w:bCs/>
        </w:rPr>
        <w:tab/>
        <w:t>Divisions of the Court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2083FD6" w14:textId="77777777" w:rsidR="00277B85" w:rsidRPr="0034745A" w:rsidRDefault="00277B85">
      <w:pPr>
        <w:jc w:val="both"/>
        <w:rPr>
          <w:rFonts w:ascii="Arial" w:hAnsi="Arial" w:cs="Arial"/>
          <w:sz w:val="20"/>
        </w:rPr>
      </w:pPr>
    </w:p>
    <w:p w14:paraId="61859D6D" w14:textId="77777777" w:rsidR="00277B85" w:rsidRPr="00B46EF1" w:rsidRDefault="00E803C6">
      <w:pPr>
        <w:jc w:val="both"/>
        <w:rPr>
          <w:rFonts w:ascii="Arial" w:hAnsi="Arial" w:cs="Arial"/>
          <w:bCs/>
          <w:color w:val="000000"/>
          <w:sz w:val="20"/>
        </w:rPr>
      </w:pPr>
      <w:r w:rsidRPr="00B46EF1">
        <w:rPr>
          <w:rFonts w:ascii="Arial" w:hAnsi="Arial" w:cs="Arial"/>
          <w:bCs/>
          <w:color w:val="000000"/>
          <w:sz w:val="20"/>
        </w:rPr>
        <w:t>Under s.504</w:t>
      </w:r>
      <w:r w:rsidR="00277B85" w:rsidRPr="00B46EF1">
        <w:rPr>
          <w:rFonts w:ascii="Arial" w:hAnsi="Arial" w:cs="Arial"/>
          <w:bCs/>
          <w:color w:val="000000"/>
          <w:sz w:val="20"/>
        </w:rPr>
        <w:t xml:space="preserve">(3) </w:t>
      </w:r>
      <w:r w:rsidR="00B00204" w:rsidRPr="00B46EF1">
        <w:rPr>
          <w:rFonts w:ascii="Arial" w:hAnsi="Arial" w:cs="Arial"/>
          <w:bCs/>
          <w:color w:val="000000"/>
          <w:sz w:val="20"/>
        </w:rPr>
        <w:t>of the CY</w:t>
      </w:r>
      <w:r w:rsidRPr="00B46EF1">
        <w:rPr>
          <w:rFonts w:ascii="Arial" w:hAnsi="Arial" w:cs="Arial"/>
          <w:bCs/>
          <w:color w:val="000000"/>
          <w:sz w:val="20"/>
        </w:rPr>
        <w:t>F</w:t>
      </w:r>
      <w:r w:rsidR="00B00204" w:rsidRPr="00B46EF1">
        <w:rPr>
          <w:rFonts w:ascii="Arial" w:hAnsi="Arial" w:cs="Arial"/>
          <w:bCs/>
          <w:color w:val="000000"/>
          <w:sz w:val="20"/>
        </w:rPr>
        <w:t xml:space="preserve">A </w:t>
      </w:r>
      <w:r w:rsidR="00277B85" w:rsidRPr="00B46EF1">
        <w:rPr>
          <w:rFonts w:ascii="Arial" w:hAnsi="Arial" w:cs="Arial"/>
          <w:bCs/>
          <w:color w:val="000000"/>
          <w:sz w:val="20"/>
        </w:rPr>
        <w:t xml:space="preserve">the </w:t>
      </w:r>
      <w:r w:rsidR="00264E08" w:rsidRPr="00B46EF1">
        <w:rPr>
          <w:rFonts w:ascii="Arial" w:hAnsi="Arial" w:cs="Arial"/>
          <w:bCs/>
          <w:color w:val="000000"/>
          <w:sz w:val="20"/>
        </w:rPr>
        <w:t xml:space="preserve">Children’s </w:t>
      </w:r>
      <w:r w:rsidR="00277B85" w:rsidRPr="00B46EF1">
        <w:rPr>
          <w:rFonts w:ascii="Arial" w:hAnsi="Arial" w:cs="Arial"/>
          <w:bCs/>
          <w:color w:val="000000"/>
          <w:sz w:val="20"/>
        </w:rPr>
        <w:t xml:space="preserve">Court </w:t>
      </w:r>
      <w:r w:rsidR="009F27F8" w:rsidRPr="00B46EF1">
        <w:rPr>
          <w:rFonts w:ascii="Arial" w:hAnsi="Arial" w:cs="Arial"/>
          <w:bCs/>
          <w:color w:val="000000"/>
          <w:sz w:val="20"/>
        </w:rPr>
        <w:t>in effect has three</w:t>
      </w:r>
      <w:r w:rsidR="00277B85" w:rsidRPr="00B46EF1">
        <w:rPr>
          <w:rFonts w:ascii="Arial" w:hAnsi="Arial" w:cs="Arial"/>
          <w:bCs/>
          <w:color w:val="000000"/>
          <w:sz w:val="20"/>
        </w:rPr>
        <w:t xml:space="preserve"> Divisions-</w:t>
      </w:r>
    </w:p>
    <w:p w14:paraId="5DF550A3" w14:textId="77777777" w:rsidR="00B00204" w:rsidRPr="00B46EF1" w:rsidRDefault="00277B85" w:rsidP="00B00204">
      <w:pPr>
        <w:tabs>
          <w:tab w:val="left" w:pos="363"/>
        </w:tabs>
        <w:jc w:val="both"/>
        <w:rPr>
          <w:rFonts w:ascii="Arial" w:hAnsi="Arial" w:cs="Arial"/>
          <w:bCs/>
          <w:color w:val="000000"/>
          <w:sz w:val="20"/>
        </w:rPr>
      </w:pPr>
      <w:r w:rsidRPr="00B46EF1">
        <w:rPr>
          <w:rFonts w:ascii="Arial" w:hAnsi="Arial" w:cs="Arial"/>
          <w:bCs/>
          <w:color w:val="000000"/>
          <w:sz w:val="20"/>
        </w:rPr>
        <w:t>(a)</w:t>
      </w:r>
      <w:r w:rsidR="00B00204" w:rsidRPr="00B46EF1">
        <w:rPr>
          <w:rFonts w:ascii="Arial" w:hAnsi="Arial" w:cs="Arial"/>
          <w:bCs/>
          <w:color w:val="000000"/>
          <w:sz w:val="20"/>
        </w:rPr>
        <w:tab/>
      </w:r>
      <w:r w:rsidRPr="00B46EF1">
        <w:rPr>
          <w:rFonts w:ascii="Arial" w:hAnsi="Arial" w:cs="Arial"/>
          <w:bCs/>
          <w:color w:val="000000"/>
          <w:sz w:val="20"/>
        </w:rPr>
        <w:t>the Family Division;</w:t>
      </w:r>
    </w:p>
    <w:p w14:paraId="27236897" w14:textId="77777777" w:rsidR="00277B85" w:rsidRPr="00B46EF1" w:rsidRDefault="00B00204" w:rsidP="00B00204">
      <w:pPr>
        <w:tabs>
          <w:tab w:val="left" w:pos="363"/>
        </w:tabs>
        <w:jc w:val="both"/>
        <w:rPr>
          <w:rFonts w:ascii="Arial" w:hAnsi="Arial" w:cs="Arial"/>
          <w:bCs/>
          <w:color w:val="000000"/>
          <w:sz w:val="20"/>
        </w:rPr>
      </w:pPr>
      <w:r w:rsidRPr="00B46EF1">
        <w:rPr>
          <w:rFonts w:ascii="Arial" w:hAnsi="Arial" w:cs="Arial"/>
          <w:bCs/>
          <w:color w:val="000000"/>
          <w:sz w:val="20"/>
        </w:rPr>
        <w:t>(b)</w:t>
      </w:r>
      <w:r w:rsidRPr="00B46EF1">
        <w:rPr>
          <w:rFonts w:ascii="Arial" w:hAnsi="Arial" w:cs="Arial"/>
          <w:bCs/>
          <w:color w:val="000000"/>
          <w:sz w:val="20"/>
        </w:rPr>
        <w:tab/>
        <w:t xml:space="preserve">the Criminal Division; </w:t>
      </w:r>
      <w:r w:rsidR="00277B85" w:rsidRPr="00B46EF1">
        <w:rPr>
          <w:rFonts w:ascii="Arial" w:hAnsi="Arial" w:cs="Arial"/>
          <w:bCs/>
          <w:color w:val="000000"/>
          <w:sz w:val="20"/>
        </w:rPr>
        <w:t>and</w:t>
      </w:r>
    </w:p>
    <w:p w14:paraId="14702780" w14:textId="77777777" w:rsidR="00277B85" w:rsidRPr="00B46EF1" w:rsidRDefault="00B00204" w:rsidP="00B00204">
      <w:pPr>
        <w:tabs>
          <w:tab w:val="left" w:pos="363"/>
        </w:tabs>
        <w:jc w:val="both"/>
        <w:rPr>
          <w:rFonts w:ascii="Arial" w:hAnsi="Arial" w:cs="Arial"/>
          <w:bCs/>
          <w:color w:val="000000"/>
          <w:sz w:val="20"/>
        </w:rPr>
      </w:pPr>
      <w:r w:rsidRPr="00B46EF1">
        <w:rPr>
          <w:rFonts w:ascii="Arial" w:hAnsi="Arial" w:cs="Arial"/>
          <w:bCs/>
          <w:color w:val="000000"/>
          <w:sz w:val="20"/>
        </w:rPr>
        <w:t>(c)</w:t>
      </w:r>
      <w:r w:rsidRPr="00B46EF1">
        <w:rPr>
          <w:rFonts w:ascii="Arial" w:hAnsi="Arial" w:cs="Arial"/>
          <w:bCs/>
          <w:color w:val="000000"/>
          <w:sz w:val="20"/>
        </w:rPr>
        <w:tab/>
      </w:r>
      <w:r w:rsidR="00277B85" w:rsidRPr="00B46EF1">
        <w:rPr>
          <w:rFonts w:ascii="Arial" w:hAnsi="Arial" w:cs="Arial"/>
          <w:bCs/>
          <w:color w:val="000000"/>
          <w:sz w:val="20"/>
        </w:rPr>
        <w:t xml:space="preserve">the </w:t>
      </w:r>
      <w:smartTag w:uri="urn:schemas-microsoft-com:office:smarttags" w:element="Street">
        <w:smartTag w:uri="urn:schemas-microsoft-com:office:smarttags" w:element="address">
          <w:r w:rsidRPr="00B46EF1">
            <w:rPr>
              <w:rFonts w:ascii="Arial" w:hAnsi="Arial" w:cs="Arial"/>
              <w:bCs/>
              <w:color w:val="000000"/>
              <w:sz w:val="20"/>
            </w:rPr>
            <w:t>Koori Court</w:t>
          </w:r>
        </w:smartTag>
      </w:smartTag>
      <w:r w:rsidRPr="00B46EF1">
        <w:rPr>
          <w:rFonts w:ascii="Arial" w:hAnsi="Arial" w:cs="Arial"/>
          <w:bCs/>
          <w:color w:val="000000"/>
          <w:sz w:val="20"/>
        </w:rPr>
        <w:t xml:space="preserve"> (</w:t>
      </w:r>
      <w:r w:rsidR="00277B85" w:rsidRPr="00B46EF1">
        <w:rPr>
          <w:rFonts w:ascii="Arial" w:hAnsi="Arial" w:cs="Arial"/>
          <w:bCs/>
          <w:color w:val="000000"/>
          <w:sz w:val="20"/>
        </w:rPr>
        <w:t>Criminal Division</w:t>
      </w:r>
      <w:r w:rsidRPr="00B46EF1">
        <w:rPr>
          <w:rFonts w:ascii="Arial" w:hAnsi="Arial" w:cs="Arial"/>
          <w:bCs/>
          <w:color w:val="000000"/>
          <w:sz w:val="20"/>
        </w:rPr>
        <w:t>)</w:t>
      </w:r>
      <w:r w:rsidR="00277B85" w:rsidRPr="00B46EF1">
        <w:rPr>
          <w:rFonts w:ascii="Arial" w:hAnsi="Arial" w:cs="Arial"/>
          <w:bCs/>
          <w:color w:val="000000"/>
          <w:sz w:val="20"/>
        </w:rPr>
        <w:t>.</w:t>
      </w:r>
    </w:p>
    <w:p w14:paraId="2DA80748" w14:textId="77777777" w:rsidR="00277B85" w:rsidRPr="00B46EF1" w:rsidRDefault="00277B85">
      <w:pPr>
        <w:jc w:val="both"/>
        <w:rPr>
          <w:rFonts w:ascii="Arial" w:hAnsi="Arial" w:cs="Arial"/>
          <w:bCs/>
          <w:color w:val="000000"/>
          <w:sz w:val="20"/>
        </w:rPr>
      </w:pPr>
    </w:p>
    <w:p w14:paraId="222C2E53" w14:textId="77777777" w:rsidR="009F27F8" w:rsidRPr="00B46EF1" w:rsidRDefault="009F27F8" w:rsidP="00E250AE">
      <w:pPr>
        <w:jc w:val="both"/>
        <w:rPr>
          <w:rFonts w:ascii="Arial" w:hAnsi="Arial" w:cs="Arial"/>
          <w:bCs/>
          <w:color w:val="000000"/>
          <w:sz w:val="20"/>
        </w:rPr>
      </w:pPr>
      <w:r w:rsidRPr="00B46EF1">
        <w:rPr>
          <w:rFonts w:ascii="Arial" w:hAnsi="Arial" w:cs="Arial"/>
          <w:bCs/>
          <w:color w:val="000000"/>
          <w:sz w:val="20"/>
        </w:rPr>
        <w:t>For reasons which are unclear to the writer s.504(3)(d) defines a fourth Division, the Neighbourhood Justice Division.  In reality</w:t>
      </w:r>
      <w:r w:rsidR="00264E08" w:rsidRPr="00B46EF1">
        <w:rPr>
          <w:rFonts w:ascii="Arial" w:hAnsi="Arial" w:cs="Arial"/>
          <w:bCs/>
          <w:color w:val="000000"/>
          <w:sz w:val="20"/>
        </w:rPr>
        <w:t>,</w:t>
      </w:r>
      <w:r w:rsidRPr="00B46EF1">
        <w:rPr>
          <w:rFonts w:ascii="Arial" w:hAnsi="Arial" w:cs="Arial"/>
          <w:bCs/>
          <w:color w:val="000000"/>
          <w:sz w:val="20"/>
        </w:rPr>
        <w:t xml:space="preserve"> the Neighbourhood Justice Centre [NJC] is simply a venue of:</w:t>
      </w:r>
    </w:p>
    <w:p w14:paraId="13F9DF7A" w14:textId="77777777" w:rsidR="009F27F8" w:rsidRPr="00B46EF1" w:rsidRDefault="009F27F8" w:rsidP="0073729A">
      <w:pPr>
        <w:numPr>
          <w:ilvl w:val="0"/>
          <w:numId w:val="11"/>
        </w:numPr>
        <w:tabs>
          <w:tab w:val="clear" w:pos="874"/>
          <w:tab w:val="left" w:pos="357"/>
        </w:tabs>
        <w:ind w:left="0" w:firstLine="0"/>
        <w:jc w:val="both"/>
        <w:rPr>
          <w:rFonts w:ascii="Arial" w:hAnsi="Arial" w:cs="Arial"/>
          <w:bCs/>
          <w:color w:val="000000"/>
          <w:sz w:val="20"/>
        </w:rPr>
      </w:pPr>
      <w:r w:rsidRPr="00B46EF1">
        <w:rPr>
          <w:rFonts w:ascii="Arial" w:hAnsi="Arial" w:cs="Arial"/>
          <w:bCs/>
          <w:color w:val="000000"/>
          <w:sz w:val="20"/>
        </w:rPr>
        <w:t>the</w:t>
      </w:r>
      <w:r w:rsidR="00264E08" w:rsidRPr="00B46EF1">
        <w:rPr>
          <w:rFonts w:ascii="Arial" w:hAnsi="Arial" w:cs="Arial"/>
          <w:bCs/>
          <w:color w:val="000000"/>
          <w:sz w:val="20"/>
        </w:rPr>
        <w:t xml:space="preserve"> Criminal Division of the Court; and</w:t>
      </w:r>
    </w:p>
    <w:p w14:paraId="73FEFD12" w14:textId="77777777" w:rsidR="00264E08" w:rsidRPr="00B46EF1" w:rsidRDefault="00264E08" w:rsidP="0073729A">
      <w:pPr>
        <w:numPr>
          <w:ilvl w:val="0"/>
          <w:numId w:val="11"/>
        </w:numPr>
        <w:tabs>
          <w:tab w:val="clear" w:pos="874"/>
          <w:tab w:val="left" w:pos="357"/>
        </w:tabs>
        <w:ind w:left="0" w:firstLine="0"/>
        <w:jc w:val="both"/>
        <w:rPr>
          <w:rFonts w:ascii="Arial" w:hAnsi="Arial" w:cs="Arial"/>
          <w:bCs/>
          <w:color w:val="000000"/>
          <w:sz w:val="20"/>
        </w:rPr>
      </w:pPr>
      <w:r w:rsidRPr="00B46EF1">
        <w:rPr>
          <w:rFonts w:ascii="Arial" w:hAnsi="Arial" w:cs="Arial"/>
          <w:bCs/>
          <w:color w:val="000000"/>
          <w:sz w:val="20"/>
        </w:rPr>
        <w:t>that part of the Family Division relating to intervention orders.</w:t>
      </w:r>
    </w:p>
    <w:p w14:paraId="183F8CC2" w14:textId="77777777" w:rsidR="009F27F8" w:rsidRDefault="009F27F8">
      <w:pPr>
        <w:jc w:val="both"/>
        <w:rPr>
          <w:rFonts w:ascii="Arial" w:hAnsi="Arial" w:cs="Arial"/>
          <w:bCs/>
          <w:sz w:val="20"/>
        </w:rPr>
      </w:pPr>
    </w:p>
    <w:p w14:paraId="5907B3A2" w14:textId="77777777" w:rsidR="0034745A" w:rsidRDefault="0034745A" w:rsidP="0034745A">
      <w:pPr>
        <w:jc w:val="both"/>
        <w:rPr>
          <w:rFonts w:ascii="Arial" w:hAnsi="Arial" w:cs="Arial"/>
          <w:sz w:val="20"/>
        </w:rPr>
      </w:pPr>
      <w:r>
        <w:rPr>
          <w:rFonts w:ascii="Arial" w:hAnsi="Arial" w:cs="Arial"/>
          <w:sz w:val="20"/>
        </w:rPr>
        <w:t>Section 3(</w:t>
      </w:r>
      <w:r w:rsidR="0099169D">
        <w:rPr>
          <w:rFonts w:ascii="Arial" w:hAnsi="Arial" w:cs="Arial"/>
          <w:sz w:val="20"/>
        </w:rPr>
        <w:t>4</w:t>
      </w:r>
      <w:r>
        <w:rPr>
          <w:rFonts w:ascii="Arial" w:hAnsi="Arial" w:cs="Arial"/>
          <w:sz w:val="20"/>
        </w:rPr>
        <w:t>) of the CY</w:t>
      </w:r>
      <w:r w:rsidR="00E803C6">
        <w:rPr>
          <w:rFonts w:ascii="Arial" w:hAnsi="Arial" w:cs="Arial"/>
          <w:sz w:val="20"/>
        </w:rPr>
        <w:t>F</w:t>
      </w:r>
      <w:r>
        <w:rPr>
          <w:rFonts w:ascii="Arial" w:hAnsi="Arial" w:cs="Arial"/>
          <w:sz w:val="20"/>
        </w:rPr>
        <w:t>A provides that unless the context otherwise requires, a reference in the CY</w:t>
      </w:r>
      <w:r w:rsidR="0099169D">
        <w:rPr>
          <w:rFonts w:ascii="Arial" w:hAnsi="Arial" w:cs="Arial"/>
          <w:sz w:val="20"/>
        </w:rPr>
        <w:t>F</w:t>
      </w:r>
      <w:r>
        <w:rPr>
          <w:rFonts w:ascii="Arial" w:hAnsi="Arial" w:cs="Arial"/>
          <w:sz w:val="20"/>
        </w:rPr>
        <w:t xml:space="preserve">A to the Criminal Division includes a reference to the </w:t>
      </w:r>
      <w:smartTag w:uri="urn:schemas-microsoft-com:office:smarttags" w:element="Street">
        <w:smartTag w:uri="urn:schemas-microsoft-com:office:smarttags" w:element="address">
          <w:r>
            <w:rPr>
              <w:rFonts w:ascii="Arial" w:hAnsi="Arial" w:cs="Arial"/>
              <w:sz w:val="20"/>
            </w:rPr>
            <w:t>Koori Court</w:t>
          </w:r>
        </w:smartTag>
      </w:smartTag>
      <w:r>
        <w:rPr>
          <w:rFonts w:ascii="Arial" w:hAnsi="Arial" w:cs="Arial"/>
          <w:sz w:val="20"/>
        </w:rPr>
        <w:t xml:space="preserve"> (Criminal Division).</w:t>
      </w:r>
    </w:p>
    <w:p w14:paraId="178340CB" w14:textId="77777777" w:rsidR="0034745A" w:rsidRDefault="0034745A">
      <w:pPr>
        <w:jc w:val="both"/>
        <w:rPr>
          <w:rFonts w:ascii="Arial" w:hAnsi="Arial" w:cs="Arial"/>
          <w:bCs/>
          <w:sz w:val="20"/>
        </w:rPr>
      </w:pPr>
    </w:p>
    <w:p w14:paraId="215977A7" w14:textId="77777777" w:rsidR="00277B85" w:rsidRDefault="00277B85">
      <w:pPr>
        <w:jc w:val="both"/>
        <w:rPr>
          <w:rFonts w:ascii="Arial" w:hAnsi="Arial" w:cs="Arial"/>
          <w:bCs/>
          <w:sz w:val="20"/>
        </w:rPr>
      </w:pPr>
      <w:r>
        <w:rPr>
          <w:rFonts w:ascii="Arial" w:hAnsi="Arial" w:cs="Arial"/>
          <w:bCs/>
          <w:sz w:val="20"/>
        </w:rPr>
        <w:t xml:space="preserve">The Court must not sit as </w:t>
      </w:r>
      <w:r w:rsidR="00B00204">
        <w:rPr>
          <w:rFonts w:ascii="Arial" w:hAnsi="Arial" w:cs="Arial"/>
          <w:bCs/>
          <w:sz w:val="20"/>
        </w:rPr>
        <w:t>more than one</w:t>
      </w:r>
      <w:r>
        <w:rPr>
          <w:rFonts w:ascii="Arial" w:hAnsi="Arial" w:cs="Arial"/>
          <w:bCs/>
          <w:sz w:val="20"/>
        </w:rPr>
        <w:t xml:space="preserve"> Division at the same time in the same room: s.</w:t>
      </w:r>
      <w:r w:rsidR="00E803C6">
        <w:rPr>
          <w:rFonts w:ascii="Arial" w:hAnsi="Arial" w:cs="Arial"/>
          <w:bCs/>
          <w:sz w:val="20"/>
        </w:rPr>
        <w:t>504</w:t>
      </w:r>
      <w:r>
        <w:rPr>
          <w:rFonts w:ascii="Arial" w:hAnsi="Arial" w:cs="Arial"/>
          <w:bCs/>
          <w:sz w:val="20"/>
        </w:rPr>
        <w:t>(5).</w:t>
      </w:r>
    </w:p>
    <w:p w14:paraId="004FF539" w14:textId="77777777" w:rsidR="00277B85" w:rsidRDefault="00277B85">
      <w:pPr>
        <w:jc w:val="both"/>
        <w:rPr>
          <w:rFonts w:ascii="Arial" w:hAnsi="Arial" w:cs="Arial"/>
          <w:sz w:val="20"/>
        </w:rPr>
      </w:pPr>
    </w:p>
    <w:p w14:paraId="167F3DFD" w14:textId="53D2EE0B" w:rsidR="000326C3" w:rsidRDefault="00E803C6">
      <w:pPr>
        <w:jc w:val="both"/>
        <w:rPr>
          <w:rFonts w:ascii="Arial" w:hAnsi="Arial" w:cs="Arial"/>
          <w:sz w:val="20"/>
        </w:rPr>
      </w:pPr>
      <w:r>
        <w:rPr>
          <w:rFonts w:ascii="Arial" w:hAnsi="Arial" w:cs="Arial"/>
          <w:sz w:val="20"/>
        </w:rPr>
        <w:lastRenderedPageBreak/>
        <w:t>Under s.504</w:t>
      </w:r>
      <w:r w:rsidR="00277B85">
        <w:rPr>
          <w:rFonts w:ascii="Arial" w:hAnsi="Arial" w:cs="Arial"/>
          <w:sz w:val="20"/>
        </w:rPr>
        <w:t xml:space="preserve">(7), the Court, in </w:t>
      </w:r>
      <w:r w:rsidR="00B00204">
        <w:rPr>
          <w:rFonts w:ascii="Arial" w:hAnsi="Arial" w:cs="Arial"/>
          <w:sz w:val="20"/>
        </w:rPr>
        <w:t>any</w:t>
      </w:r>
      <w:r w:rsidR="00277B85">
        <w:rPr>
          <w:rFonts w:ascii="Arial" w:hAnsi="Arial" w:cs="Arial"/>
          <w:sz w:val="20"/>
        </w:rPr>
        <w:t xml:space="preserve"> Division, is constituted by the President or a magistrate except in the case of any proceeding for which provision is made by any Act for the Court to be constituted by a registrar.  Examples of the latter include applications for extension of bail and applications for extension of certain sorts of interim accommodation orders.</w:t>
      </w:r>
      <w:r w:rsidR="000326C3">
        <w:rPr>
          <w:rFonts w:ascii="Arial" w:hAnsi="Arial" w:cs="Arial"/>
          <w:sz w:val="20"/>
        </w:rPr>
        <w:t xml:space="preserve">  However, under s.504(8) the Court may be constituted by a judicial registrar in any proceeding for which provision is made by rules of court for</w:t>
      </w:r>
      <w:r w:rsidR="001D0F78">
        <w:rPr>
          <w:rFonts w:ascii="Arial" w:hAnsi="Arial" w:cs="Arial"/>
          <w:sz w:val="20"/>
        </w:rPr>
        <w:t>-</w:t>
      </w:r>
    </w:p>
    <w:p w14:paraId="2A79C1D2" w14:textId="77777777" w:rsidR="00277B85" w:rsidRDefault="000326C3">
      <w:pPr>
        <w:jc w:val="both"/>
        <w:rPr>
          <w:rFonts w:ascii="Arial" w:hAnsi="Arial" w:cs="Arial"/>
          <w:sz w:val="20"/>
        </w:rPr>
      </w:pPr>
      <w:r>
        <w:rPr>
          <w:rFonts w:ascii="Arial" w:hAnsi="Arial" w:cs="Arial"/>
          <w:sz w:val="20"/>
        </w:rPr>
        <w:t>(a) the court to be so constituted; and</w:t>
      </w:r>
    </w:p>
    <w:p w14:paraId="1C0D4BE5" w14:textId="77777777" w:rsidR="000326C3" w:rsidRDefault="000326C3">
      <w:pPr>
        <w:jc w:val="both"/>
        <w:rPr>
          <w:rFonts w:ascii="Arial" w:hAnsi="Arial" w:cs="Arial"/>
          <w:sz w:val="20"/>
        </w:rPr>
      </w:pPr>
      <w:r>
        <w:rPr>
          <w:rFonts w:ascii="Arial" w:hAnsi="Arial" w:cs="Arial"/>
          <w:sz w:val="20"/>
        </w:rPr>
        <w:t>(b) the delegation to judicial registrars of powers of the court to hear and determine such proceeding.</w:t>
      </w:r>
    </w:p>
    <w:p w14:paraId="45255B7F" w14:textId="7144978E" w:rsidR="000326C3" w:rsidRDefault="000326C3" w:rsidP="000326C3">
      <w:pPr>
        <w:jc w:val="both"/>
        <w:rPr>
          <w:rFonts w:ascii="Arial" w:hAnsi="Arial" w:cs="Arial"/>
          <w:sz w:val="20"/>
        </w:rPr>
      </w:pPr>
      <w:bookmarkStart w:id="268" w:name="_Toc30608793"/>
      <w:bookmarkStart w:id="269" w:name="_Toc30610006"/>
      <w:bookmarkStart w:id="270" w:name="_Toc30610249"/>
      <w:bookmarkStart w:id="271" w:name="_Toc30638403"/>
      <w:bookmarkStart w:id="272" w:name="_Toc30644212"/>
      <w:bookmarkStart w:id="273" w:name="_Toc30644615"/>
      <w:bookmarkStart w:id="274" w:name="_Toc30645165"/>
      <w:bookmarkStart w:id="275" w:name="_Toc30646369"/>
      <w:bookmarkStart w:id="276" w:name="_Toc30646664"/>
      <w:bookmarkStart w:id="277" w:name="_Toc30646774"/>
      <w:bookmarkStart w:id="278" w:name="_Toc30648131"/>
      <w:bookmarkStart w:id="279" w:name="_Toc30649029"/>
      <w:bookmarkStart w:id="280" w:name="_Toc30649105"/>
      <w:bookmarkStart w:id="281" w:name="_Toc30649366"/>
      <w:bookmarkStart w:id="282" w:name="_Toc30649686"/>
      <w:bookmarkStart w:id="283" w:name="_Toc30651620"/>
      <w:bookmarkStart w:id="284" w:name="_Toc30652604"/>
      <w:bookmarkStart w:id="285" w:name="_Toc30652702"/>
      <w:bookmarkStart w:id="286" w:name="_Toc30654047"/>
      <w:bookmarkStart w:id="287" w:name="_Toc30654398"/>
      <w:bookmarkStart w:id="288" w:name="_Toc30655017"/>
      <w:bookmarkStart w:id="289" w:name="_Toc30655274"/>
      <w:bookmarkStart w:id="290" w:name="_Toc30656950"/>
      <w:bookmarkStart w:id="291" w:name="_Toc30661699"/>
      <w:bookmarkStart w:id="292" w:name="_Toc30666387"/>
      <w:bookmarkStart w:id="293" w:name="_Toc30666617"/>
      <w:bookmarkStart w:id="294" w:name="_Toc30667792"/>
      <w:bookmarkStart w:id="295" w:name="_Toc30669170"/>
      <w:bookmarkStart w:id="296" w:name="_Toc30671386"/>
      <w:bookmarkStart w:id="297" w:name="_Toc30673913"/>
      <w:bookmarkStart w:id="298" w:name="_Toc30691135"/>
      <w:bookmarkStart w:id="299" w:name="_Toc30691506"/>
      <w:bookmarkStart w:id="300" w:name="_Toc30691886"/>
      <w:bookmarkStart w:id="301" w:name="_Toc30692645"/>
      <w:bookmarkStart w:id="302" w:name="_Toc30693024"/>
      <w:bookmarkStart w:id="303" w:name="_Toc30693402"/>
      <w:bookmarkStart w:id="304" w:name="_Toc30693781"/>
      <w:bookmarkStart w:id="305" w:name="_Toc30694162"/>
      <w:bookmarkStart w:id="306" w:name="_Toc30698751"/>
      <w:bookmarkStart w:id="307" w:name="_Toc30699129"/>
      <w:bookmarkStart w:id="308" w:name="_Toc30699514"/>
      <w:bookmarkStart w:id="309" w:name="_Toc30700669"/>
      <w:bookmarkStart w:id="310" w:name="_Toc30701056"/>
      <w:bookmarkStart w:id="311" w:name="_Toc30743665"/>
      <w:bookmarkStart w:id="312" w:name="_Toc30754488"/>
      <w:bookmarkStart w:id="313" w:name="_Toc30756928"/>
      <w:bookmarkStart w:id="314" w:name="_Toc30757477"/>
      <w:bookmarkStart w:id="315" w:name="_Toc30757877"/>
      <w:bookmarkStart w:id="316" w:name="_Toc30762638"/>
      <w:bookmarkStart w:id="317" w:name="_Toc30767292"/>
      <w:bookmarkStart w:id="318" w:name="_Toc34823318"/>
    </w:p>
    <w:p w14:paraId="6F770557" w14:textId="68EBC138" w:rsidR="00F926CF" w:rsidRDefault="00F926CF" w:rsidP="00F926CF">
      <w:pPr>
        <w:spacing w:after="120"/>
        <w:jc w:val="both"/>
        <w:rPr>
          <w:rFonts w:ascii="Arial" w:hAnsi="Arial" w:cs="Arial"/>
          <w:sz w:val="20"/>
        </w:rPr>
      </w:pPr>
      <w:r>
        <w:rPr>
          <w:rFonts w:ascii="Arial" w:hAnsi="Arial" w:cs="Arial"/>
          <w:sz w:val="20"/>
        </w:rPr>
        <w:t xml:space="preserve">The </w:t>
      </w:r>
      <w:r w:rsidR="007C73F6">
        <w:rPr>
          <w:rFonts w:ascii="Arial" w:hAnsi="Arial" w:cs="Arial"/>
          <w:sz w:val="20"/>
        </w:rPr>
        <w:t xml:space="preserve">Children’s Court of Victoria </w:t>
      </w:r>
      <w:r>
        <w:rPr>
          <w:rFonts w:ascii="Arial" w:hAnsi="Arial" w:cs="Arial"/>
          <w:sz w:val="20"/>
        </w:rPr>
        <w:t>finalisation statistics for 2022/23 are as follows:</w:t>
      </w:r>
    </w:p>
    <w:tbl>
      <w:tblPr>
        <w:tblStyle w:val="TableGrid"/>
        <w:tblW w:w="7711" w:type="dxa"/>
        <w:tblInd w:w="567" w:type="dxa"/>
        <w:tblLook w:val="04A0" w:firstRow="1" w:lastRow="0" w:firstColumn="1" w:lastColumn="0" w:noHBand="0" w:noVBand="1"/>
      </w:tblPr>
      <w:tblGrid>
        <w:gridCol w:w="2268"/>
        <w:gridCol w:w="1134"/>
        <w:gridCol w:w="2268"/>
        <w:gridCol w:w="1134"/>
        <w:gridCol w:w="907"/>
      </w:tblGrid>
      <w:tr w:rsidR="007C73F6" w14:paraId="2E1E8073" w14:textId="77777777" w:rsidTr="007C73F6">
        <w:tc>
          <w:tcPr>
            <w:tcW w:w="2268" w:type="dxa"/>
            <w:vMerge w:val="restart"/>
            <w:tcBorders>
              <w:top w:val="single" w:sz="12" w:space="0" w:color="auto"/>
              <w:left w:val="single" w:sz="12" w:space="0" w:color="auto"/>
              <w:bottom w:val="single" w:sz="12" w:space="0" w:color="auto"/>
              <w:right w:val="single" w:sz="12" w:space="0" w:color="auto"/>
            </w:tcBorders>
            <w:shd w:val="clear" w:color="auto" w:fill="DDDDDD"/>
          </w:tcPr>
          <w:p w14:paraId="619B6CEB" w14:textId="39515E05" w:rsidR="00F926CF" w:rsidRPr="00F926CF" w:rsidRDefault="00F926CF" w:rsidP="00F926CF">
            <w:pPr>
              <w:jc w:val="center"/>
              <w:rPr>
                <w:rFonts w:ascii="Arial" w:hAnsi="Arial" w:cs="Arial"/>
                <w:b/>
                <w:bCs/>
                <w:sz w:val="20"/>
              </w:rPr>
            </w:pPr>
            <w:r w:rsidRPr="00F926CF">
              <w:rPr>
                <w:rFonts w:ascii="Arial" w:hAnsi="Arial" w:cs="Arial"/>
                <w:b/>
                <w:bCs/>
                <w:sz w:val="20"/>
              </w:rPr>
              <w:t>FAMILY DIVISION</w:t>
            </w:r>
          </w:p>
        </w:tc>
        <w:tc>
          <w:tcPr>
            <w:tcW w:w="1134" w:type="dxa"/>
            <w:vMerge w:val="restart"/>
            <w:tcBorders>
              <w:top w:val="single" w:sz="12" w:space="0" w:color="auto"/>
              <w:left w:val="single" w:sz="12" w:space="0" w:color="auto"/>
              <w:bottom w:val="single" w:sz="12" w:space="0" w:color="auto"/>
              <w:right w:val="single" w:sz="4" w:space="0" w:color="auto"/>
            </w:tcBorders>
          </w:tcPr>
          <w:p w14:paraId="22AE5F6B" w14:textId="257CF032" w:rsidR="00F926CF" w:rsidRDefault="00F926CF" w:rsidP="00F926CF">
            <w:pPr>
              <w:jc w:val="right"/>
              <w:rPr>
                <w:rFonts w:ascii="Arial" w:hAnsi="Arial" w:cs="Arial"/>
                <w:sz w:val="20"/>
              </w:rPr>
            </w:pPr>
            <w:r>
              <w:rPr>
                <w:rFonts w:ascii="Arial" w:hAnsi="Arial" w:cs="Arial"/>
                <w:sz w:val="20"/>
              </w:rPr>
              <w:t>19847</w:t>
            </w:r>
          </w:p>
        </w:tc>
        <w:tc>
          <w:tcPr>
            <w:tcW w:w="2268" w:type="dxa"/>
            <w:tcBorders>
              <w:top w:val="single" w:sz="12" w:space="0" w:color="auto"/>
              <w:left w:val="single" w:sz="4" w:space="0" w:color="auto"/>
              <w:bottom w:val="single" w:sz="4" w:space="0" w:color="auto"/>
              <w:right w:val="single" w:sz="4" w:space="0" w:color="auto"/>
            </w:tcBorders>
          </w:tcPr>
          <w:p w14:paraId="168F62DE" w14:textId="11B3618E" w:rsidR="00F926CF" w:rsidRPr="00F926CF" w:rsidRDefault="00F926CF" w:rsidP="00F926CF">
            <w:pPr>
              <w:jc w:val="center"/>
              <w:rPr>
                <w:rFonts w:ascii="Arial" w:hAnsi="Arial" w:cs="Arial"/>
                <w:b/>
                <w:bCs/>
                <w:sz w:val="20"/>
              </w:rPr>
            </w:pPr>
            <w:r w:rsidRPr="00F926CF">
              <w:rPr>
                <w:rFonts w:ascii="Arial" w:hAnsi="Arial" w:cs="Arial"/>
                <w:b/>
                <w:bCs/>
                <w:sz w:val="20"/>
              </w:rPr>
              <w:t>Child Protection</w:t>
            </w:r>
          </w:p>
        </w:tc>
        <w:tc>
          <w:tcPr>
            <w:tcW w:w="1134" w:type="dxa"/>
            <w:tcBorders>
              <w:top w:val="single" w:sz="12" w:space="0" w:color="auto"/>
              <w:left w:val="single" w:sz="4" w:space="0" w:color="auto"/>
              <w:bottom w:val="single" w:sz="4" w:space="0" w:color="auto"/>
              <w:right w:val="single" w:sz="12" w:space="0" w:color="auto"/>
            </w:tcBorders>
          </w:tcPr>
          <w:p w14:paraId="15D08DB5" w14:textId="6FA33F52" w:rsidR="00F926CF" w:rsidRDefault="00F926CF" w:rsidP="00F926CF">
            <w:pPr>
              <w:jc w:val="right"/>
              <w:rPr>
                <w:rFonts w:ascii="Arial" w:hAnsi="Arial" w:cs="Arial"/>
                <w:sz w:val="20"/>
              </w:rPr>
            </w:pPr>
            <w:r>
              <w:rPr>
                <w:rFonts w:ascii="Arial" w:hAnsi="Arial" w:cs="Arial"/>
                <w:sz w:val="20"/>
              </w:rPr>
              <w:t>16604</w:t>
            </w:r>
          </w:p>
        </w:tc>
        <w:tc>
          <w:tcPr>
            <w:tcW w:w="907" w:type="dxa"/>
            <w:tcBorders>
              <w:top w:val="single" w:sz="12" w:space="0" w:color="auto"/>
              <w:left w:val="single" w:sz="12" w:space="0" w:color="auto"/>
              <w:bottom w:val="single" w:sz="4" w:space="0" w:color="auto"/>
              <w:right w:val="single" w:sz="12" w:space="0" w:color="auto"/>
            </w:tcBorders>
            <w:shd w:val="clear" w:color="auto" w:fill="DDDDDD"/>
          </w:tcPr>
          <w:p w14:paraId="7CD90EEC" w14:textId="06BD7413" w:rsidR="00F926CF" w:rsidRDefault="00F926CF" w:rsidP="00F926CF">
            <w:pPr>
              <w:jc w:val="right"/>
              <w:rPr>
                <w:rFonts w:ascii="Arial" w:hAnsi="Arial" w:cs="Arial"/>
                <w:sz w:val="20"/>
              </w:rPr>
            </w:pPr>
            <w:r>
              <w:rPr>
                <w:rFonts w:ascii="Arial" w:hAnsi="Arial" w:cs="Arial"/>
                <w:sz w:val="20"/>
              </w:rPr>
              <w:t>54%</w:t>
            </w:r>
          </w:p>
        </w:tc>
      </w:tr>
      <w:tr w:rsidR="007C73F6" w14:paraId="42053A4A" w14:textId="77777777" w:rsidTr="007C73F6">
        <w:tc>
          <w:tcPr>
            <w:tcW w:w="2268" w:type="dxa"/>
            <w:vMerge/>
            <w:tcBorders>
              <w:top w:val="single" w:sz="12" w:space="0" w:color="auto"/>
              <w:left w:val="single" w:sz="12" w:space="0" w:color="auto"/>
              <w:bottom w:val="single" w:sz="12" w:space="0" w:color="auto"/>
              <w:right w:val="single" w:sz="12" w:space="0" w:color="auto"/>
            </w:tcBorders>
            <w:shd w:val="clear" w:color="auto" w:fill="DDDDDD"/>
          </w:tcPr>
          <w:p w14:paraId="63329A69" w14:textId="5B71B1CD" w:rsidR="00F926CF" w:rsidRPr="00F926CF" w:rsidRDefault="00F926CF" w:rsidP="00F926CF">
            <w:pPr>
              <w:jc w:val="center"/>
              <w:rPr>
                <w:rFonts w:ascii="Arial" w:hAnsi="Arial" w:cs="Arial"/>
                <w:b/>
                <w:bCs/>
                <w:sz w:val="20"/>
              </w:rPr>
            </w:pPr>
          </w:p>
        </w:tc>
        <w:tc>
          <w:tcPr>
            <w:tcW w:w="1134" w:type="dxa"/>
            <w:vMerge/>
            <w:tcBorders>
              <w:top w:val="single" w:sz="12" w:space="0" w:color="auto"/>
              <w:left w:val="single" w:sz="12" w:space="0" w:color="auto"/>
              <w:bottom w:val="single" w:sz="12" w:space="0" w:color="auto"/>
              <w:right w:val="single" w:sz="4" w:space="0" w:color="auto"/>
            </w:tcBorders>
          </w:tcPr>
          <w:p w14:paraId="275A97CC" w14:textId="3EEA696C" w:rsidR="00F926CF" w:rsidRDefault="00F926CF" w:rsidP="00F926CF">
            <w:pPr>
              <w:jc w:val="right"/>
              <w:rPr>
                <w:rFonts w:ascii="Arial" w:hAnsi="Arial" w:cs="Arial"/>
                <w:sz w:val="20"/>
              </w:rPr>
            </w:pPr>
          </w:p>
        </w:tc>
        <w:tc>
          <w:tcPr>
            <w:tcW w:w="2268" w:type="dxa"/>
            <w:tcBorders>
              <w:top w:val="single" w:sz="4" w:space="0" w:color="auto"/>
              <w:left w:val="single" w:sz="4" w:space="0" w:color="auto"/>
              <w:bottom w:val="single" w:sz="12" w:space="0" w:color="auto"/>
              <w:right w:val="single" w:sz="4" w:space="0" w:color="auto"/>
            </w:tcBorders>
          </w:tcPr>
          <w:p w14:paraId="597E24EE" w14:textId="29B23331" w:rsidR="00F926CF" w:rsidRPr="00F926CF" w:rsidRDefault="00F926CF" w:rsidP="00F926CF">
            <w:pPr>
              <w:jc w:val="center"/>
              <w:rPr>
                <w:rFonts w:ascii="Arial" w:hAnsi="Arial" w:cs="Arial"/>
                <w:b/>
                <w:bCs/>
                <w:sz w:val="20"/>
              </w:rPr>
            </w:pPr>
            <w:r w:rsidRPr="00F926CF">
              <w:rPr>
                <w:rFonts w:ascii="Arial" w:hAnsi="Arial" w:cs="Arial"/>
                <w:b/>
                <w:bCs/>
                <w:sz w:val="20"/>
              </w:rPr>
              <w:t>Intervention Orders</w:t>
            </w:r>
          </w:p>
        </w:tc>
        <w:tc>
          <w:tcPr>
            <w:tcW w:w="1134" w:type="dxa"/>
            <w:tcBorders>
              <w:top w:val="single" w:sz="4" w:space="0" w:color="auto"/>
              <w:left w:val="single" w:sz="4" w:space="0" w:color="auto"/>
              <w:bottom w:val="single" w:sz="12" w:space="0" w:color="auto"/>
              <w:right w:val="single" w:sz="12" w:space="0" w:color="auto"/>
            </w:tcBorders>
          </w:tcPr>
          <w:p w14:paraId="575BA4A9" w14:textId="3C61742C" w:rsidR="00F926CF" w:rsidRDefault="00F926CF" w:rsidP="00F926CF">
            <w:pPr>
              <w:jc w:val="right"/>
              <w:rPr>
                <w:rFonts w:ascii="Arial" w:hAnsi="Arial" w:cs="Arial"/>
                <w:sz w:val="20"/>
              </w:rPr>
            </w:pPr>
            <w:r>
              <w:rPr>
                <w:rFonts w:ascii="Arial" w:hAnsi="Arial" w:cs="Arial"/>
                <w:sz w:val="20"/>
              </w:rPr>
              <w:t>3243</w:t>
            </w:r>
          </w:p>
        </w:tc>
        <w:tc>
          <w:tcPr>
            <w:tcW w:w="907" w:type="dxa"/>
            <w:tcBorders>
              <w:top w:val="single" w:sz="4" w:space="0" w:color="auto"/>
              <w:left w:val="single" w:sz="12" w:space="0" w:color="auto"/>
              <w:bottom w:val="single" w:sz="12" w:space="0" w:color="auto"/>
              <w:right w:val="single" w:sz="12" w:space="0" w:color="auto"/>
            </w:tcBorders>
            <w:shd w:val="clear" w:color="auto" w:fill="DDDDDD"/>
          </w:tcPr>
          <w:p w14:paraId="71C8DE4E" w14:textId="72C7E94E" w:rsidR="00F926CF" w:rsidRDefault="00F926CF" w:rsidP="00F926CF">
            <w:pPr>
              <w:jc w:val="right"/>
              <w:rPr>
                <w:rFonts w:ascii="Arial" w:hAnsi="Arial" w:cs="Arial"/>
                <w:sz w:val="20"/>
              </w:rPr>
            </w:pPr>
            <w:r>
              <w:rPr>
                <w:rFonts w:ascii="Arial" w:hAnsi="Arial" w:cs="Arial"/>
                <w:sz w:val="20"/>
              </w:rPr>
              <w:t>10%</w:t>
            </w:r>
          </w:p>
        </w:tc>
      </w:tr>
      <w:tr w:rsidR="007C73F6" w14:paraId="1FDE9133" w14:textId="77777777" w:rsidTr="007C73F6">
        <w:tc>
          <w:tcPr>
            <w:tcW w:w="2268" w:type="dxa"/>
            <w:vMerge w:val="restart"/>
            <w:tcBorders>
              <w:top w:val="single" w:sz="12" w:space="0" w:color="auto"/>
              <w:left w:val="single" w:sz="12" w:space="0" w:color="auto"/>
              <w:right w:val="single" w:sz="12" w:space="0" w:color="auto"/>
            </w:tcBorders>
            <w:shd w:val="clear" w:color="auto" w:fill="DDDDDD"/>
          </w:tcPr>
          <w:p w14:paraId="5D9A0EB5" w14:textId="3C6CE822" w:rsidR="00F926CF" w:rsidRPr="00F926CF" w:rsidRDefault="00F926CF" w:rsidP="00F926CF">
            <w:pPr>
              <w:jc w:val="center"/>
              <w:rPr>
                <w:rFonts w:ascii="Arial" w:hAnsi="Arial" w:cs="Arial"/>
                <w:b/>
                <w:bCs/>
                <w:sz w:val="20"/>
              </w:rPr>
            </w:pPr>
            <w:r w:rsidRPr="00F926CF">
              <w:rPr>
                <w:rFonts w:ascii="Arial" w:hAnsi="Arial" w:cs="Arial"/>
                <w:b/>
                <w:bCs/>
                <w:sz w:val="20"/>
              </w:rPr>
              <w:t>CRIMINAL DIVISION</w:t>
            </w:r>
          </w:p>
        </w:tc>
        <w:tc>
          <w:tcPr>
            <w:tcW w:w="1134" w:type="dxa"/>
            <w:vMerge w:val="restart"/>
            <w:tcBorders>
              <w:top w:val="single" w:sz="12" w:space="0" w:color="auto"/>
              <w:left w:val="single" w:sz="12" w:space="0" w:color="auto"/>
            </w:tcBorders>
          </w:tcPr>
          <w:p w14:paraId="7A33302F" w14:textId="41FF56E9" w:rsidR="00F926CF" w:rsidRDefault="00F926CF" w:rsidP="00F926CF">
            <w:pPr>
              <w:jc w:val="right"/>
              <w:rPr>
                <w:rFonts w:ascii="Arial" w:hAnsi="Arial" w:cs="Arial"/>
                <w:sz w:val="20"/>
              </w:rPr>
            </w:pPr>
            <w:r>
              <w:rPr>
                <w:rFonts w:ascii="Arial" w:hAnsi="Arial" w:cs="Arial"/>
                <w:sz w:val="20"/>
              </w:rPr>
              <w:t>11118</w:t>
            </w:r>
          </w:p>
        </w:tc>
        <w:tc>
          <w:tcPr>
            <w:tcW w:w="2268" w:type="dxa"/>
            <w:tcBorders>
              <w:top w:val="single" w:sz="12" w:space="0" w:color="auto"/>
            </w:tcBorders>
          </w:tcPr>
          <w:p w14:paraId="18CC73A3" w14:textId="1017F511" w:rsidR="00F926CF" w:rsidRPr="00F926CF" w:rsidRDefault="00F926CF" w:rsidP="00F926CF">
            <w:pPr>
              <w:jc w:val="center"/>
              <w:rPr>
                <w:rFonts w:ascii="Arial" w:hAnsi="Arial" w:cs="Arial"/>
                <w:b/>
                <w:bCs/>
                <w:sz w:val="20"/>
              </w:rPr>
            </w:pPr>
            <w:r w:rsidRPr="00F926CF">
              <w:rPr>
                <w:rFonts w:ascii="Arial" w:hAnsi="Arial" w:cs="Arial"/>
                <w:b/>
                <w:bCs/>
                <w:sz w:val="20"/>
              </w:rPr>
              <w:t>Crim</w:t>
            </w:r>
            <w:r w:rsidR="007C73F6">
              <w:rPr>
                <w:rFonts w:ascii="Arial" w:hAnsi="Arial" w:cs="Arial"/>
                <w:b/>
                <w:bCs/>
                <w:sz w:val="20"/>
              </w:rPr>
              <w:t>inal Cases</w:t>
            </w:r>
          </w:p>
        </w:tc>
        <w:tc>
          <w:tcPr>
            <w:tcW w:w="1134" w:type="dxa"/>
            <w:tcBorders>
              <w:top w:val="single" w:sz="12" w:space="0" w:color="auto"/>
              <w:right w:val="single" w:sz="12" w:space="0" w:color="auto"/>
            </w:tcBorders>
          </w:tcPr>
          <w:p w14:paraId="767CF1BA" w14:textId="77F9727C" w:rsidR="00F926CF" w:rsidRDefault="00F926CF" w:rsidP="00F926CF">
            <w:pPr>
              <w:jc w:val="right"/>
              <w:rPr>
                <w:rFonts w:ascii="Arial" w:hAnsi="Arial" w:cs="Arial"/>
                <w:sz w:val="20"/>
              </w:rPr>
            </w:pPr>
            <w:r>
              <w:rPr>
                <w:rFonts w:ascii="Arial" w:hAnsi="Arial" w:cs="Arial"/>
                <w:sz w:val="20"/>
              </w:rPr>
              <w:t>8197</w:t>
            </w:r>
          </w:p>
        </w:tc>
        <w:tc>
          <w:tcPr>
            <w:tcW w:w="907" w:type="dxa"/>
            <w:tcBorders>
              <w:top w:val="single" w:sz="12" w:space="0" w:color="auto"/>
              <w:left w:val="single" w:sz="12" w:space="0" w:color="auto"/>
              <w:right w:val="single" w:sz="12" w:space="0" w:color="auto"/>
            </w:tcBorders>
            <w:shd w:val="clear" w:color="auto" w:fill="DDDDDD"/>
          </w:tcPr>
          <w:p w14:paraId="325271A5" w14:textId="0D1824E5" w:rsidR="00F926CF" w:rsidRDefault="00F926CF" w:rsidP="00F926CF">
            <w:pPr>
              <w:jc w:val="right"/>
              <w:rPr>
                <w:rFonts w:ascii="Arial" w:hAnsi="Arial" w:cs="Arial"/>
                <w:sz w:val="20"/>
              </w:rPr>
            </w:pPr>
            <w:r>
              <w:rPr>
                <w:rFonts w:ascii="Arial" w:hAnsi="Arial" w:cs="Arial"/>
                <w:sz w:val="20"/>
              </w:rPr>
              <w:t>27%</w:t>
            </w:r>
          </w:p>
        </w:tc>
      </w:tr>
      <w:tr w:rsidR="007C73F6" w14:paraId="123F1BA7" w14:textId="77777777" w:rsidTr="007C73F6">
        <w:tc>
          <w:tcPr>
            <w:tcW w:w="2268" w:type="dxa"/>
            <w:vMerge/>
            <w:tcBorders>
              <w:left w:val="single" w:sz="12" w:space="0" w:color="auto"/>
              <w:bottom w:val="single" w:sz="12" w:space="0" w:color="auto"/>
              <w:right w:val="single" w:sz="12" w:space="0" w:color="auto"/>
            </w:tcBorders>
            <w:shd w:val="clear" w:color="auto" w:fill="DDDDDD"/>
          </w:tcPr>
          <w:p w14:paraId="3875053B" w14:textId="77777777" w:rsidR="00F926CF" w:rsidRDefault="00F926CF" w:rsidP="00F926CF">
            <w:pPr>
              <w:jc w:val="both"/>
              <w:rPr>
                <w:rFonts w:ascii="Arial" w:hAnsi="Arial" w:cs="Arial"/>
                <w:sz w:val="20"/>
              </w:rPr>
            </w:pPr>
          </w:p>
        </w:tc>
        <w:tc>
          <w:tcPr>
            <w:tcW w:w="1134" w:type="dxa"/>
            <w:vMerge/>
            <w:tcBorders>
              <w:left w:val="single" w:sz="12" w:space="0" w:color="auto"/>
              <w:bottom w:val="single" w:sz="12" w:space="0" w:color="auto"/>
            </w:tcBorders>
          </w:tcPr>
          <w:p w14:paraId="7C5668A5" w14:textId="0EDFB376" w:rsidR="00F926CF" w:rsidRDefault="00F926CF" w:rsidP="00F926CF">
            <w:pPr>
              <w:jc w:val="right"/>
              <w:rPr>
                <w:rFonts w:ascii="Arial" w:hAnsi="Arial" w:cs="Arial"/>
                <w:sz w:val="20"/>
              </w:rPr>
            </w:pPr>
          </w:p>
        </w:tc>
        <w:tc>
          <w:tcPr>
            <w:tcW w:w="2268" w:type="dxa"/>
            <w:tcBorders>
              <w:bottom w:val="single" w:sz="12" w:space="0" w:color="auto"/>
            </w:tcBorders>
          </w:tcPr>
          <w:p w14:paraId="19F97555" w14:textId="4A357E8B" w:rsidR="00F926CF" w:rsidRPr="00F926CF" w:rsidRDefault="00F926CF" w:rsidP="00F926CF">
            <w:pPr>
              <w:jc w:val="center"/>
              <w:rPr>
                <w:rFonts w:ascii="Arial" w:hAnsi="Arial" w:cs="Arial"/>
                <w:b/>
                <w:bCs/>
                <w:sz w:val="20"/>
              </w:rPr>
            </w:pPr>
            <w:r w:rsidRPr="00F926CF">
              <w:rPr>
                <w:rFonts w:ascii="Arial" w:hAnsi="Arial" w:cs="Arial"/>
                <w:b/>
                <w:bCs/>
                <w:sz w:val="20"/>
              </w:rPr>
              <w:t>CAYPINS</w:t>
            </w:r>
          </w:p>
        </w:tc>
        <w:tc>
          <w:tcPr>
            <w:tcW w:w="1134" w:type="dxa"/>
            <w:tcBorders>
              <w:bottom w:val="single" w:sz="12" w:space="0" w:color="auto"/>
              <w:right w:val="single" w:sz="12" w:space="0" w:color="auto"/>
            </w:tcBorders>
          </w:tcPr>
          <w:p w14:paraId="12170D3B" w14:textId="51D6D8A0" w:rsidR="00F926CF" w:rsidRDefault="00F926CF" w:rsidP="00F926CF">
            <w:pPr>
              <w:jc w:val="right"/>
              <w:rPr>
                <w:rFonts w:ascii="Arial" w:hAnsi="Arial" w:cs="Arial"/>
                <w:sz w:val="20"/>
              </w:rPr>
            </w:pPr>
            <w:r>
              <w:rPr>
                <w:rFonts w:ascii="Arial" w:hAnsi="Arial" w:cs="Arial"/>
                <w:sz w:val="20"/>
              </w:rPr>
              <w:t>2921</w:t>
            </w:r>
          </w:p>
        </w:tc>
        <w:tc>
          <w:tcPr>
            <w:tcW w:w="907" w:type="dxa"/>
            <w:tcBorders>
              <w:left w:val="single" w:sz="12" w:space="0" w:color="auto"/>
              <w:bottom w:val="single" w:sz="12" w:space="0" w:color="auto"/>
              <w:right w:val="single" w:sz="12" w:space="0" w:color="auto"/>
            </w:tcBorders>
            <w:shd w:val="clear" w:color="auto" w:fill="DDDDDD"/>
          </w:tcPr>
          <w:p w14:paraId="196351A0" w14:textId="6BD13000" w:rsidR="00F926CF" w:rsidRDefault="00F926CF" w:rsidP="00F926CF">
            <w:pPr>
              <w:jc w:val="right"/>
              <w:rPr>
                <w:rFonts w:ascii="Arial" w:hAnsi="Arial" w:cs="Arial"/>
                <w:sz w:val="20"/>
              </w:rPr>
            </w:pPr>
            <w:r>
              <w:rPr>
                <w:rFonts w:ascii="Arial" w:hAnsi="Arial" w:cs="Arial"/>
                <w:sz w:val="20"/>
              </w:rPr>
              <w:t>9%</w:t>
            </w:r>
          </w:p>
        </w:tc>
      </w:tr>
      <w:tr w:rsidR="00F926CF" w:rsidRPr="00F926CF" w14:paraId="7EBE4372" w14:textId="77777777" w:rsidTr="007C73F6">
        <w:tc>
          <w:tcPr>
            <w:tcW w:w="2268" w:type="dxa"/>
            <w:tcBorders>
              <w:top w:val="single" w:sz="12" w:space="0" w:color="auto"/>
              <w:left w:val="single" w:sz="12" w:space="0" w:color="auto"/>
              <w:bottom w:val="single" w:sz="12" w:space="0" w:color="auto"/>
              <w:right w:val="single" w:sz="12" w:space="0" w:color="auto"/>
            </w:tcBorders>
            <w:shd w:val="clear" w:color="auto" w:fill="DDDDDD"/>
          </w:tcPr>
          <w:p w14:paraId="1A1495CF" w14:textId="3E004300" w:rsidR="00F926CF" w:rsidRPr="00F926CF" w:rsidRDefault="00F926CF" w:rsidP="00F926CF">
            <w:pPr>
              <w:jc w:val="center"/>
              <w:rPr>
                <w:rFonts w:ascii="Arial" w:hAnsi="Arial" w:cs="Arial"/>
                <w:b/>
                <w:bCs/>
                <w:sz w:val="20"/>
              </w:rPr>
            </w:pPr>
            <w:r w:rsidRPr="00F926CF">
              <w:rPr>
                <w:rFonts w:ascii="Arial" w:hAnsi="Arial" w:cs="Arial"/>
                <w:b/>
                <w:bCs/>
                <w:sz w:val="20"/>
              </w:rPr>
              <w:t>TOTALS</w:t>
            </w:r>
          </w:p>
        </w:tc>
        <w:tc>
          <w:tcPr>
            <w:tcW w:w="1134" w:type="dxa"/>
            <w:tcBorders>
              <w:top w:val="single" w:sz="12" w:space="0" w:color="auto"/>
              <w:left w:val="single" w:sz="12" w:space="0" w:color="auto"/>
              <w:bottom w:val="single" w:sz="12" w:space="0" w:color="auto"/>
            </w:tcBorders>
            <w:shd w:val="clear" w:color="auto" w:fill="DDDDDD"/>
          </w:tcPr>
          <w:p w14:paraId="22C3EC42" w14:textId="2F8C905F" w:rsidR="00F926CF" w:rsidRPr="00F926CF" w:rsidRDefault="00F926CF" w:rsidP="00F926CF">
            <w:pPr>
              <w:jc w:val="right"/>
              <w:rPr>
                <w:rFonts w:ascii="Arial" w:hAnsi="Arial" w:cs="Arial"/>
                <w:b/>
                <w:bCs/>
                <w:sz w:val="20"/>
              </w:rPr>
            </w:pPr>
            <w:r w:rsidRPr="00F926CF">
              <w:rPr>
                <w:rFonts w:ascii="Arial" w:hAnsi="Arial" w:cs="Arial"/>
                <w:b/>
                <w:bCs/>
                <w:sz w:val="20"/>
              </w:rPr>
              <w:t>30965</w:t>
            </w:r>
          </w:p>
        </w:tc>
        <w:tc>
          <w:tcPr>
            <w:tcW w:w="2268" w:type="dxa"/>
            <w:tcBorders>
              <w:top w:val="single" w:sz="12" w:space="0" w:color="auto"/>
              <w:bottom w:val="single" w:sz="12" w:space="0" w:color="auto"/>
            </w:tcBorders>
            <w:shd w:val="clear" w:color="auto" w:fill="DDDDDD"/>
          </w:tcPr>
          <w:p w14:paraId="514B7372" w14:textId="77777777" w:rsidR="00F926CF" w:rsidRPr="00F926CF" w:rsidRDefault="00F926CF" w:rsidP="00F926CF">
            <w:pPr>
              <w:jc w:val="both"/>
              <w:rPr>
                <w:rFonts w:ascii="Arial" w:hAnsi="Arial" w:cs="Arial"/>
                <w:b/>
                <w:bCs/>
                <w:sz w:val="20"/>
              </w:rPr>
            </w:pPr>
          </w:p>
        </w:tc>
        <w:tc>
          <w:tcPr>
            <w:tcW w:w="1134" w:type="dxa"/>
            <w:tcBorders>
              <w:top w:val="single" w:sz="12" w:space="0" w:color="auto"/>
              <w:bottom w:val="single" w:sz="12" w:space="0" w:color="auto"/>
              <w:right w:val="single" w:sz="12" w:space="0" w:color="auto"/>
            </w:tcBorders>
            <w:shd w:val="clear" w:color="auto" w:fill="DDDDDD"/>
          </w:tcPr>
          <w:p w14:paraId="5698C397" w14:textId="17C9A1DB" w:rsidR="00F926CF" w:rsidRPr="00F926CF" w:rsidRDefault="00F926CF" w:rsidP="00F926CF">
            <w:pPr>
              <w:jc w:val="right"/>
              <w:rPr>
                <w:rFonts w:ascii="Arial" w:hAnsi="Arial" w:cs="Arial"/>
                <w:b/>
                <w:bCs/>
                <w:sz w:val="20"/>
              </w:rPr>
            </w:pPr>
            <w:r>
              <w:rPr>
                <w:rFonts w:ascii="Arial" w:hAnsi="Arial" w:cs="Arial"/>
                <w:b/>
                <w:bCs/>
                <w:sz w:val="20"/>
              </w:rPr>
              <w:t>30965</w:t>
            </w:r>
          </w:p>
        </w:tc>
        <w:tc>
          <w:tcPr>
            <w:tcW w:w="907" w:type="dxa"/>
            <w:tcBorders>
              <w:top w:val="single" w:sz="12" w:space="0" w:color="auto"/>
              <w:left w:val="single" w:sz="12" w:space="0" w:color="auto"/>
              <w:bottom w:val="single" w:sz="12" w:space="0" w:color="auto"/>
              <w:right w:val="single" w:sz="12" w:space="0" w:color="auto"/>
            </w:tcBorders>
            <w:shd w:val="clear" w:color="auto" w:fill="DDDDDD"/>
          </w:tcPr>
          <w:p w14:paraId="3D945644" w14:textId="641CC613" w:rsidR="00F926CF" w:rsidRPr="00F926CF" w:rsidRDefault="00F926CF" w:rsidP="00F926CF">
            <w:pPr>
              <w:jc w:val="right"/>
              <w:rPr>
                <w:rFonts w:ascii="Arial" w:hAnsi="Arial" w:cs="Arial"/>
                <w:b/>
                <w:bCs/>
                <w:sz w:val="20"/>
              </w:rPr>
            </w:pPr>
            <w:r>
              <w:rPr>
                <w:rFonts w:ascii="Arial" w:hAnsi="Arial" w:cs="Arial"/>
                <w:b/>
                <w:bCs/>
                <w:sz w:val="20"/>
              </w:rPr>
              <w:t>100%</w:t>
            </w:r>
          </w:p>
        </w:tc>
      </w:tr>
    </w:tbl>
    <w:p w14:paraId="4E53BF04" w14:textId="44787E14" w:rsidR="007C73F6" w:rsidRDefault="007C73F6" w:rsidP="007C73F6">
      <w:pPr>
        <w:spacing w:before="120"/>
        <w:jc w:val="both"/>
        <w:rPr>
          <w:rFonts w:ascii="Arial" w:hAnsi="Arial" w:cs="Arial"/>
          <w:sz w:val="20"/>
        </w:rPr>
      </w:pPr>
      <w:r>
        <w:rPr>
          <w:rFonts w:ascii="Arial" w:hAnsi="Arial" w:cs="Arial"/>
          <w:sz w:val="20"/>
        </w:rPr>
        <w:t>The pending caseload as at 30/06/2023 has reduced by 11% for child protection cases and by 9% for criminal cases compared with the caseload as at 01/07/2022.</w:t>
      </w:r>
    </w:p>
    <w:p w14:paraId="60E0A955" w14:textId="77777777" w:rsidR="00F926CF" w:rsidRDefault="00F926CF" w:rsidP="000326C3">
      <w:pPr>
        <w:jc w:val="both"/>
        <w:rPr>
          <w:rFonts w:ascii="Arial" w:hAnsi="Arial" w:cs="Arial"/>
          <w:sz w:val="20"/>
        </w:rPr>
      </w:pPr>
    </w:p>
    <w:p w14:paraId="4533DFAB" w14:textId="77777777" w:rsidR="00277B85" w:rsidRDefault="00277B85">
      <w:pPr>
        <w:pStyle w:val="Heading2"/>
        <w:keepNext/>
        <w:tabs>
          <w:tab w:val="left" w:pos="567"/>
        </w:tabs>
        <w:spacing w:line="240" w:lineRule="auto"/>
        <w:rPr>
          <w:rFonts w:ascii="Arial" w:hAnsi="Arial" w:cs="Arial"/>
          <w:b/>
          <w:bCs/>
        </w:rPr>
      </w:pPr>
      <w:bookmarkStart w:id="319" w:name="_2.5_Venues_of"/>
      <w:bookmarkEnd w:id="319"/>
      <w:r>
        <w:rPr>
          <w:rFonts w:ascii="Arial" w:hAnsi="Arial" w:cs="Arial"/>
          <w:b/>
          <w:bCs/>
        </w:rPr>
        <w:t>2.5</w:t>
      </w:r>
      <w:r>
        <w:rPr>
          <w:rFonts w:ascii="Arial" w:hAnsi="Arial" w:cs="Arial"/>
          <w:b/>
          <w:bCs/>
        </w:rPr>
        <w:tab/>
        <w:t>Venues of the Court</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2B296DE" w14:textId="77777777" w:rsidR="00962CA3" w:rsidRPr="001E79F7" w:rsidRDefault="00962CA3" w:rsidP="00962CA3">
      <w:pPr>
        <w:keepNext/>
        <w:keepLines/>
        <w:jc w:val="both"/>
        <w:rPr>
          <w:rFonts w:ascii="Arial" w:hAnsi="Arial" w:cs="Arial"/>
          <w:sz w:val="20"/>
        </w:rPr>
      </w:pPr>
    </w:p>
    <w:p w14:paraId="08529B84" w14:textId="56FC21B7" w:rsidR="00962CA3" w:rsidRDefault="00962CA3" w:rsidP="00962CA3">
      <w:pPr>
        <w:pStyle w:val="Heading3"/>
        <w:keepNext/>
        <w:keepLines/>
        <w:spacing w:after="120" w:line="240" w:lineRule="auto"/>
        <w:rPr>
          <w:rFonts w:ascii="Arial" w:hAnsi="Arial" w:cs="Arial"/>
          <w:b/>
          <w:bCs/>
          <w:sz w:val="20"/>
        </w:rPr>
      </w:pPr>
      <w:bookmarkStart w:id="320" w:name="_2.5.1_Sections_505"/>
      <w:bookmarkEnd w:id="320"/>
      <w:r>
        <w:rPr>
          <w:rFonts w:ascii="Arial" w:hAnsi="Arial" w:cs="Arial"/>
          <w:b/>
          <w:bCs/>
          <w:sz w:val="20"/>
        </w:rPr>
        <w:t>2.5.1</w:t>
      </w:r>
      <w:r>
        <w:rPr>
          <w:rFonts w:ascii="Arial" w:hAnsi="Arial" w:cs="Arial"/>
          <w:b/>
          <w:bCs/>
          <w:sz w:val="20"/>
        </w:rPr>
        <w:tab/>
        <w:t>Sections 505 &amp; 505A of the CYFA</w:t>
      </w:r>
    </w:p>
    <w:p w14:paraId="2F81C66C" w14:textId="384F41B2" w:rsidR="000D7DAB" w:rsidRDefault="00CB3774" w:rsidP="009C456B">
      <w:pPr>
        <w:shd w:val="clear" w:color="auto" w:fill="FFFFFF"/>
        <w:ind w:right="-57"/>
        <w:jc w:val="both"/>
        <w:rPr>
          <w:rFonts w:ascii="Arial" w:hAnsi="Arial" w:cs="Arial"/>
          <w:bCs/>
          <w:sz w:val="20"/>
          <w:szCs w:val="20"/>
        </w:rPr>
      </w:pPr>
      <w:r w:rsidRPr="00CB3774">
        <w:rPr>
          <w:rFonts w:ascii="Arial" w:hAnsi="Arial" w:cs="Arial"/>
          <w:bCs/>
          <w:sz w:val="20"/>
          <w:szCs w:val="20"/>
        </w:rPr>
        <w:t xml:space="preserve">Section 505 </w:t>
      </w:r>
      <w:r>
        <w:rPr>
          <w:rFonts w:ascii="Arial" w:hAnsi="Arial" w:cs="Arial"/>
          <w:bCs/>
          <w:sz w:val="20"/>
          <w:szCs w:val="20"/>
        </w:rPr>
        <w:t xml:space="preserve">of the CYFA </w:t>
      </w:r>
      <w:r w:rsidR="00A32C68">
        <w:rPr>
          <w:rFonts w:ascii="Arial" w:hAnsi="Arial" w:cs="Arial"/>
          <w:bCs/>
          <w:sz w:val="20"/>
          <w:szCs w:val="20"/>
        </w:rPr>
        <w:t>formerly</w:t>
      </w:r>
      <w:r w:rsidRPr="00CB3774">
        <w:rPr>
          <w:rFonts w:ascii="Arial" w:hAnsi="Arial" w:cs="Arial"/>
          <w:bCs/>
          <w:sz w:val="20"/>
          <w:szCs w:val="20"/>
        </w:rPr>
        <w:t xml:space="preserve"> contained a fairly rigid stipulation, in part requiring the Children’s Court to be held at places at which the Magistrates’ Court is to be held and on such days and at such times as the President, after consulting the Chief Magistrate, appoints by notice published in the Government Gazette.  </w:t>
      </w:r>
      <w:r w:rsidR="00E74A77">
        <w:rPr>
          <w:rFonts w:ascii="Arial" w:hAnsi="Arial" w:cs="Arial"/>
          <w:bCs/>
          <w:sz w:val="20"/>
          <w:szCs w:val="20"/>
        </w:rPr>
        <w:t>A</w:t>
      </w:r>
      <w:r w:rsidRPr="00CB3774">
        <w:rPr>
          <w:rFonts w:ascii="Arial" w:hAnsi="Arial" w:cs="Arial"/>
          <w:bCs/>
          <w:sz w:val="20"/>
          <w:szCs w:val="20"/>
        </w:rPr>
        <w:t>lthough not expressly excluded, the headquarters of each of the Courts [Melbourne Children’s Court and</w:t>
      </w:r>
      <w:r>
        <w:rPr>
          <w:rFonts w:ascii="Arial" w:hAnsi="Arial" w:cs="Arial"/>
          <w:bCs/>
          <w:sz w:val="20"/>
          <w:szCs w:val="20"/>
        </w:rPr>
        <w:t xml:space="preserve"> </w:t>
      </w:r>
      <w:r w:rsidRPr="00CB3774">
        <w:rPr>
          <w:rFonts w:ascii="Arial" w:hAnsi="Arial" w:cs="Arial"/>
          <w:bCs/>
          <w:sz w:val="20"/>
          <w:szCs w:val="20"/>
        </w:rPr>
        <w:t xml:space="preserve">Melbourne Magistrates’ Court] never complied with </w:t>
      </w:r>
      <w:r w:rsidR="00E74A77">
        <w:rPr>
          <w:rFonts w:ascii="Arial" w:hAnsi="Arial" w:cs="Arial"/>
          <w:bCs/>
          <w:sz w:val="20"/>
          <w:szCs w:val="20"/>
        </w:rPr>
        <w:t xml:space="preserve">former </w:t>
      </w:r>
      <w:r w:rsidRPr="00CB3774">
        <w:rPr>
          <w:rFonts w:ascii="Arial" w:hAnsi="Arial" w:cs="Arial"/>
          <w:bCs/>
          <w:sz w:val="20"/>
          <w:szCs w:val="20"/>
        </w:rPr>
        <w:t>s.505(1)(a), having always been in completely separate buildings.</w:t>
      </w:r>
      <w:r>
        <w:rPr>
          <w:rFonts w:ascii="Arial" w:hAnsi="Arial" w:cs="Arial"/>
          <w:bCs/>
          <w:sz w:val="20"/>
          <w:szCs w:val="20"/>
        </w:rPr>
        <w:t xml:space="preserve">  </w:t>
      </w:r>
      <w:r w:rsidRPr="00CB3774">
        <w:rPr>
          <w:rFonts w:ascii="Arial" w:hAnsi="Arial" w:cs="Arial"/>
          <w:bCs/>
          <w:sz w:val="20"/>
          <w:szCs w:val="20"/>
        </w:rPr>
        <w:t xml:space="preserve">Section 505(3) prohibited the Children’s Court from being held in the same building as that in which the Magistrates’ Court </w:t>
      </w:r>
      <w:r>
        <w:rPr>
          <w:rFonts w:ascii="Arial" w:hAnsi="Arial" w:cs="Arial"/>
          <w:bCs/>
          <w:sz w:val="20"/>
          <w:szCs w:val="20"/>
        </w:rPr>
        <w:t>wa</w:t>
      </w:r>
      <w:r w:rsidRPr="00CB3774">
        <w:rPr>
          <w:rFonts w:ascii="Arial" w:hAnsi="Arial" w:cs="Arial"/>
          <w:bCs/>
          <w:sz w:val="20"/>
          <w:szCs w:val="20"/>
        </w:rPr>
        <w:t>s at the time sitting unless the Governor in Council, by Order published in the Government Gazette, otherwise direct</w:t>
      </w:r>
      <w:r w:rsidR="00CE404E">
        <w:rPr>
          <w:rFonts w:ascii="Arial" w:hAnsi="Arial" w:cs="Arial"/>
          <w:bCs/>
          <w:sz w:val="20"/>
          <w:szCs w:val="20"/>
        </w:rPr>
        <w:t>ed</w:t>
      </w:r>
      <w:r w:rsidRPr="00CB3774">
        <w:rPr>
          <w:rFonts w:ascii="Arial" w:hAnsi="Arial" w:cs="Arial"/>
          <w:bCs/>
          <w:sz w:val="20"/>
          <w:szCs w:val="20"/>
        </w:rPr>
        <w:t xml:space="preserve"> with respect to any particular building.  Subject to that, s.505(4) permitted the Children’s Court to sit and act at any time and place.</w:t>
      </w:r>
    </w:p>
    <w:p w14:paraId="20A5E1CC" w14:textId="77777777" w:rsidR="000D7DAB" w:rsidRDefault="000D7DAB" w:rsidP="009C456B">
      <w:pPr>
        <w:shd w:val="clear" w:color="auto" w:fill="FFFFFF"/>
        <w:ind w:right="-57"/>
        <w:jc w:val="both"/>
        <w:rPr>
          <w:rFonts w:ascii="Arial" w:hAnsi="Arial" w:cs="Arial"/>
          <w:bCs/>
          <w:sz w:val="20"/>
          <w:szCs w:val="20"/>
        </w:rPr>
      </w:pPr>
    </w:p>
    <w:p w14:paraId="6452A857" w14:textId="0B00851D" w:rsidR="00D91405" w:rsidRDefault="00CB3774" w:rsidP="009C456B">
      <w:pPr>
        <w:shd w:val="clear" w:color="auto" w:fill="FFFFFF"/>
        <w:ind w:right="-57"/>
        <w:jc w:val="both"/>
        <w:rPr>
          <w:rFonts w:ascii="Arial" w:hAnsi="Arial" w:cs="Arial"/>
          <w:bCs/>
          <w:sz w:val="20"/>
          <w:szCs w:val="20"/>
        </w:rPr>
      </w:pPr>
      <w:r w:rsidRPr="00CB3774">
        <w:rPr>
          <w:rFonts w:ascii="Arial" w:hAnsi="Arial" w:cs="Arial"/>
          <w:bCs/>
          <w:sz w:val="20"/>
          <w:szCs w:val="20"/>
        </w:rPr>
        <w:t xml:space="preserve">The situation was further complicated by the absence of a </w:t>
      </w:r>
      <w:r w:rsidR="00CD4244">
        <w:rPr>
          <w:rFonts w:ascii="Arial" w:hAnsi="Arial" w:cs="Arial"/>
          <w:bCs/>
          <w:sz w:val="20"/>
          <w:szCs w:val="20"/>
        </w:rPr>
        <w:t>legislative</w:t>
      </w:r>
      <w:r w:rsidRPr="00CB3774">
        <w:rPr>
          <w:rFonts w:ascii="Arial" w:hAnsi="Arial" w:cs="Arial"/>
          <w:bCs/>
          <w:sz w:val="20"/>
          <w:szCs w:val="20"/>
        </w:rPr>
        <w:t xml:space="preserve"> link between </w:t>
      </w:r>
      <w:r w:rsidR="00CE404E" w:rsidRPr="00CB3774">
        <w:rPr>
          <w:rFonts w:ascii="Arial" w:hAnsi="Arial" w:cs="Arial"/>
          <w:bCs/>
          <w:sz w:val="20"/>
          <w:szCs w:val="20"/>
        </w:rPr>
        <w:t>s.505</w:t>
      </w:r>
      <w:r w:rsidR="00CE404E">
        <w:rPr>
          <w:rFonts w:ascii="Arial" w:hAnsi="Arial" w:cs="Arial"/>
          <w:bCs/>
          <w:sz w:val="20"/>
          <w:szCs w:val="20"/>
        </w:rPr>
        <w:t xml:space="preserve"> and </w:t>
      </w:r>
      <w:r w:rsidRPr="00CB3774">
        <w:rPr>
          <w:rFonts w:ascii="Arial" w:hAnsi="Arial" w:cs="Arial"/>
          <w:bCs/>
          <w:sz w:val="20"/>
          <w:szCs w:val="20"/>
        </w:rPr>
        <w:t xml:space="preserve">the </w:t>
      </w:r>
      <w:r w:rsidR="00D91405">
        <w:rPr>
          <w:rFonts w:ascii="Arial" w:hAnsi="Arial" w:cs="Arial"/>
          <w:bCs/>
          <w:sz w:val="20"/>
          <w:szCs w:val="20"/>
        </w:rPr>
        <w:t xml:space="preserve">very complex </w:t>
      </w:r>
      <w:r w:rsidRPr="00CB3774">
        <w:rPr>
          <w:rFonts w:ascii="Arial" w:hAnsi="Arial" w:cs="Arial"/>
          <w:bCs/>
          <w:sz w:val="20"/>
          <w:szCs w:val="20"/>
        </w:rPr>
        <w:t>definition of ‘proper venue’ in s.3(1).</w:t>
      </w:r>
      <w:r w:rsidR="00CD4244">
        <w:rPr>
          <w:rFonts w:ascii="Arial" w:hAnsi="Arial" w:cs="Arial"/>
          <w:bCs/>
          <w:sz w:val="20"/>
          <w:szCs w:val="20"/>
        </w:rPr>
        <w:t xml:space="preserve">  Speaking generally</w:t>
      </w:r>
      <w:r w:rsidR="00D91405">
        <w:rPr>
          <w:rFonts w:ascii="Arial" w:hAnsi="Arial" w:cs="Arial"/>
          <w:bCs/>
          <w:sz w:val="20"/>
          <w:szCs w:val="20"/>
        </w:rPr>
        <w:t xml:space="preserve"> and subject to limited exceptions</w:t>
      </w:r>
      <w:r w:rsidR="00CD4244">
        <w:rPr>
          <w:rFonts w:ascii="Arial" w:hAnsi="Arial" w:cs="Arial"/>
          <w:bCs/>
          <w:sz w:val="20"/>
          <w:szCs w:val="20"/>
        </w:rPr>
        <w:t xml:space="preserve">, </w:t>
      </w:r>
      <w:r w:rsidR="00D91405">
        <w:rPr>
          <w:rFonts w:ascii="Arial" w:hAnsi="Arial" w:cs="Arial"/>
          <w:bCs/>
          <w:sz w:val="20"/>
          <w:szCs w:val="20"/>
        </w:rPr>
        <w:t xml:space="preserve">s.3(1) provides that </w:t>
      </w:r>
      <w:r w:rsidR="00CD4244">
        <w:rPr>
          <w:rFonts w:ascii="Arial" w:hAnsi="Arial" w:cs="Arial"/>
          <w:bCs/>
          <w:sz w:val="20"/>
          <w:szCs w:val="20"/>
        </w:rPr>
        <w:t>the ‘proper venue’ is the venue of the Court that is nearest to</w:t>
      </w:r>
      <w:r w:rsidR="00D91405">
        <w:rPr>
          <w:rFonts w:ascii="Arial" w:hAnsi="Arial" w:cs="Arial"/>
          <w:bCs/>
          <w:sz w:val="20"/>
          <w:szCs w:val="20"/>
        </w:rPr>
        <w:t>–</w:t>
      </w:r>
    </w:p>
    <w:p w14:paraId="6FBD73B8" w14:textId="3368FE86" w:rsidR="00D91405" w:rsidRPr="00D91405" w:rsidRDefault="00D91405" w:rsidP="00D91405">
      <w:pPr>
        <w:pStyle w:val="ListParagraph"/>
        <w:numPr>
          <w:ilvl w:val="0"/>
          <w:numId w:val="50"/>
        </w:numPr>
        <w:shd w:val="clear" w:color="auto" w:fill="FFFFFF"/>
        <w:ind w:left="357" w:hanging="357"/>
        <w:jc w:val="both"/>
        <w:rPr>
          <w:rFonts w:ascii="Arial" w:hAnsi="Arial" w:cs="Arial"/>
          <w:bCs/>
          <w:sz w:val="20"/>
        </w:rPr>
      </w:pPr>
      <w:r>
        <w:rPr>
          <w:rFonts w:ascii="Arial" w:hAnsi="Arial" w:cs="Arial"/>
          <w:bCs/>
          <w:sz w:val="20"/>
        </w:rPr>
        <w:t>the place of residence of the child; or</w:t>
      </w:r>
    </w:p>
    <w:p w14:paraId="16D40A4E" w14:textId="1BAEA5E3" w:rsidR="00CE404E" w:rsidRPr="00D91405" w:rsidRDefault="00CD4244" w:rsidP="00D91405">
      <w:pPr>
        <w:pStyle w:val="ListParagraph"/>
        <w:numPr>
          <w:ilvl w:val="0"/>
          <w:numId w:val="50"/>
        </w:numPr>
        <w:shd w:val="clear" w:color="auto" w:fill="FFFFFF"/>
        <w:ind w:left="357" w:hanging="357"/>
        <w:jc w:val="both"/>
        <w:rPr>
          <w:rFonts w:ascii="Arial" w:hAnsi="Arial" w:cs="Arial"/>
          <w:bCs/>
          <w:sz w:val="20"/>
        </w:rPr>
      </w:pPr>
      <w:r w:rsidRPr="00D91405">
        <w:rPr>
          <w:rFonts w:ascii="Arial" w:hAnsi="Arial" w:cs="Arial"/>
          <w:bCs/>
          <w:sz w:val="20"/>
        </w:rPr>
        <w:t>the place where the subject-matter of the case arose.</w:t>
      </w:r>
    </w:p>
    <w:p w14:paraId="5F9C18D8" w14:textId="77777777" w:rsidR="00CE404E" w:rsidRDefault="00CE404E" w:rsidP="00CE404E">
      <w:pPr>
        <w:jc w:val="both"/>
        <w:rPr>
          <w:rFonts w:ascii="Arial" w:hAnsi="Arial" w:cs="Arial"/>
          <w:sz w:val="20"/>
        </w:rPr>
      </w:pPr>
    </w:p>
    <w:p w14:paraId="2E9E1F2C" w14:textId="1066EF45" w:rsidR="0031003A" w:rsidRDefault="00CE404E" w:rsidP="00CE404E">
      <w:pPr>
        <w:jc w:val="both"/>
        <w:rPr>
          <w:rFonts w:ascii="Arial" w:hAnsi="Arial" w:cs="Arial"/>
          <w:bCs/>
          <w:sz w:val="20"/>
          <w:szCs w:val="20"/>
        </w:rPr>
      </w:pPr>
      <w:r>
        <w:rPr>
          <w:rFonts w:ascii="Arial" w:hAnsi="Arial" w:cs="Arial"/>
          <w:sz w:val="20"/>
        </w:rPr>
        <w:t xml:space="preserve">Although the </w:t>
      </w:r>
      <w:r w:rsidRPr="00CB3774">
        <w:rPr>
          <w:rFonts w:ascii="Arial" w:hAnsi="Arial" w:cs="Arial"/>
          <w:bCs/>
          <w:sz w:val="20"/>
          <w:szCs w:val="20"/>
        </w:rPr>
        <w:t>Children’s Court understands the importance of keeping its proceedings as far as possible away from courts in which adult proceedings are being conducted</w:t>
      </w:r>
      <w:r>
        <w:rPr>
          <w:rFonts w:ascii="Arial" w:hAnsi="Arial" w:cs="Arial"/>
          <w:bCs/>
          <w:sz w:val="20"/>
          <w:szCs w:val="20"/>
        </w:rPr>
        <w:t xml:space="preserve">, </w:t>
      </w:r>
      <w:r w:rsidRPr="00CB3774">
        <w:rPr>
          <w:rFonts w:ascii="Arial" w:hAnsi="Arial" w:cs="Arial"/>
          <w:bCs/>
          <w:sz w:val="20"/>
          <w:szCs w:val="20"/>
        </w:rPr>
        <w:t>the interests of justice occasionally require them to be held at the same time in the same building.</w:t>
      </w:r>
      <w:r>
        <w:rPr>
          <w:rFonts w:ascii="Arial" w:hAnsi="Arial" w:cs="Arial"/>
          <w:bCs/>
          <w:sz w:val="20"/>
          <w:szCs w:val="20"/>
        </w:rPr>
        <w:t xml:space="preserve">  Accordingly, for this reason and because of an ongoing need for online hearings from time to time, s.505 has been substantially amended to provide simply: “The Court may sit and act at any time and place.”</w:t>
      </w:r>
    </w:p>
    <w:p w14:paraId="343AA77B" w14:textId="77777777" w:rsidR="00A060D2" w:rsidRDefault="00A060D2" w:rsidP="00A060D2">
      <w:pPr>
        <w:jc w:val="both"/>
        <w:rPr>
          <w:rFonts w:ascii="Arial" w:hAnsi="Arial" w:cs="Arial"/>
          <w:bCs/>
          <w:sz w:val="20"/>
          <w:szCs w:val="20"/>
        </w:rPr>
      </w:pPr>
    </w:p>
    <w:p w14:paraId="4937EB6E" w14:textId="77777777" w:rsidR="00A060D2" w:rsidRDefault="00A060D2" w:rsidP="00A060D2">
      <w:pPr>
        <w:jc w:val="both"/>
        <w:rPr>
          <w:rFonts w:ascii="Arial" w:hAnsi="Arial" w:cs="Arial"/>
          <w:bCs/>
          <w:sz w:val="20"/>
          <w:szCs w:val="20"/>
        </w:rPr>
      </w:pPr>
      <w:r>
        <w:rPr>
          <w:rFonts w:ascii="Arial" w:hAnsi="Arial" w:cs="Arial"/>
          <w:bCs/>
          <w:sz w:val="20"/>
          <w:szCs w:val="20"/>
        </w:rPr>
        <w:t>New s.505A now provides the following link with the definition of ‘proper venue’ in s.3(1):</w:t>
      </w:r>
    </w:p>
    <w:p w14:paraId="014FBB53" w14:textId="78573117" w:rsidR="00A060D2" w:rsidRPr="00CB3774" w:rsidRDefault="00A060D2" w:rsidP="00FD6D96">
      <w:pPr>
        <w:shd w:val="clear" w:color="auto" w:fill="FFFFFF"/>
        <w:spacing w:before="60"/>
        <w:ind w:left="924" w:right="567" w:hanging="357"/>
        <w:jc w:val="both"/>
        <w:rPr>
          <w:rFonts w:ascii="Arial" w:hAnsi="Arial" w:cs="Arial"/>
          <w:bCs/>
          <w:sz w:val="20"/>
          <w:szCs w:val="20"/>
        </w:rPr>
      </w:pPr>
      <w:r w:rsidRPr="00CB3774">
        <w:rPr>
          <w:rFonts w:ascii="Arial" w:hAnsi="Arial" w:cs="Arial"/>
          <w:bCs/>
          <w:sz w:val="20"/>
          <w:szCs w:val="20"/>
        </w:rPr>
        <w:t>“(1)</w:t>
      </w:r>
      <w:r>
        <w:rPr>
          <w:rFonts w:ascii="Arial" w:hAnsi="Arial" w:cs="Arial"/>
          <w:bCs/>
          <w:sz w:val="20"/>
          <w:szCs w:val="20"/>
        </w:rPr>
        <w:tab/>
      </w:r>
      <w:r w:rsidRPr="00CB3774">
        <w:rPr>
          <w:rFonts w:ascii="Arial" w:hAnsi="Arial" w:cs="Arial"/>
          <w:bCs/>
          <w:sz w:val="20"/>
          <w:szCs w:val="20"/>
        </w:rPr>
        <w:t>Without limiting s.505, the Court may order that a hearing be held at an appropriate place that is not the proper venue for the hearing if the Court considers that</w:t>
      </w:r>
      <w:r w:rsidR="00FD6D96">
        <w:rPr>
          <w:rFonts w:ascii="Arial" w:hAnsi="Arial" w:cs="Arial"/>
          <w:sz w:val="20"/>
          <w:szCs w:val="20"/>
        </w:rPr>
        <w:t>–</w:t>
      </w:r>
    </w:p>
    <w:p w14:paraId="6AD202E4" w14:textId="77777777" w:rsidR="00A060D2" w:rsidRPr="00CB3774" w:rsidRDefault="00A060D2" w:rsidP="00FD6D96">
      <w:pPr>
        <w:pStyle w:val="ListParagraph"/>
        <w:numPr>
          <w:ilvl w:val="0"/>
          <w:numId w:val="17"/>
        </w:numPr>
        <w:shd w:val="clear" w:color="auto" w:fill="FFFFFF"/>
        <w:ind w:left="1281" w:right="567" w:hanging="357"/>
        <w:jc w:val="both"/>
        <w:rPr>
          <w:rFonts w:ascii="Arial" w:hAnsi="Arial" w:cs="Arial"/>
          <w:bCs/>
          <w:sz w:val="20"/>
        </w:rPr>
      </w:pPr>
      <w:r w:rsidRPr="00CB3774">
        <w:rPr>
          <w:rFonts w:ascii="Arial" w:hAnsi="Arial" w:cs="Arial"/>
          <w:bCs/>
          <w:sz w:val="20"/>
        </w:rPr>
        <w:t xml:space="preserve">for any reason it is appropriate that the hearing </w:t>
      </w:r>
      <w:proofErr w:type="gramStart"/>
      <w:r w:rsidRPr="00CB3774">
        <w:rPr>
          <w:rFonts w:ascii="Arial" w:hAnsi="Arial" w:cs="Arial"/>
          <w:bCs/>
          <w:sz w:val="20"/>
        </w:rPr>
        <w:t>not be</w:t>
      </w:r>
      <w:proofErr w:type="gramEnd"/>
      <w:r w:rsidRPr="00CB3774">
        <w:rPr>
          <w:rFonts w:ascii="Arial" w:hAnsi="Arial" w:cs="Arial"/>
          <w:bCs/>
          <w:sz w:val="20"/>
        </w:rPr>
        <w:t xml:space="preserve"> held at the proper venue; and</w:t>
      </w:r>
    </w:p>
    <w:p w14:paraId="15C5D753" w14:textId="77777777" w:rsidR="00A060D2" w:rsidRPr="00CB3774" w:rsidRDefault="00A060D2" w:rsidP="00FD6D96">
      <w:pPr>
        <w:pStyle w:val="ListParagraph"/>
        <w:numPr>
          <w:ilvl w:val="0"/>
          <w:numId w:val="17"/>
        </w:numPr>
        <w:shd w:val="clear" w:color="auto" w:fill="FFFFFF"/>
        <w:ind w:left="1281" w:right="567" w:hanging="357"/>
        <w:jc w:val="both"/>
        <w:rPr>
          <w:rFonts w:ascii="Arial" w:hAnsi="Arial" w:cs="Arial"/>
          <w:bCs/>
          <w:sz w:val="20"/>
        </w:rPr>
      </w:pPr>
      <w:r w:rsidRPr="00CB3774">
        <w:rPr>
          <w:rFonts w:ascii="Arial" w:hAnsi="Arial" w:cs="Arial"/>
          <w:bCs/>
          <w:sz w:val="20"/>
        </w:rPr>
        <w:t xml:space="preserve">it is in the interests of justice that the hearing </w:t>
      </w:r>
      <w:proofErr w:type="gramStart"/>
      <w:r w:rsidRPr="00CB3774">
        <w:rPr>
          <w:rFonts w:ascii="Arial" w:hAnsi="Arial" w:cs="Arial"/>
          <w:bCs/>
          <w:sz w:val="20"/>
        </w:rPr>
        <w:t>not be</w:t>
      </w:r>
      <w:proofErr w:type="gramEnd"/>
      <w:r w:rsidRPr="00CB3774">
        <w:rPr>
          <w:rFonts w:ascii="Arial" w:hAnsi="Arial" w:cs="Arial"/>
          <w:bCs/>
          <w:sz w:val="20"/>
        </w:rPr>
        <w:t xml:space="preserve"> held at the proper venue.</w:t>
      </w:r>
    </w:p>
    <w:p w14:paraId="61E238C8" w14:textId="76BF2A5D" w:rsidR="00A060D2" w:rsidRPr="00CB3774" w:rsidRDefault="00A060D2" w:rsidP="00FD6D96">
      <w:pPr>
        <w:shd w:val="clear" w:color="auto" w:fill="FFFFFF"/>
        <w:spacing w:before="60"/>
        <w:ind w:left="924" w:right="567" w:hanging="357"/>
        <w:jc w:val="both"/>
        <w:rPr>
          <w:rFonts w:ascii="Arial" w:hAnsi="Arial" w:cs="Arial"/>
          <w:bCs/>
          <w:sz w:val="20"/>
          <w:szCs w:val="20"/>
        </w:rPr>
      </w:pPr>
      <w:r w:rsidRPr="00CB3774">
        <w:rPr>
          <w:rFonts w:ascii="Arial" w:hAnsi="Arial" w:cs="Arial"/>
          <w:bCs/>
          <w:sz w:val="20"/>
          <w:szCs w:val="20"/>
        </w:rPr>
        <w:t>(2)</w:t>
      </w:r>
      <w:r>
        <w:rPr>
          <w:rFonts w:ascii="Arial" w:hAnsi="Arial" w:cs="Arial"/>
          <w:bCs/>
          <w:sz w:val="20"/>
          <w:szCs w:val="20"/>
        </w:rPr>
        <w:tab/>
      </w:r>
      <w:r w:rsidRPr="00CB3774">
        <w:rPr>
          <w:rFonts w:ascii="Arial" w:hAnsi="Arial" w:cs="Arial"/>
          <w:bCs/>
          <w:sz w:val="20"/>
          <w:szCs w:val="20"/>
        </w:rPr>
        <w:t>In determining an appropriate place to hold a hearing for the purposes of subsection</w:t>
      </w:r>
      <w:r w:rsidR="00FD6D96">
        <w:rPr>
          <w:rFonts w:ascii="Arial" w:hAnsi="Arial" w:cs="Arial"/>
          <w:bCs/>
          <w:sz w:val="20"/>
          <w:szCs w:val="20"/>
        </w:rPr>
        <w:t> </w:t>
      </w:r>
      <w:r w:rsidRPr="00CB3774">
        <w:rPr>
          <w:rFonts w:ascii="Arial" w:hAnsi="Arial" w:cs="Arial"/>
          <w:bCs/>
          <w:sz w:val="20"/>
          <w:szCs w:val="20"/>
        </w:rPr>
        <w:t>(1), the Court must first have regard to</w:t>
      </w:r>
      <w:r w:rsidR="00FD6D96">
        <w:rPr>
          <w:rFonts w:ascii="Arial" w:hAnsi="Arial" w:cs="Arial"/>
          <w:bCs/>
          <w:sz w:val="20"/>
          <w:szCs w:val="20"/>
        </w:rPr>
        <w:t>–</w:t>
      </w:r>
    </w:p>
    <w:p w14:paraId="3EA9423F" w14:textId="77777777" w:rsidR="00A060D2" w:rsidRDefault="00A060D2" w:rsidP="00FD6D96">
      <w:pPr>
        <w:pStyle w:val="ListParagraph"/>
        <w:numPr>
          <w:ilvl w:val="0"/>
          <w:numId w:val="18"/>
        </w:numPr>
        <w:shd w:val="clear" w:color="auto" w:fill="FFFFFF"/>
        <w:ind w:left="1281" w:right="567" w:hanging="357"/>
        <w:jc w:val="both"/>
        <w:rPr>
          <w:rFonts w:ascii="Arial" w:hAnsi="Arial" w:cs="Arial"/>
          <w:bCs/>
          <w:sz w:val="20"/>
        </w:rPr>
      </w:pPr>
      <w:r w:rsidRPr="00CB3774">
        <w:rPr>
          <w:rFonts w:ascii="Arial" w:hAnsi="Arial" w:cs="Arial"/>
          <w:bCs/>
          <w:sz w:val="20"/>
        </w:rPr>
        <w:t>places closest to the proper venue for the hearing; and</w:t>
      </w:r>
    </w:p>
    <w:p w14:paraId="7E5F52CF" w14:textId="77777777" w:rsidR="00A060D2" w:rsidRPr="00CB3774" w:rsidRDefault="00A060D2" w:rsidP="00FD6D96">
      <w:pPr>
        <w:pStyle w:val="ListParagraph"/>
        <w:numPr>
          <w:ilvl w:val="0"/>
          <w:numId w:val="18"/>
        </w:numPr>
        <w:shd w:val="clear" w:color="auto" w:fill="FFFFFF"/>
        <w:ind w:left="1281" w:right="567" w:hanging="357"/>
        <w:jc w:val="both"/>
        <w:rPr>
          <w:rFonts w:ascii="Arial" w:hAnsi="Arial" w:cs="Arial"/>
          <w:bCs/>
          <w:sz w:val="20"/>
        </w:rPr>
      </w:pPr>
      <w:r w:rsidRPr="00CB3774">
        <w:rPr>
          <w:rFonts w:ascii="Arial" w:hAnsi="Arial" w:cs="Arial"/>
          <w:bCs/>
          <w:sz w:val="20"/>
        </w:rPr>
        <w:t>the views of the parties to the proceeding.”</w:t>
      </w:r>
    </w:p>
    <w:p w14:paraId="434F6C57" w14:textId="77777777" w:rsidR="00BD7FAC" w:rsidRDefault="00BD7FAC" w:rsidP="00FD6D96">
      <w:pPr>
        <w:jc w:val="both"/>
        <w:rPr>
          <w:rFonts w:ascii="Arial" w:hAnsi="Arial" w:cs="Arial"/>
          <w:sz w:val="20"/>
          <w:szCs w:val="20"/>
        </w:rPr>
      </w:pPr>
    </w:p>
    <w:p w14:paraId="48DA9882" w14:textId="2FB85153" w:rsidR="00A060D2" w:rsidRDefault="00A060D2" w:rsidP="00FD6D96">
      <w:pPr>
        <w:jc w:val="both"/>
        <w:rPr>
          <w:rFonts w:ascii="Arial" w:hAnsi="Arial" w:cs="Arial"/>
          <w:sz w:val="20"/>
          <w:szCs w:val="20"/>
        </w:rPr>
      </w:pPr>
      <w:r>
        <w:rPr>
          <w:rFonts w:ascii="Arial" w:hAnsi="Arial" w:cs="Arial"/>
          <w:sz w:val="20"/>
          <w:szCs w:val="20"/>
        </w:rPr>
        <w:t>By comparison, s.31 of the Criminal Procedure Act 2009 provides</w:t>
      </w:r>
      <w:r w:rsidR="00BD754A">
        <w:rPr>
          <w:rFonts w:ascii="Arial" w:hAnsi="Arial" w:cs="Arial"/>
          <w:sz w:val="20"/>
          <w:szCs w:val="20"/>
        </w:rPr>
        <w:t>:</w:t>
      </w:r>
    </w:p>
    <w:p w14:paraId="05198919" w14:textId="77777777" w:rsidR="00A060D2" w:rsidRDefault="00A060D2" w:rsidP="00FD6D96">
      <w:pPr>
        <w:spacing w:before="60"/>
        <w:ind w:left="567" w:right="567"/>
        <w:jc w:val="both"/>
        <w:rPr>
          <w:rFonts w:ascii="Arial" w:hAnsi="Arial" w:cs="Arial"/>
          <w:sz w:val="20"/>
          <w:szCs w:val="20"/>
        </w:rPr>
      </w:pPr>
      <w:r>
        <w:rPr>
          <w:rFonts w:ascii="Arial" w:hAnsi="Arial" w:cs="Arial"/>
          <w:sz w:val="20"/>
          <w:szCs w:val="20"/>
        </w:rPr>
        <w:t>“If the Magistrates’ Court considers that–</w:t>
      </w:r>
    </w:p>
    <w:p w14:paraId="3FAD3DB4" w14:textId="77777777" w:rsidR="00A060D2" w:rsidRPr="00A63D6D" w:rsidRDefault="00A060D2" w:rsidP="00FD6D96">
      <w:pPr>
        <w:pStyle w:val="ListParagraph"/>
        <w:numPr>
          <w:ilvl w:val="0"/>
          <w:numId w:val="51"/>
        </w:numPr>
        <w:ind w:left="924" w:right="567" w:hanging="357"/>
        <w:jc w:val="both"/>
        <w:rPr>
          <w:rFonts w:ascii="Arial" w:hAnsi="Arial" w:cs="Arial"/>
          <w:sz w:val="20"/>
        </w:rPr>
      </w:pPr>
      <w:r w:rsidRPr="00A63D6D">
        <w:rPr>
          <w:rFonts w:ascii="Arial" w:hAnsi="Arial" w:cs="Arial"/>
          <w:sz w:val="20"/>
        </w:rPr>
        <w:t>a fair hearing in a criminal proceeding cannot otherwise be had; or</w:t>
      </w:r>
    </w:p>
    <w:p w14:paraId="7424F003" w14:textId="77777777" w:rsidR="00A060D2" w:rsidRPr="00A63D6D" w:rsidRDefault="00A060D2" w:rsidP="00FD6D96">
      <w:pPr>
        <w:pStyle w:val="ListParagraph"/>
        <w:numPr>
          <w:ilvl w:val="0"/>
          <w:numId w:val="51"/>
        </w:numPr>
        <w:ind w:left="924" w:right="567" w:hanging="357"/>
        <w:jc w:val="both"/>
        <w:rPr>
          <w:rFonts w:ascii="Arial" w:hAnsi="Arial" w:cs="Arial"/>
          <w:sz w:val="20"/>
        </w:rPr>
      </w:pPr>
      <w:r>
        <w:rPr>
          <w:rFonts w:ascii="Arial" w:hAnsi="Arial" w:cs="Arial"/>
          <w:sz w:val="20"/>
        </w:rPr>
        <w:t>for any other reason it is appropriate to do so–</w:t>
      </w:r>
    </w:p>
    <w:p w14:paraId="4818AA2F" w14:textId="77777777" w:rsidR="00A060D2" w:rsidRPr="00A63D6D" w:rsidRDefault="00A060D2" w:rsidP="00FD6D96">
      <w:pPr>
        <w:ind w:left="567" w:right="567"/>
        <w:jc w:val="both"/>
        <w:rPr>
          <w:rFonts w:ascii="Arial" w:hAnsi="Arial" w:cs="Arial"/>
          <w:sz w:val="20"/>
        </w:rPr>
      </w:pPr>
      <w:r>
        <w:rPr>
          <w:rFonts w:ascii="Arial" w:hAnsi="Arial" w:cs="Arial"/>
          <w:sz w:val="20"/>
        </w:rPr>
        <w:t>the court may order that the hearing be held at another place or venue of the court that the court considers appropriate.”</w:t>
      </w:r>
    </w:p>
    <w:p w14:paraId="27FB15D1" w14:textId="44BB0F3C" w:rsidR="00D91405" w:rsidRDefault="00FD6D96" w:rsidP="000D7DAB">
      <w:pPr>
        <w:jc w:val="both"/>
        <w:rPr>
          <w:rFonts w:ascii="Arial" w:hAnsi="Arial" w:cs="Arial"/>
          <w:sz w:val="20"/>
          <w:szCs w:val="20"/>
        </w:rPr>
      </w:pPr>
      <w:r>
        <w:rPr>
          <w:rFonts w:ascii="Arial" w:hAnsi="Arial" w:cs="Arial"/>
          <w:sz w:val="20"/>
          <w:szCs w:val="20"/>
        </w:rPr>
        <w:lastRenderedPageBreak/>
        <w:t>The writer considers that s.528(2)(b) of the CYFA does not make s.31 of the Criminal Procedure Act 2009 applicable to the Children’s Court because the contrary intention appears in new s.505A.</w:t>
      </w:r>
    </w:p>
    <w:p w14:paraId="731B136F" w14:textId="77777777" w:rsidR="00FD6D96" w:rsidRDefault="00FD6D96" w:rsidP="000D7DAB">
      <w:pPr>
        <w:jc w:val="both"/>
        <w:rPr>
          <w:rFonts w:ascii="Arial" w:hAnsi="Arial" w:cs="Arial"/>
          <w:sz w:val="20"/>
          <w:szCs w:val="20"/>
        </w:rPr>
      </w:pPr>
    </w:p>
    <w:p w14:paraId="0870332C" w14:textId="32ACD02B" w:rsidR="000D7DAB" w:rsidRPr="006256FD" w:rsidRDefault="006256FD" w:rsidP="000D7DAB">
      <w:pPr>
        <w:jc w:val="both"/>
        <w:rPr>
          <w:rFonts w:ascii="Arial" w:hAnsi="Arial" w:cs="Arial"/>
          <w:sz w:val="20"/>
          <w:szCs w:val="20"/>
        </w:rPr>
      </w:pPr>
      <w:r w:rsidRPr="006256FD">
        <w:rPr>
          <w:rFonts w:ascii="Arial" w:hAnsi="Arial" w:cs="Arial"/>
          <w:sz w:val="20"/>
          <w:szCs w:val="20"/>
        </w:rPr>
        <w:t xml:space="preserve">For a discussion of the meaning of “interests of justice” in the context of an unopposed but unsuccessful application for a judge-alone trial see the dicta of Jane Dixon J in </w:t>
      </w:r>
      <w:r w:rsidRPr="006256FD">
        <w:rPr>
          <w:rFonts w:ascii="Arial" w:hAnsi="Arial" w:cs="Arial"/>
          <w:i/>
          <w:iCs/>
          <w:sz w:val="20"/>
          <w:szCs w:val="20"/>
        </w:rPr>
        <w:t>DPP v JH</w:t>
      </w:r>
      <w:r w:rsidRPr="006256FD">
        <w:rPr>
          <w:rFonts w:ascii="Arial" w:hAnsi="Arial" w:cs="Arial"/>
          <w:sz w:val="20"/>
          <w:szCs w:val="20"/>
        </w:rPr>
        <w:t xml:space="preserve"> [2022] VSC 237 at [15]-[19], including her Honour’s reference to [2020] VCC 726, cited with approval by Hollingworth J in </w:t>
      </w:r>
      <w:r w:rsidRPr="006256FD">
        <w:rPr>
          <w:rFonts w:ascii="Arial" w:eastAsia="Book Antiqua" w:hAnsi="Arial" w:cs="Arial"/>
          <w:i/>
          <w:sz w:val="20"/>
          <w:szCs w:val="20"/>
        </w:rPr>
        <w:t xml:space="preserve">DPP v Tiba </w:t>
      </w:r>
      <w:r w:rsidRPr="006256FD">
        <w:rPr>
          <w:rFonts w:ascii="Arial" w:hAnsi="Arial" w:cs="Arial"/>
          <w:sz w:val="20"/>
          <w:szCs w:val="20"/>
        </w:rPr>
        <w:t xml:space="preserve">[2020] VSC 600, and also cited with approval by the Court of Appeal in </w:t>
      </w:r>
      <w:r w:rsidRPr="006256FD">
        <w:rPr>
          <w:rFonts w:ascii="Arial" w:eastAsia="Book Antiqua" w:hAnsi="Arial" w:cs="Arial"/>
          <w:i/>
          <w:sz w:val="20"/>
          <w:szCs w:val="20"/>
        </w:rPr>
        <w:t xml:space="preserve">Hooper v </w:t>
      </w:r>
      <w:proofErr w:type="spellStart"/>
      <w:r w:rsidRPr="006256FD">
        <w:rPr>
          <w:rFonts w:ascii="Arial" w:eastAsia="Book Antiqua" w:hAnsi="Arial" w:cs="Arial"/>
          <w:i/>
          <w:sz w:val="20"/>
          <w:szCs w:val="20"/>
        </w:rPr>
        <w:t>Oxymed</w:t>
      </w:r>
      <w:proofErr w:type="spellEnd"/>
      <w:r w:rsidRPr="006256FD">
        <w:rPr>
          <w:rFonts w:ascii="Arial" w:eastAsia="Book Antiqua" w:hAnsi="Arial" w:cs="Arial"/>
          <w:i/>
          <w:sz w:val="20"/>
          <w:szCs w:val="20"/>
        </w:rPr>
        <w:t xml:space="preserve"> Australia Pty Ltd</w:t>
      </w:r>
      <w:r w:rsidRPr="006256FD">
        <w:rPr>
          <w:rFonts w:ascii="Arial" w:hAnsi="Arial" w:cs="Arial"/>
          <w:sz w:val="20"/>
          <w:szCs w:val="20"/>
        </w:rPr>
        <w:t xml:space="preserve"> [2021] VSCA 68 [37].</w:t>
      </w:r>
    </w:p>
    <w:p w14:paraId="4939C39D" w14:textId="77777777" w:rsidR="006256FD" w:rsidRPr="00E11477" w:rsidRDefault="006256FD" w:rsidP="000D7DAB">
      <w:pPr>
        <w:jc w:val="both"/>
        <w:rPr>
          <w:rFonts w:ascii="Arial" w:hAnsi="Arial" w:cs="Arial"/>
          <w:sz w:val="20"/>
        </w:rPr>
      </w:pPr>
    </w:p>
    <w:p w14:paraId="5367C845" w14:textId="6F2DF6C3" w:rsidR="000D7DAB" w:rsidRPr="00E11477" w:rsidRDefault="000D7DAB" w:rsidP="000D7DAB">
      <w:pPr>
        <w:jc w:val="both"/>
        <w:rPr>
          <w:rFonts w:ascii="Arial" w:hAnsi="Arial" w:cs="Arial"/>
          <w:sz w:val="20"/>
        </w:rPr>
      </w:pPr>
      <w:r>
        <w:rPr>
          <w:rFonts w:ascii="Arial" w:hAnsi="Arial" w:cs="Arial"/>
          <w:sz w:val="20"/>
        </w:rPr>
        <w:t xml:space="preserve">Factors to be considered in relation to an application to change the venue of a Supreme Court murder </w:t>
      </w:r>
      <w:bookmarkStart w:id="321" w:name="_Hlk528836073"/>
      <w:r>
        <w:rPr>
          <w:rFonts w:ascii="Arial" w:hAnsi="Arial" w:cs="Arial"/>
          <w:sz w:val="20"/>
        </w:rPr>
        <w:t xml:space="preserve">trial are set in </w:t>
      </w:r>
      <w:r w:rsidRPr="00E11477">
        <w:rPr>
          <w:rFonts w:ascii="Arial" w:hAnsi="Arial" w:cs="Arial"/>
          <w:i/>
          <w:sz w:val="20"/>
        </w:rPr>
        <w:t>R v Allan (Change of Venue)</w:t>
      </w:r>
      <w:r>
        <w:rPr>
          <w:rFonts w:ascii="Arial" w:hAnsi="Arial" w:cs="Arial"/>
          <w:sz w:val="20"/>
        </w:rPr>
        <w:t xml:space="preserve"> [2018] VSC 571 at [5]-[7].  </w:t>
      </w:r>
      <w:r w:rsidR="00FF0306">
        <w:rPr>
          <w:rFonts w:ascii="Arial" w:hAnsi="Arial" w:cs="Arial"/>
          <w:sz w:val="20"/>
        </w:rPr>
        <w:t>At</w:t>
      </w:r>
      <w:r>
        <w:rPr>
          <w:rFonts w:ascii="Arial" w:hAnsi="Arial" w:cs="Arial"/>
          <w:sz w:val="20"/>
        </w:rPr>
        <w:t xml:space="preserve"> [5] her Honour referred with approval to the legal principles set out in </w:t>
      </w:r>
      <w:r w:rsidRPr="00E11477">
        <w:rPr>
          <w:rFonts w:ascii="Arial" w:hAnsi="Arial" w:cs="Arial"/>
          <w:i/>
          <w:sz w:val="20"/>
        </w:rPr>
        <w:t>R v Iaria and Panozzo</w:t>
      </w:r>
      <w:r>
        <w:rPr>
          <w:rFonts w:ascii="Arial" w:hAnsi="Arial" w:cs="Arial"/>
          <w:sz w:val="20"/>
        </w:rPr>
        <w:t xml:space="preserve"> [2004] VSC 96 at [10] where Nettle J quoted with approval the formulation of Pincus JA in </w:t>
      </w:r>
      <w:r w:rsidRPr="00E11477">
        <w:rPr>
          <w:rFonts w:ascii="Arial" w:hAnsi="Arial" w:cs="Arial"/>
          <w:i/>
          <w:sz w:val="20"/>
        </w:rPr>
        <w:t xml:space="preserve">R v </w:t>
      </w:r>
      <w:proofErr w:type="spellStart"/>
      <w:r w:rsidRPr="00E11477">
        <w:rPr>
          <w:rFonts w:ascii="Arial" w:hAnsi="Arial" w:cs="Arial"/>
          <w:i/>
          <w:sz w:val="20"/>
        </w:rPr>
        <w:t>Yanner</w:t>
      </w:r>
      <w:proofErr w:type="spellEnd"/>
      <w:r>
        <w:rPr>
          <w:rFonts w:ascii="Arial" w:hAnsi="Arial" w:cs="Arial"/>
          <w:sz w:val="20"/>
        </w:rPr>
        <w:t xml:space="preserve"> [1988] 2 </w:t>
      </w:r>
      <w:proofErr w:type="spellStart"/>
      <w:r>
        <w:rPr>
          <w:rFonts w:ascii="Arial" w:hAnsi="Arial" w:cs="Arial"/>
          <w:sz w:val="20"/>
        </w:rPr>
        <w:t>Qd</w:t>
      </w:r>
      <w:proofErr w:type="spellEnd"/>
      <w:r>
        <w:rPr>
          <w:rFonts w:ascii="Arial" w:hAnsi="Arial" w:cs="Arial"/>
          <w:sz w:val="20"/>
        </w:rPr>
        <w:t xml:space="preserve"> R 208:</w:t>
      </w:r>
    </w:p>
    <w:p w14:paraId="4F7ADC20" w14:textId="7B170C6C" w:rsidR="000D7DAB" w:rsidRPr="00E11477" w:rsidRDefault="000D7DAB" w:rsidP="000D7DAB">
      <w:pPr>
        <w:spacing w:before="60" w:after="60"/>
        <w:ind w:left="567" w:right="567"/>
        <w:jc w:val="both"/>
        <w:rPr>
          <w:rFonts w:ascii="Arial" w:hAnsi="Arial" w:cs="Arial"/>
          <w:sz w:val="22"/>
        </w:rPr>
      </w:pPr>
      <w:r>
        <w:rPr>
          <w:rFonts w:ascii="Arial" w:hAnsi="Arial" w:cs="Arial"/>
          <w:sz w:val="20"/>
        </w:rPr>
        <w:t>“</w:t>
      </w:r>
      <w:r w:rsidRPr="00E11477">
        <w:rPr>
          <w:rFonts w:ascii="Arial" w:hAnsi="Arial" w:cs="Arial"/>
          <w:sz w:val="20"/>
        </w:rPr>
        <w:t>… the proper rule to be applied is that each case in which an application is made for a change of venue falls to be considered on its own merits and not with any preconceptions, save that a trial should ordinarily proceed in the district in which the offence charged is alleged to have been committed</w:t>
      </w:r>
      <w:r w:rsidR="00A32C68">
        <w:rPr>
          <w:rFonts w:ascii="Arial" w:hAnsi="Arial" w:cs="Arial"/>
          <w:sz w:val="20"/>
        </w:rPr>
        <w:t>,</w:t>
      </w:r>
      <w:r w:rsidRPr="00E11477">
        <w:rPr>
          <w:rFonts w:ascii="Arial" w:hAnsi="Arial" w:cs="Arial"/>
          <w:sz w:val="20"/>
        </w:rPr>
        <w:t xml:space="preserve"> ‘removal being warranted where sufficient cause is shown’.</w:t>
      </w:r>
      <w:r>
        <w:rPr>
          <w:rFonts w:ascii="Arial" w:hAnsi="Arial" w:cs="Arial"/>
          <w:sz w:val="20"/>
        </w:rPr>
        <w:t>”</w:t>
      </w:r>
    </w:p>
    <w:p w14:paraId="375BA865" w14:textId="76BFF7CF" w:rsidR="000D7DAB" w:rsidRDefault="000D7DAB" w:rsidP="000D7DAB">
      <w:pPr>
        <w:jc w:val="both"/>
        <w:rPr>
          <w:rFonts w:ascii="Arial" w:hAnsi="Arial" w:cs="Arial"/>
          <w:sz w:val="20"/>
        </w:rPr>
      </w:pPr>
      <w:r>
        <w:rPr>
          <w:rFonts w:ascii="Arial" w:hAnsi="Arial" w:cs="Arial"/>
          <w:sz w:val="20"/>
        </w:rPr>
        <w:t xml:space="preserve">See also </w:t>
      </w:r>
      <w:r w:rsidRPr="00E11477">
        <w:rPr>
          <w:rFonts w:ascii="Arial" w:hAnsi="Arial" w:cs="Arial"/>
          <w:i/>
          <w:sz w:val="20"/>
        </w:rPr>
        <w:t xml:space="preserve">R v </w:t>
      </w:r>
      <w:proofErr w:type="spellStart"/>
      <w:r w:rsidRPr="00E11477">
        <w:rPr>
          <w:rFonts w:ascii="Arial" w:hAnsi="Arial" w:cs="Arial"/>
          <w:i/>
          <w:sz w:val="20"/>
        </w:rPr>
        <w:t>Vjestica</w:t>
      </w:r>
      <w:proofErr w:type="spellEnd"/>
      <w:r>
        <w:rPr>
          <w:rFonts w:ascii="Arial" w:hAnsi="Arial" w:cs="Arial"/>
          <w:sz w:val="20"/>
        </w:rPr>
        <w:t xml:space="preserve"> [2008] VSCA 47 per Maxwell P</w:t>
      </w:r>
      <w:r w:rsidR="00880F7D">
        <w:rPr>
          <w:rFonts w:ascii="Arial" w:hAnsi="Arial" w:cs="Arial"/>
          <w:sz w:val="20"/>
        </w:rPr>
        <w:t xml:space="preserve">; </w:t>
      </w:r>
      <w:r w:rsidR="00880F7D" w:rsidRPr="00880F7D">
        <w:rPr>
          <w:rFonts w:ascii="Arial" w:hAnsi="Arial" w:cs="Arial"/>
          <w:i/>
          <w:iCs/>
          <w:sz w:val="20"/>
        </w:rPr>
        <w:t>Re Cohrs</w:t>
      </w:r>
      <w:r w:rsidR="00880F7D">
        <w:rPr>
          <w:rFonts w:ascii="Arial" w:hAnsi="Arial" w:cs="Arial"/>
          <w:sz w:val="20"/>
        </w:rPr>
        <w:t xml:space="preserve"> </w:t>
      </w:r>
      <w:r w:rsidR="00880F7D" w:rsidRPr="00880F7D">
        <w:rPr>
          <w:rFonts w:ascii="Arial" w:hAnsi="Arial" w:cs="Arial"/>
          <w:color w:val="000000"/>
          <w:sz w:val="20"/>
          <w:szCs w:val="20"/>
          <w:shd w:val="clear" w:color="auto" w:fill="FFFFFF"/>
        </w:rPr>
        <w:t>[2023] VSC 752 per Taylor JA</w:t>
      </w:r>
      <w:r w:rsidRPr="00880F7D">
        <w:rPr>
          <w:rFonts w:ascii="Arial" w:hAnsi="Arial" w:cs="Arial"/>
          <w:sz w:val="20"/>
          <w:szCs w:val="20"/>
        </w:rPr>
        <w:t>.</w:t>
      </w:r>
    </w:p>
    <w:p w14:paraId="2843900D" w14:textId="77777777" w:rsidR="00FD6D96" w:rsidRDefault="00FD6D96" w:rsidP="00FD6D96">
      <w:pPr>
        <w:jc w:val="both"/>
        <w:rPr>
          <w:rFonts w:ascii="Arial" w:hAnsi="Arial" w:cs="Arial"/>
          <w:sz w:val="20"/>
        </w:rPr>
      </w:pPr>
      <w:bookmarkStart w:id="322" w:name="_2.5.2_Current_Victorian"/>
      <w:bookmarkEnd w:id="321"/>
      <w:bookmarkEnd w:id="322"/>
    </w:p>
    <w:p w14:paraId="3752E4B3" w14:textId="03CBFD91" w:rsidR="00962CA3" w:rsidRDefault="00962CA3" w:rsidP="00962CA3">
      <w:pPr>
        <w:pStyle w:val="Heading3"/>
        <w:keepNext/>
        <w:keepLines/>
        <w:spacing w:after="120" w:line="240" w:lineRule="auto"/>
        <w:rPr>
          <w:rFonts w:ascii="Arial" w:hAnsi="Arial" w:cs="Arial"/>
          <w:b/>
          <w:bCs/>
          <w:sz w:val="20"/>
        </w:rPr>
      </w:pPr>
      <w:r>
        <w:rPr>
          <w:rFonts w:ascii="Arial" w:hAnsi="Arial" w:cs="Arial"/>
          <w:b/>
          <w:bCs/>
          <w:sz w:val="20"/>
        </w:rPr>
        <w:t>2.5.2</w:t>
      </w:r>
      <w:r>
        <w:rPr>
          <w:rFonts w:ascii="Arial" w:hAnsi="Arial" w:cs="Arial"/>
          <w:b/>
          <w:bCs/>
          <w:sz w:val="20"/>
        </w:rPr>
        <w:tab/>
        <w:t>Victorian Children’s Court venues</w:t>
      </w:r>
    </w:p>
    <w:p w14:paraId="29047CF4" w14:textId="4BE0BE49" w:rsidR="00FD0B3E" w:rsidRDefault="00277B85" w:rsidP="00DD13C2">
      <w:pPr>
        <w:jc w:val="both"/>
        <w:rPr>
          <w:rFonts w:ascii="Arial" w:hAnsi="Arial" w:cs="Arial"/>
          <w:color w:val="000000"/>
          <w:sz w:val="20"/>
        </w:rPr>
      </w:pPr>
      <w:r w:rsidRPr="00B46EF1">
        <w:rPr>
          <w:rFonts w:ascii="Arial" w:hAnsi="Arial" w:cs="Arial"/>
          <w:color w:val="000000"/>
          <w:sz w:val="20"/>
        </w:rPr>
        <w:t>A</w:t>
      </w:r>
      <w:r w:rsidR="009B2A46">
        <w:rPr>
          <w:rFonts w:ascii="Arial" w:hAnsi="Arial" w:cs="Arial"/>
          <w:color w:val="000000"/>
          <w:sz w:val="20"/>
        </w:rPr>
        <w:t>s at 23/10/2024</w:t>
      </w:r>
      <w:r w:rsidRPr="00B46EF1">
        <w:rPr>
          <w:rFonts w:ascii="Arial" w:hAnsi="Arial" w:cs="Arial"/>
          <w:color w:val="000000"/>
          <w:sz w:val="20"/>
        </w:rPr>
        <w:t xml:space="preserve"> the </w:t>
      </w:r>
      <w:r w:rsidR="000D7DAB">
        <w:rPr>
          <w:rFonts w:ascii="Arial" w:hAnsi="Arial" w:cs="Arial"/>
          <w:color w:val="000000"/>
          <w:sz w:val="20"/>
        </w:rPr>
        <w:t xml:space="preserve">Children’s </w:t>
      </w:r>
      <w:r w:rsidRPr="00B46EF1">
        <w:rPr>
          <w:rFonts w:ascii="Arial" w:hAnsi="Arial" w:cs="Arial"/>
          <w:color w:val="000000"/>
          <w:sz w:val="20"/>
        </w:rPr>
        <w:t xml:space="preserve">Court sits as </w:t>
      </w:r>
      <w:r w:rsidR="009F20D0">
        <w:rPr>
          <w:rFonts w:ascii="Arial" w:hAnsi="Arial" w:cs="Arial"/>
          <w:color w:val="000000"/>
          <w:sz w:val="20"/>
        </w:rPr>
        <w:t xml:space="preserve">listed </w:t>
      </w:r>
      <w:r w:rsidRPr="00B46EF1">
        <w:rPr>
          <w:rFonts w:ascii="Arial" w:hAnsi="Arial" w:cs="Arial"/>
          <w:color w:val="000000"/>
          <w:sz w:val="20"/>
        </w:rPr>
        <w:t xml:space="preserve">at every Magistrates' Court </w:t>
      </w:r>
      <w:r w:rsidR="00E259B1" w:rsidRPr="00B46EF1">
        <w:rPr>
          <w:rFonts w:ascii="Arial" w:hAnsi="Arial" w:cs="Arial"/>
          <w:color w:val="000000"/>
          <w:sz w:val="20"/>
        </w:rPr>
        <w:t>(</w:t>
      </w:r>
      <w:r w:rsidR="00CD1F64">
        <w:rPr>
          <w:rFonts w:ascii="Arial" w:hAnsi="Arial" w:cs="Arial"/>
          <w:color w:val="000000"/>
          <w:sz w:val="20"/>
        </w:rPr>
        <w:t>except</w:t>
      </w:r>
      <w:r w:rsidRPr="00B46EF1">
        <w:rPr>
          <w:rFonts w:ascii="Arial" w:hAnsi="Arial" w:cs="Arial"/>
          <w:color w:val="000000"/>
          <w:sz w:val="20"/>
        </w:rPr>
        <w:t xml:space="preserve"> the Melbourne</w:t>
      </w:r>
      <w:r w:rsidR="00A642DC">
        <w:rPr>
          <w:rFonts w:ascii="Arial" w:hAnsi="Arial" w:cs="Arial"/>
          <w:color w:val="000000"/>
          <w:sz w:val="20"/>
        </w:rPr>
        <w:t>,</w:t>
      </w:r>
      <w:r w:rsidR="00FA6EC5">
        <w:rPr>
          <w:rFonts w:ascii="Arial" w:hAnsi="Arial" w:cs="Arial"/>
          <w:color w:val="000000"/>
          <w:sz w:val="20"/>
        </w:rPr>
        <w:t xml:space="preserve"> </w:t>
      </w:r>
      <w:r w:rsidR="00E74A77">
        <w:rPr>
          <w:rFonts w:ascii="Arial" w:hAnsi="Arial" w:cs="Arial"/>
          <w:color w:val="000000"/>
          <w:sz w:val="20"/>
        </w:rPr>
        <w:t>Dandenong</w:t>
      </w:r>
      <w:r w:rsidR="00493C76">
        <w:rPr>
          <w:rFonts w:ascii="Arial" w:hAnsi="Arial" w:cs="Arial"/>
          <w:color w:val="000000"/>
          <w:sz w:val="20"/>
        </w:rPr>
        <w:t xml:space="preserve"> </w:t>
      </w:r>
      <w:r w:rsidR="00A642DC">
        <w:rPr>
          <w:rFonts w:ascii="Arial" w:hAnsi="Arial" w:cs="Arial"/>
          <w:color w:val="000000"/>
          <w:sz w:val="20"/>
        </w:rPr>
        <w:t xml:space="preserve">&amp; Dromana </w:t>
      </w:r>
      <w:r w:rsidR="00E83AF3">
        <w:rPr>
          <w:rFonts w:ascii="Arial" w:hAnsi="Arial" w:cs="Arial"/>
          <w:color w:val="000000"/>
          <w:sz w:val="20"/>
        </w:rPr>
        <w:t>Magistrates' Court</w:t>
      </w:r>
      <w:r w:rsidR="00E74A77">
        <w:rPr>
          <w:rFonts w:ascii="Arial" w:hAnsi="Arial" w:cs="Arial"/>
          <w:color w:val="000000"/>
          <w:sz w:val="20"/>
        </w:rPr>
        <w:t>s</w:t>
      </w:r>
      <w:r w:rsidR="00E259B1" w:rsidRPr="00B46EF1">
        <w:rPr>
          <w:rFonts w:ascii="Arial" w:hAnsi="Arial" w:cs="Arial"/>
          <w:color w:val="000000"/>
          <w:sz w:val="20"/>
        </w:rPr>
        <w:t>)</w:t>
      </w:r>
      <w:r w:rsidR="009531AB" w:rsidRPr="00B46EF1">
        <w:rPr>
          <w:rFonts w:ascii="Arial" w:hAnsi="Arial" w:cs="Arial"/>
          <w:color w:val="000000"/>
          <w:sz w:val="20"/>
        </w:rPr>
        <w:t xml:space="preserve"> and </w:t>
      </w:r>
      <w:r w:rsidR="00A642DC">
        <w:rPr>
          <w:rFonts w:ascii="Arial" w:hAnsi="Arial" w:cs="Arial"/>
          <w:color w:val="000000"/>
          <w:sz w:val="20"/>
        </w:rPr>
        <w:t xml:space="preserve">also </w:t>
      </w:r>
      <w:r w:rsidR="00CD1F64">
        <w:rPr>
          <w:rFonts w:ascii="Arial" w:hAnsi="Arial" w:cs="Arial"/>
          <w:color w:val="000000"/>
          <w:sz w:val="20"/>
        </w:rPr>
        <w:t xml:space="preserve">sits </w:t>
      </w:r>
      <w:r w:rsidR="009531AB" w:rsidRPr="00B46EF1">
        <w:rPr>
          <w:rFonts w:ascii="Arial" w:hAnsi="Arial" w:cs="Arial"/>
          <w:color w:val="000000"/>
          <w:sz w:val="20"/>
        </w:rPr>
        <w:t>at the Neighbourhood Justice Centre [NJC] in Collingwood</w:t>
      </w:r>
      <w:r w:rsidRPr="00B46EF1">
        <w:rPr>
          <w:rFonts w:ascii="Arial" w:hAnsi="Arial" w:cs="Arial"/>
          <w:color w:val="000000"/>
          <w:sz w:val="20"/>
        </w:rPr>
        <w:t xml:space="preserve">.  The locations are </w:t>
      </w:r>
      <w:r w:rsidR="009F20D0">
        <w:rPr>
          <w:rFonts w:ascii="Arial" w:hAnsi="Arial" w:cs="Arial"/>
          <w:color w:val="000000"/>
          <w:sz w:val="20"/>
        </w:rPr>
        <w:t>detailed</w:t>
      </w:r>
      <w:r w:rsidRPr="00B46EF1">
        <w:rPr>
          <w:rFonts w:ascii="Arial" w:hAnsi="Arial" w:cs="Arial"/>
          <w:color w:val="000000"/>
          <w:sz w:val="20"/>
        </w:rPr>
        <w:t xml:space="preserve"> </w:t>
      </w:r>
      <w:r w:rsidR="00217D88">
        <w:rPr>
          <w:rFonts w:ascii="Arial" w:hAnsi="Arial" w:cs="Arial"/>
          <w:color w:val="000000"/>
          <w:sz w:val="20"/>
        </w:rPr>
        <w:t>in the following table</w:t>
      </w:r>
      <w:r w:rsidRPr="00B46EF1">
        <w:rPr>
          <w:rFonts w:ascii="Arial" w:hAnsi="Arial" w:cs="Arial"/>
          <w:color w:val="000000"/>
          <w:sz w:val="20"/>
        </w:rPr>
        <w:t>.</w:t>
      </w:r>
    </w:p>
    <w:p w14:paraId="31FF0F5A" w14:textId="77777777" w:rsidR="006D439A" w:rsidRPr="00A20ED1" w:rsidRDefault="006D439A" w:rsidP="000D7DAB">
      <w:pPr>
        <w:pStyle w:val="Heading2"/>
        <w:tabs>
          <w:tab w:val="left" w:pos="567"/>
        </w:tabs>
        <w:spacing w:line="240" w:lineRule="auto"/>
        <w:rPr>
          <w:rFonts w:ascii="Arial" w:hAnsi="Arial" w:cs="Arial"/>
          <w:sz w:val="18"/>
          <w:szCs w:val="14"/>
        </w:rPr>
      </w:pPr>
    </w:p>
    <w:p w14:paraId="299387B7" w14:textId="0C224E40" w:rsidR="00277B85" w:rsidRDefault="00277B85">
      <w:pPr>
        <w:pBdr>
          <w:top w:val="double" w:sz="4" w:space="1" w:color="auto"/>
          <w:left w:val="double" w:sz="4" w:space="4" w:color="auto"/>
          <w:bottom w:val="double" w:sz="4" w:space="1" w:color="auto"/>
          <w:right w:val="double" w:sz="4" w:space="4" w:color="auto"/>
        </w:pBdr>
        <w:jc w:val="center"/>
        <w:rPr>
          <w:rFonts w:ascii="Arial Rounded MT Bold" w:hAnsi="Arial Rounded MT Bold"/>
          <w:color w:val="000000"/>
          <w:sz w:val="32"/>
          <w:szCs w:val="32"/>
        </w:rPr>
      </w:pPr>
      <w:r>
        <w:rPr>
          <w:rFonts w:ascii="Arial Rounded MT Bold" w:hAnsi="Arial Rounded MT Bold"/>
          <w:color w:val="000000"/>
          <w:sz w:val="32"/>
          <w:szCs w:val="32"/>
        </w:rPr>
        <w:t>VICTORIAN CHILDREN’S COURT VENUES</w:t>
      </w:r>
    </w:p>
    <w:p w14:paraId="1B209557" w14:textId="3ECEF011" w:rsidR="00895060" w:rsidRPr="00493C76" w:rsidRDefault="00493C76">
      <w:pPr>
        <w:pBdr>
          <w:top w:val="double" w:sz="4" w:space="1" w:color="auto"/>
          <w:left w:val="double" w:sz="4" w:space="4" w:color="auto"/>
          <w:bottom w:val="double" w:sz="4" w:space="1" w:color="auto"/>
          <w:right w:val="double" w:sz="4" w:space="4" w:color="auto"/>
        </w:pBdr>
        <w:jc w:val="center"/>
        <w:rPr>
          <w:rFonts w:ascii="Arial Rounded MT Bold" w:hAnsi="Arial Rounded MT Bold" w:cs="Arial"/>
          <w:b/>
          <w:bCs/>
          <w:color w:val="000000"/>
          <w:sz w:val="20"/>
          <w:szCs w:val="20"/>
        </w:rPr>
      </w:pPr>
      <w:r w:rsidRPr="00493C76">
        <w:rPr>
          <w:rFonts w:ascii="Arial Rounded MT Bold" w:hAnsi="Arial Rounded MT Bold" w:cs="Arial"/>
          <w:b/>
          <w:bCs/>
          <w:color w:val="000000"/>
          <w:sz w:val="20"/>
          <w:szCs w:val="20"/>
        </w:rPr>
        <w:t>AS AT 2</w:t>
      </w:r>
      <w:r w:rsidR="009B2A46">
        <w:rPr>
          <w:rFonts w:ascii="Arial Rounded MT Bold" w:hAnsi="Arial Rounded MT Bold" w:cs="Arial"/>
          <w:b/>
          <w:bCs/>
          <w:color w:val="000000"/>
          <w:sz w:val="20"/>
          <w:szCs w:val="20"/>
        </w:rPr>
        <w:t>3</w:t>
      </w:r>
      <w:r w:rsidRPr="00493C76">
        <w:rPr>
          <w:rFonts w:ascii="Arial Rounded MT Bold" w:hAnsi="Arial Rounded MT Bold" w:cs="Arial"/>
          <w:b/>
          <w:bCs/>
          <w:color w:val="000000"/>
          <w:sz w:val="20"/>
          <w:szCs w:val="20"/>
        </w:rPr>
        <w:t xml:space="preserve"> OCTOBER 2024</w:t>
      </w:r>
    </w:p>
    <w:p w14:paraId="5B627C76" w14:textId="6833A805" w:rsidR="00895060" w:rsidRDefault="00895060">
      <w:pPr>
        <w:pBdr>
          <w:top w:val="double" w:sz="4" w:space="1" w:color="auto"/>
          <w:left w:val="double" w:sz="4" w:space="4" w:color="auto"/>
          <w:bottom w:val="double" w:sz="4" w:space="1" w:color="auto"/>
          <w:right w:val="double" w:sz="4" w:space="4" w:color="auto"/>
        </w:pBdr>
        <w:jc w:val="center"/>
        <w:rPr>
          <w:rFonts w:ascii="Arial Rounded MT Bold" w:eastAsia="Arial Unicode MS" w:hAnsi="Arial Rounded MT Bold" w:cs="Arial Unicode MS"/>
          <w:color w:val="000000"/>
          <w:sz w:val="32"/>
          <w:szCs w:val="32"/>
        </w:rPr>
      </w:pPr>
      <w:r>
        <w:rPr>
          <w:rFonts w:ascii="Arial" w:hAnsi="Arial" w:cs="Arial"/>
          <w:noProof/>
          <w:lang w:val="en-US"/>
        </w:rPr>
        <mc:AlternateContent>
          <mc:Choice Requires="wpg">
            <w:drawing>
              <wp:inline distT="0" distB="0" distL="0" distR="0" wp14:anchorId="20C1B570" wp14:editId="3E9D5B12">
                <wp:extent cx="5347335" cy="2151083"/>
                <wp:effectExtent l="0" t="0" r="0" b="1905"/>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7335" cy="2151083"/>
                          <a:chOff x="2040" y="7984"/>
                          <a:chExt cx="8421" cy="3106"/>
                        </a:xfrm>
                      </wpg:grpSpPr>
                      <wps:wsp>
                        <wps:cNvPr id="5" name="Rectangle 23"/>
                        <wps:cNvSpPr>
                          <a:spLocks noChangeArrowheads="1"/>
                        </wps:cNvSpPr>
                        <wps:spPr bwMode="auto">
                          <a:xfrm>
                            <a:off x="2040" y="7984"/>
                            <a:ext cx="1701" cy="3106"/>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4D9F6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Ararat</w:t>
                              </w:r>
                            </w:p>
                            <w:p w14:paraId="78E9C2E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Bairnsdale</w:t>
                              </w:r>
                            </w:p>
                            <w:p w14:paraId="3AE8166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Ballarat</w:t>
                              </w:r>
                            </w:p>
                            <w:p w14:paraId="74B1381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Benalla</w:t>
                              </w:r>
                            </w:p>
                            <w:p w14:paraId="4DC120F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City">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Bendigo</w:t>
                                  </w:r>
                                </w:smartTag>
                              </w:smartTag>
                            </w:p>
                            <w:p w14:paraId="051BA64A"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Broadmeadows</w:t>
                              </w:r>
                            </w:p>
                            <w:p w14:paraId="10C71B9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Castlemaine</w:t>
                              </w:r>
                            </w:p>
                            <w:p w14:paraId="4179ED8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Cobram</w:t>
                              </w:r>
                            </w:p>
                            <w:p w14:paraId="7D9A6267"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Colac</w:t>
                              </w:r>
                            </w:p>
                            <w:p w14:paraId="26BE0E1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Corryong</w:t>
                              </w:r>
                            </w:p>
                            <w:p w14:paraId="296FEEBD" w14:textId="36E5A013" w:rsidR="006E3A7F" w:rsidRPr="00C47D81" w:rsidRDefault="006E3A7F" w:rsidP="006E3A7F">
                              <w:pPr>
                                <w:rPr>
                                  <w:rFonts w:ascii="Arial" w:hAnsi="Arial" w:cs="Arial"/>
                                  <w:color w:val="FF0000"/>
                                  <w:sz w:val="20"/>
                                  <w:szCs w:val="40"/>
                                  <w14:shadow w14:blurRad="50800" w14:dist="38100" w14:dir="2700000" w14:sx="100000" w14:sy="100000" w14:kx="0" w14:ky="0" w14:algn="tl">
                                    <w14:srgbClr w14:val="000000">
                                      <w14:alpha w14:val="60000"/>
                                    </w14:srgbClr>
                                  </w14:shadow>
                                </w:rPr>
                              </w:pPr>
                              <w:r>
                                <w:rPr>
                                  <w:rFonts w:ascii="Arial" w:hAnsi="Arial" w:cs="Arial"/>
                                  <w:color w:val="FF0000"/>
                                  <w:sz w:val="20"/>
                                  <w:szCs w:val="40"/>
                                  <w14:shadow w14:blurRad="50800" w14:dist="38100" w14:dir="2700000" w14:sx="100000" w14:sy="100000" w14:kx="0" w14:ky="0" w14:algn="tl">
                                    <w14:srgbClr w14:val="000000">
                                      <w14:alpha w14:val="60000"/>
                                    </w14:srgbClr>
                                  </w14:shadow>
                                </w:rPr>
                                <w:t>Dandenong</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p w14:paraId="2F492F07" w14:textId="2989E293" w:rsidR="00895060" w:rsidRDefault="00895060" w:rsidP="00895060">
                              <w:pPr>
                                <w:rPr>
                                  <w:rFonts w:ascii="Arial" w:hAnsi="Arial" w:cs="Arial"/>
                                  <w:color w:val="000000"/>
                                  <w:sz w:val="20"/>
                                  <w:szCs w:val="40"/>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Echuca</w:t>
                              </w:r>
                            </w:p>
                          </w:txbxContent>
                        </wps:txbx>
                        <wps:bodyPr rot="0" vert="horz" wrap="square" lIns="92075" tIns="46037" rIns="92075" bIns="46037" anchor="t" anchorCtr="0" upright="1">
                          <a:spAutoFit/>
                        </wps:bodyPr>
                      </wps:wsp>
                      <wps:wsp>
                        <wps:cNvPr id="6" name="Rectangle 24"/>
                        <wps:cNvSpPr>
                          <a:spLocks noChangeArrowheads="1"/>
                        </wps:cNvSpPr>
                        <wps:spPr bwMode="auto">
                          <a:xfrm>
                            <a:off x="4320" y="7984"/>
                            <a:ext cx="1941" cy="3105"/>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9DD9C4" w14:textId="77777777" w:rsidR="00895060" w:rsidRPr="00493C76" w:rsidRDefault="00895060" w:rsidP="00895060">
                              <w:pPr>
                                <w:rPr>
                                  <w:rFonts w:ascii="Arial" w:hAnsi="Arial" w:cs="Arial"/>
                                  <w:color w:val="000000" w:themeColor="text1"/>
                                  <w:sz w:val="20"/>
                                  <w:szCs w:val="40"/>
                                  <w:u w:val="single"/>
                                  <w14:shadow w14:blurRad="50800" w14:dist="38100" w14:dir="2700000" w14:sx="100000" w14:sy="100000" w14:kx="0" w14:ky="0" w14:algn="tl">
                                    <w14:srgbClr w14:val="000000">
                                      <w14:alpha w14:val="60000"/>
                                    </w14:srgbClr>
                                  </w14:shadow>
                                </w:rPr>
                              </w:pPr>
                              <w:r w:rsidRPr="00493C76">
                                <w:rPr>
                                  <w:rFonts w:ascii="Arial" w:hAnsi="Arial" w:cs="Arial"/>
                                  <w:color w:val="0066FF"/>
                                  <w:sz w:val="20"/>
                                  <w:szCs w:val="40"/>
                                  <w:u w:val="single"/>
                                  <w14:shadow w14:blurRad="50800" w14:dist="38100" w14:dir="2700000" w14:sx="100000" w14:sy="100000" w14:kx="0" w14:ky="0" w14:algn="tl">
                                    <w14:srgbClr w14:val="000000">
                                      <w14:alpha w14:val="60000"/>
                                    </w14:srgbClr>
                                  </w14:shadow>
                                </w:rPr>
                                <w:t>Frankston</w:t>
                              </w:r>
                            </w:p>
                            <w:p w14:paraId="33B7ECD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Geelong</w:t>
                              </w:r>
                            </w:p>
                            <w:p w14:paraId="320626F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City">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Hamilton</w:t>
                                  </w:r>
                                </w:smartTag>
                              </w:smartTag>
                            </w:p>
                            <w:p w14:paraId="311174F3" w14:textId="77777777" w:rsidR="00895060" w:rsidRPr="00493C76" w:rsidRDefault="00895060" w:rsidP="00895060">
                              <w:pPr>
                                <w:rPr>
                                  <w:rFonts w:ascii="Arial" w:hAnsi="Arial" w:cs="Arial"/>
                                  <w:color w:val="000000" w:themeColor="text1"/>
                                  <w:sz w:val="20"/>
                                  <w:szCs w:val="40"/>
                                  <w:u w:val="single"/>
                                  <w14:shadow w14:blurRad="50800" w14:dist="38100" w14:dir="2700000" w14:sx="100000" w14:sy="100000" w14:kx="0" w14:ky="0" w14:algn="tl">
                                    <w14:srgbClr w14:val="000000">
                                      <w14:alpha w14:val="60000"/>
                                    </w14:srgbClr>
                                  </w14:shadow>
                                </w:rPr>
                              </w:pPr>
                              <w:r w:rsidRPr="00493C76">
                                <w:rPr>
                                  <w:rFonts w:ascii="Arial" w:hAnsi="Arial" w:cs="Arial"/>
                                  <w:color w:val="0066FF"/>
                                  <w:sz w:val="20"/>
                                  <w:szCs w:val="40"/>
                                  <w:u w:val="single"/>
                                  <w14:shadow w14:blurRad="50800" w14:dist="38100" w14:dir="2700000" w14:sx="100000" w14:sy="100000" w14:kx="0" w14:ky="0" w14:algn="tl">
                                    <w14:srgbClr w14:val="000000">
                                      <w14:alpha w14:val="60000"/>
                                    </w14:srgbClr>
                                  </w14:shadow>
                                </w:rPr>
                                <w:t>Heidelberg</w:t>
                              </w:r>
                            </w:p>
                            <w:p w14:paraId="05C04FF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Hopetoun</w:t>
                              </w:r>
                            </w:p>
                            <w:p w14:paraId="3DC98237"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Horsham</w:t>
                              </w:r>
                            </w:p>
                            <w:p w14:paraId="769541A2"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Kerang</w:t>
                              </w:r>
                            </w:p>
                            <w:p w14:paraId="5703D2E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Korumburra</w:t>
                              </w:r>
                            </w:p>
                            <w:p w14:paraId="48BE7C8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Kyneton</w:t>
                              </w:r>
                            </w:p>
                            <w:p w14:paraId="4EBBF8A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Latrobe</w:t>
                                  </w:r>
                                </w:smartTag>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Valley</w:t>
                                  </w:r>
                                </w:smartTag>
                              </w:smartTag>
                            </w:p>
                            <w:p w14:paraId="1C3EB539"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Mansfield</w:t>
                              </w:r>
                            </w:p>
                            <w:p w14:paraId="2CBB1909"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Maryborough</w:t>
                              </w:r>
                            </w:p>
                          </w:txbxContent>
                        </wps:txbx>
                        <wps:bodyPr rot="0" vert="horz" wrap="square" lIns="92075" tIns="46037" rIns="92075" bIns="46037" anchor="t" anchorCtr="0" upright="1">
                          <a:spAutoFit/>
                        </wps:bodyPr>
                      </wps:wsp>
                      <wps:wsp>
                        <wps:cNvPr id="7" name="Rectangle 25"/>
                        <wps:cNvSpPr>
                          <a:spLocks noChangeArrowheads="1"/>
                        </wps:cNvSpPr>
                        <wps:spPr bwMode="auto">
                          <a:xfrm>
                            <a:off x="6621" y="7984"/>
                            <a:ext cx="1993" cy="3106"/>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BC3322" w14:textId="62166BCA"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Melbourne</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p w14:paraId="6F02500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Mildura</w:t>
                              </w:r>
                            </w:p>
                            <w:p w14:paraId="46C60579"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Moorabbin JC</w:t>
                              </w:r>
                            </w:p>
                            <w:p w14:paraId="35CCCB7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Myrtleford</w:t>
                              </w:r>
                            </w:p>
                            <w:p w14:paraId="0CA5C21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Nhill</w:t>
                              </w:r>
                            </w:p>
                            <w:p w14:paraId="4E148303" w14:textId="77777777" w:rsidR="00895060" w:rsidRPr="00493C76" w:rsidRDefault="00895060" w:rsidP="00895060">
                              <w:pPr>
                                <w:rPr>
                                  <w:rFonts w:ascii="Arial" w:hAnsi="Arial" w:cs="Arial"/>
                                  <w:color w:val="0066FF"/>
                                  <w:sz w:val="20"/>
                                  <w:szCs w:val="40"/>
                                  <w:u w:val="single"/>
                                  <w14:shadow w14:blurRad="50800" w14:dist="38100" w14:dir="2700000" w14:sx="100000" w14:sy="100000" w14:kx="0" w14:ky="0" w14:algn="tl">
                                    <w14:srgbClr w14:val="000000">
                                      <w14:alpha w14:val="60000"/>
                                    </w14:srgbClr>
                                  </w14:shadow>
                                </w:rPr>
                              </w:pPr>
                              <w:r w:rsidRPr="00493C76">
                                <w:rPr>
                                  <w:rFonts w:ascii="Arial" w:hAnsi="Arial" w:cs="Arial"/>
                                  <w:color w:val="0066FF"/>
                                  <w:sz w:val="20"/>
                                  <w:szCs w:val="40"/>
                                  <w:u w:val="single"/>
                                  <w14:shadow w14:blurRad="50800" w14:dist="38100" w14:dir="2700000" w14:sx="100000" w14:sy="100000" w14:kx="0" w14:ky="0" w14:algn="tl">
                                    <w14:srgbClr w14:val="000000">
                                      <w14:alpha w14:val="60000"/>
                                    </w14:srgbClr>
                                  </w14:shadow>
                                </w:rPr>
                                <w:t>NJC (Collingwood)</w:t>
                              </w:r>
                            </w:p>
                            <w:p w14:paraId="03F2F7F0"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Omeo</w:t>
                              </w:r>
                            </w:p>
                            <w:p w14:paraId="1B1E70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Orbost</w:t>
                              </w:r>
                            </w:p>
                            <w:p w14:paraId="79D2A98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Ouyen</w:t>
                              </w:r>
                            </w:p>
                            <w:p w14:paraId="21BF4564"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Portland</w:t>
                              </w:r>
                            </w:p>
                            <w:p w14:paraId="41D5C599" w14:textId="77777777" w:rsidR="00895060" w:rsidRDefault="00895060" w:rsidP="00895060">
                              <w:pPr>
                                <w:rPr>
                                  <w:rFonts w:ascii="Arial" w:hAnsi="Arial" w:cs="Arial"/>
                                  <w:color w:val="0066FF"/>
                                  <w:sz w:val="20"/>
                                  <w:szCs w:val="40"/>
                                  <w:u w:val="single"/>
                                  <w14:shadow w14:blurRad="50800" w14:dist="38100" w14:dir="2700000" w14:sx="100000" w14:sy="100000" w14:kx="0" w14:ky="0" w14:algn="tl">
                                    <w14:srgbClr w14:val="000000">
                                      <w14:alpha w14:val="60000"/>
                                    </w14:srgbClr>
                                  </w14:shadow>
                                </w:rPr>
                              </w:pPr>
                              <w:r w:rsidRPr="00493C76">
                                <w:rPr>
                                  <w:rFonts w:ascii="Arial" w:hAnsi="Arial" w:cs="Arial"/>
                                  <w:color w:val="0066FF"/>
                                  <w:sz w:val="20"/>
                                  <w:szCs w:val="40"/>
                                  <w:u w:val="single"/>
                                  <w14:shadow w14:blurRad="50800" w14:dist="38100" w14:dir="2700000" w14:sx="100000" w14:sy="100000" w14:kx="0" w14:ky="0" w14:algn="tl">
                                    <w14:srgbClr w14:val="000000">
                                      <w14:alpha w14:val="60000"/>
                                    </w14:srgbClr>
                                  </w14:shadow>
                                </w:rPr>
                                <w:t>Ringwood</w:t>
                              </w:r>
                            </w:p>
                            <w:p w14:paraId="78C90F78" w14:textId="05ADEB9F" w:rsidR="00CD1F64" w:rsidRPr="00CD1F64" w:rsidRDefault="00CD1F64"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CD1F64">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Robinvale</w:t>
                              </w:r>
                            </w:p>
                          </w:txbxContent>
                        </wps:txbx>
                        <wps:bodyPr rot="0" vert="horz" wrap="square" lIns="92075" tIns="46037" rIns="92075" bIns="46037" anchor="t" anchorCtr="0" upright="1">
                          <a:spAutoFit/>
                        </wps:bodyPr>
                      </wps:wsp>
                      <wps:wsp>
                        <wps:cNvPr id="8" name="Rectangle 26"/>
                        <wps:cNvSpPr>
                          <a:spLocks noChangeArrowheads="1"/>
                        </wps:cNvSpPr>
                        <wps:spPr bwMode="auto">
                          <a:xfrm>
                            <a:off x="8781" y="7984"/>
                            <a:ext cx="1680" cy="3106"/>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4D7D9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Sale</w:t>
                              </w:r>
                            </w:p>
                            <w:p w14:paraId="02D8FC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City">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Seymour</w:t>
                                  </w:r>
                                </w:smartTag>
                              </w:smartTag>
                            </w:p>
                            <w:p w14:paraId="595F707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Shepparton</w:t>
                              </w:r>
                            </w:p>
                            <w:p w14:paraId="3D6B75B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 Arnaud</w:t>
                              </w:r>
                            </w:p>
                            <w:p w14:paraId="5E905D40"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Stawell</w:t>
                              </w:r>
                            </w:p>
                            <w:p w14:paraId="635643AE" w14:textId="77777777" w:rsidR="00895060" w:rsidRPr="00493C76" w:rsidRDefault="00895060" w:rsidP="00895060">
                              <w:pPr>
                                <w:rPr>
                                  <w:rFonts w:ascii="Arial" w:hAnsi="Arial" w:cs="Arial"/>
                                  <w:color w:val="000000" w:themeColor="text1"/>
                                  <w:sz w:val="20"/>
                                  <w:szCs w:val="40"/>
                                  <w:u w:val="single"/>
                                  <w14:shadow w14:blurRad="50800" w14:dist="38100" w14:dir="2700000" w14:sx="100000" w14:sy="100000" w14:kx="0" w14:ky="0" w14:algn="tl">
                                    <w14:srgbClr w14:val="000000">
                                      <w14:alpha w14:val="60000"/>
                                    </w14:srgbClr>
                                  </w14:shadow>
                                </w:rPr>
                              </w:pPr>
                              <w:r w:rsidRPr="00493C76">
                                <w:rPr>
                                  <w:rFonts w:ascii="Arial" w:hAnsi="Arial" w:cs="Arial"/>
                                  <w:color w:val="0066FF"/>
                                  <w:sz w:val="20"/>
                                  <w:szCs w:val="40"/>
                                  <w:u w:val="single"/>
                                  <w14:shadow w14:blurRad="50800" w14:dist="38100" w14:dir="2700000" w14:sx="100000" w14:sy="100000" w14:kx="0" w14:ky="0" w14:algn="tl">
                                    <w14:srgbClr w14:val="000000">
                                      <w14:alpha w14:val="60000"/>
                                    </w14:srgbClr>
                                  </w14:shadow>
                                </w:rPr>
                                <w:t>Sunshine</w:t>
                              </w:r>
                            </w:p>
                            <w:p w14:paraId="7F6F457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Swan Hill</w:t>
                              </w:r>
                            </w:p>
                            <w:p w14:paraId="6AC915E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Wangaratta</w:t>
                              </w:r>
                            </w:p>
                            <w:p w14:paraId="3F5B7014"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Warrnambool</w:t>
                              </w:r>
                            </w:p>
                            <w:p w14:paraId="31E78BA7" w14:textId="77777777" w:rsidR="00895060" w:rsidRPr="00493C76" w:rsidRDefault="00895060" w:rsidP="00895060">
                              <w:pPr>
                                <w:rPr>
                                  <w:rFonts w:ascii="Arial" w:hAnsi="Arial" w:cs="Arial"/>
                                  <w:color w:val="000000" w:themeColor="text1"/>
                                  <w:sz w:val="20"/>
                                  <w:szCs w:val="40"/>
                                  <w:u w:val="single"/>
                                  <w14:shadow w14:blurRad="50800" w14:dist="38100" w14:dir="2700000" w14:sx="100000" w14:sy="100000" w14:kx="0" w14:ky="0" w14:algn="tl">
                                    <w14:srgbClr w14:val="000000">
                                      <w14:alpha w14:val="60000"/>
                                    </w14:srgbClr>
                                  </w14:shadow>
                                </w:rPr>
                              </w:pPr>
                              <w:r w:rsidRPr="00493C76">
                                <w:rPr>
                                  <w:rFonts w:ascii="Arial" w:hAnsi="Arial" w:cs="Arial"/>
                                  <w:color w:val="0066FF"/>
                                  <w:sz w:val="20"/>
                                  <w:szCs w:val="40"/>
                                  <w:u w:val="single"/>
                                  <w14:shadow w14:blurRad="50800" w14:dist="38100" w14:dir="2700000" w14:sx="100000" w14:sy="100000" w14:kx="0" w14:ky="0" w14:algn="tl">
                                    <w14:srgbClr w14:val="000000">
                                      <w14:alpha w14:val="60000"/>
                                    </w14:srgbClr>
                                  </w14:shadow>
                                </w:rPr>
                                <w:t>Werribee</w:t>
                              </w:r>
                            </w:p>
                            <w:p w14:paraId="1AE55E1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Wodonga</w:t>
                              </w:r>
                            </w:p>
                            <w:p w14:paraId="6C57325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Wonthaggi</w:t>
                              </w:r>
                            </w:p>
                          </w:txbxContent>
                        </wps:txbx>
                        <wps:bodyPr rot="0" vert="horz" wrap="square" lIns="92075" tIns="46037" rIns="92075" bIns="46037" anchor="t" anchorCtr="0" upright="1">
                          <a:spAutoFit/>
                        </wps:bodyPr>
                      </wps:wsp>
                    </wpg:wgp>
                  </a:graphicData>
                </a:graphic>
              </wp:inline>
            </w:drawing>
          </mc:Choice>
          <mc:Fallback>
            <w:pict>
              <v:group w14:anchorId="20C1B570" id="Group 20" o:spid="_x0000_s1026" style="width:421.05pt;height:169.4pt;mso-position-horizontal-relative:char;mso-position-vertical-relative:line" coordorigin="2040,7984" coordsize="8421,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">
                <v:rect id="Rectangle 23" o:spid="_x0000_s1027" style="position:absolute;left:2040;top:7984;width:1701;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" filled="f" fillcolor="fuchsia" stroked="f">
                  <v:textbox style="mso-fit-shape-to-text:t" inset="7.25pt,1.2788mm,7.25pt,1.2788mm">
                    <w:txbxContent>
                      <w:p w14:paraId="6C4D9F6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Ararat</w:t>
                        </w:r>
                      </w:p>
                      <w:p w14:paraId="78E9C2E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Bairnsdale</w:t>
                        </w:r>
                      </w:p>
                      <w:p w14:paraId="3AE8166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Ballarat</w:t>
                        </w:r>
                      </w:p>
                      <w:p w14:paraId="74B1381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Benalla</w:t>
                        </w:r>
                      </w:p>
                      <w:p w14:paraId="4DC120F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City">
                          <w:smartTag w:uri="urn:schemas-microsoft-com:office:smarttags" w:element="plac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Bendigo</w:t>
                            </w:r>
                          </w:smartTag>
                        </w:smartTag>
                      </w:p>
                      <w:p w14:paraId="051BA64A"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Broadmeadows</w:t>
                        </w:r>
                      </w:p>
                      <w:p w14:paraId="10C71B9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Castlemaine</w:t>
                        </w:r>
                      </w:p>
                      <w:p w14:paraId="4179ED8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Cobram</w:t>
                        </w:r>
                      </w:p>
                      <w:p w14:paraId="7D9A6267"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Colac</w:t>
                        </w:r>
                      </w:p>
                      <w:p w14:paraId="26BE0E1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Corryong</w:t>
                        </w:r>
                      </w:p>
                      <w:p w14:paraId="296FEEBD" w14:textId="36E5A013" w:rsidR="006E3A7F" w:rsidRPr="00C47D81" w:rsidRDefault="006E3A7F" w:rsidP="006E3A7F">
                        <w:pPr>
                          <w:rPr>
                            <w:rFonts w:ascii="Arial" w:hAnsi="Arial" w:cs="Arial"/>
                            <w:color w:val="FF0000"/>
                            <w:sz w:val="20"/>
                            <w:szCs w:val="40"/>
                            <w14:shadow w14:blurRad="50800" w14:dist="38100" w14:dir="2700000" w14:sx="100000" w14:sy="100000" w14:kx="0" w14:ky="0" w14:algn="tl">
                              <w14:srgbClr w14:val="000000">
                                <w14:alpha w14:val="60000"/>
                              </w14:srgbClr>
                            </w14:shadow>
                          </w:rPr>
                        </w:pPr>
                        <w:r>
                          <w:rPr>
                            <w:rFonts w:ascii="Arial" w:hAnsi="Arial" w:cs="Arial"/>
                            <w:color w:val="FF0000"/>
                            <w:sz w:val="20"/>
                            <w:szCs w:val="40"/>
                            <w14:shadow w14:blurRad="50800" w14:dist="38100" w14:dir="2700000" w14:sx="100000" w14:sy="100000" w14:kx="0" w14:ky="0" w14:algn="tl">
                              <w14:srgbClr w14:val="000000">
                                <w14:alpha w14:val="60000"/>
                              </w14:srgbClr>
                            </w14:shadow>
                          </w:rPr>
                          <w:t>Dandenong</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p w14:paraId="2F492F07" w14:textId="2989E293" w:rsidR="00895060" w:rsidRDefault="00895060" w:rsidP="00895060">
                        <w:pPr>
                          <w:rPr>
                            <w:rFonts w:ascii="Arial" w:hAnsi="Arial" w:cs="Arial"/>
                            <w:color w:val="000000"/>
                            <w:sz w:val="20"/>
                            <w:szCs w:val="40"/>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Echuca</w:t>
                        </w:r>
                      </w:p>
                    </w:txbxContent>
                  </v:textbox>
                </v:rect>
                <v:rect id="Rectangle 24" o:spid="_x0000_s1028" style="position:absolute;left:4320;top:7984;width:1941;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" filled="f" fillcolor="fuchsia" stroked="f">
                  <v:textbox style="mso-fit-shape-to-text:t" inset="7.25pt,1.2788mm,7.25pt,1.2788mm">
                    <w:txbxContent>
                      <w:p w14:paraId="259DD9C4" w14:textId="77777777" w:rsidR="00895060" w:rsidRPr="00493C76" w:rsidRDefault="00895060" w:rsidP="00895060">
                        <w:pPr>
                          <w:rPr>
                            <w:rFonts w:ascii="Arial" w:hAnsi="Arial" w:cs="Arial"/>
                            <w:color w:val="000000" w:themeColor="text1"/>
                            <w:sz w:val="20"/>
                            <w:szCs w:val="40"/>
                            <w:u w:val="single"/>
                            <w14:shadow w14:blurRad="50800" w14:dist="38100" w14:dir="2700000" w14:sx="100000" w14:sy="100000" w14:kx="0" w14:ky="0" w14:algn="tl">
                              <w14:srgbClr w14:val="000000">
                                <w14:alpha w14:val="60000"/>
                              </w14:srgbClr>
                            </w14:shadow>
                          </w:rPr>
                        </w:pPr>
                        <w:r w:rsidRPr="00493C76">
                          <w:rPr>
                            <w:rFonts w:ascii="Arial" w:hAnsi="Arial" w:cs="Arial"/>
                            <w:color w:val="0066FF"/>
                            <w:sz w:val="20"/>
                            <w:szCs w:val="40"/>
                            <w:u w:val="single"/>
                            <w14:shadow w14:blurRad="50800" w14:dist="38100" w14:dir="2700000" w14:sx="100000" w14:sy="100000" w14:kx="0" w14:ky="0" w14:algn="tl">
                              <w14:srgbClr w14:val="000000">
                                <w14:alpha w14:val="60000"/>
                              </w14:srgbClr>
                            </w14:shadow>
                          </w:rPr>
                          <w:t>Frankston</w:t>
                        </w:r>
                      </w:p>
                      <w:p w14:paraId="33B7ECD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Geelong</w:t>
                        </w:r>
                      </w:p>
                      <w:p w14:paraId="320626F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City">
                          <w:smartTag w:uri="urn:schemas-microsoft-com:office:smarttags" w:element="plac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Hamilton</w:t>
                            </w:r>
                          </w:smartTag>
                        </w:smartTag>
                      </w:p>
                      <w:p w14:paraId="311174F3" w14:textId="77777777" w:rsidR="00895060" w:rsidRPr="00493C76" w:rsidRDefault="00895060" w:rsidP="00895060">
                        <w:pPr>
                          <w:rPr>
                            <w:rFonts w:ascii="Arial" w:hAnsi="Arial" w:cs="Arial"/>
                            <w:color w:val="000000" w:themeColor="text1"/>
                            <w:sz w:val="20"/>
                            <w:szCs w:val="40"/>
                            <w:u w:val="single"/>
                            <w14:shadow w14:blurRad="50800" w14:dist="38100" w14:dir="2700000" w14:sx="100000" w14:sy="100000" w14:kx="0" w14:ky="0" w14:algn="tl">
                              <w14:srgbClr w14:val="000000">
                                <w14:alpha w14:val="60000"/>
                              </w14:srgbClr>
                            </w14:shadow>
                          </w:rPr>
                        </w:pPr>
                        <w:r w:rsidRPr="00493C76">
                          <w:rPr>
                            <w:rFonts w:ascii="Arial" w:hAnsi="Arial" w:cs="Arial"/>
                            <w:color w:val="0066FF"/>
                            <w:sz w:val="20"/>
                            <w:szCs w:val="40"/>
                            <w:u w:val="single"/>
                            <w14:shadow w14:blurRad="50800" w14:dist="38100" w14:dir="2700000" w14:sx="100000" w14:sy="100000" w14:kx="0" w14:ky="0" w14:algn="tl">
                              <w14:srgbClr w14:val="000000">
                                <w14:alpha w14:val="60000"/>
                              </w14:srgbClr>
                            </w14:shadow>
                          </w:rPr>
                          <w:t>Heidelberg</w:t>
                        </w:r>
                      </w:p>
                      <w:p w14:paraId="05C04FF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Hopetoun</w:t>
                        </w:r>
                      </w:p>
                      <w:p w14:paraId="3DC98237"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Horsham</w:t>
                        </w:r>
                      </w:p>
                      <w:p w14:paraId="769541A2"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Kerang</w:t>
                        </w:r>
                      </w:p>
                      <w:p w14:paraId="5703D2E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Korumburra</w:t>
                        </w:r>
                      </w:p>
                      <w:p w14:paraId="48BE7C8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Kyneton</w:t>
                        </w:r>
                      </w:p>
                      <w:p w14:paraId="4EBBF8A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Latrobe</w:t>
                            </w:r>
                          </w:smartTag>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Valley</w:t>
                            </w:r>
                          </w:smartTag>
                        </w:smartTag>
                      </w:p>
                      <w:p w14:paraId="1C3EB539"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Mansfield</w:t>
                        </w:r>
                      </w:p>
                      <w:p w14:paraId="2CBB1909"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Maryborough</w:t>
                        </w:r>
                      </w:p>
                    </w:txbxContent>
                  </v:textbox>
                </v:rect>
                <v:rect id="Rectangle 25" o:spid="_x0000_s1029" style="position:absolute;left:6621;top:7984;width:1993;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" filled="f" fillcolor="fuchsia" stroked="f">
                  <v:textbox style="mso-fit-shape-to-text:t" inset="7.25pt,1.2788mm,7.25pt,1.2788mm">
                    <w:txbxContent>
                      <w:p w14:paraId="20BC3322" w14:textId="62166BCA"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Melbourne</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p w14:paraId="6F02500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Mildura</w:t>
                        </w:r>
                      </w:p>
                      <w:p w14:paraId="46C60579"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Moorabbin JC</w:t>
                        </w:r>
                      </w:p>
                      <w:p w14:paraId="35CCCB7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Myrtleford</w:t>
                        </w:r>
                      </w:p>
                      <w:p w14:paraId="0CA5C21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Nhill</w:t>
                        </w:r>
                      </w:p>
                      <w:p w14:paraId="4E148303" w14:textId="77777777" w:rsidR="00895060" w:rsidRPr="00493C76" w:rsidRDefault="00895060" w:rsidP="00895060">
                        <w:pPr>
                          <w:rPr>
                            <w:rFonts w:ascii="Arial" w:hAnsi="Arial" w:cs="Arial"/>
                            <w:color w:val="0066FF"/>
                            <w:sz w:val="20"/>
                            <w:szCs w:val="40"/>
                            <w:u w:val="single"/>
                            <w14:shadow w14:blurRad="50800" w14:dist="38100" w14:dir="2700000" w14:sx="100000" w14:sy="100000" w14:kx="0" w14:ky="0" w14:algn="tl">
                              <w14:srgbClr w14:val="000000">
                                <w14:alpha w14:val="60000"/>
                              </w14:srgbClr>
                            </w14:shadow>
                          </w:rPr>
                        </w:pPr>
                        <w:r w:rsidRPr="00493C76">
                          <w:rPr>
                            <w:rFonts w:ascii="Arial" w:hAnsi="Arial" w:cs="Arial"/>
                            <w:color w:val="0066FF"/>
                            <w:sz w:val="20"/>
                            <w:szCs w:val="40"/>
                            <w:u w:val="single"/>
                            <w14:shadow w14:blurRad="50800" w14:dist="38100" w14:dir="2700000" w14:sx="100000" w14:sy="100000" w14:kx="0" w14:ky="0" w14:algn="tl">
                              <w14:srgbClr w14:val="000000">
                                <w14:alpha w14:val="60000"/>
                              </w14:srgbClr>
                            </w14:shadow>
                          </w:rPr>
                          <w:t>NJC (Collingwood)</w:t>
                        </w:r>
                      </w:p>
                      <w:p w14:paraId="03F2F7F0"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Omeo</w:t>
                        </w:r>
                      </w:p>
                      <w:p w14:paraId="1B1E70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Orbost</w:t>
                        </w:r>
                      </w:p>
                      <w:p w14:paraId="79D2A98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Ouyen</w:t>
                        </w:r>
                      </w:p>
                      <w:p w14:paraId="21BF4564"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Portland</w:t>
                        </w:r>
                      </w:p>
                      <w:p w14:paraId="41D5C599" w14:textId="77777777" w:rsidR="00895060" w:rsidRDefault="00895060" w:rsidP="00895060">
                        <w:pPr>
                          <w:rPr>
                            <w:rFonts w:ascii="Arial" w:hAnsi="Arial" w:cs="Arial"/>
                            <w:color w:val="0066FF"/>
                            <w:sz w:val="20"/>
                            <w:szCs w:val="40"/>
                            <w:u w:val="single"/>
                            <w14:shadow w14:blurRad="50800" w14:dist="38100" w14:dir="2700000" w14:sx="100000" w14:sy="100000" w14:kx="0" w14:ky="0" w14:algn="tl">
                              <w14:srgbClr w14:val="000000">
                                <w14:alpha w14:val="60000"/>
                              </w14:srgbClr>
                            </w14:shadow>
                          </w:rPr>
                        </w:pPr>
                        <w:r w:rsidRPr="00493C76">
                          <w:rPr>
                            <w:rFonts w:ascii="Arial" w:hAnsi="Arial" w:cs="Arial"/>
                            <w:color w:val="0066FF"/>
                            <w:sz w:val="20"/>
                            <w:szCs w:val="40"/>
                            <w:u w:val="single"/>
                            <w14:shadow w14:blurRad="50800" w14:dist="38100" w14:dir="2700000" w14:sx="100000" w14:sy="100000" w14:kx="0" w14:ky="0" w14:algn="tl">
                              <w14:srgbClr w14:val="000000">
                                <w14:alpha w14:val="60000"/>
                              </w14:srgbClr>
                            </w14:shadow>
                          </w:rPr>
                          <w:t>Ringwood</w:t>
                        </w:r>
                      </w:p>
                      <w:p w14:paraId="78C90F78" w14:textId="05ADEB9F" w:rsidR="00CD1F64" w:rsidRPr="00CD1F64" w:rsidRDefault="00CD1F64"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CD1F64">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Robinvale</w:t>
                        </w:r>
                      </w:p>
                    </w:txbxContent>
                  </v:textbox>
                </v:rect>
                <v:rect id="Rectangle 26" o:spid="_x0000_s1030" style="position:absolute;left:8781;top:7984;width:1680;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" filled="f" fillcolor="fuchsia" stroked="f">
                  <v:textbox style="mso-fit-shape-to-text:t" inset="7.25pt,1.2788mm,7.25pt,1.2788mm">
                    <w:txbxContent>
                      <w:p w14:paraId="474D7D9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Sale</w:t>
                        </w:r>
                      </w:p>
                      <w:p w14:paraId="02D8FC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City">
                          <w:smartTag w:uri="urn:schemas-microsoft-com:office:smarttags" w:element="plac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Seymour</w:t>
                            </w:r>
                          </w:smartTag>
                        </w:smartTag>
                      </w:p>
                      <w:p w14:paraId="595F707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Shepparton</w:t>
                        </w:r>
                      </w:p>
                      <w:p w14:paraId="3D6B75B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 Arnaud</w:t>
                        </w:r>
                      </w:p>
                      <w:p w14:paraId="5E905D40"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Stawell</w:t>
                        </w:r>
                      </w:p>
                      <w:p w14:paraId="635643AE" w14:textId="77777777" w:rsidR="00895060" w:rsidRPr="00493C76" w:rsidRDefault="00895060" w:rsidP="00895060">
                        <w:pPr>
                          <w:rPr>
                            <w:rFonts w:ascii="Arial" w:hAnsi="Arial" w:cs="Arial"/>
                            <w:color w:val="000000" w:themeColor="text1"/>
                            <w:sz w:val="20"/>
                            <w:szCs w:val="40"/>
                            <w:u w:val="single"/>
                            <w14:shadow w14:blurRad="50800" w14:dist="38100" w14:dir="2700000" w14:sx="100000" w14:sy="100000" w14:kx="0" w14:ky="0" w14:algn="tl">
                              <w14:srgbClr w14:val="000000">
                                <w14:alpha w14:val="60000"/>
                              </w14:srgbClr>
                            </w14:shadow>
                          </w:rPr>
                        </w:pPr>
                        <w:r w:rsidRPr="00493C76">
                          <w:rPr>
                            <w:rFonts w:ascii="Arial" w:hAnsi="Arial" w:cs="Arial"/>
                            <w:color w:val="0066FF"/>
                            <w:sz w:val="20"/>
                            <w:szCs w:val="40"/>
                            <w:u w:val="single"/>
                            <w14:shadow w14:blurRad="50800" w14:dist="38100" w14:dir="2700000" w14:sx="100000" w14:sy="100000" w14:kx="0" w14:ky="0" w14:algn="tl">
                              <w14:srgbClr w14:val="000000">
                                <w14:alpha w14:val="60000"/>
                              </w14:srgbClr>
                            </w14:shadow>
                          </w:rPr>
                          <w:t>Sunshine</w:t>
                        </w:r>
                      </w:p>
                      <w:p w14:paraId="7F6F457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Swan Hill</w:t>
                        </w:r>
                      </w:p>
                      <w:p w14:paraId="6AC915E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Wangaratta</w:t>
                        </w:r>
                      </w:p>
                      <w:p w14:paraId="3F5B7014"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Warrnambool</w:t>
                        </w:r>
                      </w:p>
                      <w:p w14:paraId="31E78BA7" w14:textId="77777777" w:rsidR="00895060" w:rsidRPr="00493C76" w:rsidRDefault="00895060" w:rsidP="00895060">
                        <w:pPr>
                          <w:rPr>
                            <w:rFonts w:ascii="Arial" w:hAnsi="Arial" w:cs="Arial"/>
                            <w:color w:val="000000" w:themeColor="text1"/>
                            <w:sz w:val="20"/>
                            <w:szCs w:val="40"/>
                            <w:u w:val="single"/>
                            <w14:shadow w14:blurRad="50800" w14:dist="38100" w14:dir="2700000" w14:sx="100000" w14:sy="100000" w14:kx="0" w14:ky="0" w14:algn="tl">
                              <w14:srgbClr w14:val="000000">
                                <w14:alpha w14:val="60000"/>
                              </w14:srgbClr>
                            </w14:shadow>
                          </w:rPr>
                        </w:pPr>
                        <w:r w:rsidRPr="00493C76">
                          <w:rPr>
                            <w:rFonts w:ascii="Arial" w:hAnsi="Arial" w:cs="Arial"/>
                            <w:color w:val="0066FF"/>
                            <w:sz w:val="20"/>
                            <w:szCs w:val="40"/>
                            <w:u w:val="single"/>
                            <w14:shadow w14:blurRad="50800" w14:dist="38100" w14:dir="2700000" w14:sx="100000" w14:sy="100000" w14:kx="0" w14:ky="0" w14:algn="tl">
                              <w14:srgbClr w14:val="000000">
                                <w14:alpha w14:val="60000"/>
                              </w14:srgbClr>
                            </w14:shadow>
                          </w:rPr>
                          <w:t>Werribee</w:t>
                        </w:r>
                      </w:p>
                      <w:p w14:paraId="1AE55E1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Wodonga</w:t>
                        </w:r>
                      </w:p>
                      <w:p w14:paraId="6C57325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Wonthaggi</w:t>
                        </w:r>
                      </w:p>
                    </w:txbxContent>
                  </v:textbox>
                </v:rect>
                <w10:anchorlock/>
              </v:group>
            </w:pict>
          </mc:Fallback>
        </mc:AlternateContent>
      </w:r>
    </w:p>
    <w:p w14:paraId="7F5EDF54" w14:textId="77777777" w:rsidR="00217D88" w:rsidRDefault="00217D88" w:rsidP="00217D88">
      <w:pPr>
        <w:jc w:val="both"/>
        <w:rPr>
          <w:rFonts w:ascii="Arial" w:hAnsi="Arial" w:cs="Arial"/>
          <w:color w:val="000000"/>
          <w:sz w:val="20"/>
        </w:rPr>
      </w:pPr>
    </w:p>
    <w:p w14:paraId="75AA8410" w14:textId="72AB93A7" w:rsidR="00217D88" w:rsidRDefault="00217D88" w:rsidP="00217D88">
      <w:pPr>
        <w:jc w:val="both"/>
        <w:rPr>
          <w:rFonts w:ascii="Arial" w:hAnsi="Arial" w:cs="Arial"/>
          <w:color w:val="000000"/>
          <w:sz w:val="20"/>
        </w:rPr>
      </w:pPr>
      <w:r w:rsidRPr="00B46EF1">
        <w:rPr>
          <w:rFonts w:ascii="Arial" w:hAnsi="Arial" w:cs="Arial"/>
          <w:color w:val="000000"/>
          <w:sz w:val="20"/>
        </w:rPr>
        <w:t xml:space="preserve">At </w:t>
      </w:r>
      <w:r w:rsidRPr="00FD0B3E">
        <w:rPr>
          <w:rFonts w:ascii="Arial" w:hAnsi="Arial" w:cs="Arial"/>
          <w:b/>
          <w:bCs/>
          <w:color w:val="FF0000"/>
          <w:sz w:val="20"/>
        </w:rPr>
        <w:t>Melbourne CC</w:t>
      </w:r>
      <w:r w:rsidRPr="00B46EF1">
        <w:rPr>
          <w:rFonts w:ascii="Arial" w:hAnsi="Arial" w:cs="Arial"/>
          <w:color w:val="000000"/>
          <w:sz w:val="20"/>
        </w:rPr>
        <w:t xml:space="preserve">, </w:t>
      </w:r>
      <w:r w:rsidRPr="00FD0B3E">
        <w:rPr>
          <w:rFonts w:ascii="Arial" w:hAnsi="Arial" w:cs="Arial"/>
          <w:b/>
          <w:bCs/>
          <w:color w:val="FF0000"/>
          <w:sz w:val="20"/>
        </w:rPr>
        <w:t>Broadmeadows</w:t>
      </w:r>
      <w:r>
        <w:rPr>
          <w:rFonts w:ascii="Arial" w:hAnsi="Arial" w:cs="Arial"/>
          <w:color w:val="000000"/>
          <w:sz w:val="20"/>
        </w:rPr>
        <w:t xml:space="preserve">, </w:t>
      </w:r>
      <w:r w:rsidRPr="00FD0B3E">
        <w:rPr>
          <w:rFonts w:ascii="Arial" w:hAnsi="Arial" w:cs="Arial"/>
          <w:b/>
          <w:bCs/>
          <w:color w:val="FF0000"/>
          <w:sz w:val="20"/>
        </w:rPr>
        <w:t>Dandenong CC</w:t>
      </w:r>
      <w:r>
        <w:rPr>
          <w:rFonts w:ascii="Arial" w:hAnsi="Arial" w:cs="Arial"/>
          <w:color w:val="000000"/>
          <w:sz w:val="20"/>
        </w:rPr>
        <w:t xml:space="preserve"> &amp; </w:t>
      </w:r>
      <w:r w:rsidRPr="00FD0B3E">
        <w:rPr>
          <w:rFonts w:ascii="Arial" w:hAnsi="Arial" w:cs="Arial"/>
          <w:b/>
          <w:bCs/>
          <w:color w:val="FF0000"/>
          <w:sz w:val="20"/>
        </w:rPr>
        <w:t>Moorabbin JC</w:t>
      </w:r>
      <w:r w:rsidRPr="00B46EF1">
        <w:rPr>
          <w:rFonts w:ascii="Arial" w:hAnsi="Arial" w:cs="Arial"/>
          <w:color w:val="000000"/>
          <w:sz w:val="20"/>
        </w:rPr>
        <w:t xml:space="preserve"> and </w:t>
      </w:r>
      <w:r>
        <w:rPr>
          <w:rFonts w:ascii="Arial" w:hAnsi="Arial" w:cs="Arial"/>
          <w:color w:val="000000"/>
          <w:sz w:val="20"/>
        </w:rPr>
        <w:t xml:space="preserve">also </w:t>
      </w:r>
      <w:r w:rsidRPr="00B46EF1">
        <w:rPr>
          <w:rFonts w:ascii="Arial" w:hAnsi="Arial" w:cs="Arial"/>
          <w:color w:val="000000"/>
          <w:sz w:val="20"/>
        </w:rPr>
        <w:t xml:space="preserve">at </w:t>
      </w:r>
      <w:r>
        <w:rPr>
          <w:rFonts w:ascii="Arial" w:hAnsi="Arial" w:cs="Arial"/>
          <w:color w:val="000000"/>
          <w:sz w:val="20"/>
        </w:rPr>
        <w:t>most</w:t>
      </w:r>
      <w:r w:rsidRPr="00B46EF1">
        <w:rPr>
          <w:rFonts w:ascii="Arial" w:hAnsi="Arial" w:cs="Arial"/>
          <w:color w:val="000000"/>
          <w:sz w:val="20"/>
        </w:rPr>
        <w:t xml:space="preserve"> country and regional locations, the Court sits in both Divisions.</w:t>
      </w:r>
      <w:r>
        <w:rPr>
          <w:rFonts w:ascii="Arial" w:hAnsi="Arial" w:cs="Arial"/>
          <w:color w:val="000000"/>
          <w:sz w:val="20"/>
        </w:rPr>
        <w:t xml:space="preserve"> </w:t>
      </w:r>
      <w:r w:rsidRPr="00B46EF1">
        <w:rPr>
          <w:rFonts w:ascii="Arial" w:hAnsi="Arial" w:cs="Arial"/>
          <w:color w:val="000000"/>
          <w:sz w:val="20"/>
        </w:rPr>
        <w:t xml:space="preserve"> At all </w:t>
      </w:r>
      <w:r>
        <w:rPr>
          <w:rFonts w:ascii="Arial" w:hAnsi="Arial" w:cs="Arial"/>
          <w:color w:val="000000"/>
          <w:sz w:val="20"/>
        </w:rPr>
        <w:t xml:space="preserve">other </w:t>
      </w:r>
      <w:r w:rsidRPr="00B46EF1">
        <w:rPr>
          <w:rFonts w:ascii="Arial" w:hAnsi="Arial" w:cs="Arial"/>
          <w:color w:val="000000"/>
          <w:sz w:val="20"/>
        </w:rPr>
        <w:t xml:space="preserve">suburban locations </w:t>
      </w:r>
      <w:r>
        <w:rPr>
          <w:rFonts w:ascii="Arial" w:hAnsi="Arial" w:cs="Arial"/>
          <w:color w:val="000000"/>
          <w:sz w:val="20"/>
        </w:rPr>
        <w:t xml:space="preserve">(shown in </w:t>
      </w:r>
      <w:r w:rsidRPr="00DD13C2">
        <w:rPr>
          <w:rFonts w:ascii="Arial" w:hAnsi="Arial" w:cs="Arial"/>
          <w:b/>
          <w:bCs/>
          <w:color w:val="0066FF"/>
          <w:sz w:val="20"/>
        </w:rPr>
        <w:t>blue</w:t>
      </w:r>
      <w:r>
        <w:rPr>
          <w:rFonts w:ascii="Arial" w:hAnsi="Arial" w:cs="Arial"/>
          <w:color w:val="000000"/>
          <w:sz w:val="20"/>
        </w:rPr>
        <w:t xml:space="preserve"> </w:t>
      </w:r>
      <w:r w:rsidR="00A678C6">
        <w:rPr>
          <w:rFonts w:ascii="Arial" w:hAnsi="Arial" w:cs="Arial"/>
          <w:color w:val="000000"/>
          <w:sz w:val="20"/>
        </w:rPr>
        <w:t>above</w:t>
      </w:r>
      <w:r>
        <w:rPr>
          <w:rFonts w:ascii="Arial" w:hAnsi="Arial" w:cs="Arial"/>
          <w:color w:val="000000"/>
          <w:sz w:val="20"/>
        </w:rPr>
        <w:t xml:space="preserve">) </w:t>
      </w:r>
      <w:r w:rsidRPr="00B46EF1">
        <w:rPr>
          <w:rFonts w:ascii="Arial" w:hAnsi="Arial" w:cs="Arial"/>
          <w:color w:val="000000"/>
          <w:sz w:val="20"/>
        </w:rPr>
        <w:t>the Court sits only in the Criminal Division and in that part of the Family Division relating to intervention orders.</w:t>
      </w:r>
    </w:p>
    <w:p w14:paraId="29993F0B" w14:textId="77777777" w:rsidR="00217D88" w:rsidRDefault="00217D88" w:rsidP="00217D88">
      <w:pPr>
        <w:jc w:val="both"/>
        <w:rPr>
          <w:rFonts w:ascii="Arial" w:hAnsi="Arial" w:cs="Arial"/>
          <w:color w:val="000000"/>
          <w:sz w:val="20"/>
        </w:rPr>
      </w:pPr>
    </w:p>
    <w:p w14:paraId="77144BC1" w14:textId="5037ACC5" w:rsidR="00217D88" w:rsidRPr="00B46EF1" w:rsidRDefault="00217D88" w:rsidP="00217D88">
      <w:pPr>
        <w:jc w:val="both"/>
        <w:rPr>
          <w:rFonts w:ascii="Arial" w:hAnsi="Arial" w:cs="Arial"/>
          <w:color w:val="000000"/>
          <w:sz w:val="20"/>
        </w:rPr>
      </w:pPr>
      <w:r>
        <w:rPr>
          <w:rFonts w:ascii="Arial" w:hAnsi="Arial" w:cs="Arial"/>
          <w:color w:val="000000"/>
          <w:sz w:val="20"/>
        </w:rPr>
        <w:t>Family Division Child Protection [CP] cases originating from DFFH</w:t>
      </w:r>
      <w:r w:rsidRPr="00B46EF1">
        <w:rPr>
          <w:rFonts w:ascii="Arial" w:hAnsi="Arial" w:cs="Arial"/>
          <w:color w:val="000000"/>
          <w:sz w:val="20"/>
        </w:rPr>
        <w:t>’</w:t>
      </w:r>
      <w:r>
        <w:rPr>
          <w:rFonts w:ascii="Arial" w:hAnsi="Arial" w:cs="Arial"/>
          <w:color w:val="000000"/>
          <w:sz w:val="20"/>
        </w:rPr>
        <w:t>s</w:t>
      </w:r>
      <w:r w:rsidRPr="00B46EF1">
        <w:rPr>
          <w:rFonts w:ascii="Arial" w:hAnsi="Arial" w:cs="Arial"/>
          <w:color w:val="000000"/>
          <w:sz w:val="20"/>
        </w:rPr>
        <w:t xml:space="preserve"> </w:t>
      </w:r>
      <w:r>
        <w:rPr>
          <w:rFonts w:ascii="Arial" w:hAnsi="Arial" w:cs="Arial"/>
          <w:color w:val="000000"/>
          <w:sz w:val="20"/>
        </w:rPr>
        <w:t>Frankston &amp; Cheltenham</w:t>
      </w:r>
      <w:r w:rsidRPr="00B46EF1">
        <w:rPr>
          <w:rFonts w:ascii="Arial" w:hAnsi="Arial" w:cs="Arial"/>
          <w:color w:val="000000"/>
          <w:sz w:val="20"/>
        </w:rPr>
        <w:t xml:space="preserve"> offices</w:t>
      </w:r>
      <w:r>
        <w:rPr>
          <w:rFonts w:ascii="Arial" w:hAnsi="Arial" w:cs="Arial"/>
          <w:color w:val="000000"/>
          <w:sz w:val="20"/>
        </w:rPr>
        <w:t xml:space="preserve"> are generally heard at </w:t>
      </w:r>
      <w:r w:rsidRPr="00FD0B3E">
        <w:rPr>
          <w:rFonts w:ascii="Arial" w:hAnsi="Arial" w:cs="Arial"/>
          <w:color w:val="000000" w:themeColor="text1"/>
          <w:sz w:val="20"/>
        </w:rPr>
        <w:t xml:space="preserve">Moorabbin JC.  </w:t>
      </w:r>
      <w:r>
        <w:rPr>
          <w:rFonts w:ascii="Arial" w:hAnsi="Arial" w:cs="Arial"/>
          <w:color w:val="000000" w:themeColor="text1"/>
          <w:sz w:val="20"/>
        </w:rPr>
        <w:t>CP</w:t>
      </w:r>
      <w:r>
        <w:rPr>
          <w:rFonts w:ascii="Arial" w:hAnsi="Arial" w:cs="Arial"/>
          <w:color w:val="000000"/>
          <w:sz w:val="20"/>
        </w:rPr>
        <w:t xml:space="preserve"> cases originating from DFFH’s Dandenong office are generally heard at </w:t>
      </w:r>
      <w:r w:rsidRPr="00FD0B3E">
        <w:rPr>
          <w:rFonts w:ascii="Arial" w:hAnsi="Arial" w:cs="Arial"/>
          <w:color w:val="000000" w:themeColor="text1"/>
          <w:sz w:val="20"/>
        </w:rPr>
        <w:t>Dandenong CC</w:t>
      </w:r>
      <w:r>
        <w:rPr>
          <w:rFonts w:ascii="Arial" w:hAnsi="Arial" w:cs="Arial"/>
          <w:color w:val="000000"/>
          <w:sz w:val="20"/>
        </w:rPr>
        <w:t xml:space="preserve">.  Except for final contests listed for more than 5 days CP cases originating from DFFH’s Preston office are generally heard at </w:t>
      </w:r>
      <w:r w:rsidRPr="00FD0B3E">
        <w:rPr>
          <w:rFonts w:ascii="Arial" w:hAnsi="Arial" w:cs="Arial"/>
          <w:color w:val="000000" w:themeColor="text1"/>
          <w:sz w:val="20"/>
        </w:rPr>
        <w:t xml:space="preserve">Broadmeadows.  All other </w:t>
      </w:r>
      <w:r>
        <w:rPr>
          <w:rFonts w:ascii="Arial" w:hAnsi="Arial" w:cs="Arial"/>
          <w:color w:val="000000"/>
          <w:sz w:val="20"/>
        </w:rPr>
        <w:t>CP</w:t>
      </w:r>
      <w:r w:rsidRPr="00B46EF1">
        <w:rPr>
          <w:rFonts w:ascii="Arial" w:hAnsi="Arial" w:cs="Arial"/>
          <w:color w:val="000000"/>
          <w:sz w:val="20"/>
        </w:rPr>
        <w:t xml:space="preserve"> cases </w:t>
      </w:r>
      <w:r>
        <w:rPr>
          <w:rFonts w:ascii="Arial" w:hAnsi="Arial" w:cs="Arial"/>
          <w:color w:val="000000"/>
          <w:sz w:val="20"/>
        </w:rPr>
        <w:t>originat</w:t>
      </w:r>
      <w:r w:rsidRPr="00B46EF1">
        <w:rPr>
          <w:rFonts w:ascii="Arial" w:hAnsi="Arial" w:cs="Arial"/>
          <w:color w:val="000000"/>
          <w:sz w:val="20"/>
        </w:rPr>
        <w:t xml:space="preserve">ing in the extended metropolitan area are </w:t>
      </w:r>
      <w:r>
        <w:rPr>
          <w:rFonts w:ascii="Arial" w:hAnsi="Arial" w:cs="Arial"/>
          <w:color w:val="000000"/>
          <w:sz w:val="20"/>
        </w:rPr>
        <w:t xml:space="preserve">generally </w:t>
      </w:r>
      <w:r w:rsidRPr="00B46EF1">
        <w:rPr>
          <w:rFonts w:ascii="Arial" w:hAnsi="Arial" w:cs="Arial"/>
          <w:color w:val="000000"/>
          <w:sz w:val="20"/>
        </w:rPr>
        <w:t xml:space="preserve">heard at </w:t>
      </w:r>
      <w:r w:rsidRPr="00FD0B3E">
        <w:rPr>
          <w:rFonts w:ascii="Arial" w:hAnsi="Arial" w:cs="Arial"/>
          <w:color w:val="000000" w:themeColor="text1"/>
          <w:sz w:val="20"/>
        </w:rPr>
        <w:t>Melbourne Children's Court.</w:t>
      </w:r>
    </w:p>
    <w:p w14:paraId="20C0BEBA" w14:textId="77777777" w:rsidR="00217D88" w:rsidRDefault="00217D88" w:rsidP="00794632">
      <w:pPr>
        <w:jc w:val="both"/>
        <w:rPr>
          <w:rFonts w:ascii="Arial" w:hAnsi="Arial" w:cs="Arial"/>
          <w:sz w:val="20"/>
        </w:rPr>
      </w:pPr>
    </w:p>
    <w:p w14:paraId="7061D85B" w14:textId="571EC855" w:rsidR="001A18AD" w:rsidRDefault="009B2A46" w:rsidP="00794632">
      <w:pPr>
        <w:jc w:val="both"/>
        <w:rPr>
          <w:rFonts w:ascii="Arial" w:hAnsi="Arial" w:cs="Arial"/>
          <w:sz w:val="20"/>
        </w:rPr>
      </w:pPr>
      <w:r>
        <w:rPr>
          <w:rFonts w:ascii="Arial" w:hAnsi="Arial" w:cs="Arial"/>
          <w:sz w:val="20"/>
        </w:rPr>
        <w:t>T</w:t>
      </w:r>
      <w:r w:rsidR="00493C76">
        <w:rPr>
          <w:rFonts w:ascii="Arial" w:hAnsi="Arial" w:cs="Arial"/>
          <w:sz w:val="20"/>
        </w:rPr>
        <w:t xml:space="preserve">he </w:t>
      </w:r>
      <w:r w:rsidR="00794632">
        <w:rPr>
          <w:rFonts w:ascii="Arial" w:hAnsi="Arial" w:cs="Arial"/>
          <w:sz w:val="20"/>
        </w:rPr>
        <w:t>suburban c</w:t>
      </w:r>
      <w:r w:rsidR="00493C76">
        <w:rPr>
          <w:rFonts w:ascii="Arial" w:hAnsi="Arial" w:cs="Arial"/>
          <w:sz w:val="20"/>
        </w:rPr>
        <w:t>ourts listed in</w:t>
      </w:r>
      <w:r w:rsidR="00794632">
        <w:rPr>
          <w:rFonts w:ascii="Arial" w:hAnsi="Arial" w:cs="Arial"/>
          <w:sz w:val="20"/>
        </w:rPr>
        <w:t xml:space="preserve"> </w:t>
      </w:r>
      <w:r w:rsidR="00794632" w:rsidRPr="00794632">
        <w:rPr>
          <w:rFonts w:ascii="Arial" w:hAnsi="Arial" w:cs="Arial"/>
          <w:b/>
          <w:bCs/>
          <w:color w:val="0066FF"/>
          <w:sz w:val="20"/>
        </w:rPr>
        <w:t>blue</w:t>
      </w:r>
      <w:r w:rsidR="00794632">
        <w:rPr>
          <w:rFonts w:ascii="Arial" w:hAnsi="Arial" w:cs="Arial"/>
          <w:color w:val="000000"/>
          <w:sz w:val="20"/>
        </w:rPr>
        <w:t xml:space="preserve"> </w:t>
      </w:r>
      <w:r w:rsidR="00493C76">
        <w:rPr>
          <w:rFonts w:ascii="Arial" w:hAnsi="Arial" w:cs="Arial"/>
          <w:sz w:val="20"/>
        </w:rPr>
        <w:t xml:space="preserve">above will </w:t>
      </w:r>
      <w:r w:rsidR="00FB31A3">
        <w:rPr>
          <w:rFonts w:ascii="Arial" w:hAnsi="Arial" w:cs="Arial"/>
          <w:sz w:val="20"/>
        </w:rPr>
        <w:t xml:space="preserve">generally </w:t>
      </w:r>
      <w:r w:rsidR="00493C76">
        <w:rPr>
          <w:rFonts w:ascii="Arial" w:hAnsi="Arial" w:cs="Arial"/>
          <w:sz w:val="20"/>
        </w:rPr>
        <w:t>no longer sit as</w:t>
      </w:r>
      <w:r w:rsidR="00794632">
        <w:rPr>
          <w:rFonts w:ascii="Arial" w:hAnsi="Arial" w:cs="Arial"/>
          <w:sz w:val="20"/>
        </w:rPr>
        <w:t xml:space="preserve"> Children’s Courts</w:t>
      </w:r>
      <w:r>
        <w:rPr>
          <w:rFonts w:ascii="Arial" w:hAnsi="Arial" w:cs="Arial"/>
          <w:sz w:val="20"/>
        </w:rPr>
        <w:t xml:space="preserve"> after 20/12/2024</w:t>
      </w:r>
      <w:r w:rsidR="00794632">
        <w:rPr>
          <w:rFonts w:ascii="Arial" w:hAnsi="Arial" w:cs="Arial"/>
          <w:sz w:val="20"/>
        </w:rPr>
        <w:t xml:space="preserve">.  </w:t>
      </w:r>
      <w:r w:rsidR="006A0B0E">
        <w:rPr>
          <w:rFonts w:ascii="Arial" w:hAnsi="Arial" w:cs="Arial"/>
          <w:sz w:val="20"/>
        </w:rPr>
        <w:t xml:space="preserve">Subject to the transitional arrangements </w:t>
      </w:r>
      <w:r w:rsidR="006A0B0E">
        <w:rPr>
          <w:rFonts w:ascii="Arial" w:hAnsi="Arial" w:cs="Arial"/>
          <w:sz w:val="20"/>
        </w:rPr>
        <w:t>detailed in Practice Direction No.2 of 2024 [</w:t>
      </w:r>
      <w:r w:rsidR="000A0549">
        <w:rPr>
          <w:rFonts w:ascii="Arial" w:hAnsi="Arial" w:cs="Arial"/>
          <w:sz w:val="20"/>
        </w:rPr>
        <w:t>discussed</w:t>
      </w:r>
      <w:r w:rsidR="006A0B0E">
        <w:rPr>
          <w:rFonts w:ascii="Arial" w:hAnsi="Arial" w:cs="Arial"/>
          <w:sz w:val="20"/>
        </w:rPr>
        <w:t xml:space="preserve"> in </w:t>
      </w:r>
      <w:r w:rsidR="006A0B0E" w:rsidRPr="0035516B">
        <w:rPr>
          <w:rFonts w:ascii="Arial" w:hAnsi="Arial" w:cs="Arial"/>
          <w:b/>
          <w:bCs/>
          <w:sz w:val="20"/>
          <w:shd w:val="clear" w:color="auto" w:fill="C5E0B3"/>
        </w:rPr>
        <w:t>section</w:t>
      </w:r>
      <w:r w:rsidR="006A0B0E">
        <w:rPr>
          <w:rFonts w:ascii="Arial" w:hAnsi="Arial" w:cs="Arial"/>
          <w:b/>
          <w:bCs/>
          <w:sz w:val="20"/>
          <w:shd w:val="clear" w:color="auto" w:fill="C5E0B3"/>
        </w:rPr>
        <w:t xml:space="preserve"> </w:t>
      </w:r>
      <w:r w:rsidR="006A0B0E" w:rsidRPr="0035516B">
        <w:rPr>
          <w:rFonts w:ascii="Arial" w:hAnsi="Arial" w:cs="Arial"/>
          <w:b/>
          <w:bCs/>
          <w:sz w:val="20"/>
          <w:shd w:val="clear" w:color="auto" w:fill="C5E0B3"/>
        </w:rPr>
        <w:t>1.</w:t>
      </w:r>
      <w:r w:rsidR="006A0B0E">
        <w:rPr>
          <w:rFonts w:ascii="Arial" w:hAnsi="Arial" w:cs="Arial"/>
          <w:b/>
          <w:bCs/>
          <w:sz w:val="20"/>
          <w:shd w:val="clear" w:color="auto" w:fill="C5E0B3"/>
        </w:rPr>
        <w:t>4</w:t>
      </w:r>
      <w:r w:rsidR="006A0B0E" w:rsidRPr="0035516B">
        <w:rPr>
          <w:rFonts w:ascii="Arial" w:hAnsi="Arial" w:cs="Arial"/>
          <w:b/>
          <w:bCs/>
          <w:sz w:val="20"/>
          <w:shd w:val="clear" w:color="auto" w:fill="C5E0B3"/>
        </w:rPr>
        <w:t>.</w:t>
      </w:r>
      <w:r w:rsidR="006A0B0E">
        <w:rPr>
          <w:rFonts w:ascii="Arial" w:hAnsi="Arial" w:cs="Arial"/>
          <w:b/>
          <w:bCs/>
          <w:sz w:val="20"/>
          <w:shd w:val="clear" w:color="auto" w:fill="C5E0B3"/>
        </w:rPr>
        <w:t>1</w:t>
      </w:r>
      <w:r w:rsidR="006A0B0E">
        <w:rPr>
          <w:rFonts w:ascii="Arial" w:hAnsi="Arial" w:cs="Arial"/>
          <w:sz w:val="20"/>
        </w:rPr>
        <w:t>]</w:t>
      </w:r>
      <w:r w:rsidR="006A0B0E">
        <w:rPr>
          <w:rFonts w:ascii="Arial" w:hAnsi="Arial" w:cs="Arial"/>
          <w:sz w:val="20"/>
        </w:rPr>
        <w:t>, c</w:t>
      </w:r>
      <w:r w:rsidR="001B0902">
        <w:rPr>
          <w:rFonts w:ascii="Arial" w:hAnsi="Arial" w:cs="Arial"/>
          <w:sz w:val="20"/>
        </w:rPr>
        <w:t xml:space="preserve">riminal </w:t>
      </w:r>
      <w:r w:rsidR="000A0549">
        <w:rPr>
          <w:rFonts w:ascii="Arial" w:hAnsi="Arial" w:cs="Arial"/>
          <w:sz w:val="20"/>
        </w:rPr>
        <w:t xml:space="preserve">cases </w:t>
      </w:r>
      <w:r w:rsidR="001B0902">
        <w:rPr>
          <w:rFonts w:ascii="Arial" w:hAnsi="Arial" w:cs="Arial"/>
          <w:sz w:val="20"/>
        </w:rPr>
        <w:t xml:space="preserve">and intervention order [IVO] cases </w:t>
      </w:r>
      <w:r w:rsidR="00C90BBC">
        <w:rPr>
          <w:rFonts w:ascii="Arial" w:hAnsi="Arial" w:cs="Arial"/>
          <w:sz w:val="20"/>
        </w:rPr>
        <w:t xml:space="preserve">involving a child respondent </w:t>
      </w:r>
      <w:r w:rsidR="00794632">
        <w:rPr>
          <w:rFonts w:ascii="Arial" w:hAnsi="Arial" w:cs="Arial"/>
          <w:sz w:val="20"/>
        </w:rPr>
        <w:t xml:space="preserve">which </w:t>
      </w:r>
      <w:r w:rsidR="006A0B0E">
        <w:rPr>
          <w:rFonts w:ascii="Arial" w:hAnsi="Arial" w:cs="Arial"/>
          <w:sz w:val="20"/>
        </w:rPr>
        <w:t>would</w:t>
      </w:r>
      <w:r w:rsidR="00794632">
        <w:rPr>
          <w:rFonts w:ascii="Arial" w:hAnsi="Arial" w:cs="Arial"/>
          <w:sz w:val="20"/>
        </w:rPr>
        <w:t xml:space="preserve"> previously </w:t>
      </w:r>
      <w:r w:rsidR="006A0B0E">
        <w:rPr>
          <w:rFonts w:ascii="Arial" w:hAnsi="Arial" w:cs="Arial"/>
          <w:sz w:val="20"/>
        </w:rPr>
        <w:t xml:space="preserve">have been </w:t>
      </w:r>
      <w:r>
        <w:rPr>
          <w:rFonts w:ascii="Arial" w:hAnsi="Arial" w:cs="Arial"/>
          <w:sz w:val="20"/>
        </w:rPr>
        <w:t>hear</w:t>
      </w:r>
      <w:r w:rsidR="006A0B0E">
        <w:rPr>
          <w:rFonts w:ascii="Arial" w:hAnsi="Arial" w:cs="Arial"/>
          <w:sz w:val="20"/>
        </w:rPr>
        <w:t>d</w:t>
      </w:r>
      <w:r w:rsidR="00794632">
        <w:rPr>
          <w:rFonts w:ascii="Arial" w:hAnsi="Arial" w:cs="Arial"/>
          <w:sz w:val="20"/>
        </w:rPr>
        <w:t xml:space="preserve"> at the locations in</w:t>
      </w:r>
      <w:r w:rsidR="00794632">
        <w:rPr>
          <w:rFonts w:ascii="Arial" w:hAnsi="Arial" w:cs="Arial"/>
          <w:color w:val="000000"/>
          <w:sz w:val="20"/>
        </w:rPr>
        <w:t xml:space="preserve"> </w:t>
      </w:r>
      <w:r w:rsidR="00794632" w:rsidRPr="00794632">
        <w:rPr>
          <w:rFonts w:ascii="Arial" w:hAnsi="Arial" w:cs="Arial"/>
          <w:b/>
          <w:bCs/>
          <w:color w:val="0066FF"/>
          <w:sz w:val="20"/>
        </w:rPr>
        <w:t>blue</w:t>
      </w:r>
      <w:r w:rsidR="00794632">
        <w:rPr>
          <w:rFonts w:ascii="Arial" w:hAnsi="Arial" w:cs="Arial"/>
          <w:color w:val="000000"/>
          <w:sz w:val="20"/>
        </w:rPr>
        <w:t xml:space="preserve"> </w:t>
      </w:r>
      <w:r w:rsidR="00794632">
        <w:rPr>
          <w:rFonts w:ascii="Arial" w:hAnsi="Arial" w:cs="Arial"/>
          <w:sz w:val="20"/>
        </w:rPr>
        <w:t xml:space="preserve">will be </w:t>
      </w:r>
      <w:r>
        <w:rPr>
          <w:rFonts w:ascii="Arial" w:hAnsi="Arial" w:cs="Arial"/>
          <w:sz w:val="20"/>
        </w:rPr>
        <w:t>hear</w:t>
      </w:r>
      <w:r w:rsidR="001B0902">
        <w:rPr>
          <w:rFonts w:ascii="Arial" w:hAnsi="Arial" w:cs="Arial"/>
          <w:sz w:val="20"/>
        </w:rPr>
        <w:t>d</w:t>
      </w:r>
      <w:r w:rsidR="00794632">
        <w:rPr>
          <w:rFonts w:ascii="Arial" w:hAnsi="Arial" w:cs="Arial"/>
          <w:sz w:val="20"/>
        </w:rPr>
        <w:t xml:space="preserve"> at either </w:t>
      </w:r>
      <w:r w:rsidR="00794632" w:rsidRPr="00A20ED1">
        <w:rPr>
          <w:rFonts w:ascii="Arial" w:hAnsi="Arial" w:cs="Arial"/>
          <w:b/>
          <w:bCs/>
          <w:color w:val="FF0000"/>
          <w:sz w:val="20"/>
        </w:rPr>
        <w:t>Melbourne</w:t>
      </w:r>
      <w:r w:rsidR="001A18AD" w:rsidRPr="00A20ED1">
        <w:rPr>
          <w:rFonts w:ascii="Arial" w:hAnsi="Arial" w:cs="Arial"/>
          <w:b/>
          <w:bCs/>
          <w:color w:val="FF0000"/>
          <w:sz w:val="20"/>
        </w:rPr>
        <w:t xml:space="preserve"> CC</w:t>
      </w:r>
      <w:r w:rsidR="00794632">
        <w:rPr>
          <w:rFonts w:ascii="Arial" w:hAnsi="Arial" w:cs="Arial"/>
          <w:sz w:val="20"/>
        </w:rPr>
        <w:t xml:space="preserve">, </w:t>
      </w:r>
      <w:r w:rsidR="00794632" w:rsidRPr="00A20ED1">
        <w:rPr>
          <w:rFonts w:ascii="Arial" w:hAnsi="Arial" w:cs="Arial"/>
          <w:b/>
          <w:bCs/>
          <w:color w:val="FF0000"/>
          <w:sz w:val="20"/>
        </w:rPr>
        <w:t>Broadmeadows</w:t>
      </w:r>
      <w:r w:rsidR="00794632">
        <w:rPr>
          <w:rFonts w:ascii="Arial" w:hAnsi="Arial" w:cs="Arial"/>
          <w:sz w:val="20"/>
        </w:rPr>
        <w:t xml:space="preserve">, </w:t>
      </w:r>
      <w:r w:rsidR="00794632" w:rsidRPr="00A20ED1">
        <w:rPr>
          <w:rFonts w:ascii="Arial" w:hAnsi="Arial" w:cs="Arial"/>
          <w:b/>
          <w:bCs/>
          <w:color w:val="FF0000"/>
          <w:sz w:val="20"/>
        </w:rPr>
        <w:t>Dandenong</w:t>
      </w:r>
      <w:r w:rsidR="001A18AD" w:rsidRPr="00A20ED1">
        <w:rPr>
          <w:rFonts w:ascii="Arial" w:hAnsi="Arial" w:cs="Arial"/>
          <w:b/>
          <w:bCs/>
          <w:color w:val="FF0000"/>
          <w:sz w:val="20"/>
        </w:rPr>
        <w:t xml:space="preserve"> CC</w:t>
      </w:r>
      <w:r w:rsidR="00794632">
        <w:rPr>
          <w:rFonts w:ascii="Arial" w:hAnsi="Arial" w:cs="Arial"/>
          <w:sz w:val="20"/>
        </w:rPr>
        <w:t xml:space="preserve"> or </w:t>
      </w:r>
      <w:r w:rsidR="00794632" w:rsidRPr="00A20ED1">
        <w:rPr>
          <w:rFonts w:ascii="Arial" w:hAnsi="Arial" w:cs="Arial"/>
          <w:b/>
          <w:bCs/>
          <w:color w:val="FF0000"/>
          <w:sz w:val="20"/>
        </w:rPr>
        <w:t>Moorabbin JC</w:t>
      </w:r>
      <w:r w:rsidR="00794632">
        <w:rPr>
          <w:rFonts w:ascii="Arial" w:hAnsi="Arial" w:cs="Arial"/>
          <w:sz w:val="20"/>
        </w:rPr>
        <w:t xml:space="preserve"> depending on the </w:t>
      </w:r>
      <w:r w:rsidR="001A18AD">
        <w:rPr>
          <w:rFonts w:ascii="Arial" w:hAnsi="Arial" w:cs="Arial"/>
          <w:sz w:val="20"/>
        </w:rPr>
        <w:t xml:space="preserve">type of case and </w:t>
      </w:r>
      <w:r w:rsidR="0056718A">
        <w:rPr>
          <w:rFonts w:ascii="Arial" w:hAnsi="Arial" w:cs="Arial"/>
          <w:sz w:val="20"/>
        </w:rPr>
        <w:t xml:space="preserve">the </w:t>
      </w:r>
      <w:r w:rsidR="00E35AAD">
        <w:rPr>
          <w:rFonts w:ascii="Arial" w:hAnsi="Arial" w:cs="Arial"/>
          <w:sz w:val="20"/>
        </w:rPr>
        <w:t>catchment area in which the child currently resides</w:t>
      </w:r>
      <w:r w:rsidR="0056718A">
        <w:rPr>
          <w:rFonts w:ascii="Arial" w:hAnsi="Arial" w:cs="Arial"/>
          <w:sz w:val="20"/>
        </w:rPr>
        <w:t xml:space="preserve">.  See </w:t>
      </w:r>
      <w:r w:rsidR="00A642DC">
        <w:rPr>
          <w:rFonts w:ascii="Arial" w:hAnsi="Arial" w:cs="Arial"/>
          <w:sz w:val="20"/>
        </w:rPr>
        <w:t xml:space="preserve">the following </w:t>
      </w:r>
      <w:r w:rsidR="00BE4AFA">
        <w:rPr>
          <w:rFonts w:ascii="Arial" w:hAnsi="Arial" w:cs="Arial"/>
          <w:sz w:val="20"/>
        </w:rPr>
        <w:t xml:space="preserve">map and </w:t>
      </w:r>
      <w:r w:rsidR="0056718A">
        <w:rPr>
          <w:rFonts w:ascii="Arial" w:hAnsi="Arial" w:cs="Arial"/>
          <w:sz w:val="20"/>
        </w:rPr>
        <w:t>chart</w:t>
      </w:r>
      <w:r w:rsidR="00FB31A3">
        <w:rPr>
          <w:rFonts w:ascii="Arial" w:hAnsi="Arial" w:cs="Arial"/>
          <w:sz w:val="20"/>
        </w:rPr>
        <w:t>.</w:t>
      </w:r>
    </w:p>
    <w:p w14:paraId="097A2881" w14:textId="77777777" w:rsidR="001A18AD" w:rsidRPr="00A20ED1" w:rsidRDefault="001A18AD" w:rsidP="00794632">
      <w:pPr>
        <w:jc w:val="both"/>
        <w:rPr>
          <w:rFonts w:ascii="Arial" w:hAnsi="Arial" w:cs="Arial"/>
          <w:sz w:val="18"/>
          <w:szCs w:val="22"/>
        </w:rPr>
      </w:pPr>
    </w:p>
    <w:p w14:paraId="634F0F35" w14:textId="14C61F42" w:rsidR="006D439A" w:rsidRPr="00321476" w:rsidRDefault="001A25AD" w:rsidP="008838B4">
      <w:pPr>
        <w:pStyle w:val="Heading2"/>
        <w:shd w:val="clear" w:color="auto" w:fill="DDDDDD"/>
        <w:tabs>
          <w:tab w:val="left" w:pos="567"/>
        </w:tabs>
        <w:ind w:left="28" w:right="-125"/>
        <w:rPr>
          <w:rFonts w:ascii="Arial" w:hAnsi="Arial" w:cs="Arial"/>
          <w:color w:val="DDDDDD"/>
          <w:sz w:val="20"/>
          <w:szCs w:val="16"/>
          <w:lang w:val="en-AU"/>
        </w:rPr>
      </w:pPr>
      <w:r w:rsidRPr="00321476">
        <w:rPr>
          <w:rFonts w:ascii="Arial" w:hAnsi="Arial" w:cs="Arial"/>
          <w:color w:val="DDDDDD"/>
          <w:sz w:val="20"/>
          <w:szCs w:val="16"/>
          <w:lang w:val="en-AU"/>
        </w:rPr>
        <w:lastRenderedPageBreak/>
        <w:t xml:space="preserve">                       </w:t>
      </w:r>
      <w:r w:rsidR="006D439A" w:rsidRPr="006D439A">
        <w:rPr>
          <w:rFonts w:ascii="Arial" w:hAnsi="Arial" w:cs="Arial"/>
          <w:noProof/>
          <w:sz w:val="20"/>
          <w:szCs w:val="16"/>
          <w:bdr w:val="single" w:sz="4" w:space="0" w:color="auto"/>
          <w:lang w:val="en-AU"/>
        </w:rPr>
        <w:drawing>
          <wp:inline distT="0" distB="0" distL="0" distR="0" wp14:anchorId="6B0748BB" wp14:editId="03487116">
            <wp:extent cx="4046400" cy="2933559"/>
            <wp:effectExtent l="0" t="0" r="0" b="635"/>
            <wp:docPr id="2088409562" name="Picture 2" descr="A map of different colored region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8409562" name="Picture 2" descr="A map of different colored regions&#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607" r="2415"/>
                    <a:stretch/>
                  </pic:blipFill>
                  <pic:spPr bwMode="auto">
                    <a:xfrm>
                      <a:off x="0" y="0"/>
                      <a:ext cx="4046400" cy="2933559"/>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2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6"/>
        <w:gridCol w:w="2982"/>
        <w:gridCol w:w="1706"/>
        <w:gridCol w:w="1706"/>
        <w:gridCol w:w="1531"/>
      </w:tblGrid>
      <w:tr w:rsidR="000A0549" w:rsidRPr="007A48FF" w14:paraId="511F688F" w14:textId="77777777" w:rsidTr="00E35AAD">
        <w:trPr>
          <w:trHeight w:val="246"/>
        </w:trPr>
        <w:tc>
          <w:tcPr>
            <w:tcW w:w="1296" w:type="dxa"/>
            <w:tcBorders>
              <w:right w:val="single" w:sz="8" w:space="0" w:color="FFFFFF" w:themeColor="background1"/>
            </w:tcBorders>
            <w:shd w:val="clear" w:color="auto" w:fill="003865"/>
          </w:tcPr>
          <w:p w14:paraId="52EA6659" w14:textId="73210BD6" w:rsidR="000A0549" w:rsidRDefault="00E35AAD" w:rsidP="00457798">
            <w:pPr>
              <w:jc w:val="center"/>
              <w:rPr>
                <w:rFonts w:ascii="Arial" w:hAnsi="Arial"/>
                <w:b/>
                <w:bCs/>
                <w:sz w:val="20"/>
              </w:rPr>
            </w:pPr>
            <w:r>
              <w:rPr>
                <w:rFonts w:ascii="Arial" w:hAnsi="Arial"/>
                <w:b/>
                <w:bCs/>
                <w:sz w:val="20"/>
              </w:rPr>
              <w:t>Catchment area</w:t>
            </w:r>
          </w:p>
        </w:tc>
        <w:tc>
          <w:tcPr>
            <w:tcW w:w="2982" w:type="dxa"/>
            <w:tcBorders>
              <w:left w:val="single" w:sz="8" w:space="0" w:color="FFFFFF" w:themeColor="background1"/>
              <w:right w:val="single" w:sz="8" w:space="0" w:color="FFFFFF" w:themeColor="background1"/>
            </w:tcBorders>
            <w:shd w:val="clear" w:color="auto" w:fill="003865"/>
          </w:tcPr>
          <w:p w14:paraId="05653AA7" w14:textId="315B2F69" w:rsidR="000A0549" w:rsidRDefault="000A0549" w:rsidP="000274EC">
            <w:pPr>
              <w:jc w:val="center"/>
              <w:rPr>
                <w:rFonts w:ascii="Arial" w:hAnsi="Arial"/>
                <w:b/>
                <w:bCs/>
                <w:sz w:val="20"/>
              </w:rPr>
            </w:pPr>
            <w:r>
              <w:rPr>
                <w:rFonts w:ascii="Arial" w:hAnsi="Arial"/>
                <w:b/>
                <w:bCs/>
                <w:sz w:val="20"/>
              </w:rPr>
              <w:t xml:space="preserve">Child’s </w:t>
            </w:r>
            <w:r w:rsidR="00E35AAD">
              <w:rPr>
                <w:rFonts w:ascii="Arial" w:hAnsi="Arial"/>
                <w:b/>
                <w:bCs/>
                <w:sz w:val="20"/>
              </w:rPr>
              <w:t xml:space="preserve">current </w:t>
            </w:r>
            <w:r>
              <w:rPr>
                <w:rFonts w:ascii="Arial" w:hAnsi="Arial"/>
                <w:b/>
                <w:bCs/>
                <w:sz w:val="20"/>
              </w:rPr>
              <w:t>residence postcodes</w:t>
            </w:r>
          </w:p>
        </w:tc>
        <w:tc>
          <w:tcPr>
            <w:tcW w:w="1706" w:type="dxa"/>
            <w:tcBorders>
              <w:left w:val="single" w:sz="8" w:space="0" w:color="FFFFFF" w:themeColor="background1"/>
              <w:right w:val="single" w:sz="8" w:space="0" w:color="FFFFFF" w:themeColor="background1"/>
            </w:tcBorders>
            <w:shd w:val="clear" w:color="auto" w:fill="003865"/>
          </w:tcPr>
          <w:p w14:paraId="7F13087D" w14:textId="03935707" w:rsidR="0020729F" w:rsidRDefault="000A0549" w:rsidP="0020729F">
            <w:pPr>
              <w:spacing w:after="20"/>
              <w:jc w:val="center"/>
              <w:rPr>
                <w:rFonts w:ascii="Arial" w:hAnsi="Arial"/>
                <w:b/>
                <w:bCs/>
                <w:sz w:val="20"/>
              </w:rPr>
            </w:pPr>
            <w:r>
              <w:rPr>
                <w:rFonts w:ascii="Arial" w:hAnsi="Arial"/>
                <w:b/>
                <w:bCs/>
                <w:sz w:val="20"/>
              </w:rPr>
              <w:t>Court v</w:t>
            </w:r>
            <w:r w:rsidRPr="007A48FF">
              <w:rPr>
                <w:rFonts w:ascii="Arial" w:hAnsi="Arial"/>
                <w:b/>
                <w:bCs/>
                <w:sz w:val="20"/>
              </w:rPr>
              <w:t>enue</w:t>
            </w:r>
            <w:r>
              <w:rPr>
                <w:rFonts w:ascii="Arial" w:hAnsi="Arial"/>
                <w:b/>
                <w:bCs/>
                <w:sz w:val="20"/>
              </w:rPr>
              <w:t xml:space="preserve"> </w:t>
            </w:r>
            <w:r w:rsidR="001B50ED">
              <w:rPr>
                <w:rFonts w:ascii="Arial" w:hAnsi="Arial"/>
                <w:b/>
                <w:bCs/>
                <w:sz w:val="20"/>
              </w:rPr>
              <w:t>until</w:t>
            </w:r>
            <w:r w:rsidRPr="001B50ED">
              <w:rPr>
                <w:rFonts w:ascii="Arial" w:hAnsi="Arial"/>
                <w:b/>
                <w:bCs/>
                <w:color w:val="003865"/>
                <w:sz w:val="20"/>
              </w:rPr>
              <w:t xml:space="preserve"> </w:t>
            </w:r>
            <w:r w:rsidR="0020729F">
              <w:rPr>
                <w:rFonts w:ascii="Arial" w:hAnsi="Arial"/>
                <w:b/>
                <w:bCs/>
                <w:sz w:val="20"/>
              </w:rPr>
              <w:t xml:space="preserve">5/1/2025 </w:t>
            </w:r>
            <w:r w:rsidR="00B12D7F">
              <w:rPr>
                <w:rFonts w:ascii="Arial" w:hAnsi="Arial"/>
                <w:b/>
                <w:bCs/>
                <w:sz w:val="20"/>
              </w:rPr>
              <w:t xml:space="preserve">but </w:t>
            </w:r>
            <w:r w:rsidR="0020729F">
              <w:rPr>
                <w:rFonts w:ascii="Arial" w:hAnsi="Arial"/>
                <w:b/>
                <w:bCs/>
                <w:sz w:val="20"/>
              </w:rPr>
              <w:t>subject to P.D. No.2/2024</w:t>
            </w:r>
          </w:p>
        </w:tc>
        <w:tc>
          <w:tcPr>
            <w:tcW w:w="1706" w:type="dxa"/>
            <w:tcBorders>
              <w:left w:val="single" w:sz="8" w:space="0" w:color="FFFFFF" w:themeColor="background1"/>
              <w:right w:val="single" w:sz="8" w:space="0" w:color="FFFFFF" w:themeColor="background1"/>
            </w:tcBorders>
            <w:shd w:val="clear" w:color="auto" w:fill="003865"/>
          </w:tcPr>
          <w:p w14:paraId="18399527" w14:textId="28A64783" w:rsidR="000A0549" w:rsidRDefault="000A0549" w:rsidP="000274EC">
            <w:pPr>
              <w:jc w:val="center"/>
              <w:rPr>
                <w:rFonts w:ascii="Arial" w:hAnsi="Arial"/>
                <w:b/>
                <w:bCs/>
                <w:sz w:val="20"/>
              </w:rPr>
            </w:pPr>
            <w:r>
              <w:rPr>
                <w:rFonts w:ascii="Arial" w:hAnsi="Arial"/>
                <w:b/>
                <w:bCs/>
                <w:sz w:val="20"/>
              </w:rPr>
              <w:t xml:space="preserve">Court </w:t>
            </w:r>
            <w:r w:rsidRPr="007A48FF">
              <w:rPr>
                <w:rFonts w:ascii="Arial" w:hAnsi="Arial"/>
                <w:b/>
                <w:bCs/>
                <w:sz w:val="20"/>
              </w:rPr>
              <w:t xml:space="preserve">Venue </w:t>
            </w:r>
            <w:r>
              <w:rPr>
                <w:rFonts w:ascii="Arial" w:hAnsi="Arial"/>
                <w:b/>
                <w:bCs/>
                <w:sz w:val="20"/>
              </w:rPr>
              <w:t xml:space="preserve">from 6/1/2025: </w:t>
            </w:r>
            <w:r w:rsidRPr="007A48FF">
              <w:rPr>
                <w:rFonts w:ascii="Arial" w:hAnsi="Arial"/>
                <w:b/>
                <w:bCs/>
                <w:sz w:val="20"/>
              </w:rPr>
              <w:t>Summons</w:t>
            </w:r>
            <w:r>
              <w:rPr>
                <w:rFonts w:ascii="Arial" w:hAnsi="Arial"/>
                <w:b/>
                <w:bCs/>
                <w:sz w:val="20"/>
              </w:rPr>
              <w:t xml:space="preserve">/ </w:t>
            </w:r>
            <w:r w:rsidRPr="007A48FF">
              <w:rPr>
                <w:rFonts w:ascii="Arial" w:hAnsi="Arial"/>
                <w:b/>
                <w:bCs/>
                <w:sz w:val="20"/>
              </w:rPr>
              <w:t>Bail</w:t>
            </w:r>
            <w:r>
              <w:rPr>
                <w:rFonts w:ascii="Arial" w:hAnsi="Arial"/>
                <w:b/>
                <w:bCs/>
                <w:sz w:val="20"/>
              </w:rPr>
              <w:t> </w:t>
            </w:r>
            <w:r w:rsidRPr="007A48FF">
              <w:rPr>
                <w:rFonts w:ascii="Arial" w:hAnsi="Arial"/>
                <w:b/>
                <w:bCs/>
                <w:sz w:val="20"/>
              </w:rPr>
              <w:t>/</w:t>
            </w:r>
            <w:r>
              <w:rPr>
                <w:rFonts w:ascii="Arial" w:hAnsi="Arial"/>
                <w:b/>
                <w:bCs/>
                <w:sz w:val="20"/>
              </w:rPr>
              <w:t xml:space="preserve"> </w:t>
            </w:r>
            <w:r w:rsidRPr="007A48FF">
              <w:rPr>
                <w:rFonts w:ascii="Arial" w:hAnsi="Arial"/>
                <w:b/>
                <w:bCs/>
                <w:sz w:val="20"/>
              </w:rPr>
              <w:t>IVO</w:t>
            </w:r>
          </w:p>
        </w:tc>
        <w:tc>
          <w:tcPr>
            <w:tcW w:w="1531" w:type="dxa"/>
            <w:tcBorders>
              <w:left w:val="single" w:sz="8" w:space="0" w:color="FFFFFF" w:themeColor="background1"/>
            </w:tcBorders>
            <w:shd w:val="clear" w:color="auto" w:fill="003865"/>
          </w:tcPr>
          <w:p w14:paraId="1787D5BD" w14:textId="1F279D7C" w:rsidR="000A0549" w:rsidRDefault="000A0549" w:rsidP="000274EC">
            <w:pPr>
              <w:jc w:val="center"/>
              <w:rPr>
                <w:rFonts w:ascii="Arial" w:hAnsi="Arial"/>
                <w:b/>
                <w:bCs/>
                <w:sz w:val="20"/>
              </w:rPr>
            </w:pPr>
            <w:r>
              <w:rPr>
                <w:rFonts w:ascii="Arial" w:hAnsi="Arial"/>
                <w:b/>
                <w:bCs/>
                <w:sz w:val="20"/>
              </w:rPr>
              <w:t xml:space="preserve">Court </w:t>
            </w:r>
            <w:r w:rsidRPr="007A48FF">
              <w:rPr>
                <w:rFonts w:ascii="Arial" w:hAnsi="Arial"/>
                <w:b/>
                <w:bCs/>
                <w:sz w:val="20"/>
              </w:rPr>
              <w:t xml:space="preserve">Venue </w:t>
            </w:r>
            <w:r>
              <w:rPr>
                <w:rFonts w:ascii="Arial" w:hAnsi="Arial"/>
                <w:b/>
                <w:bCs/>
                <w:sz w:val="20"/>
              </w:rPr>
              <w:t>from 6/1/2025:</w:t>
            </w:r>
            <w:r w:rsidRPr="007A48FF">
              <w:rPr>
                <w:rFonts w:ascii="Arial" w:hAnsi="Arial"/>
                <w:b/>
                <w:bCs/>
                <w:sz w:val="20"/>
              </w:rPr>
              <w:t xml:space="preserve"> Remands</w:t>
            </w:r>
          </w:p>
        </w:tc>
      </w:tr>
      <w:tr w:rsidR="008838B4" w:rsidRPr="007A48FF" w14:paraId="2566573E" w14:textId="77777777" w:rsidTr="00E35AAD">
        <w:tc>
          <w:tcPr>
            <w:tcW w:w="1296" w:type="dxa"/>
            <w:shd w:val="clear" w:color="auto" w:fill="FFCC99"/>
            <w:hideMark/>
          </w:tcPr>
          <w:p w14:paraId="1DF52F90" w14:textId="77777777" w:rsidR="004F440A" w:rsidRPr="007A48FF" w:rsidRDefault="004F440A" w:rsidP="0056718A">
            <w:pPr>
              <w:jc w:val="center"/>
              <w:rPr>
                <w:rFonts w:ascii="Arial" w:hAnsi="Arial"/>
                <w:b/>
                <w:bCs/>
                <w:sz w:val="20"/>
              </w:rPr>
            </w:pPr>
            <w:r w:rsidRPr="007A48FF">
              <w:rPr>
                <w:rFonts w:ascii="Arial" w:hAnsi="Arial"/>
                <w:b/>
                <w:bCs/>
                <w:sz w:val="20"/>
              </w:rPr>
              <w:t>Central</w:t>
            </w:r>
          </w:p>
        </w:tc>
        <w:tc>
          <w:tcPr>
            <w:tcW w:w="2982" w:type="dxa"/>
          </w:tcPr>
          <w:p w14:paraId="7A59F5D7" w14:textId="0E926DDD" w:rsidR="004F440A" w:rsidRPr="007A48FF" w:rsidRDefault="00457798" w:rsidP="00FD0B3E">
            <w:pPr>
              <w:rPr>
                <w:rFonts w:ascii="Arial" w:hAnsi="Arial"/>
                <w:sz w:val="20"/>
              </w:rPr>
            </w:pPr>
            <w:r>
              <w:rPr>
                <w:rFonts w:ascii="Arial" w:hAnsi="Arial"/>
                <w:sz w:val="20"/>
              </w:rPr>
              <w:t>3000</w:t>
            </w:r>
            <w:r w:rsidR="00925793">
              <w:rPr>
                <w:rFonts w:ascii="Arial" w:hAnsi="Arial"/>
                <w:sz w:val="20"/>
              </w:rPr>
              <w:t>–</w:t>
            </w:r>
            <w:r>
              <w:rPr>
                <w:rFonts w:ascii="Arial" w:hAnsi="Arial"/>
                <w:sz w:val="20"/>
              </w:rPr>
              <w:t>301</w:t>
            </w:r>
            <w:r w:rsidR="0008770D">
              <w:rPr>
                <w:rFonts w:ascii="Arial" w:hAnsi="Arial"/>
                <w:sz w:val="20"/>
              </w:rPr>
              <w:t>1, 3012</w:t>
            </w:r>
            <w:r>
              <w:rPr>
                <w:rFonts w:ascii="Arial" w:hAnsi="Arial"/>
                <w:sz w:val="20"/>
              </w:rPr>
              <w:t xml:space="preserve"> (</w:t>
            </w:r>
            <w:r w:rsidR="00946AA6">
              <w:rPr>
                <w:rFonts w:ascii="Arial" w:hAnsi="Arial"/>
                <w:sz w:val="20"/>
              </w:rPr>
              <w:t xml:space="preserve">except </w:t>
            </w:r>
            <w:proofErr w:type="spellStart"/>
            <w:r w:rsidR="00946AA6">
              <w:rPr>
                <w:rFonts w:ascii="Arial" w:hAnsi="Arial"/>
                <w:sz w:val="20"/>
              </w:rPr>
              <w:t>Maidstone+Tottenham</w:t>
            </w:r>
            <w:proofErr w:type="spellEnd"/>
            <w:r>
              <w:rPr>
                <w:rFonts w:ascii="Arial" w:hAnsi="Arial"/>
                <w:sz w:val="20"/>
              </w:rPr>
              <w:t>), 3013</w:t>
            </w:r>
            <w:r w:rsidR="00925793">
              <w:rPr>
                <w:rFonts w:ascii="Arial" w:hAnsi="Arial"/>
                <w:sz w:val="20"/>
              </w:rPr>
              <w:t>–</w:t>
            </w:r>
            <w:r>
              <w:rPr>
                <w:rFonts w:ascii="Arial" w:hAnsi="Arial"/>
                <w:sz w:val="20"/>
              </w:rPr>
              <w:t>301</w:t>
            </w:r>
            <w:r w:rsidR="00FD0B3E">
              <w:rPr>
                <w:rFonts w:ascii="Arial" w:hAnsi="Arial"/>
                <w:sz w:val="20"/>
              </w:rPr>
              <w:t>8,</w:t>
            </w:r>
            <w:r w:rsidR="0008770D">
              <w:rPr>
                <w:rFonts w:ascii="Arial" w:hAnsi="Arial"/>
                <w:sz w:val="20"/>
              </w:rPr>
              <w:t xml:space="preserve"> </w:t>
            </w:r>
            <w:r w:rsidR="00FD0B3E">
              <w:rPr>
                <w:rFonts w:ascii="Arial" w:hAnsi="Arial"/>
                <w:sz w:val="20"/>
              </w:rPr>
              <w:t>301</w:t>
            </w:r>
            <w:r>
              <w:rPr>
                <w:rFonts w:ascii="Arial" w:hAnsi="Arial"/>
                <w:sz w:val="20"/>
              </w:rPr>
              <w:t>9</w:t>
            </w:r>
            <w:r w:rsidR="00946AA6">
              <w:rPr>
                <w:rFonts w:ascii="Arial" w:hAnsi="Arial"/>
                <w:sz w:val="20"/>
              </w:rPr>
              <w:t xml:space="preserve"> (Braybrook North)</w:t>
            </w:r>
            <w:r>
              <w:rPr>
                <w:rFonts w:ascii="Arial" w:hAnsi="Arial"/>
                <w:sz w:val="20"/>
              </w:rPr>
              <w:t xml:space="preserve">, </w:t>
            </w:r>
            <w:r w:rsidR="00946AA6">
              <w:rPr>
                <w:rFonts w:ascii="Arial" w:hAnsi="Arial"/>
                <w:sz w:val="20"/>
              </w:rPr>
              <w:t>3025, 3028, 3031</w:t>
            </w:r>
            <w:r w:rsidR="0008770D">
              <w:rPr>
                <w:rFonts w:ascii="Arial" w:hAnsi="Arial"/>
                <w:sz w:val="20"/>
              </w:rPr>
              <w:t xml:space="preserve">, </w:t>
            </w:r>
            <w:r w:rsidR="00946AA6">
              <w:rPr>
                <w:rFonts w:ascii="Arial" w:hAnsi="Arial"/>
                <w:sz w:val="20"/>
              </w:rPr>
              <w:t>3032 (</w:t>
            </w:r>
            <w:r w:rsidR="00976104">
              <w:rPr>
                <w:rFonts w:ascii="Arial" w:hAnsi="Arial"/>
                <w:sz w:val="20"/>
              </w:rPr>
              <w:t>except Maribyrnong</w:t>
            </w:r>
            <w:r w:rsidR="00946AA6">
              <w:rPr>
                <w:rFonts w:ascii="Arial" w:hAnsi="Arial"/>
                <w:sz w:val="20"/>
              </w:rPr>
              <w:t xml:space="preserve">), </w:t>
            </w:r>
            <w:r w:rsidR="009867E9">
              <w:rPr>
                <w:rFonts w:ascii="Arial" w:hAnsi="Arial"/>
                <w:sz w:val="20"/>
              </w:rPr>
              <w:t>3050</w:t>
            </w:r>
            <w:r w:rsidR="00925793">
              <w:rPr>
                <w:rFonts w:ascii="Arial" w:hAnsi="Arial"/>
                <w:sz w:val="20"/>
              </w:rPr>
              <w:t>–</w:t>
            </w:r>
            <w:r w:rsidR="009867E9">
              <w:rPr>
                <w:rFonts w:ascii="Arial" w:hAnsi="Arial"/>
                <w:sz w:val="20"/>
              </w:rPr>
              <w:t>3057, 3065</w:t>
            </w:r>
            <w:r w:rsidR="00925793">
              <w:rPr>
                <w:rFonts w:ascii="Arial" w:hAnsi="Arial"/>
                <w:sz w:val="20"/>
              </w:rPr>
              <w:t>–</w:t>
            </w:r>
            <w:r w:rsidR="009867E9">
              <w:rPr>
                <w:rFonts w:ascii="Arial" w:hAnsi="Arial"/>
                <w:sz w:val="20"/>
              </w:rPr>
              <w:t>3071, 3101</w:t>
            </w:r>
            <w:r w:rsidR="00925793">
              <w:rPr>
                <w:rFonts w:ascii="Arial" w:hAnsi="Arial"/>
                <w:sz w:val="20"/>
              </w:rPr>
              <w:t>–</w:t>
            </w:r>
            <w:r w:rsidR="009867E9">
              <w:rPr>
                <w:rFonts w:ascii="Arial" w:hAnsi="Arial"/>
                <w:sz w:val="20"/>
              </w:rPr>
              <w:t xml:space="preserve">3104, </w:t>
            </w:r>
            <w:r w:rsidR="00896FD2">
              <w:rPr>
                <w:rFonts w:ascii="Arial" w:hAnsi="Arial"/>
                <w:sz w:val="20"/>
              </w:rPr>
              <w:t>3121</w:t>
            </w:r>
            <w:r w:rsidR="00925793">
              <w:rPr>
                <w:rFonts w:ascii="Arial" w:hAnsi="Arial"/>
                <w:sz w:val="20"/>
              </w:rPr>
              <w:t>–</w:t>
            </w:r>
            <w:r w:rsidR="00896FD2">
              <w:rPr>
                <w:rFonts w:ascii="Arial" w:hAnsi="Arial"/>
                <w:sz w:val="20"/>
              </w:rPr>
              <w:t>3124, 3126, 3141</w:t>
            </w:r>
            <w:r w:rsidR="00925793">
              <w:rPr>
                <w:rFonts w:ascii="Arial" w:hAnsi="Arial"/>
                <w:sz w:val="20"/>
              </w:rPr>
              <w:t>–</w:t>
            </w:r>
            <w:r w:rsidR="00896FD2">
              <w:rPr>
                <w:rFonts w:ascii="Arial" w:hAnsi="Arial"/>
                <w:sz w:val="20"/>
              </w:rPr>
              <w:t>3142, 3146</w:t>
            </w:r>
            <w:r w:rsidR="00925793">
              <w:rPr>
                <w:rFonts w:ascii="Arial" w:hAnsi="Arial"/>
                <w:sz w:val="20"/>
              </w:rPr>
              <w:t>, 3</w:t>
            </w:r>
            <w:r w:rsidR="00896FD2">
              <w:rPr>
                <w:rFonts w:ascii="Arial" w:hAnsi="Arial"/>
                <w:sz w:val="20"/>
              </w:rPr>
              <w:t xml:space="preserve">147 (Ashburton), </w:t>
            </w:r>
            <w:r w:rsidR="009F20D0">
              <w:rPr>
                <w:rFonts w:ascii="Arial" w:hAnsi="Arial"/>
                <w:sz w:val="20"/>
              </w:rPr>
              <w:t>3181</w:t>
            </w:r>
            <w:r w:rsidR="00925793">
              <w:rPr>
                <w:rFonts w:ascii="Arial" w:hAnsi="Arial"/>
                <w:sz w:val="20"/>
              </w:rPr>
              <w:t>–</w:t>
            </w:r>
            <w:r w:rsidR="009F20D0">
              <w:rPr>
                <w:rFonts w:ascii="Arial" w:hAnsi="Arial"/>
                <w:sz w:val="20"/>
              </w:rPr>
              <w:t xml:space="preserve">3184, </w:t>
            </w:r>
            <w:r w:rsidR="005E2AD4">
              <w:rPr>
                <w:rFonts w:ascii="Arial" w:hAnsi="Arial"/>
                <w:sz w:val="20"/>
              </w:rPr>
              <w:t>3205</w:t>
            </w:r>
            <w:r w:rsidR="00925793">
              <w:rPr>
                <w:rFonts w:ascii="Arial" w:hAnsi="Arial"/>
                <w:sz w:val="20"/>
              </w:rPr>
              <w:t>–</w:t>
            </w:r>
            <w:r w:rsidR="005E2AD4">
              <w:rPr>
                <w:rFonts w:ascii="Arial" w:hAnsi="Arial"/>
                <w:sz w:val="20"/>
              </w:rPr>
              <w:t>3207</w:t>
            </w:r>
          </w:p>
        </w:tc>
        <w:tc>
          <w:tcPr>
            <w:tcW w:w="1706" w:type="dxa"/>
            <w:hideMark/>
          </w:tcPr>
          <w:p w14:paraId="622E62CE" w14:textId="28259E5C" w:rsidR="004F440A" w:rsidRPr="00150904" w:rsidRDefault="004F440A" w:rsidP="00946AA6">
            <w:pPr>
              <w:jc w:val="center"/>
              <w:rPr>
                <w:rFonts w:ascii="Arial" w:hAnsi="Arial"/>
                <w:b/>
                <w:bCs/>
                <w:sz w:val="20"/>
              </w:rPr>
            </w:pPr>
            <w:r w:rsidRPr="00150904">
              <w:rPr>
                <w:rFonts w:ascii="Arial" w:hAnsi="Arial"/>
                <w:b/>
                <w:bCs/>
                <w:sz w:val="20"/>
              </w:rPr>
              <w:t>Melbourne</w:t>
            </w:r>
            <w:r w:rsidR="00946AA6" w:rsidRPr="00150904">
              <w:rPr>
                <w:rFonts w:ascii="Arial" w:hAnsi="Arial"/>
                <w:b/>
                <w:bCs/>
                <w:sz w:val="20"/>
              </w:rPr>
              <w:t xml:space="preserve"> &amp; </w:t>
            </w:r>
            <w:r w:rsidRPr="00150904">
              <w:rPr>
                <w:rFonts w:ascii="Arial" w:hAnsi="Arial"/>
                <w:b/>
                <w:bCs/>
                <w:sz w:val="20"/>
              </w:rPr>
              <w:t>NJC</w:t>
            </w:r>
          </w:p>
        </w:tc>
        <w:tc>
          <w:tcPr>
            <w:tcW w:w="1706" w:type="dxa"/>
            <w:shd w:val="clear" w:color="auto" w:fill="FFCC99"/>
            <w:hideMark/>
          </w:tcPr>
          <w:p w14:paraId="28915B38" w14:textId="77777777" w:rsidR="004F440A" w:rsidRPr="00150904" w:rsidRDefault="004F440A" w:rsidP="000274EC">
            <w:pPr>
              <w:jc w:val="center"/>
              <w:rPr>
                <w:rFonts w:ascii="Arial" w:hAnsi="Arial"/>
                <w:b/>
                <w:bCs/>
                <w:sz w:val="20"/>
              </w:rPr>
            </w:pPr>
            <w:r w:rsidRPr="00150904">
              <w:rPr>
                <w:rFonts w:ascii="Arial" w:hAnsi="Arial"/>
                <w:b/>
                <w:bCs/>
                <w:sz w:val="20"/>
              </w:rPr>
              <w:t>Melbourne</w:t>
            </w:r>
          </w:p>
        </w:tc>
        <w:tc>
          <w:tcPr>
            <w:tcW w:w="1531" w:type="dxa"/>
            <w:shd w:val="clear" w:color="auto" w:fill="FFCC99"/>
            <w:hideMark/>
          </w:tcPr>
          <w:p w14:paraId="6B6539C6" w14:textId="77777777" w:rsidR="004F440A" w:rsidRPr="00150904" w:rsidRDefault="004F440A" w:rsidP="000274EC">
            <w:pPr>
              <w:jc w:val="center"/>
              <w:rPr>
                <w:rFonts w:ascii="Arial" w:hAnsi="Arial"/>
                <w:b/>
                <w:bCs/>
                <w:sz w:val="20"/>
              </w:rPr>
            </w:pPr>
            <w:r w:rsidRPr="00150904">
              <w:rPr>
                <w:rFonts w:ascii="Arial" w:hAnsi="Arial"/>
                <w:b/>
                <w:bCs/>
                <w:sz w:val="20"/>
              </w:rPr>
              <w:t>Melbourne</w:t>
            </w:r>
          </w:p>
        </w:tc>
      </w:tr>
      <w:tr w:rsidR="008838B4" w:rsidRPr="007A48FF" w14:paraId="057B3134" w14:textId="77777777" w:rsidTr="00E35AAD">
        <w:tc>
          <w:tcPr>
            <w:tcW w:w="1296" w:type="dxa"/>
            <w:shd w:val="clear" w:color="auto" w:fill="FF9B9D"/>
            <w:hideMark/>
          </w:tcPr>
          <w:p w14:paraId="622DB82B" w14:textId="77777777" w:rsidR="004F440A" w:rsidRPr="007A48FF" w:rsidRDefault="004F440A" w:rsidP="0056718A">
            <w:pPr>
              <w:jc w:val="center"/>
              <w:rPr>
                <w:rFonts w:ascii="Arial" w:hAnsi="Arial"/>
                <w:b/>
                <w:bCs/>
                <w:sz w:val="20"/>
              </w:rPr>
            </w:pPr>
            <w:r w:rsidRPr="007A48FF">
              <w:rPr>
                <w:rFonts w:ascii="Arial" w:hAnsi="Arial"/>
                <w:b/>
                <w:bCs/>
                <w:sz w:val="20"/>
              </w:rPr>
              <w:t>East</w:t>
            </w:r>
          </w:p>
        </w:tc>
        <w:tc>
          <w:tcPr>
            <w:tcW w:w="2982" w:type="dxa"/>
          </w:tcPr>
          <w:p w14:paraId="747852F7" w14:textId="2F250E0C" w:rsidR="004F440A" w:rsidRPr="007A48FF" w:rsidRDefault="009867E9" w:rsidP="00FD0B3E">
            <w:pPr>
              <w:rPr>
                <w:rFonts w:ascii="Arial" w:hAnsi="Arial"/>
                <w:sz w:val="20"/>
              </w:rPr>
            </w:pPr>
            <w:r>
              <w:rPr>
                <w:rFonts w:ascii="Arial" w:hAnsi="Arial"/>
                <w:sz w:val="20"/>
              </w:rPr>
              <w:t>310</w:t>
            </w:r>
            <w:r w:rsidR="00976104">
              <w:rPr>
                <w:rFonts w:ascii="Arial" w:hAnsi="Arial"/>
                <w:sz w:val="20"/>
              </w:rPr>
              <w:t>6</w:t>
            </w:r>
            <w:r w:rsidR="00925793">
              <w:rPr>
                <w:rFonts w:ascii="Arial" w:hAnsi="Arial"/>
                <w:sz w:val="20"/>
              </w:rPr>
              <w:t>–</w:t>
            </w:r>
            <w:r w:rsidR="00896FD2">
              <w:rPr>
                <w:rFonts w:ascii="Arial" w:hAnsi="Arial"/>
                <w:sz w:val="20"/>
              </w:rPr>
              <w:t>3116</w:t>
            </w:r>
            <w:r>
              <w:rPr>
                <w:rFonts w:ascii="Arial" w:hAnsi="Arial"/>
                <w:sz w:val="20"/>
              </w:rPr>
              <w:t xml:space="preserve">, </w:t>
            </w:r>
            <w:r w:rsidR="00896FD2">
              <w:rPr>
                <w:rFonts w:ascii="Arial" w:hAnsi="Arial"/>
                <w:sz w:val="20"/>
              </w:rPr>
              <w:t>3125, 3127</w:t>
            </w:r>
            <w:r w:rsidR="00925793">
              <w:rPr>
                <w:rFonts w:ascii="Arial" w:hAnsi="Arial"/>
                <w:sz w:val="20"/>
              </w:rPr>
              <w:t>–</w:t>
            </w:r>
            <w:r w:rsidR="00896FD2">
              <w:rPr>
                <w:rFonts w:ascii="Arial" w:hAnsi="Arial"/>
                <w:sz w:val="20"/>
              </w:rPr>
              <w:t xml:space="preserve">3140, 3147 (Ashwood), </w:t>
            </w:r>
            <w:r w:rsidR="009F20D0">
              <w:rPr>
                <w:rFonts w:ascii="Arial" w:hAnsi="Arial"/>
                <w:sz w:val="20"/>
              </w:rPr>
              <w:t>3149</w:t>
            </w:r>
            <w:r w:rsidR="00925793">
              <w:rPr>
                <w:rFonts w:ascii="Arial" w:hAnsi="Arial"/>
                <w:sz w:val="20"/>
              </w:rPr>
              <w:t>–</w:t>
            </w:r>
            <w:r w:rsidR="009F20D0">
              <w:rPr>
                <w:rFonts w:ascii="Arial" w:hAnsi="Arial"/>
                <w:sz w:val="20"/>
              </w:rPr>
              <w:t>3160, 3170, 3178</w:t>
            </w:r>
            <w:r w:rsidR="00925793">
              <w:rPr>
                <w:rFonts w:ascii="Arial" w:hAnsi="Arial"/>
                <w:sz w:val="20"/>
              </w:rPr>
              <w:t>–</w:t>
            </w:r>
            <w:r w:rsidR="009F20D0">
              <w:rPr>
                <w:rFonts w:ascii="Arial" w:hAnsi="Arial"/>
                <w:sz w:val="20"/>
              </w:rPr>
              <w:t xml:space="preserve">3180, </w:t>
            </w:r>
            <w:r w:rsidR="005E2AD4">
              <w:rPr>
                <w:rFonts w:ascii="Arial" w:hAnsi="Arial"/>
                <w:sz w:val="20"/>
              </w:rPr>
              <w:t>3765</w:t>
            </w:r>
            <w:r w:rsidR="00925793">
              <w:rPr>
                <w:rFonts w:ascii="Arial" w:hAnsi="Arial"/>
                <w:sz w:val="20"/>
              </w:rPr>
              <w:t>–</w:t>
            </w:r>
            <w:r w:rsidR="005E2AD4">
              <w:rPr>
                <w:rFonts w:ascii="Arial" w:hAnsi="Arial"/>
                <w:sz w:val="20"/>
              </w:rPr>
              <w:t>3779, 3782 (Clematis), 3785</w:t>
            </w:r>
            <w:r w:rsidR="00925793">
              <w:rPr>
                <w:rFonts w:ascii="Arial" w:hAnsi="Arial"/>
                <w:sz w:val="20"/>
              </w:rPr>
              <w:t>–</w:t>
            </w:r>
            <w:r w:rsidR="005E2AD4">
              <w:rPr>
                <w:rFonts w:ascii="Arial" w:hAnsi="Arial"/>
                <w:sz w:val="20"/>
              </w:rPr>
              <w:t>3799</w:t>
            </w:r>
          </w:p>
        </w:tc>
        <w:tc>
          <w:tcPr>
            <w:tcW w:w="1706" w:type="dxa"/>
            <w:hideMark/>
          </w:tcPr>
          <w:p w14:paraId="0EFF30E0" w14:textId="68392CCB" w:rsidR="004F440A" w:rsidRPr="00150904" w:rsidRDefault="004F440A" w:rsidP="000274EC">
            <w:pPr>
              <w:jc w:val="center"/>
              <w:rPr>
                <w:rFonts w:ascii="Arial" w:hAnsi="Arial"/>
                <w:b/>
                <w:bCs/>
                <w:sz w:val="20"/>
              </w:rPr>
            </w:pPr>
            <w:r w:rsidRPr="00150904">
              <w:rPr>
                <w:rFonts w:ascii="Arial" w:hAnsi="Arial"/>
                <w:b/>
                <w:bCs/>
                <w:sz w:val="20"/>
              </w:rPr>
              <w:t>Ringwood</w:t>
            </w:r>
          </w:p>
        </w:tc>
        <w:tc>
          <w:tcPr>
            <w:tcW w:w="1706" w:type="dxa"/>
            <w:shd w:val="clear" w:color="auto" w:fill="FF9B9D"/>
            <w:hideMark/>
          </w:tcPr>
          <w:p w14:paraId="6F02C063" w14:textId="77777777" w:rsidR="004F440A" w:rsidRPr="00150904" w:rsidRDefault="004F440A" w:rsidP="000274EC">
            <w:pPr>
              <w:jc w:val="center"/>
              <w:rPr>
                <w:rFonts w:ascii="Arial" w:hAnsi="Arial"/>
                <w:b/>
                <w:bCs/>
                <w:sz w:val="20"/>
              </w:rPr>
            </w:pPr>
            <w:r w:rsidRPr="00150904">
              <w:rPr>
                <w:rFonts w:ascii="Arial" w:hAnsi="Arial"/>
                <w:b/>
                <w:bCs/>
                <w:sz w:val="20"/>
              </w:rPr>
              <w:t>Melbourne</w:t>
            </w:r>
          </w:p>
        </w:tc>
        <w:tc>
          <w:tcPr>
            <w:tcW w:w="1531" w:type="dxa"/>
            <w:shd w:val="clear" w:color="auto" w:fill="FF9B9D"/>
            <w:hideMark/>
          </w:tcPr>
          <w:p w14:paraId="579B8CF3" w14:textId="77777777" w:rsidR="004F440A" w:rsidRPr="00150904" w:rsidRDefault="004F440A" w:rsidP="000274EC">
            <w:pPr>
              <w:jc w:val="center"/>
              <w:rPr>
                <w:rFonts w:ascii="Arial" w:hAnsi="Arial"/>
                <w:b/>
                <w:bCs/>
                <w:sz w:val="20"/>
              </w:rPr>
            </w:pPr>
            <w:r w:rsidRPr="00150904">
              <w:rPr>
                <w:rFonts w:ascii="Arial" w:hAnsi="Arial"/>
                <w:b/>
                <w:bCs/>
                <w:sz w:val="20"/>
              </w:rPr>
              <w:t>Dandenong</w:t>
            </w:r>
          </w:p>
        </w:tc>
      </w:tr>
      <w:tr w:rsidR="008838B4" w:rsidRPr="007A48FF" w14:paraId="49664F85" w14:textId="77777777" w:rsidTr="00E35AAD">
        <w:tc>
          <w:tcPr>
            <w:tcW w:w="1296" w:type="dxa"/>
            <w:shd w:val="clear" w:color="auto" w:fill="FFFFA3"/>
            <w:hideMark/>
          </w:tcPr>
          <w:p w14:paraId="621B5315" w14:textId="77777777" w:rsidR="004F440A" w:rsidRPr="007A48FF" w:rsidRDefault="004F440A" w:rsidP="0056718A">
            <w:pPr>
              <w:jc w:val="center"/>
              <w:rPr>
                <w:rFonts w:ascii="Arial" w:hAnsi="Arial"/>
                <w:b/>
                <w:bCs/>
                <w:sz w:val="20"/>
              </w:rPr>
            </w:pPr>
            <w:r w:rsidRPr="007A48FF">
              <w:rPr>
                <w:rFonts w:ascii="Arial" w:hAnsi="Arial"/>
                <w:b/>
                <w:bCs/>
                <w:sz w:val="20"/>
              </w:rPr>
              <w:t>West</w:t>
            </w:r>
          </w:p>
        </w:tc>
        <w:tc>
          <w:tcPr>
            <w:tcW w:w="2982" w:type="dxa"/>
          </w:tcPr>
          <w:p w14:paraId="5D65C06E" w14:textId="03B6A183" w:rsidR="004F440A" w:rsidRPr="007A48FF" w:rsidRDefault="00457798" w:rsidP="00FD0B3E">
            <w:pPr>
              <w:rPr>
                <w:rFonts w:ascii="Arial" w:hAnsi="Arial"/>
                <w:sz w:val="20"/>
              </w:rPr>
            </w:pPr>
            <w:r>
              <w:rPr>
                <w:rFonts w:ascii="Arial" w:hAnsi="Arial"/>
                <w:sz w:val="20"/>
              </w:rPr>
              <w:t>3012 (</w:t>
            </w:r>
            <w:proofErr w:type="spellStart"/>
            <w:r>
              <w:rPr>
                <w:rFonts w:ascii="Arial" w:hAnsi="Arial"/>
                <w:sz w:val="20"/>
              </w:rPr>
              <w:t>Maidstone</w:t>
            </w:r>
            <w:r w:rsidR="009867E9">
              <w:rPr>
                <w:rFonts w:ascii="Arial" w:hAnsi="Arial"/>
                <w:sz w:val="20"/>
              </w:rPr>
              <w:t>+</w:t>
            </w:r>
            <w:r>
              <w:rPr>
                <w:rFonts w:ascii="Arial" w:hAnsi="Arial"/>
                <w:sz w:val="20"/>
              </w:rPr>
              <w:t>Tottenham</w:t>
            </w:r>
            <w:proofErr w:type="spellEnd"/>
            <w:r>
              <w:rPr>
                <w:rFonts w:ascii="Arial" w:hAnsi="Arial"/>
                <w:sz w:val="20"/>
              </w:rPr>
              <w:t>), 3019 (</w:t>
            </w:r>
            <w:proofErr w:type="spellStart"/>
            <w:r w:rsidR="00976104">
              <w:rPr>
                <w:rFonts w:ascii="Arial" w:hAnsi="Arial"/>
                <w:sz w:val="20"/>
              </w:rPr>
              <w:t>Braybrook+Robinson</w:t>
            </w:r>
            <w:proofErr w:type="spellEnd"/>
            <w:r>
              <w:rPr>
                <w:rFonts w:ascii="Arial" w:hAnsi="Arial"/>
                <w:sz w:val="20"/>
              </w:rPr>
              <w:t>)</w:t>
            </w:r>
            <w:r w:rsidR="00925793">
              <w:rPr>
                <w:rFonts w:ascii="Arial" w:hAnsi="Arial"/>
                <w:sz w:val="20"/>
              </w:rPr>
              <w:t>, 3020–</w:t>
            </w:r>
            <w:r w:rsidR="00976104">
              <w:rPr>
                <w:rFonts w:ascii="Arial" w:hAnsi="Arial"/>
                <w:sz w:val="20"/>
              </w:rPr>
              <w:t>30</w:t>
            </w:r>
            <w:r>
              <w:rPr>
                <w:rFonts w:ascii="Arial" w:hAnsi="Arial"/>
                <w:sz w:val="20"/>
              </w:rPr>
              <w:t>23</w:t>
            </w:r>
            <w:r w:rsidR="00946AA6">
              <w:rPr>
                <w:rFonts w:ascii="Arial" w:hAnsi="Arial"/>
                <w:sz w:val="20"/>
              </w:rPr>
              <w:t>, 3032</w:t>
            </w:r>
            <w:r w:rsidR="00321476">
              <w:rPr>
                <w:rFonts w:ascii="Arial" w:hAnsi="Arial"/>
                <w:sz w:val="20"/>
              </w:rPr>
              <w:t xml:space="preserve"> </w:t>
            </w:r>
            <w:r w:rsidR="00946AA6">
              <w:rPr>
                <w:rFonts w:ascii="Arial" w:hAnsi="Arial"/>
                <w:sz w:val="20"/>
              </w:rPr>
              <w:t>(</w:t>
            </w:r>
            <w:proofErr w:type="spellStart"/>
            <w:r w:rsidR="00946AA6">
              <w:rPr>
                <w:rFonts w:ascii="Arial" w:hAnsi="Arial"/>
                <w:sz w:val="20"/>
              </w:rPr>
              <w:t>Maribyr</w:t>
            </w:r>
            <w:proofErr w:type="spellEnd"/>
            <w:r w:rsidR="00321476">
              <w:rPr>
                <w:rFonts w:ascii="Arial" w:hAnsi="Arial"/>
                <w:sz w:val="20"/>
              </w:rPr>
              <w:t>-nong</w:t>
            </w:r>
            <w:r w:rsidR="00946AA6">
              <w:rPr>
                <w:rFonts w:ascii="Arial" w:hAnsi="Arial"/>
                <w:sz w:val="20"/>
              </w:rPr>
              <w:t>), 3037</w:t>
            </w:r>
            <w:r w:rsidR="00925793">
              <w:rPr>
                <w:rFonts w:ascii="Arial" w:hAnsi="Arial"/>
                <w:sz w:val="20"/>
              </w:rPr>
              <w:t>–</w:t>
            </w:r>
            <w:r w:rsidR="009867E9">
              <w:rPr>
                <w:rFonts w:ascii="Arial" w:hAnsi="Arial"/>
                <w:sz w:val="20"/>
              </w:rPr>
              <w:t>3038</w:t>
            </w:r>
            <w:r w:rsidR="005E2AD4">
              <w:rPr>
                <w:rFonts w:ascii="Arial" w:hAnsi="Arial"/>
                <w:sz w:val="20"/>
              </w:rPr>
              <w:t>, 3335</w:t>
            </w:r>
            <w:r w:rsidR="00925793">
              <w:rPr>
                <w:rFonts w:ascii="Arial" w:hAnsi="Arial"/>
                <w:sz w:val="20"/>
              </w:rPr>
              <w:t>–</w:t>
            </w:r>
            <w:r w:rsidR="005E2AD4">
              <w:rPr>
                <w:rFonts w:ascii="Arial" w:hAnsi="Arial"/>
                <w:sz w:val="20"/>
              </w:rPr>
              <w:t>3427</w:t>
            </w:r>
          </w:p>
        </w:tc>
        <w:tc>
          <w:tcPr>
            <w:tcW w:w="1706" w:type="dxa"/>
            <w:hideMark/>
          </w:tcPr>
          <w:p w14:paraId="4D4F3980" w14:textId="4713CB29" w:rsidR="004F440A" w:rsidRPr="00150904" w:rsidRDefault="004F440A" w:rsidP="000274EC">
            <w:pPr>
              <w:jc w:val="center"/>
              <w:rPr>
                <w:rFonts w:ascii="Arial" w:hAnsi="Arial"/>
                <w:b/>
                <w:bCs/>
                <w:sz w:val="20"/>
              </w:rPr>
            </w:pPr>
            <w:r w:rsidRPr="00150904">
              <w:rPr>
                <w:rFonts w:ascii="Arial" w:hAnsi="Arial"/>
                <w:b/>
                <w:bCs/>
                <w:sz w:val="20"/>
              </w:rPr>
              <w:t>Sunshine</w:t>
            </w:r>
          </w:p>
        </w:tc>
        <w:tc>
          <w:tcPr>
            <w:tcW w:w="1706" w:type="dxa"/>
            <w:shd w:val="clear" w:color="auto" w:fill="FFFFA3"/>
            <w:hideMark/>
          </w:tcPr>
          <w:p w14:paraId="735DBA6A" w14:textId="77777777" w:rsidR="004F440A" w:rsidRPr="00150904" w:rsidRDefault="004F440A" w:rsidP="000274EC">
            <w:pPr>
              <w:jc w:val="center"/>
              <w:rPr>
                <w:rFonts w:ascii="Arial" w:hAnsi="Arial"/>
                <w:b/>
                <w:bCs/>
                <w:sz w:val="20"/>
              </w:rPr>
            </w:pPr>
            <w:r w:rsidRPr="00150904">
              <w:rPr>
                <w:rFonts w:ascii="Arial" w:hAnsi="Arial"/>
                <w:b/>
                <w:bCs/>
                <w:sz w:val="20"/>
              </w:rPr>
              <w:t>Melbourne</w:t>
            </w:r>
          </w:p>
        </w:tc>
        <w:tc>
          <w:tcPr>
            <w:tcW w:w="1531" w:type="dxa"/>
            <w:shd w:val="clear" w:color="auto" w:fill="FFFFA3"/>
            <w:hideMark/>
          </w:tcPr>
          <w:p w14:paraId="6DC56952" w14:textId="77777777" w:rsidR="004F440A" w:rsidRPr="00150904" w:rsidRDefault="004F440A" w:rsidP="000274EC">
            <w:pPr>
              <w:jc w:val="center"/>
              <w:rPr>
                <w:rFonts w:ascii="Arial" w:hAnsi="Arial"/>
                <w:b/>
                <w:bCs/>
                <w:sz w:val="20"/>
              </w:rPr>
            </w:pPr>
            <w:r w:rsidRPr="00150904">
              <w:rPr>
                <w:rFonts w:ascii="Arial" w:hAnsi="Arial"/>
                <w:b/>
                <w:bCs/>
                <w:sz w:val="20"/>
              </w:rPr>
              <w:t>Melbourne</w:t>
            </w:r>
          </w:p>
        </w:tc>
      </w:tr>
      <w:tr w:rsidR="008838B4" w:rsidRPr="007A48FF" w14:paraId="14C20479" w14:textId="77777777" w:rsidTr="00E35AAD">
        <w:tc>
          <w:tcPr>
            <w:tcW w:w="1296" w:type="dxa"/>
            <w:shd w:val="clear" w:color="auto" w:fill="FBE4D5"/>
            <w:hideMark/>
          </w:tcPr>
          <w:p w14:paraId="75058E56" w14:textId="77777777" w:rsidR="004F440A" w:rsidRPr="007A48FF" w:rsidRDefault="004F440A" w:rsidP="0056718A">
            <w:pPr>
              <w:jc w:val="center"/>
              <w:rPr>
                <w:rFonts w:ascii="Arial" w:hAnsi="Arial"/>
                <w:b/>
                <w:bCs/>
                <w:sz w:val="20"/>
              </w:rPr>
            </w:pPr>
            <w:proofErr w:type="gramStart"/>
            <w:r w:rsidRPr="007A48FF">
              <w:rPr>
                <w:rFonts w:ascii="Arial" w:hAnsi="Arial"/>
                <w:b/>
                <w:bCs/>
                <w:sz w:val="20"/>
              </w:rPr>
              <w:t>North East</w:t>
            </w:r>
            <w:proofErr w:type="gramEnd"/>
          </w:p>
        </w:tc>
        <w:tc>
          <w:tcPr>
            <w:tcW w:w="2982" w:type="dxa"/>
          </w:tcPr>
          <w:p w14:paraId="04F5358D" w14:textId="124E7FA7" w:rsidR="004F440A" w:rsidRPr="007A48FF" w:rsidRDefault="00457798" w:rsidP="00946AA6">
            <w:pPr>
              <w:rPr>
                <w:rFonts w:ascii="Arial" w:hAnsi="Arial"/>
                <w:sz w:val="20"/>
              </w:rPr>
            </w:pPr>
            <w:r>
              <w:rPr>
                <w:rFonts w:ascii="Arial" w:hAnsi="Arial"/>
                <w:sz w:val="20"/>
              </w:rPr>
              <w:t>3058</w:t>
            </w:r>
            <w:r w:rsidR="009867E9">
              <w:rPr>
                <w:rFonts w:ascii="Arial" w:hAnsi="Arial"/>
                <w:sz w:val="20"/>
              </w:rPr>
              <w:t xml:space="preserve"> (Moreland)</w:t>
            </w:r>
            <w:r>
              <w:rPr>
                <w:rFonts w:ascii="Arial" w:hAnsi="Arial"/>
                <w:sz w:val="20"/>
              </w:rPr>
              <w:t xml:space="preserve">, </w:t>
            </w:r>
            <w:r w:rsidR="009867E9">
              <w:rPr>
                <w:rFonts w:ascii="Arial" w:hAnsi="Arial"/>
                <w:sz w:val="20"/>
              </w:rPr>
              <w:t>3072</w:t>
            </w:r>
            <w:r w:rsidR="00925793">
              <w:rPr>
                <w:rFonts w:ascii="Arial" w:hAnsi="Arial"/>
                <w:sz w:val="20"/>
              </w:rPr>
              <w:t>–</w:t>
            </w:r>
            <w:r w:rsidR="009867E9">
              <w:rPr>
                <w:rFonts w:ascii="Arial" w:hAnsi="Arial"/>
                <w:sz w:val="20"/>
              </w:rPr>
              <w:t xml:space="preserve">3099, 3105, </w:t>
            </w:r>
            <w:r w:rsidR="005E2AD4">
              <w:rPr>
                <w:rFonts w:ascii="Arial" w:hAnsi="Arial"/>
                <w:sz w:val="20"/>
              </w:rPr>
              <w:t>3750</w:t>
            </w:r>
            <w:r w:rsidR="00925793">
              <w:rPr>
                <w:rFonts w:ascii="Arial" w:hAnsi="Arial"/>
                <w:sz w:val="20"/>
              </w:rPr>
              <w:t>–</w:t>
            </w:r>
            <w:r w:rsidR="005E2AD4">
              <w:rPr>
                <w:rFonts w:ascii="Arial" w:hAnsi="Arial"/>
                <w:sz w:val="20"/>
              </w:rPr>
              <w:t>3752, 3754</w:t>
            </w:r>
            <w:r w:rsidR="00925793">
              <w:rPr>
                <w:rFonts w:ascii="Arial" w:hAnsi="Arial"/>
                <w:sz w:val="20"/>
              </w:rPr>
              <w:t>–</w:t>
            </w:r>
            <w:r w:rsidR="005E2AD4">
              <w:rPr>
                <w:rFonts w:ascii="Arial" w:hAnsi="Arial"/>
                <w:sz w:val="20"/>
              </w:rPr>
              <w:t>3755, 3757</w:t>
            </w:r>
            <w:r w:rsidR="00925793">
              <w:rPr>
                <w:rFonts w:ascii="Arial" w:hAnsi="Arial"/>
                <w:sz w:val="20"/>
              </w:rPr>
              <w:t>–</w:t>
            </w:r>
            <w:r w:rsidR="005E2AD4">
              <w:rPr>
                <w:rFonts w:ascii="Arial" w:hAnsi="Arial"/>
                <w:sz w:val="20"/>
              </w:rPr>
              <w:t>3763</w:t>
            </w:r>
          </w:p>
        </w:tc>
        <w:tc>
          <w:tcPr>
            <w:tcW w:w="1706" w:type="dxa"/>
            <w:hideMark/>
          </w:tcPr>
          <w:p w14:paraId="71325E18" w14:textId="23942251" w:rsidR="004F440A" w:rsidRPr="00150904" w:rsidRDefault="004F440A" w:rsidP="000274EC">
            <w:pPr>
              <w:jc w:val="center"/>
              <w:rPr>
                <w:rFonts w:ascii="Arial" w:hAnsi="Arial"/>
                <w:b/>
                <w:bCs/>
                <w:sz w:val="20"/>
              </w:rPr>
            </w:pPr>
            <w:r w:rsidRPr="00150904">
              <w:rPr>
                <w:rFonts w:ascii="Arial" w:hAnsi="Arial"/>
                <w:b/>
                <w:bCs/>
                <w:sz w:val="20"/>
              </w:rPr>
              <w:t>Heidelberg</w:t>
            </w:r>
          </w:p>
        </w:tc>
        <w:tc>
          <w:tcPr>
            <w:tcW w:w="1706" w:type="dxa"/>
            <w:shd w:val="clear" w:color="auto" w:fill="FBE4D5"/>
            <w:hideMark/>
          </w:tcPr>
          <w:p w14:paraId="3450AB71" w14:textId="77777777" w:rsidR="004F440A" w:rsidRPr="00150904" w:rsidRDefault="004F440A" w:rsidP="000274EC">
            <w:pPr>
              <w:jc w:val="center"/>
              <w:rPr>
                <w:rFonts w:ascii="Arial" w:hAnsi="Arial"/>
                <w:b/>
                <w:bCs/>
                <w:sz w:val="20"/>
              </w:rPr>
            </w:pPr>
            <w:r w:rsidRPr="00150904">
              <w:rPr>
                <w:rFonts w:ascii="Arial" w:hAnsi="Arial"/>
                <w:b/>
                <w:bCs/>
                <w:sz w:val="20"/>
              </w:rPr>
              <w:t>Melbourne</w:t>
            </w:r>
          </w:p>
        </w:tc>
        <w:tc>
          <w:tcPr>
            <w:tcW w:w="1531" w:type="dxa"/>
            <w:shd w:val="clear" w:color="auto" w:fill="FBE4D5"/>
            <w:hideMark/>
          </w:tcPr>
          <w:p w14:paraId="15CDD71C" w14:textId="77777777" w:rsidR="004F440A" w:rsidRPr="00150904" w:rsidRDefault="004F440A" w:rsidP="000274EC">
            <w:pPr>
              <w:jc w:val="center"/>
              <w:rPr>
                <w:rFonts w:ascii="Arial" w:hAnsi="Arial"/>
                <w:b/>
                <w:bCs/>
                <w:sz w:val="20"/>
              </w:rPr>
            </w:pPr>
            <w:r w:rsidRPr="00150904">
              <w:rPr>
                <w:rFonts w:ascii="Arial" w:hAnsi="Arial"/>
                <w:b/>
                <w:bCs/>
                <w:sz w:val="20"/>
              </w:rPr>
              <w:t>Melbourne</w:t>
            </w:r>
          </w:p>
        </w:tc>
      </w:tr>
      <w:tr w:rsidR="008838B4" w:rsidRPr="007A48FF" w14:paraId="10A3CAEB" w14:textId="77777777" w:rsidTr="00E35AAD">
        <w:tc>
          <w:tcPr>
            <w:tcW w:w="1296" w:type="dxa"/>
            <w:shd w:val="clear" w:color="auto" w:fill="D5B8EA"/>
            <w:hideMark/>
          </w:tcPr>
          <w:p w14:paraId="72324B61" w14:textId="77777777" w:rsidR="004F440A" w:rsidRPr="007A48FF" w:rsidRDefault="004F440A" w:rsidP="0056718A">
            <w:pPr>
              <w:jc w:val="center"/>
              <w:rPr>
                <w:rFonts w:ascii="Arial" w:hAnsi="Arial"/>
                <w:b/>
                <w:bCs/>
                <w:sz w:val="20"/>
              </w:rPr>
            </w:pPr>
            <w:proofErr w:type="gramStart"/>
            <w:r w:rsidRPr="007A48FF">
              <w:rPr>
                <w:rFonts w:ascii="Arial" w:hAnsi="Arial"/>
                <w:b/>
                <w:bCs/>
                <w:sz w:val="20"/>
              </w:rPr>
              <w:t>North West</w:t>
            </w:r>
            <w:proofErr w:type="gramEnd"/>
          </w:p>
        </w:tc>
        <w:tc>
          <w:tcPr>
            <w:tcW w:w="2982" w:type="dxa"/>
          </w:tcPr>
          <w:p w14:paraId="73D92277" w14:textId="357098F6" w:rsidR="004F440A" w:rsidRPr="007A48FF" w:rsidRDefault="00457798" w:rsidP="00946AA6">
            <w:pPr>
              <w:rPr>
                <w:rFonts w:ascii="Arial" w:hAnsi="Arial"/>
                <w:sz w:val="20"/>
              </w:rPr>
            </w:pPr>
            <w:r>
              <w:rPr>
                <w:rFonts w:ascii="Arial" w:hAnsi="Arial"/>
                <w:sz w:val="20"/>
              </w:rPr>
              <w:t>3033</w:t>
            </w:r>
            <w:r w:rsidR="00925793">
              <w:rPr>
                <w:rFonts w:ascii="Arial" w:hAnsi="Arial"/>
                <w:sz w:val="20"/>
              </w:rPr>
              <w:t>–</w:t>
            </w:r>
            <w:r>
              <w:rPr>
                <w:rFonts w:ascii="Arial" w:hAnsi="Arial"/>
                <w:sz w:val="20"/>
              </w:rPr>
              <w:t>3036, 3039</w:t>
            </w:r>
            <w:r w:rsidR="00925793">
              <w:rPr>
                <w:rFonts w:ascii="Arial" w:hAnsi="Arial"/>
                <w:sz w:val="20"/>
              </w:rPr>
              <w:t>–3</w:t>
            </w:r>
            <w:r>
              <w:rPr>
                <w:rFonts w:ascii="Arial" w:hAnsi="Arial"/>
                <w:sz w:val="20"/>
              </w:rPr>
              <w:t>049</w:t>
            </w:r>
            <w:r w:rsidR="009867E9">
              <w:rPr>
                <w:rFonts w:ascii="Arial" w:hAnsi="Arial"/>
                <w:sz w:val="20"/>
              </w:rPr>
              <w:t>, 3058 (except Moreland)</w:t>
            </w:r>
            <w:r w:rsidR="0008770D">
              <w:rPr>
                <w:rFonts w:ascii="Arial" w:hAnsi="Arial"/>
                <w:sz w:val="20"/>
              </w:rPr>
              <w:t>, 3059</w:t>
            </w:r>
            <w:r w:rsidR="00925793">
              <w:rPr>
                <w:rFonts w:ascii="Arial" w:hAnsi="Arial"/>
                <w:sz w:val="20"/>
              </w:rPr>
              <w:t>–</w:t>
            </w:r>
            <w:r w:rsidR="009867E9">
              <w:rPr>
                <w:rFonts w:ascii="Arial" w:hAnsi="Arial"/>
                <w:sz w:val="20"/>
              </w:rPr>
              <w:t xml:space="preserve">3064, </w:t>
            </w:r>
            <w:r w:rsidR="005E2AD4">
              <w:rPr>
                <w:rFonts w:ascii="Arial" w:hAnsi="Arial"/>
                <w:sz w:val="20"/>
              </w:rPr>
              <w:t>3428</w:t>
            </w:r>
            <w:r w:rsidR="00925793">
              <w:rPr>
                <w:rFonts w:ascii="Arial" w:hAnsi="Arial"/>
                <w:sz w:val="20"/>
              </w:rPr>
              <w:t>–</w:t>
            </w:r>
            <w:r w:rsidR="005E2AD4">
              <w:rPr>
                <w:rFonts w:ascii="Arial" w:hAnsi="Arial"/>
                <w:sz w:val="20"/>
              </w:rPr>
              <w:t>3429, 3753, 3756</w:t>
            </w:r>
          </w:p>
        </w:tc>
        <w:tc>
          <w:tcPr>
            <w:tcW w:w="1706" w:type="dxa"/>
            <w:hideMark/>
          </w:tcPr>
          <w:p w14:paraId="0E82B5A3" w14:textId="3150E6C5" w:rsidR="004F440A" w:rsidRPr="00150904" w:rsidRDefault="004F440A" w:rsidP="000274EC">
            <w:pPr>
              <w:jc w:val="center"/>
              <w:rPr>
                <w:rFonts w:ascii="Arial" w:hAnsi="Arial"/>
                <w:b/>
                <w:bCs/>
                <w:sz w:val="20"/>
              </w:rPr>
            </w:pPr>
            <w:r w:rsidRPr="00150904">
              <w:rPr>
                <w:rFonts w:ascii="Arial" w:hAnsi="Arial"/>
                <w:b/>
                <w:bCs/>
                <w:sz w:val="20"/>
              </w:rPr>
              <w:t>Br</w:t>
            </w:r>
            <w:r w:rsidR="008838B4">
              <w:rPr>
                <w:rFonts w:ascii="Arial" w:hAnsi="Arial"/>
                <w:b/>
                <w:bCs/>
                <w:sz w:val="20"/>
              </w:rPr>
              <w:t>oad</w:t>
            </w:r>
            <w:r w:rsidRPr="00150904">
              <w:rPr>
                <w:rFonts w:ascii="Arial" w:hAnsi="Arial"/>
                <w:b/>
                <w:bCs/>
                <w:sz w:val="20"/>
              </w:rPr>
              <w:t>meadows</w:t>
            </w:r>
          </w:p>
        </w:tc>
        <w:tc>
          <w:tcPr>
            <w:tcW w:w="1706" w:type="dxa"/>
            <w:shd w:val="clear" w:color="auto" w:fill="D5B8EA"/>
            <w:hideMark/>
          </w:tcPr>
          <w:p w14:paraId="477EE92F" w14:textId="49D883CF" w:rsidR="004F440A" w:rsidRPr="00150904" w:rsidRDefault="004F440A" w:rsidP="000274EC">
            <w:pPr>
              <w:jc w:val="center"/>
              <w:rPr>
                <w:rFonts w:ascii="Arial" w:hAnsi="Arial"/>
                <w:b/>
                <w:bCs/>
                <w:sz w:val="20"/>
              </w:rPr>
            </w:pPr>
            <w:r w:rsidRPr="008838B4">
              <w:rPr>
                <w:rFonts w:ascii="Arial" w:hAnsi="Arial"/>
                <w:b/>
                <w:bCs/>
                <w:sz w:val="20"/>
              </w:rPr>
              <w:t>Br</w:t>
            </w:r>
            <w:r w:rsidR="008838B4">
              <w:rPr>
                <w:rFonts w:ascii="Arial" w:hAnsi="Arial"/>
                <w:b/>
                <w:bCs/>
                <w:sz w:val="20"/>
              </w:rPr>
              <w:t>oad</w:t>
            </w:r>
            <w:r w:rsidRPr="008838B4">
              <w:rPr>
                <w:rFonts w:ascii="Arial" w:hAnsi="Arial"/>
                <w:b/>
                <w:bCs/>
                <w:sz w:val="20"/>
              </w:rPr>
              <w:t>meadows</w:t>
            </w:r>
          </w:p>
        </w:tc>
        <w:tc>
          <w:tcPr>
            <w:tcW w:w="1531" w:type="dxa"/>
            <w:shd w:val="clear" w:color="auto" w:fill="D5B8EA"/>
            <w:hideMark/>
          </w:tcPr>
          <w:p w14:paraId="6AC4880A" w14:textId="77777777" w:rsidR="004F440A" w:rsidRPr="00150904" w:rsidRDefault="004F440A" w:rsidP="000274EC">
            <w:pPr>
              <w:jc w:val="center"/>
              <w:rPr>
                <w:rFonts w:ascii="Arial" w:hAnsi="Arial"/>
                <w:b/>
                <w:bCs/>
                <w:sz w:val="20"/>
              </w:rPr>
            </w:pPr>
            <w:r w:rsidRPr="00150904">
              <w:rPr>
                <w:rFonts w:ascii="Arial" w:hAnsi="Arial"/>
                <w:b/>
                <w:bCs/>
                <w:sz w:val="20"/>
              </w:rPr>
              <w:t>Melbourne</w:t>
            </w:r>
          </w:p>
        </w:tc>
      </w:tr>
      <w:tr w:rsidR="008838B4" w:rsidRPr="007A48FF" w14:paraId="693EB39A" w14:textId="77777777" w:rsidTr="00E35AAD">
        <w:tc>
          <w:tcPr>
            <w:tcW w:w="1296" w:type="dxa"/>
            <w:shd w:val="clear" w:color="auto" w:fill="FFDF79"/>
            <w:hideMark/>
          </w:tcPr>
          <w:p w14:paraId="76AC4068" w14:textId="77777777" w:rsidR="004F440A" w:rsidRPr="007A48FF" w:rsidRDefault="004F440A" w:rsidP="0056718A">
            <w:pPr>
              <w:jc w:val="center"/>
              <w:rPr>
                <w:rFonts w:ascii="Arial" w:hAnsi="Arial"/>
                <w:b/>
                <w:bCs/>
                <w:sz w:val="20"/>
              </w:rPr>
            </w:pPr>
            <w:proofErr w:type="gramStart"/>
            <w:r w:rsidRPr="007A48FF">
              <w:rPr>
                <w:rFonts w:ascii="Arial" w:hAnsi="Arial"/>
                <w:b/>
                <w:bCs/>
                <w:sz w:val="20"/>
              </w:rPr>
              <w:t>South West</w:t>
            </w:r>
            <w:proofErr w:type="gramEnd"/>
          </w:p>
        </w:tc>
        <w:tc>
          <w:tcPr>
            <w:tcW w:w="2982" w:type="dxa"/>
          </w:tcPr>
          <w:p w14:paraId="26825551" w14:textId="1D5E3758" w:rsidR="004F440A" w:rsidRPr="007A48FF" w:rsidRDefault="00946AA6" w:rsidP="00946AA6">
            <w:pPr>
              <w:rPr>
                <w:rFonts w:ascii="Arial" w:hAnsi="Arial"/>
                <w:sz w:val="20"/>
              </w:rPr>
            </w:pPr>
            <w:r>
              <w:rPr>
                <w:rFonts w:ascii="Arial" w:hAnsi="Arial"/>
                <w:sz w:val="20"/>
              </w:rPr>
              <w:t>3024, 3026</w:t>
            </w:r>
            <w:r w:rsidR="00925793">
              <w:rPr>
                <w:rFonts w:ascii="Arial" w:hAnsi="Arial"/>
                <w:sz w:val="20"/>
              </w:rPr>
              <w:t>–</w:t>
            </w:r>
            <w:r>
              <w:rPr>
                <w:rFonts w:ascii="Arial" w:hAnsi="Arial"/>
                <w:sz w:val="20"/>
              </w:rPr>
              <w:t>3027, 3029</w:t>
            </w:r>
            <w:r w:rsidR="00925793">
              <w:rPr>
                <w:rFonts w:ascii="Arial" w:hAnsi="Arial"/>
                <w:sz w:val="20"/>
              </w:rPr>
              <w:t>–</w:t>
            </w:r>
            <w:r>
              <w:rPr>
                <w:rFonts w:ascii="Arial" w:hAnsi="Arial"/>
                <w:sz w:val="20"/>
              </w:rPr>
              <w:t xml:space="preserve">3030, </w:t>
            </w:r>
            <w:r w:rsidR="005E2AD4">
              <w:rPr>
                <w:rFonts w:ascii="Arial" w:hAnsi="Arial"/>
                <w:sz w:val="20"/>
              </w:rPr>
              <w:t>3211</w:t>
            </w:r>
          </w:p>
        </w:tc>
        <w:tc>
          <w:tcPr>
            <w:tcW w:w="1706" w:type="dxa"/>
            <w:hideMark/>
          </w:tcPr>
          <w:p w14:paraId="492FC7F9" w14:textId="6C0C14AE" w:rsidR="004F440A" w:rsidRPr="00150904" w:rsidRDefault="004F440A" w:rsidP="000274EC">
            <w:pPr>
              <w:jc w:val="center"/>
              <w:rPr>
                <w:rFonts w:ascii="Arial" w:hAnsi="Arial"/>
                <w:b/>
                <w:bCs/>
                <w:sz w:val="20"/>
              </w:rPr>
            </w:pPr>
            <w:r w:rsidRPr="00150904">
              <w:rPr>
                <w:rFonts w:ascii="Arial" w:hAnsi="Arial"/>
                <w:b/>
                <w:bCs/>
                <w:sz w:val="20"/>
              </w:rPr>
              <w:t>Werribee</w:t>
            </w:r>
          </w:p>
        </w:tc>
        <w:tc>
          <w:tcPr>
            <w:tcW w:w="1706" w:type="dxa"/>
            <w:shd w:val="clear" w:color="auto" w:fill="FFDF79"/>
            <w:hideMark/>
          </w:tcPr>
          <w:p w14:paraId="49176E67" w14:textId="77777777" w:rsidR="004F440A" w:rsidRPr="00150904" w:rsidRDefault="004F440A" w:rsidP="000274EC">
            <w:pPr>
              <w:jc w:val="center"/>
              <w:rPr>
                <w:rFonts w:ascii="Arial" w:hAnsi="Arial"/>
                <w:b/>
                <w:bCs/>
                <w:sz w:val="20"/>
              </w:rPr>
            </w:pPr>
            <w:r w:rsidRPr="00150904">
              <w:rPr>
                <w:rFonts w:ascii="Arial" w:hAnsi="Arial"/>
                <w:b/>
                <w:bCs/>
                <w:sz w:val="20"/>
              </w:rPr>
              <w:t>Melbourne</w:t>
            </w:r>
          </w:p>
        </w:tc>
        <w:tc>
          <w:tcPr>
            <w:tcW w:w="1531" w:type="dxa"/>
            <w:shd w:val="clear" w:color="auto" w:fill="FFDF79"/>
            <w:hideMark/>
          </w:tcPr>
          <w:p w14:paraId="22F3422E" w14:textId="77777777" w:rsidR="004F440A" w:rsidRPr="00150904" w:rsidRDefault="004F440A" w:rsidP="000274EC">
            <w:pPr>
              <w:jc w:val="center"/>
              <w:rPr>
                <w:rFonts w:ascii="Arial" w:hAnsi="Arial"/>
                <w:b/>
                <w:bCs/>
                <w:sz w:val="20"/>
              </w:rPr>
            </w:pPr>
            <w:r w:rsidRPr="00150904">
              <w:rPr>
                <w:rFonts w:ascii="Arial" w:hAnsi="Arial"/>
                <w:b/>
                <w:bCs/>
                <w:sz w:val="20"/>
              </w:rPr>
              <w:t>Melbourne</w:t>
            </w:r>
          </w:p>
        </w:tc>
      </w:tr>
      <w:tr w:rsidR="008838B4" w:rsidRPr="007A48FF" w14:paraId="6E6D1BB6" w14:textId="77777777" w:rsidTr="00E35AAD">
        <w:tc>
          <w:tcPr>
            <w:tcW w:w="1296" w:type="dxa"/>
            <w:shd w:val="clear" w:color="auto" w:fill="C5E0B3"/>
            <w:hideMark/>
          </w:tcPr>
          <w:p w14:paraId="257D136F" w14:textId="77777777" w:rsidR="004F440A" w:rsidRPr="007A48FF" w:rsidRDefault="004F440A" w:rsidP="0056718A">
            <w:pPr>
              <w:jc w:val="center"/>
              <w:rPr>
                <w:rFonts w:ascii="Arial" w:hAnsi="Arial"/>
                <w:b/>
                <w:bCs/>
                <w:sz w:val="20"/>
              </w:rPr>
            </w:pPr>
            <w:r w:rsidRPr="007A48FF">
              <w:rPr>
                <w:rFonts w:ascii="Arial" w:hAnsi="Arial"/>
                <w:b/>
                <w:bCs/>
                <w:sz w:val="20"/>
              </w:rPr>
              <w:t>Peninsula</w:t>
            </w:r>
          </w:p>
        </w:tc>
        <w:tc>
          <w:tcPr>
            <w:tcW w:w="2982" w:type="dxa"/>
          </w:tcPr>
          <w:p w14:paraId="0719BC09" w14:textId="1C70D2E9" w:rsidR="004F440A" w:rsidRPr="007A48FF" w:rsidRDefault="005E2AD4" w:rsidP="00946AA6">
            <w:pPr>
              <w:rPr>
                <w:rFonts w:ascii="Arial" w:hAnsi="Arial"/>
                <w:sz w:val="20"/>
              </w:rPr>
            </w:pPr>
            <w:r>
              <w:rPr>
                <w:rFonts w:ascii="Arial" w:hAnsi="Arial"/>
                <w:sz w:val="20"/>
              </w:rPr>
              <w:t>3196</w:t>
            </w:r>
            <w:r w:rsidR="00925793">
              <w:rPr>
                <w:rFonts w:ascii="Arial" w:hAnsi="Arial"/>
                <w:sz w:val="20"/>
              </w:rPr>
              <w:t>–</w:t>
            </w:r>
            <w:r>
              <w:rPr>
                <w:rFonts w:ascii="Arial" w:hAnsi="Arial"/>
                <w:sz w:val="20"/>
              </w:rPr>
              <w:t xml:space="preserve">3201, </w:t>
            </w:r>
            <w:r w:rsidR="002F72B7">
              <w:rPr>
                <w:rFonts w:ascii="Arial" w:hAnsi="Arial"/>
                <w:sz w:val="20"/>
              </w:rPr>
              <w:t>3910</w:t>
            </w:r>
            <w:r w:rsidR="00925793">
              <w:rPr>
                <w:rFonts w:ascii="Arial" w:hAnsi="Arial"/>
                <w:sz w:val="20"/>
              </w:rPr>
              <w:t>–</w:t>
            </w:r>
            <w:r w:rsidR="002F72B7">
              <w:rPr>
                <w:rFonts w:ascii="Arial" w:hAnsi="Arial"/>
                <w:sz w:val="20"/>
              </w:rPr>
              <w:t>3944, 3977 (except Cranbourne North),</w:t>
            </w:r>
            <w:r w:rsidR="00FD0B3E">
              <w:rPr>
                <w:rFonts w:ascii="Arial" w:hAnsi="Arial"/>
                <w:sz w:val="20"/>
              </w:rPr>
              <w:t xml:space="preserve"> </w:t>
            </w:r>
            <w:r w:rsidR="002F72B7">
              <w:rPr>
                <w:rFonts w:ascii="Arial" w:hAnsi="Arial"/>
                <w:sz w:val="20"/>
              </w:rPr>
              <w:t>3980</w:t>
            </w:r>
          </w:p>
        </w:tc>
        <w:tc>
          <w:tcPr>
            <w:tcW w:w="1706" w:type="dxa"/>
            <w:hideMark/>
          </w:tcPr>
          <w:p w14:paraId="4A5F3FCC" w14:textId="2B68D5CC" w:rsidR="004F440A" w:rsidRPr="00150904" w:rsidRDefault="004F440A" w:rsidP="000274EC">
            <w:pPr>
              <w:jc w:val="center"/>
              <w:rPr>
                <w:rFonts w:ascii="Arial" w:hAnsi="Arial"/>
                <w:b/>
                <w:bCs/>
                <w:sz w:val="20"/>
              </w:rPr>
            </w:pPr>
            <w:r w:rsidRPr="00150904">
              <w:rPr>
                <w:rFonts w:ascii="Arial" w:hAnsi="Arial"/>
                <w:b/>
                <w:bCs/>
                <w:sz w:val="20"/>
              </w:rPr>
              <w:t>Frankston</w:t>
            </w:r>
          </w:p>
        </w:tc>
        <w:tc>
          <w:tcPr>
            <w:tcW w:w="1706" w:type="dxa"/>
            <w:shd w:val="clear" w:color="auto" w:fill="C5E0B3"/>
            <w:hideMark/>
          </w:tcPr>
          <w:p w14:paraId="431F50F9" w14:textId="77777777" w:rsidR="004F440A" w:rsidRPr="00150904" w:rsidRDefault="004F440A" w:rsidP="000274EC">
            <w:pPr>
              <w:jc w:val="center"/>
              <w:rPr>
                <w:rFonts w:ascii="Arial" w:hAnsi="Arial"/>
                <w:b/>
                <w:bCs/>
                <w:sz w:val="20"/>
              </w:rPr>
            </w:pPr>
            <w:r w:rsidRPr="00150904">
              <w:rPr>
                <w:rFonts w:ascii="Arial" w:hAnsi="Arial"/>
                <w:b/>
                <w:bCs/>
                <w:sz w:val="20"/>
              </w:rPr>
              <w:t>Moorabbin</w:t>
            </w:r>
          </w:p>
        </w:tc>
        <w:tc>
          <w:tcPr>
            <w:tcW w:w="1531" w:type="dxa"/>
            <w:shd w:val="clear" w:color="auto" w:fill="C5E0B3"/>
            <w:hideMark/>
          </w:tcPr>
          <w:p w14:paraId="23722E76" w14:textId="77777777" w:rsidR="004F440A" w:rsidRPr="00150904" w:rsidRDefault="004F440A" w:rsidP="000274EC">
            <w:pPr>
              <w:jc w:val="center"/>
              <w:rPr>
                <w:rFonts w:ascii="Arial" w:hAnsi="Arial"/>
                <w:b/>
                <w:bCs/>
                <w:sz w:val="20"/>
              </w:rPr>
            </w:pPr>
            <w:r w:rsidRPr="00150904">
              <w:rPr>
                <w:rFonts w:ascii="Arial" w:hAnsi="Arial"/>
                <w:b/>
                <w:bCs/>
                <w:sz w:val="20"/>
              </w:rPr>
              <w:t>Dandenong</w:t>
            </w:r>
          </w:p>
        </w:tc>
      </w:tr>
      <w:tr w:rsidR="008838B4" w:rsidRPr="007A48FF" w14:paraId="45989B82" w14:textId="77777777" w:rsidTr="00E35AAD">
        <w:tc>
          <w:tcPr>
            <w:tcW w:w="1296" w:type="dxa"/>
            <w:shd w:val="clear" w:color="auto" w:fill="76B54B"/>
            <w:hideMark/>
          </w:tcPr>
          <w:p w14:paraId="6ACD13D2" w14:textId="77777777" w:rsidR="004F440A" w:rsidRPr="007A48FF" w:rsidRDefault="004F440A" w:rsidP="0056718A">
            <w:pPr>
              <w:jc w:val="center"/>
              <w:rPr>
                <w:rFonts w:ascii="Arial" w:hAnsi="Arial"/>
                <w:b/>
                <w:bCs/>
                <w:sz w:val="20"/>
              </w:rPr>
            </w:pPr>
            <w:r w:rsidRPr="007A48FF">
              <w:rPr>
                <w:rFonts w:ascii="Arial" w:hAnsi="Arial"/>
                <w:b/>
                <w:bCs/>
                <w:sz w:val="20"/>
              </w:rPr>
              <w:t>South</w:t>
            </w:r>
          </w:p>
        </w:tc>
        <w:tc>
          <w:tcPr>
            <w:tcW w:w="2982" w:type="dxa"/>
          </w:tcPr>
          <w:p w14:paraId="5DE3D3D9" w14:textId="4A766529" w:rsidR="004F440A" w:rsidRPr="007A48FF" w:rsidRDefault="00896FD2" w:rsidP="00946AA6">
            <w:pPr>
              <w:rPr>
                <w:rFonts w:ascii="Arial" w:hAnsi="Arial"/>
                <w:sz w:val="20"/>
              </w:rPr>
            </w:pPr>
            <w:r>
              <w:rPr>
                <w:rFonts w:ascii="Arial" w:hAnsi="Arial"/>
                <w:sz w:val="20"/>
              </w:rPr>
              <w:t>3143</w:t>
            </w:r>
            <w:r w:rsidR="00217D88">
              <w:rPr>
                <w:rFonts w:ascii="Arial" w:hAnsi="Arial"/>
                <w:sz w:val="20"/>
              </w:rPr>
              <w:t>–</w:t>
            </w:r>
            <w:r>
              <w:rPr>
                <w:rFonts w:ascii="Arial" w:hAnsi="Arial"/>
                <w:sz w:val="20"/>
              </w:rPr>
              <w:t xml:space="preserve">3145, 3148, </w:t>
            </w:r>
            <w:r w:rsidR="009F20D0">
              <w:rPr>
                <w:rFonts w:ascii="Arial" w:hAnsi="Arial"/>
                <w:sz w:val="20"/>
              </w:rPr>
              <w:t>3161</w:t>
            </w:r>
            <w:r w:rsidR="00217D88">
              <w:rPr>
                <w:rFonts w:ascii="Arial" w:hAnsi="Arial"/>
                <w:sz w:val="20"/>
              </w:rPr>
              <w:t>–</w:t>
            </w:r>
            <w:r w:rsidR="009F20D0">
              <w:rPr>
                <w:rFonts w:ascii="Arial" w:hAnsi="Arial"/>
                <w:sz w:val="20"/>
              </w:rPr>
              <w:t>3163, 3165</w:t>
            </w:r>
            <w:r w:rsidR="00217D88">
              <w:rPr>
                <w:rFonts w:ascii="Arial" w:hAnsi="Arial"/>
                <w:sz w:val="20"/>
              </w:rPr>
              <w:t>–</w:t>
            </w:r>
            <w:r w:rsidR="009F20D0">
              <w:rPr>
                <w:rFonts w:ascii="Arial" w:hAnsi="Arial"/>
                <w:sz w:val="20"/>
              </w:rPr>
              <w:t>3169, 3185</w:t>
            </w:r>
            <w:r w:rsidR="00217D88">
              <w:rPr>
                <w:rFonts w:ascii="Arial" w:hAnsi="Arial"/>
                <w:sz w:val="20"/>
              </w:rPr>
              <w:t>–</w:t>
            </w:r>
            <w:r w:rsidR="009F20D0">
              <w:rPr>
                <w:rFonts w:ascii="Arial" w:hAnsi="Arial"/>
                <w:sz w:val="20"/>
              </w:rPr>
              <w:t>319</w:t>
            </w:r>
            <w:r w:rsidR="005E2AD4">
              <w:rPr>
                <w:rFonts w:ascii="Arial" w:hAnsi="Arial"/>
                <w:sz w:val="20"/>
              </w:rPr>
              <w:t>5, 3202</w:t>
            </w:r>
            <w:r w:rsidR="00217D88">
              <w:rPr>
                <w:rFonts w:ascii="Arial" w:hAnsi="Arial"/>
                <w:sz w:val="20"/>
              </w:rPr>
              <w:t>–</w:t>
            </w:r>
            <w:r w:rsidR="005E2AD4">
              <w:rPr>
                <w:rFonts w:ascii="Arial" w:hAnsi="Arial"/>
                <w:sz w:val="20"/>
              </w:rPr>
              <w:t>3204</w:t>
            </w:r>
          </w:p>
        </w:tc>
        <w:tc>
          <w:tcPr>
            <w:tcW w:w="1706" w:type="dxa"/>
            <w:hideMark/>
          </w:tcPr>
          <w:p w14:paraId="587E3F1F" w14:textId="014F650A" w:rsidR="004F440A" w:rsidRPr="00150904" w:rsidRDefault="004F440A" w:rsidP="000274EC">
            <w:pPr>
              <w:jc w:val="center"/>
              <w:rPr>
                <w:rFonts w:ascii="Arial" w:hAnsi="Arial"/>
                <w:b/>
                <w:bCs/>
                <w:sz w:val="20"/>
              </w:rPr>
            </w:pPr>
            <w:r w:rsidRPr="00150904">
              <w:rPr>
                <w:rFonts w:ascii="Arial" w:hAnsi="Arial"/>
                <w:b/>
                <w:bCs/>
                <w:sz w:val="20"/>
              </w:rPr>
              <w:t>Moorabbin</w:t>
            </w:r>
          </w:p>
        </w:tc>
        <w:tc>
          <w:tcPr>
            <w:tcW w:w="1706" w:type="dxa"/>
            <w:shd w:val="clear" w:color="auto" w:fill="76B54B"/>
            <w:hideMark/>
          </w:tcPr>
          <w:p w14:paraId="7E486E63" w14:textId="77777777" w:rsidR="004F440A" w:rsidRPr="00150904" w:rsidRDefault="004F440A" w:rsidP="000274EC">
            <w:pPr>
              <w:jc w:val="center"/>
              <w:rPr>
                <w:rFonts w:ascii="Arial" w:hAnsi="Arial"/>
                <w:b/>
                <w:bCs/>
                <w:sz w:val="20"/>
              </w:rPr>
            </w:pPr>
            <w:r w:rsidRPr="00150904">
              <w:rPr>
                <w:rFonts w:ascii="Arial" w:hAnsi="Arial"/>
                <w:b/>
                <w:bCs/>
                <w:sz w:val="20"/>
              </w:rPr>
              <w:t>Moorabbin</w:t>
            </w:r>
          </w:p>
        </w:tc>
        <w:tc>
          <w:tcPr>
            <w:tcW w:w="1531" w:type="dxa"/>
            <w:shd w:val="clear" w:color="auto" w:fill="76B54B"/>
            <w:hideMark/>
          </w:tcPr>
          <w:p w14:paraId="3BBFBBE9" w14:textId="77777777" w:rsidR="004F440A" w:rsidRPr="00150904" w:rsidRDefault="004F440A" w:rsidP="000274EC">
            <w:pPr>
              <w:jc w:val="center"/>
              <w:rPr>
                <w:rFonts w:ascii="Arial" w:hAnsi="Arial"/>
                <w:b/>
                <w:bCs/>
                <w:sz w:val="20"/>
              </w:rPr>
            </w:pPr>
            <w:r w:rsidRPr="00150904">
              <w:rPr>
                <w:rFonts w:ascii="Arial" w:hAnsi="Arial"/>
                <w:b/>
                <w:bCs/>
                <w:sz w:val="20"/>
              </w:rPr>
              <w:t>Melbourne</w:t>
            </w:r>
          </w:p>
        </w:tc>
      </w:tr>
      <w:tr w:rsidR="008838B4" w:rsidRPr="007A48FF" w14:paraId="69FD8CBD" w14:textId="77777777" w:rsidTr="00E35AAD">
        <w:tc>
          <w:tcPr>
            <w:tcW w:w="1296" w:type="dxa"/>
            <w:shd w:val="clear" w:color="auto" w:fill="BDD6EE" w:themeFill="accent5" w:themeFillTint="66"/>
            <w:hideMark/>
          </w:tcPr>
          <w:p w14:paraId="0A92971B" w14:textId="77777777" w:rsidR="004F440A" w:rsidRPr="007A48FF" w:rsidRDefault="004F440A" w:rsidP="0056718A">
            <w:pPr>
              <w:jc w:val="center"/>
              <w:rPr>
                <w:rFonts w:ascii="Arial" w:hAnsi="Arial"/>
                <w:b/>
                <w:bCs/>
                <w:sz w:val="20"/>
              </w:rPr>
            </w:pPr>
            <w:proofErr w:type="gramStart"/>
            <w:r w:rsidRPr="007A48FF">
              <w:rPr>
                <w:rFonts w:ascii="Arial" w:hAnsi="Arial"/>
                <w:b/>
                <w:bCs/>
                <w:sz w:val="20"/>
              </w:rPr>
              <w:t>South East</w:t>
            </w:r>
            <w:proofErr w:type="gramEnd"/>
          </w:p>
        </w:tc>
        <w:tc>
          <w:tcPr>
            <w:tcW w:w="2982" w:type="dxa"/>
          </w:tcPr>
          <w:p w14:paraId="105F9C0D" w14:textId="3F04E501" w:rsidR="004F440A" w:rsidRPr="007A48FF" w:rsidRDefault="009F20D0" w:rsidP="00946AA6">
            <w:pPr>
              <w:rPr>
                <w:rFonts w:ascii="Arial" w:hAnsi="Arial"/>
                <w:sz w:val="20"/>
              </w:rPr>
            </w:pPr>
            <w:r>
              <w:rPr>
                <w:rFonts w:ascii="Arial" w:hAnsi="Arial"/>
                <w:sz w:val="20"/>
              </w:rPr>
              <w:t>3164, 3171</w:t>
            </w:r>
            <w:r w:rsidR="00217D88">
              <w:rPr>
                <w:rFonts w:ascii="Arial" w:hAnsi="Arial"/>
                <w:sz w:val="20"/>
              </w:rPr>
              <w:t>–</w:t>
            </w:r>
            <w:r>
              <w:rPr>
                <w:rFonts w:ascii="Arial" w:hAnsi="Arial"/>
                <w:sz w:val="20"/>
              </w:rPr>
              <w:t xml:space="preserve">3177, </w:t>
            </w:r>
            <w:r w:rsidR="005E2AD4">
              <w:rPr>
                <w:rFonts w:ascii="Arial" w:hAnsi="Arial"/>
                <w:sz w:val="20"/>
              </w:rPr>
              <w:t>3781</w:t>
            </w:r>
            <w:r w:rsidR="00FD0B3E">
              <w:rPr>
                <w:rFonts w:ascii="Arial" w:hAnsi="Arial"/>
                <w:sz w:val="20"/>
              </w:rPr>
              <w:t>, 3782</w:t>
            </w:r>
            <w:r w:rsidR="005E2AD4">
              <w:rPr>
                <w:rFonts w:ascii="Arial" w:hAnsi="Arial"/>
                <w:sz w:val="20"/>
              </w:rPr>
              <w:t xml:space="preserve"> (except Clematis)</w:t>
            </w:r>
            <w:r w:rsidR="00FD0B3E">
              <w:rPr>
                <w:rFonts w:ascii="Arial" w:hAnsi="Arial"/>
                <w:sz w:val="20"/>
              </w:rPr>
              <w:t xml:space="preserve">, </w:t>
            </w:r>
            <w:r w:rsidR="005E2AD4">
              <w:rPr>
                <w:rFonts w:ascii="Arial" w:hAnsi="Arial"/>
                <w:sz w:val="20"/>
              </w:rPr>
              <w:t>3783</w:t>
            </w:r>
            <w:r w:rsidR="00FA6EC5">
              <w:rPr>
                <w:rFonts w:ascii="Arial" w:hAnsi="Arial"/>
                <w:sz w:val="20"/>
              </w:rPr>
              <w:t>, 3800</w:t>
            </w:r>
            <w:r w:rsidR="00217D88">
              <w:rPr>
                <w:rFonts w:ascii="Arial" w:hAnsi="Arial"/>
                <w:sz w:val="20"/>
              </w:rPr>
              <w:t>–</w:t>
            </w:r>
            <w:r w:rsidR="00FA6EC5">
              <w:rPr>
                <w:rFonts w:ascii="Arial" w:hAnsi="Arial"/>
                <w:sz w:val="20"/>
              </w:rPr>
              <w:t>3815</w:t>
            </w:r>
            <w:r w:rsidR="002F72B7">
              <w:rPr>
                <w:rFonts w:ascii="Arial" w:hAnsi="Arial"/>
                <w:sz w:val="20"/>
              </w:rPr>
              <w:t>, 3975</w:t>
            </w:r>
            <w:r w:rsidR="00217D88">
              <w:rPr>
                <w:rFonts w:ascii="Arial" w:hAnsi="Arial"/>
                <w:sz w:val="20"/>
              </w:rPr>
              <w:t>–</w:t>
            </w:r>
            <w:r w:rsidR="002F72B7">
              <w:rPr>
                <w:rFonts w:ascii="Arial" w:hAnsi="Arial"/>
                <w:sz w:val="20"/>
              </w:rPr>
              <w:t>397</w:t>
            </w:r>
            <w:r w:rsidR="0008770D">
              <w:rPr>
                <w:rFonts w:ascii="Arial" w:hAnsi="Arial"/>
                <w:sz w:val="20"/>
              </w:rPr>
              <w:t>6, 3977</w:t>
            </w:r>
            <w:r w:rsidR="002F72B7">
              <w:rPr>
                <w:rFonts w:ascii="Arial" w:hAnsi="Arial"/>
                <w:sz w:val="20"/>
              </w:rPr>
              <w:t xml:space="preserve"> (Cranbourne North), </w:t>
            </w:r>
            <w:r w:rsidR="00FD0B3E">
              <w:rPr>
                <w:rFonts w:ascii="Arial" w:hAnsi="Arial"/>
                <w:sz w:val="20"/>
              </w:rPr>
              <w:t xml:space="preserve">3978, </w:t>
            </w:r>
            <w:r w:rsidR="002F72B7">
              <w:rPr>
                <w:rFonts w:ascii="Arial" w:hAnsi="Arial"/>
                <w:sz w:val="20"/>
              </w:rPr>
              <w:t>3981</w:t>
            </w:r>
            <w:r w:rsidR="00217D88">
              <w:rPr>
                <w:rFonts w:ascii="Arial" w:hAnsi="Arial"/>
                <w:sz w:val="20"/>
              </w:rPr>
              <w:t>–</w:t>
            </w:r>
            <w:r w:rsidR="002F72B7">
              <w:rPr>
                <w:rFonts w:ascii="Arial" w:hAnsi="Arial"/>
                <w:sz w:val="20"/>
              </w:rPr>
              <w:t>3984</w:t>
            </w:r>
          </w:p>
        </w:tc>
        <w:tc>
          <w:tcPr>
            <w:tcW w:w="1706" w:type="dxa"/>
            <w:hideMark/>
          </w:tcPr>
          <w:p w14:paraId="34BBA839" w14:textId="084313EA" w:rsidR="004F440A" w:rsidRPr="00150904" w:rsidRDefault="004F440A" w:rsidP="000274EC">
            <w:pPr>
              <w:jc w:val="center"/>
              <w:rPr>
                <w:rFonts w:ascii="Arial" w:hAnsi="Arial"/>
                <w:b/>
                <w:bCs/>
                <w:sz w:val="20"/>
              </w:rPr>
            </w:pPr>
            <w:r w:rsidRPr="00150904">
              <w:rPr>
                <w:rFonts w:ascii="Arial" w:hAnsi="Arial"/>
                <w:b/>
                <w:bCs/>
                <w:sz w:val="20"/>
              </w:rPr>
              <w:t>Dandenong</w:t>
            </w:r>
          </w:p>
        </w:tc>
        <w:tc>
          <w:tcPr>
            <w:tcW w:w="1706" w:type="dxa"/>
            <w:shd w:val="clear" w:color="auto" w:fill="BDD6EE" w:themeFill="accent5" w:themeFillTint="66"/>
            <w:hideMark/>
          </w:tcPr>
          <w:p w14:paraId="1E315C24" w14:textId="77777777" w:rsidR="004F440A" w:rsidRPr="00150904" w:rsidRDefault="004F440A" w:rsidP="000274EC">
            <w:pPr>
              <w:jc w:val="center"/>
              <w:rPr>
                <w:rFonts w:ascii="Arial" w:hAnsi="Arial"/>
                <w:b/>
                <w:bCs/>
                <w:sz w:val="20"/>
              </w:rPr>
            </w:pPr>
            <w:r w:rsidRPr="00150904">
              <w:rPr>
                <w:rFonts w:ascii="Arial" w:hAnsi="Arial"/>
                <w:b/>
                <w:bCs/>
                <w:sz w:val="20"/>
              </w:rPr>
              <w:t>Dandenong</w:t>
            </w:r>
          </w:p>
        </w:tc>
        <w:tc>
          <w:tcPr>
            <w:tcW w:w="1531" w:type="dxa"/>
            <w:shd w:val="clear" w:color="auto" w:fill="BDD6EE" w:themeFill="accent5" w:themeFillTint="66"/>
            <w:hideMark/>
          </w:tcPr>
          <w:p w14:paraId="66A884DA" w14:textId="77777777" w:rsidR="004F440A" w:rsidRPr="00150904" w:rsidRDefault="004F440A" w:rsidP="000274EC">
            <w:pPr>
              <w:jc w:val="center"/>
              <w:rPr>
                <w:rFonts w:ascii="Arial" w:hAnsi="Arial"/>
                <w:b/>
                <w:bCs/>
                <w:sz w:val="20"/>
              </w:rPr>
            </w:pPr>
            <w:r w:rsidRPr="00150904">
              <w:rPr>
                <w:rFonts w:ascii="Arial" w:hAnsi="Arial"/>
                <w:b/>
                <w:bCs/>
                <w:sz w:val="20"/>
              </w:rPr>
              <w:t>Dandenong</w:t>
            </w:r>
          </w:p>
        </w:tc>
      </w:tr>
    </w:tbl>
    <w:p w14:paraId="0493993E" w14:textId="77777777" w:rsidR="006D439A" w:rsidRDefault="006D439A" w:rsidP="00DD13C2">
      <w:pPr>
        <w:ind w:left="-57"/>
        <w:jc w:val="both"/>
        <w:rPr>
          <w:rFonts w:ascii="Arial" w:hAnsi="Arial" w:cs="Arial"/>
          <w:sz w:val="20"/>
        </w:rPr>
      </w:pPr>
    </w:p>
    <w:p w14:paraId="1BCA3659" w14:textId="5858B490" w:rsidR="00277B85" w:rsidRDefault="00277B85" w:rsidP="00895060">
      <w:pPr>
        <w:jc w:val="both"/>
        <w:rPr>
          <w:rFonts w:ascii="Arial" w:hAnsi="Arial" w:cs="Arial"/>
          <w:sz w:val="20"/>
        </w:rPr>
      </w:pPr>
      <w:r>
        <w:rPr>
          <w:rFonts w:ascii="Arial" w:hAnsi="Arial" w:cs="Arial"/>
          <w:sz w:val="20"/>
        </w:rPr>
        <w:lastRenderedPageBreak/>
        <w:t xml:space="preserve">In addition, </w:t>
      </w:r>
      <w:r w:rsidR="00D56DF6">
        <w:rPr>
          <w:rFonts w:ascii="Arial" w:hAnsi="Arial" w:cs="Arial"/>
          <w:sz w:val="20"/>
        </w:rPr>
        <w:t xml:space="preserve">all of the </w:t>
      </w:r>
      <w:r>
        <w:rPr>
          <w:rFonts w:ascii="Arial" w:hAnsi="Arial" w:cs="Arial"/>
          <w:sz w:val="20"/>
        </w:rPr>
        <w:t>Melbourne</w:t>
      </w:r>
      <w:r w:rsidR="00D56DF6">
        <w:rPr>
          <w:rFonts w:ascii="Arial" w:hAnsi="Arial" w:cs="Arial"/>
          <w:sz w:val="20"/>
        </w:rPr>
        <w:t>, suburban and regional</w:t>
      </w:r>
      <w:r>
        <w:rPr>
          <w:rFonts w:ascii="Arial" w:hAnsi="Arial" w:cs="Arial"/>
          <w:sz w:val="20"/>
        </w:rPr>
        <w:t xml:space="preserve"> Children's Court</w:t>
      </w:r>
      <w:r w:rsidR="00D56DF6">
        <w:rPr>
          <w:rFonts w:ascii="Arial" w:hAnsi="Arial" w:cs="Arial"/>
          <w:sz w:val="20"/>
        </w:rPr>
        <w:t>s</w:t>
      </w:r>
      <w:r>
        <w:rPr>
          <w:rFonts w:ascii="Arial" w:hAnsi="Arial" w:cs="Arial"/>
          <w:sz w:val="20"/>
        </w:rPr>
        <w:t xml:space="preserve"> and </w:t>
      </w:r>
      <w:r w:rsidR="00D56DF6">
        <w:rPr>
          <w:rFonts w:ascii="Arial" w:hAnsi="Arial" w:cs="Arial"/>
          <w:sz w:val="20"/>
        </w:rPr>
        <w:t>a number</w:t>
      </w:r>
      <w:r>
        <w:rPr>
          <w:rFonts w:ascii="Arial" w:hAnsi="Arial" w:cs="Arial"/>
          <w:sz w:val="20"/>
        </w:rPr>
        <w:t xml:space="preserve"> of the country </w:t>
      </w:r>
      <w:r w:rsidR="00D56DF6">
        <w:rPr>
          <w:rFonts w:ascii="Arial" w:hAnsi="Arial" w:cs="Arial"/>
          <w:sz w:val="20"/>
        </w:rPr>
        <w:t>venues</w:t>
      </w:r>
      <w:r>
        <w:rPr>
          <w:rFonts w:ascii="Arial" w:hAnsi="Arial" w:cs="Arial"/>
          <w:sz w:val="20"/>
        </w:rPr>
        <w:t xml:space="preserve"> are equipped with </w:t>
      </w:r>
      <w:proofErr w:type="gramStart"/>
      <w:r>
        <w:rPr>
          <w:rFonts w:ascii="Arial" w:hAnsi="Arial" w:cs="Arial"/>
          <w:sz w:val="20"/>
        </w:rPr>
        <w:t>video-conferencing</w:t>
      </w:r>
      <w:proofErr w:type="gramEnd"/>
      <w:r>
        <w:rPr>
          <w:rFonts w:ascii="Arial" w:hAnsi="Arial" w:cs="Arial"/>
          <w:sz w:val="20"/>
        </w:rPr>
        <w:t xml:space="preserve"> &amp; remote witness facilities.  These have 2 </w:t>
      </w:r>
      <w:r w:rsidR="001F230B">
        <w:rPr>
          <w:rFonts w:ascii="Arial" w:hAnsi="Arial" w:cs="Arial"/>
          <w:sz w:val="20"/>
        </w:rPr>
        <w:t xml:space="preserve">main </w:t>
      </w:r>
      <w:r>
        <w:rPr>
          <w:rFonts w:ascii="Arial" w:hAnsi="Arial" w:cs="Arial"/>
          <w:sz w:val="20"/>
        </w:rPr>
        <w:t>functions:</w:t>
      </w:r>
    </w:p>
    <w:p w14:paraId="3793B705" w14:textId="01C125F8" w:rsidR="00277B85" w:rsidRDefault="00277B85" w:rsidP="0073729A">
      <w:pPr>
        <w:numPr>
          <w:ilvl w:val="0"/>
          <w:numId w:val="8"/>
        </w:numPr>
        <w:tabs>
          <w:tab w:val="num" w:pos="723"/>
        </w:tabs>
        <w:jc w:val="both"/>
        <w:rPr>
          <w:rFonts w:ascii="Arial" w:hAnsi="Arial" w:cs="Arial"/>
          <w:sz w:val="20"/>
        </w:rPr>
      </w:pPr>
      <w:r>
        <w:rPr>
          <w:rFonts w:ascii="Arial" w:hAnsi="Arial" w:cs="Arial"/>
          <w:color w:val="000000"/>
          <w:sz w:val="20"/>
        </w:rPr>
        <w:t xml:space="preserve">to </w:t>
      </w:r>
      <w:r>
        <w:rPr>
          <w:rFonts w:ascii="Arial" w:hAnsi="Arial" w:cs="Arial"/>
          <w:sz w:val="20"/>
        </w:rPr>
        <w:t xml:space="preserve">allow a </w:t>
      </w:r>
      <w:r w:rsidR="00077D71">
        <w:rPr>
          <w:rFonts w:ascii="Arial" w:hAnsi="Arial" w:cs="Arial"/>
          <w:sz w:val="20"/>
        </w:rPr>
        <w:t>judicial officer</w:t>
      </w:r>
      <w:r>
        <w:rPr>
          <w:rFonts w:ascii="Arial" w:hAnsi="Arial" w:cs="Arial"/>
          <w:sz w:val="20"/>
        </w:rPr>
        <w:t xml:space="preserve"> and/or one or more parties to be in a different location from another party; thus, for instance, a magistrate in Melbourne can preside over a case in which some or all of the parties are in Bendigo;</w:t>
      </w:r>
    </w:p>
    <w:p w14:paraId="38E1079E" w14:textId="368BA56D" w:rsidR="00277B85" w:rsidRDefault="00277B85" w:rsidP="0073729A">
      <w:pPr>
        <w:numPr>
          <w:ilvl w:val="0"/>
          <w:numId w:val="8"/>
        </w:numPr>
        <w:tabs>
          <w:tab w:val="num" w:pos="723"/>
        </w:tabs>
        <w:jc w:val="both"/>
        <w:rPr>
          <w:rFonts w:ascii="Arial" w:hAnsi="Arial" w:cs="Arial"/>
          <w:sz w:val="20"/>
        </w:rPr>
      </w:pPr>
      <w:r>
        <w:rPr>
          <w:rFonts w:ascii="Arial" w:hAnsi="Arial" w:cs="Arial"/>
          <w:sz w:val="20"/>
        </w:rPr>
        <w:t xml:space="preserve">to allow a witness who is in a location remote from the courtroom to give evidence and be cross-examined without coming into the courtroom; there are 2 main situations in which the Court </w:t>
      </w:r>
      <w:r w:rsidR="00077D71">
        <w:rPr>
          <w:rFonts w:ascii="Arial" w:hAnsi="Arial" w:cs="Arial"/>
          <w:sz w:val="20"/>
        </w:rPr>
        <w:t xml:space="preserve">is likely to </w:t>
      </w:r>
      <w:r>
        <w:rPr>
          <w:rFonts w:ascii="Arial" w:hAnsi="Arial" w:cs="Arial"/>
          <w:sz w:val="20"/>
        </w:rPr>
        <w:t>permit this to be used:</w:t>
      </w:r>
    </w:p>
    <w:p w14:paraId="2BEE1935" w14:textId="7CA9D646" w:rsidR="00277B85" w:rsidRDefault="00277B85" w:rsidP="0008770D">
      <w:pPr>
        <w:ind w:left="726" w:hanging="363"/>
        <w:jc w:val="both"/>
        <w:rPr>
          <w:rFonts w:ascii="Arial" w:hAnsi="Arial" w:cs="Arial"/>
          <w:sz w:val="20"/>
        </w:rPr>
      </w:pPr>
      <w:r>
        <w:rPr>
          <w:rFonts w:ascii="Arial" w:hAnsi="Arial" w:cs="Arial"/>
          <w:sz w:val="20"/>
        </w:rPr>
        <w:t>(i)</w:t>
      </w:r>
      <w:r>
        <w:rPr>
          <w:rFonts w:ascii="Arial" w:hAnsi="Arial" w:cs="Arial"/>
          <w:sz w:val="20"/>
        </w:rPr>
        <w:tab/>
        <w:t>where a witness is interstate or overseas or in another town or city</w:t>
      </w:r>
      <w:r w:rsidR="001F230B">
        <w:rPr>
          <w:rFonts w:ascii="Arial" w:hAnsi="Arial" w:cs="Arial"/>
          <w:sz w:val="20"/>
        </w:rPr>
        <w:t>;</w:t>
      </w:r>
    </w:p>
    <w:p w14:paraId="18063432" w14:textId="410D1710" w:rsidR="001F230B" w:rsidRDefault="00277B85">
      <w:pPr>
        <w:ind w:left="726" w:hanging="363"/>
        <w:jc w:val="both"/>
        <w:rPr>
          <w:rFonts w:ascii="Arial" w:hAnsi="Arial" w:cs="Arial"/>
          <w:sz w:val="20"/>
        </w:rPr>
      </w:pPr>
      <w:r>
        <w:rPr>
          <w:rFonts w:ascii="Arial" w:hAnsi="Arial" w:cs="Arial"/>
          <w:sz w:val="20"/>
        </w:rPr>
        <w:t>(ii)</w:t>
      </w:r>
      <w:r>
        <w:rPr>
          <w:rFonts w:ascii="Arial" w:hAnsi="Arial" w:cs="Arial"/>
          <w:sz w:val="20"/>
        </w:rPr>
        <w:tab/>
        <w:t xml:space="preserve">where a witness is in the same town or city but the court orders that, for reasons of convenience, </w:t>
      </w:r>
      <w:r w:rsidR="00C72E5B">
        <w:rPr>
          <w:rFonts w:ascii="Arial" w:hAnsi="Arial" w:cs="Arial"/>
          <w:sz w:val="20"/>
        </w:rPr>
        <w:t>safety</w:t>
      </w:r>
      <w:r>
        <w:rPr>
          <w:rFonts w:ascii="Arial" w:hAnsi="Arial" w:cs="Arial"/>
          <w:sz w:val="20"/>
        </w:rPr>
        <w:t xml:space="preserve"> or protection of the witness, the witness should not be in the same room as a party</w:t>
      </w:r>
      <w:r w:rsidR="001F230B">
        <w:rPr>
          <w:rFonts w:ascii="Arial" w:hAnsi="Arial" w:cs="Arial"/>
          <w:sz w:val="20"/>
        </w:rPr>
        <w:t>.</w:t>
      </w:r>
    </w:p>
    <w:p w14:paraId="6849D3CD" w14:textId="3B81DD18" w:rsidR="00277B85" w:rsidRPr="001F230B" w:rsidRDefault="001F230B" w:rsidP="001F230B">
      <w:pPr>
        <w:jc w:val="both"/>
        <w:rPr>
          <w:rFonts w:ascii="Arial" w:hAnsi="Arial" w:cs="Arial"/>
          <w:sz w:val="16"/>
        </w:rPr>
      </w:pPr>
      <w:r>
        <w:rPr>
          <w:rFonts w:ascii="Arial" w:hAnsi="Arial" w:cs="Arial"/>
          <w:sz w:val="20"/>
        </w:rPr>
        <w:t>S</w:t>
      </w:r>
      <w:r w:rsidR="00277B85">
        <w:rPr>
          <w:rFonts w:ascii="Arial" w:hAnsi="Arial" w:cs="Arial"/>
          <w:sz w:val="20"/>
        </w:rPr>
        <w:t>ee e.g. s</w:t>
      </w:r>
      <w:r>
        <w:rPr>
          <w:rFonts w:ascii="Arial" w:hAnsi="Arial" w:cs="Arial"/>
          <w:sz w:val="20"/>
        </w:rPr>
        <w:t>s</w:t>
      </w:r>
      <w:r w:rsidR="00277B85">
        <w:rPr>
          <w:rFonts w:ascii="Arial" w:hAnsi="Arial" w:cs="Arial"/>
          <w:sz w:val="20"/>
        </w:rPr>
        <w:t>.</w:t>
      </w:r>
      <w:r>
        <w:rPr>
          <w:rFonts w:ascii="Arial" w:hAnsi="Arial" w:cs="Arial"/>
          <w:sz w:val="20"/>
        </w:rPr>
        <w:t xml:space="preserve">42E &amp; 42F </w:t>
      </w:r>
      <w:r w:rsidR="00277B85">
        <w:rPr>
          <w:rFonts w:ascii="Arial" w:hAnsi="Arial" w:cs="Arial"/>
          <w:sz w:val="20"/>
        </w:rPr>
        <w:t xml:space="preserve">of the </w:t>
      </w:r>
      <w:r w:rsidR="00277B85" w:rsidRPr="001F230B">
        <w:rPr>
          <w:rFonts w:ascii="Arial" w:hAnsi="Arial" w:cs="Arial"/>
          <w:i/>
          <w:iCs/>
          <w:sz w:val="20"/>
        </w:rPr>
        <w:t xml:space="preserve">Evidence </w:t>
      </w:r>
      <w:r w:rsidRPr="001F230B">
        <w:rPr>
          <w:rFonts w:ascii="Arial" w:hAnsi="Arial" w:cs="Arial"/>
          <w:i/>
          <w:iCs/>
          <w:sz w:val="20"/>
        </w:rPr>
        <w:t xml:space="preserve">(Miscellaneous Provisions) </w:t>
      </w:r>
      <w:r w:rsidR="00277B85" w:rsidRPr="001F230B">
        <w:rPr>
          <w:rFonts w:ascii="Arial" w:hAnsi="Arial" w:cs="Arial"/>
          <w:i/>
          <w:iCs/>
          <w:sz w:val="20"/>
        </w:rPr>
        <w:t>Act 1958</w:t>
      </w:r>
      <w:r>
        <w:rPr>
          <w:rFonts w:ascii="Arial" w:hAnsi="Arial" w:cs="Arial"/>
          <w:i/>
          <w:iCs/>
          <w:sz w:val="20"/>
        </w:rPr>
        <w:t xml:space="preserve">.  </w:t>
      </w:r>
      <w:r>
        <w:rPr>
          <w:rFonts w:ascii="Arial" w:hAnsi="Arial" w:cs="Arial"/>
          <w:sz w:val="20"/>
        </w:rPr>
        <w:t>In</w:t>
      </w:r>
      <w:r w:rsidRPr="00B97656">
        <w:rPr>
          <w:rFonts w:ascii="Arial" w:hAnsi="Arial" w:cs="Arial"/>
          <w:sz w:val="16"/>
        </w:rPr>
        <w:t xml:space="preserve"> </w:t>
      </w:r>
      <w:r>
        <w:rPr>
          <w:rFonts w:ascii="Arial" w:hAnsi="Arial" w:cs="Arial"/>
          <w:i/>
          <w:sz w:val="20"/>
        </w:rPr>
        <w:t xml:space="preserve">R v Cox &amp; </w:t>
      </w:r>
      <w:proofErr w:type="spellStart"/>
      <w:r>
        <w:rPr>
          <w:rFonts w:ascii="Arial" w:hAnsi="Arial" w:cs="Arial"/>
          <w:i/>
          <w:sz w:val="20"/>
        </w:rPr>
        <w:t>Ors</w:t>
      </w:r>
      <w:proofErr w:type="spellEnd"/>
      <w:r>
        <w:rPr>
          <w:rFonts w:ascii="Arial" w:hAnsi="Arial" w:cs="Arial"/>
          <w:i/>
          <w:sz w:val="20"/>
        </w:rPr>
        <w:t xml:space="preserve"> (Ruling No.6) </w:t>
      </w:r>
      <w:r>
        <w:rPr>
          <w:rFonts w:ascii="Arial" w:hAnsi="Arial" w:cs="Arial"/>
          <w:sz w:val="20"/>
        </w:rPr>
        <w:t>{</w:t>
      </w:r>
      <w:r w:rsidRPr="00727D20">
        <w:rPr>
          <w:rFonts w:ascii="Arial" w:hAnsi="Arial" w:cs="Arial"/>
          <w:sz w:val="20"/>
        </w:rPr>
        <w:t xml:space="preserve">also known as </w:t>
      </w:r>
      <w:r w:rsidRPr="00B97656">
        <w:rPr>
          <w:rFonts w:ascii="Arial" w:hAnsi="Arial" w:cs="Arial"/>
          <w:i/>
          <w:sz w:val="20"/>
        </w:rPr>
        <w:t>R v Cox, Sadler, Ferguson &amp; Ferguson</w:t>
      </w:r>
      <w:r w:rsidRPr="00727D20">
        <w:rPr>
          <w:rFonts w:ascii="Arial" w:hAnsi="Arial" w:cs="Arial"/>
          <w:sz w:val="20"/>
        </w:rPr>
        <w:t>}</w:t>
      </w:r>
      <w:r w:rsidRPr="00B97656">
        <w:rPr>
          <w:rFonts w:ascii="Arial" w:hAnsi="Arial" w:cs="Arial"/>
          <w:sz w:val="16"/>
        </w:rPr>
        <w:t xml:space="preserve"> </w:t>
      </w:r>
      <w:r w:rsidRPr="00B97656">
        <w:rPr>
          <w:rFonts w:ascii="Arial" w:hAnsi="Arial" w:cs="Arial"/>
          <w:sz w:val="20"/>
        </w:rPr>
        <w:t xml:space="preserve">[2005] VSC 364 Kaye J </w:t>
      </w:r>
      <w:r>
        <w:rPr>
          <w:rFonts w:ascii="Arial" w:hAnsi="Arial" w:cs="Arial"/>
          <w:sz w:val="20"/>
        </w:rPr>
        <w:t xml:space="preserve">summarized the </w:t>
      </w:r>
      <w:r w:rsidRPr="00B97656">
        <w:rPr>
          <w:rFonts w:ascii="Arial" w:hAnsi="Arial" w:cs="Arial"/>
          <w:sz w:val="20"/>
          <w:szCs w:val="20"/>
        </w:rPr>
        <w:t xml:space="preserve">principles </w:t>
      </w:r>
      <w:r>
        <w:rPr>
          <w:rFonts w:ascii="Arial" w:hAnsi="Arial" w:cs="Arial"/>
          <w:sz w:val="20"/>
          <w:szCs w:val="20"/>
        </w:rPr>
        <w:t xml:space="preserve">on the application of s.42E </w:t>
      </w:r>
      <w:r w:rsidRPr="00B97656">
        <w:rPr>
          <w:rFonts w:ascii="Arial" w:hAnsi="Arial" w:cs="Arial"/>
          <w:sz w:val="20"/>
          <w:szCs w:val="20"/>
        </w:rPr>
        <w:t xml:space="preserve">which </w:t>
      </w:r>
      <w:r>
        <w:rPr>
          <w:rFonts w:ascii="Arial" w:hAnsi="Arial" w:cs="Arial"/>
          <w:sz w:val="20"/>
          <w:szCs w:val="20"/>
        </w:rPr>
        <w:t xml:space="preserve">he considered </w:t>
      </w:r>
      <w:r w:rsidRPr="00B97656">
        <w:rPr>
          <w:rFonts w:ascii="Arial" w:hAnsi="Arial" w:cs="Arial"/>
          <w:sz w:val="20"/>
          <w:szCs w:val="20"/>
        </w:rPr>
        <w:t>were to be elucidated</w:t>
      </w:r>
      <w:r>
        <w:rPr>
          <w:rFonts w:ascii="Arial" w:hAnsi="Arial" w:cs="Arial"/>
          <w:sz w:val="20"/>
          <w:szCs w:val="20"/>
        </w:rPr>
        <w:t xml:space="preserve"> from the cases of </w:t>
      </w:r>
      <w:r w:rsidRPr="00727D20">
        <w:rPr>
          <w:rFonts w:ascii="Arial" w:hAnsi="Arial" w:cs="Arial"/>
          <w:i/>
          <w:sz w:val="20"/>
          <w:szCs w:val="20"/>
        </w:rPr>
        <w:t>R v Kim</w:t>
      </w:r>
      <w:r w:rsidRPr="00727D20">
        <w:rPr>
          <w:rFonts w:ascii="Arial" w:hAnsi="Arial" w:cs="Arial"/>
          <w:sz w:val="20"/>
          <w:szCs w:val="20"/>
        </w:rPr>
        <w:t xml:space="preserve"> (1998) 104 A Crim R 233, </w:t>
      </w:r>
      <w:r w:rsidRPr="00727D20">
        <w:rPr>
          <w:rFonts w:ascii="Arial" w:hAnsi="Arial" w:cs="Arial"/>
          <w:i/>
          <w:sz w:val="20"/>
          <w:szCs w:val="20"/>
        </w:rPr>
        <w:t>R v Weiss</w:t>
      </w:r>
      <w:r w:rsidRPr="00727D20">
        <w:rPr>
          <w:rFonts w:ascii="Arial" w:hAnsi="Arial" w:cs="Arial"/>
          <w:sz w:val="20"/>
          <w:szCs w:val="20"/>
        </w:rPr>
        <w:t xml:space="preserve"> [2002] VSC 15</w:t>
      </w:r>
      <w:r>
        <w:rPr>
          <w:rFonts w:ascii="Arial" w:hAnsi="Arial" w:cs="Arial"/>
          <w:sz w:val="20"/>
          <w:szCs w:val="20"/>
        </w:rPr>
        <w:t xml:space="preserve"> </w:t>
      </w:r>
      <w:r w:rsidRPr="00727D20">
        <w:rPr>
          <w:rFonts w:ascii="Arial" w:hAnsi="Arial" w:cs="Arial"/>
          <w:sz w:val="20"/>
          <w:szCs w:val="20"/>
        </w:rPr>
        <w:t xml:space="preserve">&amp; </w:t>
      </w:r>
      <w:r w:rsidRPr="00727D20">
        <w:rPr>
          <w:rFonts w:ascii="Arial" w:hAnsi="Arial" w:cs="Arial"/>
          <w:i/>
          <w:sz w:val="20"/>
          <w:szCs w:val="20"/>
        </w:rPr>
        <w:t>R v Strawhorn</w:t>
      </w:r>
      <w:r w:rsidRPr="00727D20">
        <w:rPr>
          <w:rFonts w:ascii="Arial" w:hAnsi="Arial" w:cs="Arial"/>
          <w:sz w:val="20"/>
          <w:szCs w:val="20"/>
        </w:rPr>
        <w:t xml:space="preserve"> </w:t>
      </w:r>
      <w:r w:rsidRPr="001F230B">
        <w:rPr>
          <w:rFonts w:ascii="Arial" w:hAnsi="Arial" w:cs="Arial"/>
          <w:sz w:val="20"/>
          <w:szCs w:val="20"/>
        </w:rPr>
        <w:t xml:space="preserve">[2004] VSC 415.  In </w:t>
      </w:r>
      <w:r w:rsidR="00277B85" w:rsidRPr="001F230B">
        <w:rPr>
          <w:rFonts w:ascii="Arial" w:hAnsi="Arial" w:cs="Arial"/>
          <w:i/>
          <w:iCs/>
          <w:sz w:val="20"/>
          <w:szCs w:val="20"/>
        </w:rPr>
        <w:t>R v Goldman</w:t>
      </w:r>
      <w:r w:rsidR="00277B85" w:rsidRPr="001F230B">
        <w:rPr>
          <w:rFonts w:ascii="Arial" w:hAnsi="Arial" w:cs="Arial"/>
          <w:sz w:val="20"/>
          <w:szCs w:val="20"/>
        </w:rPr>
        <w:t xml:space="preserve"> [2004] VSC 165 Redlich J traced the genesis of the</w:t>
      </w:r>
      <w:r w:rsidR="00277B85">
        <w:rPr>
          <w:rFonts w:ascii="Arial" w:hAnsi="Arial" w:cs="Arial"/>
          <w:sz w:val="20"/>
        </w:rPr>
        <w:t xml:space="preserve"> legislation and analysed a large number of relevant cases </w:t>
      </w:r>
      <w:r>
        <w:rPr>
          <w:rFonts w:ascii="Arial" w:hAnsi="Arial" w:cs="Arial"/>
          <w:sz w:val="20"/>
        </w:rPr>
        <w:t>–</w:t>
      </w:r>
      <w:r w:rsidR="00277B85">
        <w:rPr>
          <w:rFonts w:ascii="Arial" w:hAnsi="Arial" w:cs="Arial"/>
          <w:sz w:val="20"/>
        </w:rPr>
        <w:t xml:space="preserve"> Victorian,</w:t>
      </w:r>
      <w:r>
        <w:rPr>
          <w:rFonts w:ascii="Arial" w:hAnsi="Arial" w:cs="Arial"/>
          <w:sz w:val="20"/>
        </w:rPr>
        <w:t xml:space="preserve"> </w:t>
      </w:r>
      <w:r w:rsidR="00277B85">
        <w:rPr>
          <w:rFonts w:ascii="Arial" w:hAnsi="Arial" w:cs="Arial"/>
          <w:sz w:val="20"/>
        </w:rPr>
        <w:t xml:space="preserve">Australian &amp; foreign </w:t>
      </w:r>
      <w:r>
        <w:rPr>
          <w:rFonts w:ascii="Arial" w:hAnsi="Arial" w:cs="Arial"/>
          <w:sz w:val="20"/>
        </w:rPr>
        <w:t>–</w:t>
      </w:r>
      <w:r w:rsidR="00277B85">
        <w:rPr>
          <w:rFonts w:ascii="Arial" w:hAnsi="Arial" w:cs="Arial"/>
          <w:sz w:val="20"/>
        </w:rPr>
        <w:t xml:space="preserve"> before</w:t>
      </w:r>
      <w:r>
        <w:rPr>
          <w:rFonts w:ascii="Arial" w:hAnsi="Arial" w:cs="Arial"/>
          <w:sz w:val="20"/>
        </w:rPr>
        <w:t xml:space="preserve"> </w:t>
      </w:r>
      <w:r w:rsidR="00277B85">
        <w:rPr>
          <w:rFonts w:ascii="Arial" w:hAnsi="Arial" w:cs="Arial"/>
          <w:sz w:val="20"/>
        </w:rPr>
        <w:t>concluding at [32] that: "The accused's right to confrontation and the forensic advantages that may flow therefrom needs to be balanced against the need to protect the witness against the risk of harm."</w:t>
      </w:r>
    </w:p>
    <w:p w14:paraId="77096EED" w14:textId="77777777" w:rsidR="00077D71" w:rsidRPr="000E6664" w:rsidRDefault="00077D71" w:rsidP="00077D71">
      <w:pPr>
        <w:jc w:val="both"/>
        <w:rPr>
          <w:rFonts w:ascii="Arial" w:hAnsi="Arial" w:cs="Arial"/>
          <w:color w:val="000000"/>
          <w:sz w:val="20"/>
        </w:rPr>
      </w:pPr>
    </w:p>
    <w:p w14:paraId="3FF172FF" w14:textId="5BF6662B" w:rsidR="00077D71" w:rsidRDefault="00077D71" w:rsidP="00077D71">
      <w:pPr>
        <w:jc w:val="both"/>
        <w:rPr>
          <w:rFonts w:ascii="Arial" w:hAnsi="Arial" w:cs="Arial"/>
          <w:color w:val="000000"/>
          <w:sz w:val="20"/>
        </w:rPr>
      </w:pPr>
      <w:r w:rsidRPr="000E6664">
        <w:rPr>
          <w:rFonts w:ascii="Arial" w:hAnsi="Arial" w:cs="Arial"/>
          <w:color w:val="000000"/>
          <w:sz w:val="20"/>
        </w:rPr>
        <w:t xml:space="preserve">Melbourne Children's Court is the headquarters of the Children's Court of Victoria.  The President and </w:t>
      </w:r>
      <w:r w:rsidR="00F32C85">
        <w:rPr>
          <w:rFonts w:ascii="Arial" w:hAnsi="Arial" w:cs="Arial"/>
          <w:color w:val="000000"/>
          <w:sz w:val="20"/>
        </w:rPr>
        <w:t>most of the registry staff</w:t>
      </w:r>
      <w:r w:rsidRPr="000E6664">
        <w:rPr>
          <w:rFonts w:ascii="Arial" w:hAnsi="Arial" w:cs="Arial"/>
          <w:color w:val="000000"/>
          <w:sz w:val="20"/>
        </w:rPr>
        <w:t xml:space="preserve"> are located there, as are </w:t>
      </w:r>
      <w:r w:rsidR="00D20874">
        <w:rPr>
          <w:rFonts w:ascii="Arial" w:hAnsi="Arial" w:cs="Arial"/>
          <w:color w:val="000000"/>
          <w:sz w:val="20"/>
        </w:rPr>
        <w:t>19</w:t>
      </w:r>
      <w:r w:rsidR="0031701F">
        <w:rPr>
          <w:rFonts w:ascii="Arial" w:hAnsi="Arial" w:cs="Arial"/>
          <w:color w:val="000000"/>
          <w:sz w:val="20"/>
        </w:rPr>
        <w:t xml:space="preserve"> </w:t>
      </w:r>
      <w:r w:rsidRPr="000E6664">
        <w:rPr>
          <w:rFonts w:ascii="Arial" w:hAnsi="Arial" w:cs="Arial"/>
          <w:color w:val="000000"/>
          <w:sz w:val="20"/>
        </w:rPr>
        <w:t xml:space="preserve">magistrates and </w:t>
      </w:r>
      <w:r w:rsidR="0031701F">
        <w:rPr>
          <w:rFonts w:ascii="Arial" w:hAnsi="Arial" w:cs="Arial"/>
          <w:color w:val="000000"/>
          <w:sz w:val="20"/>
        </w:rPr>
        <w:t>4</w:t>
      </w:r>
      <w:r w:rsidRPr="000E6664">
        <w:rPr>
          <w:rFonts w:ascii="Arial" w:hAnsi="Arial" w:cs="Arial"/>
          <w:color w:val="000000"/>
          <w:sz w:val="20"/>
        </w:rPr>
        <w:t xml:space="preserve"> reserve magistrate</w:t>
      </w:r>
      <w:r>
        <w:rPr>
          <w:rFonts w:ascii="Arial" w:hAnsi="Arial" w:cs="Arial"/>
          <w:color w:val="000000"/>
          <w:sz w:val="20"/>
        </w:rPr>
        <w:t>s</w:t>
      </w:r>
      <w:r w:rsidRPr="000E6664">
        <w:rPr>
          <w:rFonts w:ascii="Arial" w:hAnsi="Arial" w:cs="Arial"/>
          <w:color w:val="000000"/>
          <w:sz w:val="20"/>
        </w:rPr>
        <w:t xml:space="preserve"> who are currently assigned to the Children's Court.  </w:t>
      </w:r>
      <w:r>
        <w:rPr>
          <w:rFonts w:ascii="Arial" w:hAnsi="Arial" w:cs="Arial"/>
          <w:color w:val="000000"/>
          <w:sz w:val="20"/>
        </w:rPr>
        <w:t xml:space="preserve">In addition RCM Dotchin is located at Moorabbin JC and is assisted by </w:t>
      </w:r>
      <w:r w:rsidR="00F32C85">
        <w:rPr>
          <w:rFonts w:ascii="Arial" w:hAnsi="Arial" w:cs="Arial"/>
          <w:color w:val="000000"/>
          <w:sz w:val="20"/>
        </w:rPr>
        <w:t>one</w:t>
      </w:r>
      <w:r>
        <w:rPr>
          <w:rFonts w:ascii="Arial" w:hAnsi="Arial" w:cs="Arial"/>
          <w:color w:val="000000"/>
          <w:sz w:val="20"/>
        </w:rPr>
        <w:t xml:space="preserve"> magistrate.  RCM Macpherson is located at Broadmeadows and is assisted by one magistrate.  </w:t>
      </w:r>
      <w:r w:rsidR="005379C9">
        <w:rPr>
          <w:rFonts w:ascii="Arial" w:hAnsi="Arial" w:cs="Arial"/>
          <w:color w:val="000000"/>
          <w:sz w:val="20"/>
        </w:rPr>
        <w:t xml:space="preserve">RCM Hubble is located at Dandenong and is assisted by one magistrate.  </w:t>
      </w:r>
      <w:r w:rsidR="00632747">
        <w:rPr>
          <w:rFonts w:ascii="Arial" w:hAnsi="Arial" w:cs="Arial"/>
          <w:color w:val="000000"/>
          <w:sz w:val="20"/>
        </w:rPr>
        <w:t>The Children’s Court’s one</w:t>
      </w:r>
      <w:r>
        <w:rPr>
          <w:rFonts w:ascii="Arial" w:hAnsi="Arial" w:cs="Arial"/>
          <w:color w:val="000000"/>
          <w:sz w:val="20"/>
        </w:rPr>
        <w:t xml:space="preserve"> judicial registrar – appointed in May 2021 – </w:t>
      </w:r>
      <w:r w:rsidR="00632747">
        <w:rPr>
          <w:rFonts w:ascii="Arial" w:hAnsi="Arial" w:cs="Arial"/>
          <w:color w:val="000000"/>
          <w:sz w:val="20"/>
        </w:rPr>
        <w:t>is</w:t>
      </w:r>
      <w:r>
        <w:rPr>
          <w:rFonts w:ascii="Arial" w:hAnsi="Arial" w:cs="Arial"/>
          <w:color w:val="000000"/>
          <w:sz w:val="20"/>
        </w:rPr>
        <w:t xml:space="preserve"> located at Melbourne Children’s Court.</w:t>
      </w:r>
    </w:p>
    <w:p w14:paraId="2CD56A4B" w14:textId="77777777" w:rsidR="00077D71" w:rsidRPr="000E6664" w:rsidRDefault="00077D71" w:rsidP="00077D71">
      <w:pPr>
        <w:jc w:val="both"/>
        <w:rPr>
          <w:rFonts w:ascii="Arial" w:hAnsi="Arial" w:cs="Arial"/>
          <w:color w:val="000000"/>
          <w:sz w:val="20"/>
        </w:rPr>
      </w:pPr>
    </w:p>
    <w:p w14:paraId="2DB8C2D5" w14:textId="3DA89072" w:rsidR="00CC13FB" w:rsidRDefault="00077D71" w:rsidP="00077D71">
      <w:pPr>
        <w:jc w:val="both"/>
        <w:rPr>
          <w:rFonts w:ascii="Arial" w:hAnsi="Arial" w:cs="Arial"/>
          <w:sz w:val="20"/>
        </w:rPr>
      </w:pPr>
      <w:r>
        <w:rPr>
          <w:rFonts w:ascii="Arial" w:hAnsi="Arial" w:cs="Arial"/>
          <w:sz w:val="20"/>
        </w:rPr>
        <w:t>At country &amp; regional locations</w:t>
      </w:r>
      <w:r w:rsidR="003C2984">
        <w:rPr>
          <w:rFonts w:ascii="Arial" w:hAnsi="Arial" w:cs="Arial"/>
          <w:sz w:val="20"/>
        </w:rPr>
        <w:t xml:space="preserve"> other than Shepparton</w:t>
      </w:r>
      <w:r>
        <w:rPr>
          <w:rFonts w:ascii="Arial" w:hAnsi="Arial" w:cs="Arial"/>
          <w:sz w:val="20"/>
        </w:rPr>
        <w:t xml:space="preserve">, a magistrate assigned to that court generally hears cases in the Children's Court in addition to his or her other duties in the Magistrates' Court.  However, </w:t>
      </w:r>
      <w:r w:rsidR="00CC13FB">
        <w:rPr>
          <w:rFonts w:ascii="Arial" w:hAnsi="Arial" w:cs="Arial"/>
          <w:sz w:val="20"/>
        </w:rPr>
        <w:t>in country &amp; regional locations</w:t>
      </w:r>
      <w:r w:rsidR="006835EC">
        <w:rPr>
          <w:rFonts w:ascii="Arial" w:hAnsi="Arial" w:cs="Arial"/>
          <w:sz w:val="20"/>
        </w:rPr>
        <w:t>,</w:t>
      </w:r>
      <w:r w:rsidR="00CC13FB">
        <w:rPr>
          <w:rFonts w:ascii="Arial" w:hAnsi="Arial" w:cs="Arial"/>
          <w:sz w:val="20"/>
        </w:rPr>
        <w:t xml:space="preserve"> </w:t>
      </w:r>
      <w:r w:rsidR="004E6875">
        <w:rPr>
          <w:rFonts w:ascii="Arial" w:hAnsi="Arial" w:cs="Arial"/>
          <w:sz w:val="20"/>
        </w:rPr>
        <w:t xml:space="preserve">final contested Family Division hearings listed for </w:t>
      </w:r>
      <w:r w:rsidR="00CC13FB">
        <w:rPr>
          <w:rFonts w:ascii="Arial" w:hAnsi="Arial" w:cs="Arial"/>
          <w:sz w:val="20"/>
        </w:rPr>
        <w:t>3 days or more</w:t>
      </w:r>
      <w:r w:rsidR="004E6875">
        <w:rPr>
          <w:rFonts w:ascii="Arial" w:hAnsi="Arial" w:cs="Arial"/>
          <w:sz w:val="20"/>
        </w:rPr>
        <w:t xml:space="preserve"> are generally heard by </w:t>
      </w:r>
      <w:r w:rsidR="00CF10A9">
        <w:rPr>
          <w:rFonts w:ascii="Arial" w:hAnsi="Arial" w:cs="Arial"/>
          <w:sz w:val="20"/>
        </w:rPr>
        <w:t>a magistrate from</w:t>
      </w:r>
      <w:r w:rsidR="004E6875">
        <w:rPr>
          <w:rFonts w:ascii="Arial" w:hAnsi="Arial" w:cs="Arial"/>
          <w:sz w:val="20"/>
        </w:rPr>
        <w:t xml:space="preserve"> Melbourne Children’s Court.  </w:t>
      </w:r>
      <w:r w:rsidR="00CC13FB">
        <w:rPr>
          <w:rFonts w:ascii="Arial" w:hAnsi="Arial" w:cs="Arial"/>
          <w:sz w:val="20"/>
        </w:rPr>
        <w:t>At</w:t>
      </w:r>
      <w:r w:rsidR="0089405F">
        <w:rPr>
          <w:rFonts w:ascii="Arial" w:hAnsi="Arial" w:cs="Arial"/>
          <w:sz w:val="20"/>
        </w:rPr>
        <w:t xml:space="preserve"> </w:t>
      </w:r>
      <w:r w:rsidR="00CC13FB">
        <w:rPr>
          <w:rFonts w:ascii="Arial" w:hAnsi="Arial" w:cs="Arial"/>
          <w:sz w:val="20"/>
        </w:rPr>
        <w:t>Shepparton Children’s Court a Melbourne Children’s Court magistrate sits on Thursday/Friday to hear Children’s Court cases.</w:t>
      </w:r>
    </w:p>
    <w:p w14:paraId="26FBA5E5" w14:textId="77777777" w:rsidR="00CC13FB" w:rsidRDefault="00CC13FB" w:rsidP="00077D71">
      <w:pPr>
        <w:jc w:val="both"/>
        <w:rPr>
          <w:rFonts w:ascii="Arial" w:hAnsi="Arial" w:cs="Arial"/>
          <w:sz w:val="20"/>
        </w:rPr>
      </w:pPr>
    </w:p>
    <w:p w14:paraId="125B87EE" w14:textId="34DC481A" w:rsidR="00077D71" w:rsidRDefault="00077D71" w:rsidP="00077D71">
      <w:pPr>
        <w:jc w:val="both"/>
        <w:rPr>
          <w:rFonts w:ascii="Arial" w:hAnsi="Arial" w:cs="Arial"/>
          <w:sz w:val="20"/>
        </w:rPr>
      </w:pPr>
      <w:r>
        <w:rPr>
          <w:rFonts w:ascii="Arial" w:hAnsi="Arial" w:cs="Arial"/>
          <w:sz w:val="20"/>
        </w:rPr>
        <w:t>In addition, contested suburban criminal cases of more than 1 day's duration are</w:t>
      </w:r>
      <w:r w:rsidR="00CC13FB">
        <w:rPr>
          <w:rFonts w:ascii="Arial" w:hAnsi="Arial" w:cs="Arial"/>
          <w:sz w:val="20"/>
        </w:rPr>
        <w:t xml:space="preserve"> generally</w:t>
      </w:r>
      <w:r>
        <w:rPr>
          <w:rFonts w:ascii="Arial" w:hAnsi="Arial" w:cs="Arial"/>
          <w:sz w:val="20"/>
        </w:rPr>
        <w:t xml:space="preserve"> hear</w:t>
      </w:r>
      <w:r w:rsidR="00FC30E9">
        <w:rPr>
          <w:rFonts w:ascii="Arial" w:hAnsi="Arial" w:cs="Arial"/>
          <w:sz w:val="20"/>
        </w:rPr>
        <w:t>d by the</w:t>
      </w:r>
      <w:r>
        <w:rPr>
          <w:rFonts w:ascii="Arial" w:hAnsi="Arial" w:cs="Arial"/>
          <w:sz w:val="20"/>
        </w:rPr>
        <w:t xml:space="preserve"> Melbourne Children's Court, albeit at the discretion of the coordinators of both courts.</w:t>
      </w:r>
    </w:p>
    <w:p w14:paraId="2BD10AE9" w14:textId="77777777" w:rsidR="00077D71" w:rsidRDefault="00077D71" w:rsidP="00077D71">
      <w:pPr>
        <w:jc w:val="both"/>
        <w:rPr>
          <w:rFonts w:ascii="Arial" w:hAnsi="Arial" w:cs="Arial"/>
          <w:sz w:val="20"/>
        </w:rPr>
      </w:pPr>
    </w:p>
    <w:p w14:paraId="14F16A2C" w14:textId="26B93EE8" w:rsidR="00C23CF0" w:rsidRDefault="00C23CF0" w:rsidP="00C23CF0">
      <w:pPr>
        <w:jc w:val="both"/>
        <w:rPr>
          <w:rFonts w:ascii="Arial" w:hAnsi="Arial" w:cs="Arial"/>
          <w:sz w:val="20"/>
        </w:rPr>
      </w:pPr>
      <w:bookmarkStart w:id="323" w:name="_Hlk144738638"/>
      <w:r>
        <w:rPr>
          <w:rFonts w:ascii="Arial" w:hAnsi="Arial" w:cs="Arial"/>
          <w:sz w:val="20"/>
        </w:rPr>
        <w:t xml:space="preserve">In its second interim report – </w:t>
      </w:r>
      <w:hyperlink r:id="rId9" w:history="1">
        <w:r w:rsidRPr="001851B4">
          <w:rPr>
            <w:rStyle w:val="Hyperlink"/>
            <w:rFonts w:ascii="Arial" w:hAnsi="Arial" w:cs="Arial"/>
            <w:sz w:val="20"/>
          </w:rPr>
          <w:t>Report into Victoria’s Child Protection and Criminal Justice Systems</w:t>
        </w:r>
      </w:hyperlink>
      <w:r>
        <w:rPr>
          <w:rFonts w:ascii="Arial" w:hAnsi="Arial" w:cs="Arial"/>
          <w:sz w:val="20"/>
        </w:rPr>
        <w:t xml:space="preserve"> – tabled on 04/09/2023</w:t>
      </w:r>
      <w:r w:rsidR="001471CA">
        <w:rPr>
          <w:rFonts w:ascii="Arial" w:hAnsi="Arial" w:cs="Arial"/>
          <w:sz w:val="20"/>
        </w:rPr>
        <w:t>,</w:t>
      </w:r>
      <w:r>
        <w:rPr>
          <w:rFonts w:ascii="Arial" w:hAnsi="Arial" w:cs="Arial"/>
          <w:sz w:val="20"/>
        </w:rPr>
        <w:t xml:space="preserve"> the Yoorrook Justice Commission </w:t>
      </w:r>
      <w:bookmarkEnd w:id="323"/>
      <w:r w:rsidRPr="00BA3401">
        <w:rPr>
          <w:rFonts w:ascii="Arial" w:hAnsi="Arial" w:cs="Arial"/>
          <w:sz w:val="20"/>
        </w:rPr>
        <w:t>ma</w:t>
      </w:r>
      <w:r>
        <w:rPr>
          <w:rFonts w:ascii="Arial" w:hAnsi="Arial" w:cs="Arial"/>
          <w:sz w:val="20"/>
        </w:rPr>
        <w:t>de</w:t>
      </w:r>
      <w:r w:rsidRPr="00BA3401">
        <w:rPr>
          <w:rFonts w:ascii="Arial" w:hAnsi="Arial" w:cs="Arial"/>
          <w:sz w:val="20"/>
        </w:rPr>
        <w:t xml:space="preserve"> 46 recommendations</w:t>
      </w:r>
      <w:r>
        <w:rPr>
          <w:rFonts w:ascii="Arial" w:hAnsi="Arial" w:cs="Arial"/>
          <w:sz w:val="20"/>
        </w:rPr>
        <w:t xml:space="preserve"> </w:t>
      </w:r>
      <w:r w:rsidRPr="00BA3401">
        <w:rPr>
          <w:rFonts w:ascii="Arial" w:hAnsi="Arial" w:cs="Arial"/>
          <w:sz w:val="20"/>
        </w:rPr>
        <w:t xml:space="preserve">for </w:t>
      </w:r>
      <w:r>
        <w:rPr>
          <w:rFonts w:ascii="Arial" w:hAnsi="Arial" w:cs="Arial"/>
          <w:sz w:val="20"/>
        </w:rPr>
        <w:t xml:space="preserve">legislative and general system </w:t>
      </w:r>
      <w:r w:rsidRPr="00BA3401">
        <w:rPr>
          <w:rFonts w:ascii="Arial" w:hAnsi="Arial" w:cs="Arial"/>
          <w:sz w:val="20"/>
        </w:rPr>
        <w:t>reform</w:t>
      </w:r>
      <w:r>
        <w:rPr>
          <w:rFonts w:ascii="Arial" w:hAnsi="Arial" w:cs="Arial"/>
          <w:sz w:val="20"/>
        </w:rPr>
        <w:t xml:space="preserve">.  </w:t>
      </w:r>
      <w:proofErr w:type="spellStart"/>
      <w:r>
        <w:rPr>
          <w:rFonts w:ascii="Arial" w:hAnsi="Arial" w:cs="Arial"/>
          <w:sz w:val="20"/>
        </w:rPr>
        <w:t>Yoorrook’s</w:t>
      </w:r>
      <w:proofErr w:type="spellEnd"/>
      <w:r>
        <w:rPr>
          <w:rFonts w:ascii="Arial" w:hAnsi="Arial" w:cs="Arial"/>
          <w:sz w:val="20"/>
        </w:rPr>
        <w:t xml:space="preserve"> recommendation 18 </w:t>
      </w:r>
      <w:r w:rsidR="001471CA">
        <w:rPr>
          <w:rFonts w:ascii="Arial" w:hAnsi="Arial" w:cs="Arial"/>
          <w:sz w:val="20"/>
        </w:rPr>
        <w:t>is</w:t>
      </w:r>
      <w:r>
        <w:rPr>
          <w:rFonts w:ascii="Arial" w:hAnsi="Arial" w:cs="Arial"/>
          <w:sz w:val="20"/>
        </w:rPr>
        <w:t>:</w:t>
      </w:r>
    </w:p>
    <w:p w14:paraId="69BFADC5" w14:textId="419FD0D1" w:rsidR="00C23CF0" w:rsidRPr="00C23CF0" w:rsidRDefault="00C23CF0" w:rsidP="001471CA">
      <w:pPr>
        <w:pStyle w:val="ListParagraph"/>
        <w:numPr>
          <w:ilvl w:val="0"/>
          <w:numId w:val="39"/>
        </w:numPr>
        <w:spacing w:before="60"/>
        <w:ind w:left="357" w:hanging="357"/>
        <w:jc w:val="both"/>
        <w:rPr>
          <w:rFonts w:ascii="Arial" w:hAnsi="Arial" w:cs="Arial"/>
          <w:sz w:val="20"/>
        </w:rPr>
      </w:pPr>
      <w:r w:rsidRPr="00C23CF0">
        <w:rPr>
          <w:rFonts w:ascii="Arial" w:hAnsi="Arial" w:cs="Arial"/>
          <w:sz w:val="20"/>
        </w:rPr>
        <w:t>The Victorian Government must:</w:t>
      </w:r>
    </w:p>
    <w:p w14:paraId="797A5D31" w14:textId="1CBAFCC0" w:rsidR="00C23CF0" w:rsidRPr="001471CA" w:rsidRDefault="00C23CF0" w:rsidP="001471CA">
      <w:pPr>
        <w:pStyle w:val="ListParagraph"/>
        <w:numPr>
          <w:ilvl w:val="0"/>
          <w:numId w:val="40"/>
        </w:numPr>
        <w:contextualSpacing/>
        <w:jc w:val="both"/>
        <w:rPr>
          <w:rFonts w:ascii="Arial" w:hAnsi="Arial" w:cs="Arial"/>
          <w:sz w:val="20"/>
        </w:rPr>
      </w:pPr>
      <w:r w:rsidRPr="001471CA">
        <w:rPr>
          <w:rFonts w:ascii="Arial" w:hAnsi="Arial" w:cs="Arial"/>
          <w:sz w:val="20"/>
        </w:rPr>
        <w:t>ensure Children’s Court of Victoria judicial officers determine child protection matters state-wide; and</w:t>
      </w:r>
    </w:p>
    <w:p w14:paraId="56F49ABD" w14:textId="6B77D3C1" w:rsidR="00C23CF0" w:rsidRPr="001471CA" w:rsidRDefault="00C23CF0" w:rsidP="001471CA">
      <w:pPr>
        <w:pStyle w:val="ListParagraph"/>
        <w:numPr>
          <w:ilvl w:val="0"/>
          <w:numId w:val="40"/>
        </w:numPr>
        <w:spacing w:before="60"/>
        <w:contextualSpacing/>
        <w:jc w:val="both"/>
        <w:rPr>
          <w:rFonts w:ascii="Arial" w:hAnsi="Arial" w:cs="Arial"/>
          <w:sz w:val="20"/>
        </w:rPr>
      </w:pPr>
      <w:r w:rsidRPr="001471CA">
        <w:rPr>
          <w:rFonts w:ascii="Arial" w:hAnsi="Arial" w:cs="Arial"/>
          <w:sz w:val="20"/>
        </w:rPr>
        <w:t>abolish the current practice of having non-specialist magistrates determining child protection matters in some rural and regional court locations.</w:t>
      </w:r>
    </w:p>
    <w:p w14:paraId="06F00FDF" w14:textId="423DB058" w:rsidR="00C23CF0" w:rsidRDefault="00C23CF0" w:rsidP="00C23CF0">
      <w:pPr>
        <w:spacing w:before="60"/>
        <w:jc w:val="both"/>
        <w:rPr>
          <w:rFonts w:ascii="Arial" w:hAnsi="Arial" w:cs="Arial"/>
          <w:sz w:val="20"/>
        </w:rPr>
      </w:pPr>
      <w:r>
        <w:rPr>
          <w:rFonts w:ascii="Arial" w:hAnsi="Arial" w:cs="Arial"/>
          <w:sz w:val="20"/>
        </w:rPr>
        <w:t>The reasons for th</w:t>
      </w:r>
      <w:r w:rsidR="001471CA">
        <w:rPr>
          <w:rFonts w:ascii="Arial" w:hAnsi="Arial" w:cs="Arial"/>
          <w:sz w:val="20"/>
        </w:rPr>
        <w:t>is</w:t>
      </w:r>
      <w:r>
        <w:rPr>
          <w:rFonts w:ascii="Arial" w:hAnsi="Arial" w:cs="Arial"/>
          <w:sz w:val="20"/>
        </w:rPr>
        <w:t xml:space="preserve"> recommendation </w:t>
      </w:r>
      <w:r w:rsidR="005B7359">
        <w:rPr>
          <w:rFonts w:ascii="Arial" w:hAnsi="Arial" w:cs="Arial"/>
          <w:sz w:val="20"/>
        </w:rPr>
        <w:t xml:space="preserve">together with the reasons for recommendation 19 – the expansion of the Marram-Ngala </w:t>
      </w:r>
      <w:proofErr w:type="spellStart"/>
      <w:r w:rsidR="005B7359">
        <w:rPr>
          <w:rFonts w:ascii="Arial" w:hAnsi="Arial" w:cs="Arial"/>
          <w:sz w:val="20"/>
        </w:rPr>
        <w:t>Ganbu</w:t>
      </w:r>
      <w:proofErr w:type="spellEnd"/>
      <w:r w:rsidR="005B7359">
        <w:rPr>
          <w:rFonts w:ascii="Arial" w:hAnsi="Arial" w:cs="Arial"/>
          <w:sz w:val="20"/>
        </w:rPr>
        <w:t xml:space="preserve"> (Koori Family Hearing Day) state-wide – </w:t>
      </w:r>
      <w:r>
        <w:rPr>
          <w:rFonts w:ascii="Arial" w:hAnsi="Arial" w:cs="Arial"/>
          <w:sz w:val="20"/>
        </w:rPr>
        <w:t>are</w:t>
      </w:r>
      <w:r w:rsidR="005B7359">
        <w:rPr>
          <w:rFonts w:ascii="Arial" w:hAnsi="Arial" w:cs="Arial"/>
          <w:sz w:val="20"/>
        </w:rPr>
        <w:t xml:space="preserve"> </w:t>
      </w:r>
      <w:r>
        <w:rPr>
          <w:rFonts w:ascii="Arial" w:hAnsi="Arial" w:cs="Arial"/>
          <w:sz w:val="20"/>
        </w:rPr>
        <w:t xml:space="preserve">detailed on pages </w:t>
      </w:r>
      <w:r w:rsidR="005B7359">
        <w:rPr>
          <w:rFonts w:ascii="Arial" w:hAnsi="Arial" w:cs="Arial"/>
          <w:sz w:val="20"/>
        </w:rPr>
        <w:t>163</w:t>
      </w:r>
      <w:r>
        <w:rPr>
          <w:rFonts w:ascii="Arial" w:hAnsi="Arial" w:cs="Arial"/>
          <w:sz w:val="20"/>
        </w:rPr>
        <w:t>-</w:t>
      </w:r>
      <w:r w:rsidR="005B7359">
        <w:rPr>
          <w:rFonts w:ascii="Arial" w:hAnsi="Arial" w:cs="Arial"/>
          <w:sz w:val="20"/>
        </w:rPr>
        <w:t>167</w:t>
      </w:r>
      <w:r>
        <w:rPr>
          <w:rFonts w:ascii="Arial" w:hAnsi="Arial" w:cs="Arial"/>
          <w:sz w:val="20"/>
        </w:rPr>
        <w:t xml:space="preserve"> of the report.</w:t>
      </w:r>
    </w:p>
    <w:p w14:paraId="112AD861" w14:textId="77A615D4" w:rsidR="00C23CF0" w:rsidRDefault="00C23CF0" w:rsidP="00077D71">
      <w:pPr>
        <w:jc w:val="both"/>
        <w:rPr>
          <w:rFonts w:ascii="Arial" w:hAnsi="Arial" w:cs="Arial"/>
          <w:sz w:val="20"/>
        </w:rPr>
      </w:pPr>
    </w:p>
    <w:p w14:paraId="2C3F69BD" w14:textId="1BBEE5DB" w:rsidR="00F843DE" w:rsidRDefault="00F843DE" w:rsidP="00077D71">
      <w:pPr>
        <w:jc w:val="both"/>
        <w:rPr>
          <w:rFonts w:ascii="Arial" w:hAnsi="Arial" w:cs="Arial"/>
          <w:sz w:val="20"/>
        </w:rPr>
      </w:pPr>
      <w:r>
        <w:rPr>
          <w:rFonts w:ascii="Arial" w:hAnsi="Arial" w:cs="Arial"/>
          <w:sz w:val="20"/>
        </w:rPr>
        <w:t>The Victorian government advised in April 2024 that it supported recommendations 18 &amp; 19 in principle.</w:t>
      </w:r>
    </w:p>
    <w:p w14:paraId="7902C327" w14:textId="77777777" w:rsidR="00F843DE" w:rsidRDefault="00F843DE" w:rsidP="00077D71">
      <w:pPr>
        <w:jc w:val="both"/>
        <w:rPr>
          <w:rFonts w:ascii="Arial" w:hAnsi="Arial" w:cs="Arial"/>
          <w:sz w:val="20"/>
        </w:rPr>
      </w:pPr>
    </w:p>
    <w:p w14:paraId="0D9C48BE" w14:textId="0E577234" w:rsidR="00077D71" w:rsidRDefault="00077D71" w:rsidP="00077D71">
      <w:pPr>
        <w:pStyle w:val="Heading3"/>
        <w:keepNext/>
        <w:keepLines/>
        <w:spacing w:after="120" w:line="240" w:lineRule="auto"/>
        <w:rPr>
          <w:rFonts w:ascii="Arial" w:hAnsi="Arial" w:cs="Arial"/>
          <w:b/>
          <w:bCs/>
          <w:sz w:val="20"/>
        </w:rPr>
      </w:pPr>
      <w:bookmarkStart w:id="324" w:name="_2.5.3_Children’s_Court"/>
      <w:bookmarkEnd w:id="324"/>
      <w:r>
        <w:rPr>
          <w:rFonts w:ascii="Arial" w:hAnsi="Arial" w:cs="Arial"/>
          <w:b/>
          <w:bCs/>
          <w:sz w:val="20"/>
        </w:rPr>
        <w:t>2.5.</w:t>
      </w:r>
      <w:r w:rsidR="00827F9A">
        <w:rPr>
          <w:rFonts w:ascii="Arial" w:hAnsi="Arial" w:cs="Arial"/>
          <w:b/>
          <w:bCs/>
          <w:sz w:val="20"/>
        </w:rPr>
        <w:t>3</w:t>
      </w:r>
      <w:r>
        <w:rPr>
          <w:rFonts w:ascii="Arial" w:hAnsi="Arial" w:cs="Arial"/>
          <w:b/>
          <w:bCs/>
          <w:sz w:val="20"/>
        </w:rPr>
        <w:tab/>
        <w:t xml:space="preserve">Children’s Court </w:t>
      </w:r>
      <w:r w:rsidR="001922E5">
        <w:rPr>
          <w:rFonts w:ascii="Arial" w:hAnsi="Arial" w:cs="Arial"/>
          <w:b/>
          <w:bCs/>
          <w:sz w:val="20"/>
        </w:rPr>
        <w:t xml:space="preserve">Weekend </w:t>
      </w:r>
      <w:r>
        <w:rPr>
          <w:rFonts w:ascii="Arial" w:hAnsi="Arial" w:cs="Arial"/>
          <w:b/>
          <w:bCs/>
          <w:sz w:val="20"/>
        </w:rPr>
        <w:t>Online Remand Court [WORC]</w:t>
      </w:r>
    </w:p>
    <w:p w14:paraId="2465E374" w14:textId="29950C50" w:rsidR="009C57A7" w:rsidRDefault="00C0003A">
      <w:pPr>
        <w:jc w:val="both"/>
        <w:rPr>
          <w:rFonts w:ascii="Arial" w:hAnsi="Arial" w:cs="Arial"/>
          <w:color w:val="000000"/>
          <w:sz w:val="20"/>
        </w:rPr>
      </w:pPr>
      <w:r>
        <w:rPr>
          <w:rFonts w:ascii="Arial" w:hAnsi="Arial" w:cs="Arial"/>
          <w:color w:val="000000"/>
          <w:sz w:val="20"/>
        </w:rPr>
        <w:t xml:space="preserve">Commencing on 03/09/2022 a new Children’s Court Weekend Online Remand Court </w:t>
      </w:r>
      <w:r w:rsidR="009B5323">
        <w:rPr>
          <w:rFonts w:ascii="Arial" w:hAnsi="Arial" w:cs="Arial"/>
          <w:color w:val="000000"/>
          <w:sz w:val="20"/>
        </w:rPr>
        <w:t>[</w:t>
      </w:r>
      <w:r>
        <w:rPr>
          <w:rFonts w:ascii="Arial" w:hAnsi="Arial" w:cs="Arial"/>
          <w:color w:val="000000"/>
          <w:sz w:val="20"/>
        </w:rPr>
        <w:t>WORC</w:t>
      </w:r>
      <w:r w:rsidR="009B5323">
        <w:rPr>
          <w:rFonts w:ascii="Arial" w:hAnsi="Arial" w:cs="Arial"/>
          <w:color w:val="000000"/>
          <w:sz w:val="20"/>
        </w:rPr>
        <w:t>]</w:t>
      </w:r>
      <w:r>
        <w:rPr>
          <w:rFonts w:ascii="Arial" w:hAnsi="Arial" w:cs="Arial"/>
          <w:color w:val="000000"/>
          <w:sz w:val="20"/>
        </w:rPr>
        <w:t xml:space="preserve"> </w:t>
      </w:r>
      <w:r w:rsidR="005711EB">
        <w:rPr>
          <w:rFonts w:ascii="Arial" w:hAnsi="Arial" w:cs="Arial"/>
          <w:color w:val="000000"/>
          <w:sz w:val="20"/>
        </w:rPr>
        <w:t>was</w:t>
      </w:r>
      <w:r>
        <w:rPr>
          <w:rFonts w:ascii="Arial" w:hAnsi="Arial" w:cs="Arial"/>
          <w:color w:val="000000"/>
          <w:sz w:val="20"/>
        </w:rPr>
        <w:t xml:space="preserve"> established in the Criminal Division of the Court to hear</w:t>
      </w:r>
      <w:r w:rsidR="007604F0">
        <w:rPr>
          <w:rFonts w:ascii="Arial" w:hAnsi="Arial" w:cs="Arial"/>
          <w:color w:val="000000"/>
          <w:sz w:val="20"/>
        </w:rPr>
        <w:t>–</w:t>
      </w:r>
    </w:p>
    <w:p w14:paraId="16E8AE03" w14:textId="69C40B52" w:rsidR="009C57A7" w:rsidRPr="009C57A7" w:rsidRDefault="00C0003A"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bail and remand applications</w:t>
      </w:r>
      <w:r w:rsidR="009C57A7">
        <w:rPr>
          <w:rFonts w:ascii="Arial" w:hAnsi="Arial" w:cs="Arial"/>
          <w:color w:val="000000"/>
          <w:sz w:val="20"/>
        </w:rPr>
        <w:t>;</w:t>
      </w:r>
    </w:p>
    <w:p w14:paraId="1A23FECE" w14:textId="32C0A916" w:rsidR="009C57A7" w:rsidRPr="002A0A99" w:rsidRDefault="009C57A7"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pleas by remanded children in appropriate cases; and</w:t>
      </w:r>
    </w:p>
    <w:p w14:paraId="0C493343" w14:textId="11DFB9E6" w:rsidR="009C57A7" w:rsidRPr="002A0A99" w:rsidRDefault="00E250AE"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 xml:space="preserve">other appropriate </w:t>
      </w:r>
      <w:r w:rsidR="00E10AB9">
        <w:rPr>
          <w:rFonts w:ascii="Arial" w:hAnsi="Arial" w:cs="Arial"/>
          <w:color w:val="000000"/>
          <w:sz w:val="20"/>
        </w:rPr>
        <w:t xml:space="preserve">Criminal Division </w:t>
      </w:r>
      <w:r>
        <w:rPr>
          <w:rFonts w:ascii="Arial" w:hAnsi="Arial" w:cs="Arial"/>
          <w:color w:val="000000"/>
          <w:sz w:val="20"/>
        </w:rPr>
        <w:t>applications</w:t>
      </w:r>
      <w:r w:rsidR="007604F0">
        <w:rPr>
          <w:rFonts w:ascii="Arial" w:hAnsi="Arial" w:cs="Arial"/>
          <w:color w:val="000000"/>
          <w:sz w:val="20"/>
        </w:rPr>
        <w:t>–</w:t>
      </w:r>
    </w:p>
    <w:p w14:paraId="59D36DBA" w14:textId="109D3026" w:rsidR="00C0003A" w:rsidRDefault="00341113">
      <w:pPr>
        <w:jc w:val="both"/>
        <w:rPr>
          <w:rFonts w:ascii="Arial" w:hAnsi="Arial" w:cs="Arial"/>
          <w:color w:val="000000"/>
          <w:sz w:val="20"/>
        </w:rPr>
      </w:pPr>
      <w:r>
        <w:rPr>
          <w:rFonts w:ascii="Arial" w:hAnsi="Arial" w:cs="Arial"/>
          <w:color w:val="000000"/>
          <w:sz w:val="20"/>
        </w:rPr>
        <w:t xml:space="preserve">online </w:t>
      </w:r>
      <w:r w:rsidR="00C0003A">
        <w:rPr>
          <w:rFonts w:ascii="Arial" w:hAnsi="Arial" w:cs="Arial"/>
          <w:color w:val="000000"/>
          <w:sz w:val="20"/>
        </w:rPr>
        <w:t xml:space="preserve">from across the State.  </w:t>
      </w:r>
      <w:r w:rsidR="00C0003A" w:rsidRPr="00C0003A">
        <w:rPr>
          <w:rFonts w:ascii="Arial" w:hAnsi="Arial" w:cs="Arial"/>
          <w:sz w:val="20"/>
          <w:szCs w:val="20"/>
        </w:rPr>
        <w:t>WORC sit</w:t>
      </w:r>
      <w:r w:rsidR="007604F0">
        <w:rPr>
          <w:rFonts w:ascii="Arial" w:hAnsi="Arial" w:cs="Arial"/>
          <w:sz w:val="20"/>
          <w:szCs w:val="20"/>
        </w:rPr>
        <w:t>s</w:t>
      </w:r>
      <w:r w:rsidR="00C0003A" w:rsidRPr="00C0003A">
        <w:rPr>
          <w:rFonts w:ascii="Arial" w:hAnsi="Arial" w:cs="Arial"/>
          <w:sz w:val="20"/>
          <w:szCs w:val="20"/>
        </w:rPr>
        <w:t xml:space="preserve"> between the hours of 3pm and 9pm on weekends and public holidays (excluding Christmas Day and New Year’s Day).</w:t>
      </w:r>
      <w:r w:rsidR="00E250AE">
        <w:rPr>
          <w:rFonts w:ascii="Arial" w:hAnsi="Arial" w:cs="Arial"/>
          <w:sz w:val="20"/>
          <w:szCs w:val="20"/>
        </w:rPr>
        <w:t xml:space="preserve">  </w:t>
      </w:r>
      <w:r w:rsidR="009C57A7">
        <w:rPr>
          <w:rFonts w:ascii="Arial" w:hAnsi="Arial" w:cs="Arial"/>
          <w:sz w:val="20"/>
          <w:szCs w:val="20"/>
        </w:rPr>
        <w:t xml:space="preserve">Any </w:t>
      </w:r>
      <w:r w:rsidR="001F230B">
        <w:rPr>
          <w:rFonts w:ascii="Arial" w:hAnsi="Arial" w:cs="Arial"/>
          <w:sz w:val="20"/>
          <w:szCs w:val="20"/>
        </w:rPr>
        <w:t xml:space="preserve">part-heard WORC cases </w:t>
      </w:r>
      <w:r w:rsidR="005711EB">
        <w:rPr>
          <w:rFonts w:ascii="Arial" w:hAnsi="Arial" w:cs="Arial"/>
          <w:sz w:val="20"/>
          <w:szCs w:val="20"/>
        </w:rPr>
        <w:t>are</w:t>
      </w:r>
      <w:r w:rsidR="001F230B">
        <w:rPr>
          <w:rFonts w:ascii="Arial" w:hAnsi="Arial" w:cs="Arial"/>
          <w:sz w:val="20"/>
          <w:szCs w:val="20"/>
        </w:rPr>
        <w:t xml:space="preserve"> adjourned at the discretion of the presiding judicial officer.  Any other </w:t>
      </w:r>
      <w:r w:rsidR="009C57A7">
        <w:rPr>
          <w:rFonts w:ascii="Arial" w:hAnsi="Arial" w:cs="Arial"/>
          <w:sz w:val="20"/>
          <w:szCs w:val="20"/>
        </w:rPr>
        <w:t>un</w:t>
      </w:r>
      <w:r w:rsidR="00E250AE">
        <w:rPr>
          <w:rFonts w:ascii="Arial" w:hAnsi="Arial" w:cs="Arial"/>
          <w:sz w:val="20"/>
          <w:szCs w:val="20"/>
        </w:rPr>
        <w:t xml:space="preserve">completed </w:t>
      </w:r>
      <w:r w:rsidR="001F230B">
        <w:rPr>
          <w:rFonts w:ascii="Arial" w:hAnsi="Arial" w:cs="Arial"/>
          <w:sz w:val="20"/>
          <w:szCs w:val="20"/>
        </w:rPr>
        <w:t xml:space="preserve">WORC </w:t>
      </w:r>
      <w:r w:rsidR="00E250AE">
        <w:rPr>
          <w:rFonts w:ascii="Arial" w:hAnsi="Arial" w:cs="Arial"/>
          <w:sz w:val="20"/>
          <w:szCs w:val="20"/>
        </w:rPr>
        <w:t>cases</w:t>
      </w:r>
      <w:r w:rsidR="00E250AE" w:rsidRPr="002A0A99">
        <w:rPr>
          <w:rFonts w:ascii="Arial" w:hAnsi="Arial" w:cs="Arial"/>
          <w:color w:val="000000" w:themeColor="text1"/>
          <w:sz w:val="20"/>
          <w:szCs w:val="20"/>
        </w:rPr>
        <w:t xml:space="preserve"> </w:t>
      </w:r>
      <w:r w:rsidR="005711EB">
        <w:rPr>
          <w:rFonts w:ascii="Arial" w:hAnsi="Arial" w:cs="Arial"/>
          <w:color w:val="000000" w:themeColor="text1"/>
          <w:sz w:val="20"/>
          <w:szCs w:val="20"/>
        </w:rPr>
        <w:t>are</w:t>
      </w:r>
      <w:r w:rsidR="00E250AE" w:rsidRPr="002A0A99">
        <w:rPr>
          <w:rFonts w:ascii="Arial" w:hAnsi="Arial" w:cs="Arial"/>
          <w:color w:val="000000" w:themeColor="text1"/>
          <w:sz w:val="20"/>
          <w:szCs w:val="20"/>
        </w:rPr>
        <w:t xml:space="preserve"> </w:t>
      </w:r>
      <w:r w:rsidR="001A2EA9">
        <w:rPr>
          <w:rFonts w:ascii="Arial" w:hAnsi="Arial" w:cs="Arial"/>
          <w:color w:val="000000" w:themeColor="text1"/>
          <w:sz w:val="20"/>
          <w:szCs w:val="20"/>
        </w:rPr>
        <w:t xml:space="preserve">generally </w:t>
      </w:r>
      <w:r w:rsidR="00E250AE" w:rsidRPr="002A0A99">
        <w:rPr>
          <w:rFonts w:ascii="Arial" w:hAnsi="Arial" w:cs="Arial"/>
          <w:color w:val="000000" w:themeColor="text1"/>
          <w:sz w:val="20"/>
          <w:szCs w:val="20"/>
        </w:rPr>
        <w:t xml:space="preserve">adjourned to the </w:t>
      </w:r>
      <w:r w:rsidR="005711EB">
        <w:rPr>
          <w:rFonts w:ascii="Arial" w:hAnsi="Arial" w:cs="Arial"/>
          <w:color w:val="000000" w:themeColor="text1"/>
          <w:sz w:val="20"/>
          <w:szCs w:val="20"/>
        </w:rPr>
        <w:t>appropriate</w:t>
      </w:r>
      <w:r w:rsidR="00E250AE" w:rsidRPr="002A0A99">
        <w:rPr>
          <w:rFonts w:ascii="Arial" w:hAnsi="Arial" w:cs="Arial"/>
          <w:color w:val="000000" w:themeColor="text1"/>
          <w:sz w:val="20"/>
          <w:szCs w:val="20"/>
        </w:rPr>
        <w:t xml:space="preserve"> venue </w:t>
      </w:r>
      <w:r w:rsidR="00E250AE">
        <w:rPr>
          <w:rFonts w:ascii="Arial" w:hAnsi="Arial" w:cs="Arial"/>
          <w:color w:val="000000" w:themeColor="text1"/>
          <w:sz w:val="20"/>
          <w:szCs w:val="20"/>
        </w:rPr>
        <w:t xml:space="preserve">of the Children’s </w:t>
      </w:r>
      <w:r w:rsidR="00E250AE" w:rsidRPr="002A0A99">
        <w:rPr>
          <w:rFonts w:ascii="Arial" w:hAnsi="Arial" w:cs="Arial"/>
          <w:color w:val="000000" w:themeColor="text1"/>
          <w:sz w:val="20"/>
          <w:szCs w:val="20"/>
        </w:rPr>
        <w:t>Court on an appropriate date.</w:t>
      </w:r>
    </w:p>
    <w:p w14:paraId="1B8D6644" w14:textId="77E23B9D" w:rsidR="003526EB" w:rsidRDefault="003526EB">
      <w:pPr>
        <w:jc w:val="both"/>
        <w:rPr>
          <w:rFonts w:ascii="Arial" w:hAnsi="Arial" w:cs="Arial"/>
          <w:color w:val="000000" w:themeColor="text1"/>
          <w:sz w:val="20"/>
        </w:rPr>
      </w:pPr>
    </w:p>
    <w:p w14:paraId="3D15ED79" w14:textId="69B2A54A" w:rsidR="00E250AE" w:rsidRDefault="00E250AE">
      <w:pPr>
        <w:jc w:val="both"/>
        <w:rPr>
          <w:rFonts w:ascii="Arial" w:hAnsi="Arial" w:cs="Arial"/>
          <w:color w:val="000000" w:themeColor="text1"/>
          <w:sz w:val="20"/>
        </w:rPr>
      </w:pPr>
      <w:r w:rsidRPr="00C0003A">
        <w:rPr>
          <w:rFonts w:ascii="Arial" w:hAnsi="Arial" w:cs="Arial"/>
          <w:sz w:val="20"/>
          <w:szCs w:val="20"/>
        </w:rPr>
        <w:lastRenderedPageBreak/>
        <w:t xml:space="preserve">After hours Interim Accommodation Order hearings </w:t>
      </w:r>
      <w:r>
        <w:rPr>
          <w:rFonts w:ascii="Arial" w:hAnsi="Arial" w:cs="Arial"/>
          <w:sz w:val="20"/>
          <w:szCs w:val="20"/>
        </w:rPr>
        <w:t xml:space="preserve">in the Family Division of the Court </w:t>
      </w:r>
      <w:r w:rsidRPr="00C0003A">
        <w:rPr>
          <w:rFonts w:ascii="Arial" w:hAnsi="Arial" w:cs="Arial"/>
          <w:sz w:val="20"/>
          <w:szCs w:val="20"/>
        </w:rPr>
        <w:t>continue to be heard by Bail Justices.</w:t>
      </w:r>
    </w:p>
    <w:p w14:paraId="2F45BDD9" w14:textId="77777777" w:rsidR="00FB7D75" w:rsidRDefault="00FB7D75" w:rsidP="00C0003A">
      <w:pPr>
        <w:jc w:val="both"/>
        <w:rPr>
          <w:rFonts w:ascii="Arial" w:hAnsi="Arial" w:cs="Arial"/>
          <w:color w:val="000000" w:themeColor="text1"/>
          <w:sz w:val="20"/>
          <w:szCs w:val="20"/>
        </w:rPr>
      </w:pPr>
    </w:p>
    <w:p w14:paraId="048BF663" w14:textId="44362A13" w:rsidR="004E6875" w:rsidRDefault="00803940" w:rsidP="00C0003A">
      <w:pPr>
        <w:jc w:val="both"/>
        <w:rPr>
          <w:rFonts w:ascii="Arial" w:hAnsi="Arial" w:cs="Arial"/>
          <w:color w:val="000000" w:themeColor="text1"/>
          <w:sz w:val="20"/>
          <w:szCs w:val="20"/>
        </w:rPr>
      </w:pPr>
      <w:r>
        <w:rPr>
          <w:rFonts w:ascii="Arial" w:hAnsi="Arial" w:cs="Arial"/>
          <w:color w:val="000000" w:themeColor="text1"/>
          <w:sz w:val="20"/>
          <w:szCs w:val="20"/>
        </w:rPr>
        <w:t xml:space="preserve">Out of </w:t>
      </w:r>
      <w:r w:rsidR="009C57A7">
        <w:rPr>
          <w:rFonts w:ascii="Arial" w:hAnsi="Arial" w:cs="Arial"/>
          <w:color w:val="000000" w:themeColor="text1"/>
          <w:sz w:val="20"/>
          <w:szCs w:val="20"/>
        </w:rPr>
        <w:t>Court</w:t>
      </w:r>
      <w:r>
        <w:rPr>
          <w:rFonts w:ascii="Arial" w:hAnsi="Arial" w:cs="Arial"/>
          <w:color w:val="000000" w:themeColor="text1"/>
          <w:sz w:val="20"/>
          <w:szCs w:val="20"/>
        </w:rPr>
        <w:t xml:space="preserve"> b</w:t>
      </w:r>
      <w:r w:rsidR="002A0A99" w:rsidRPr="002A0A99">
        <w:rPr>
          <w:rFonts w:ascii="Arial" w:hAnsi="Arial" w:cs="Arial"/>
          <w:color w:val="000000" w:themeColor="text1"/>
          <w:sz w:val="20"/>
          <w:szCs w:val="20"/>
        </w:rPr>
        <w:t>ail and remand applications</w:t>
      </w:r>
      <w:r w:rsidR="00C0003A" w:rsidRPr="002A0A99">
        <w:rPr>
          <w:rFonts w:ascii="Arial" w:hAnsi="Arial" w:cs="Arial"/>
          <w:color w:val="000000" w:themeColor="text1"/>
          <w:sz w:val="20"/>
          <w:szCs w:val="20"/>
        </w:rPr>
        <w:t xml:space="preserve"> </w:t>
      </w:r>
      <w:r w:rsidR="00F32C85">
        <w:rPr>
          <w:rFonts w:ascii="Arial" w:hAnsi="Arial" w:cs="Arial"/>
          <w:color w:val="000000" w:themeColor="text1"/>
          <w:sz w:val="20"/>
          <w:szCs w:val="20"/>
        </w:rPr>
        <w:t xml:space="preserve">also </w:t>
      </w:r>
      <w:r w:rsidR="00C0003A" w:rsidRPr="002A0A99">
        <w:rPr>
          <w:rFonts w:ascii="Arial" w:hAnsi="Arial" w:cs="Arial"/>
          <w:color w:val="000000" w:themeColor="text1"/>
          <w:sz w:val="20"/>
          <w:szCs w:val="20"/>
        </w:rPr>
        <w:t xml:space="preserve">continue to be </w:t>
      </w:r>
      <w:r w:rsidR="009C57A7">
        <w:rPr>
          <w:rFonts w:ascii="Arial" w:hAnsi="Arial" w:cs="Arial"/>
          <w:color w:val="000000" w:themeColor="text1"/>
          <w:sz w:val="20"/>
          <w:szCs w:val="20"/>
        </w:rPr>
        <w:t>hear</w:t>
      </w:r>
      <w:r w:rsidR="00C0003A" w:rsidRPr="002A0A99">
        <w:rPr>
          <w:rFonts w:ascii="Arial" w:hAnsi="Arial" w:cs="Arial"/>
          <w:color w:val="000000" w:themeColor="text1"/>
          <w:sz w:val="20"/>
          <w:szCs w:val="20"/>
        </w:rPr>
        <w:t xml:space="preserve">d by Bail Justices. </w:t>
      </w:r>
      <w:r w:rsidR="002A0A99" w:rsidRPr="002A0A99">
        <w:rPr>
          <w:rFonts w:ascii="Arial" w:hAnsi="Arial" w:cs="Arial"/>
          <w:color w:val="000000" w:themeColor="text1"/>
          <w:sz w:val="20"/>
          <w:szCs w:val="20"/>
        </w:rPr>
        <w:t>A</w:t>
      </w:r>
      <w:r w:rsidR="00C0003A" w:rsidRPr="002A0A99">
        <w:rPr>
          <w:rFonts w:ascii="Arial" w:hAnsi="Arial" w:cs="Arial"/>
          <w:color w:val="000000" w:themeColor="text1"/>
          <w:sz w:val="20"/>
          <w:szCs w:val="20"/>
        </w:rPr>
        <w:t xml:space="preserve"> </w:t>
      </w:r>
      <w:r w:rsidR="009C57A7">
        <w:rPr>
          <w:rFonts w:ascii="Arial" w:hAnsi="Arial" w:cs="Arial"/>
          <w:color w:val="000000" w:themeColor="text1"/>
          <w:sz w:val="20"/>
          <w:szCs w:val="20"/>
        </w:rPr>
        <w:t>child</w:t>
      </w:r>
      <w:r w:rsidR="00C0003A" w:rsidRPr="002A0A99">
        <w:rPr>
          <w:rFonts w:ascii="Arial" w:hAnsi="Arial" w:cs="Arial"/>
          <w:color w:val="000000" w:themeColor="text1"/>
          <w:sz w:val="20"/>
          <w:szCs w:val="20"/>
        </w:rPr>
        <w:t xml:space="preserve"> </w:t>
      </w:r>
      <w:r w:rsidR="002A0A99" w:rsidRPr="002A0A99">
        <w:rPr>
          <w:rFonts w:ascii="Arial" w:hAnsi="Arial" w:cs="Arial"/>
          <w:color w:val="000000" w:themeColor="text1"/>
          <w:sz w:val="20"/>
          <w:szCs w:val="20"/>
        </w:rPr>
        <w:t xml:space="preserve">who </w:t>
      </w:r>
      <w:r w:rsidR="00C0003A" w:rsidRPr="002A0A99">
        <w:rPr>
          <w:rFonts w:ascii="Arial" w:hAnsi="Arial" w:cs="Arial"/>
          <w:color w:val="000000" w:themeColor="text1"/>
          <w:sz w:val="20"/>
          <w:szCs w:val="20"/>
        </w:rPr>
        <w:t xml:space="preserve">is remanded by a Bail Justice </w:t>
      </w:r>
      <w:r w:rsidR="004E6875">
        <w:rPr>
          <w:rFonts w:ascii="Arial" w:hAnsi="Arial" w:cs="Arial"/>
          <w:color w:val="000000" w:themeColor="text1"/>
          <w:sz w:val="20"/>
          <w:szCs w:val="20"/>
        </w:rPr>
        <w:t xml:space="preserve">is </w:t>
      </w:r>
      <w:r w:rsidR="005711EB">
        <w:rPr>
          <w:rFonts w:ascii="Arial" w:hAnsi="Arial" w:cs="Arial"/>
          <w:color w:val="000000" w:themeColor="text1"/>
          <w:sz w:val="20"/>
          <w:szCs w:val="20"/>
        </w:rPr>
        <w:t xml:space="preserve">to be </w:t>
      </w:r>
      <w:r w:rsidR="004E6875">
        <w:rPr>
          <w:rFonts w:ascii="Arial" w:hAnsi="Arial" w:cs="Arial"/>
          <w:color w:val="000000" w:themeColor="text1"/>
          <w:sz w:val="20"/>
          <w:szCs w:val="20"/>
        </w:rPr>
        <w:t xml:space="preserve">remanded to the next sitting of the Children’s Court, </w:t>
      </w:r>
      <w:r w:rsidR="00FB7D75">
        <w:rPr>
          <w:rFonts w:ascii="Arial" w:hAnsi="Arial" w:cs="Arial"/>
          <w:color w:val="000000" w:themeColor="text1"/>
          <w:sz w:val="20"/>
          <w:szCs w:val="20"/>
        </w:rPr>
        <w:t>whether that be a WORC sitting or a weekday s</w:t>
      </w:r>
      <w:r w:rsidR="009C57A7">
        <w:rPr>
          <w:rFonts w:ascii="Arial" w:hAnsi="Arial" w:cs="Arial"/>
          <w:color w:val="000000" w:themeColor="text1"/>
          <w:sz w:val="20"/>
          <w:szCs w:val="20"/>
        </w:rPr>
        <w:t>i</w:t>
      </w:r>
      <w:r w:rsidR="00FB7D75">
        <w:rPr>
          <w:rFonts w:ascii="Arial" w:hAnsi="Arial" w:cs="Arial"/>
          <w:color w:val="000000" w:themeColor="text1"/>
          <w:sz w:val="20"/>
          <w:szCs w:val="20"/>
        </w:rPr>
        <w:t>tting.</w:t>
      </w:r>
    </w:p>
    <w:p w14:paraId="4C1EB8C4" w14:textId="77777777" w:rsidR="003D04F9" w:rsidRPr="002A0A99" w:rsidRDefault="003D04F9" w:rsidP="003D04F9">
      <w:pPr>
        <w:jc w:val="both"/>
        <w:rPr>
          <w:rFonts w:ascii="Arial" w:hAnsi="Arial" w:cs="Arial"/>
          <w:color w:val="000000" w:themeColor="text1"/>
          <w:sz w:val="20"/>
        </w:rPr>
      </w:pPr>
    </w:p>
    <w:p w14:paraId="42ED3197" w14:textId="1FC00034" w:rsidR="00C0003A" w:rsidRPr="002A0A99" w:rsidRDefault="00C0003A" w:rsidP="003D04F9">
      <w:pPr>
        <w:pStyle w:val="NormalWeb"/>
        <w:spacing w:before="0" w:beforeAutospacing="0" w:after="0" w:afterAutospacing="0"/>
        <w:jc w:val="both"/>
        <w:rPr>
          <w:rFonts w:ascii="Arial" w:hAnsi="Arial" w:cs="Arial"/>
          <w:color w:val="000000" w:themeColor="text1"/>
          <w:spacing w:val="4"/>
          <w:sz w:val="20"/>
          <w:szCs w:val="20"/>
        </w:rPr>
      </w:pPr>
      <w:r w:rsidRPr="002A0A99">
        <w:rPr>
          <w:rFonts w:ascii="Arial" w:hAnsi="Arial" w:cs="Arial"/>
          <w:color w:val="000000" w:themeColor="text1"/>
          <w:spacing w:val="4"/>
          <w:sz w:val="20"/>
          <w:szCs w:val="20"/>
          <w:bdr w:val="none" w:sz="0" w:space="0" w:color="auto" w:frame="1"/>
        </w:rPr>
        <w:t>Youth Justice,</w:t>
      </w:r>
      <w:r w:rsidR="002A2807">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the</w:t>
      </w:r>
      <w:r w:rsidR="002A2807">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Central After Hours Assessment and Bail Placement Service (CAHABPS),</w:t>
      </w:r>
      <w:r w:rsidR="00202B86">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Victoria Legal Aid’s Youth Crime Program and Victoria Police Specialist Children’s Court Prosecution Group have all worked closely with the Children’s Court to set up WORC, using the expertise and cooperation developed over the last two years during the justice system’s crisis response and digital transformation.</w:t>
      </w:r>
    </w:p>
    <w:p w14:paraId="412FA670" w14:textId="77777777" w:rsidR="00D5293C" w:rsidRPr="002A0A99" w:rsidRDefault="00D5293C" w:rsidP="00D5293C">
      <w:pPr>
        <w:jc w:val="both"/>
        <w:rPr>
          <w:rFonts w:ascii="Arial" w:hAnsi="Arial" w:cs="Arial"/>
          <w:color w:val="000000" w:themeColor="text1"/>
          <w:sz w:val="20"/>
          <w:szCs w:val="20"/>
        </w:rPr>
      </w:pPr>
    </w:p>
    <w:p w14:paraId="5C10F313" w14:textId="77777777" w:rsidR="00D5293C" w:rsidRPr="008825EB" w:rsidRDefault="00D5293C" w:rsidP="00D5293C">
      <w:pPr>
        <w:jc w:val="both"/>
        <w:rPr>
          <w:rFonts w:ascii="Arial" w:hAnsi="Arial" w:cs="Arial"/>
          <w:color w:val="000000" w:themeColor="text1"/>
          <w:spacing w:val="4"/>
          <w:sz w:val="20"/>
          <w:szCs w:val="20"/>
          <w:bdr w:val="none" w:sz="0" w:space="0" w:color="auto" w:frame="1"/>
        </w:rPr>
      </w:pPr>
      <w:r w:rsidRPr="002A0A99">
        <w:rPr>
          <w:rFonts w:ascii="Arial" w:hAnsi="Arial" w:cs="Arial"/>
          <w:color w:val="000000" w:themeColor="text1"/>
          <w:sz w:val="20"/>
          <w:szCs w:val="20"/>
        </w:rPr>
        <w:t xml:space="preserve">The establishment of WORC has increased </w:t>
      </w:r>
      <w:r w:rsidRPr="002A0A99">
        <w:rPr>
          <w:rFonts w:ascii="Arial" w:hAnsi="Arial" w:cs="Arial"/>
          <w:color w:val="000000" w:themeColor="text1"/>
          <w:sz w:val="20"/>
        </w:rPr>
        <w:t>access to justice for young people in metropolitan and regional Victoria by ensuring:</w:t>
      </w:r>
    </w:p>
    <w:p w14:paraId="1149F852"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specialist Children’s Court magistrates;</w:t>
      </w:r>
    </w:p>
    <w:p w14:paraId="5DC82227"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immediate referrals to services and supports;</w:t>
      </w:r>
    </w:p>
    <w:p w14:paraId="61D30D21"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legal representation at the most critical time;</w:t>
      </w:r>
    </w:p>
    <w:p w14:paraId="78AB9875"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technology to appear in court directly from police stations or Youth Justice Centres; and</w:t>
      </w:r>
    </w:p>
    <w:p w14:paraId="6A04A8CD"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significantly reduced pressure on local Courts.</w:t>
      </w:r>
    </w:p>
    <w:p w14:paraId="202000BA" w14:textId="77777777" w:rsidR="005711EB" w:rsidRDefault="005711EB">
      <w:pPr>
        <w:jc w:val="both"/>
        <w:rPr>
          <w:rFonts w:ascii="Arial" w:hAnsi="Arial" w:cs="Arial"/>
          <w:sz w:val="20"/>
          <w:szCs w:val="20"/>
        </w:rPr>
      </w:pPr>
    </w:p>
    <w:p w14:paraId="04167F64" w14:textId="002AFB13" w:rsidR="00E5215E" w:rsidRDefault="005711EB">
      <w:pPr>
        <w:jc w:val="both"/>
        <w:rPr>
          <w:rFonts w:ascii="Arial" w:hAnsi="Arial" w:cs="Arial"/>
          <w:sz w:val="20"/>
          <w:szCs w:val="20"/>
        </w:rPr>
      </w:pPr>
      <w:r>
        <w:rPr>
          <w:rFonts w:ascii="Arial" w:hAnsi="Arial" w:cs="Arial"/>
          <w:sz w:val="20"/>
          <w:szCs w:val="20"/>
        </w:rPr>
        <w:t>State-wide WORC heard 173 cases f</w:t>
      </w:r>
      <w:r w:rsidR="00E5215E">
        <w:rPr>
          <w:rFonts w:ascii="Arial" w:hAnsi="Arial" w:cs="Arial"/>
          <w:sz w:val="20"/>
          <w:szCs w:val="20"/>
        </w:rPr>
        <w:t xml:space="preserve">rom 03/09/2022 to 30/06/2023 </w:t>
      </w:r>
      <w:r>
        <w:rPr>
          <w:rFonts w:ascii="Arial" w:hAnsi="Arial" w:cs="Arial"/>
          <w:sz w:val="20"/>
          <w:szCs w:val="20"/>
        </w:rPr>
        <w:t xml:space="preserve">and </w:t>
      </w:r>
      <w:r w:rsidR="0020729F">
        <w:rPr>
          <w:rFonts w:ascii="Arial" w:hAnsi="Arial" w:cs="Arial"/>
          <w:sz w:val="20"/>
          <w:szCs w:val="20"/>
        </w:rPr>
        <w:t>163 cases from 01/07/2024 to 30/06/2024.</w:t>
      </w:r>
    </w:p>
    <w:p w14:paraId="24308889" w14:textId="77777777" w:rsidR="00E5215E" w:rsidRDefault="00E5215E">
      <w:pPr>
        <w:jc w:val="both"/>
        <w:rPr>
          <w:rFonts w:ascii="Arial" w:hAnsi="Arial" w:cs="Arial"/>
          <w:sz w:val="20"/>
          <w:szCs w:val="20"/>
        </w:rPr>
      </w:pPr>
    </w:p>
    <w:p w14:paraId="64B8D181" w14:textId="5F7468E4" w:rsidR="006D592F" w:rsidRDefault="006D592F" w:rsidP="006D592F">
      <w:pPr>
        <w:pStyle w:val="Heading3"/>
        <w:keepNext/>
        <w:keepLines/>
        <w:spacing w:after="120" w:line="240" w:lineRule="auto"/>
        <w:rPr>
          <w:rFonts w:ascii="Arial" w:hAnsi="Arial" w:cs="Arial"/>
          <w:b/>
          <w:bCs/>
          <w:sz w:val="20"/>
        </w:rPr>
      </w:pPr>
      <w:bookmarkStart w:id="325" w:name="_2.5.4_The_Court"/>
      <w:bookmarkEnd w:id="325"/>
      <w:r>
        <w:rPr>
          <w:rFonts w:ascii="Arial" w:hAnsi="Arial" w:cs="Arial"/>
          <w:b/>
          <w:bCs/>
          <w:sz w:val="20"/>
        </w:rPr>
        <w:t>2.5.</w:t>
      </w:r>
      <w:r w:rsidR="00827F9A">
        <w:rPr>
          <w:rFonts w:ascii="Arial" w:hAnsi="Arial" w:cs="Arial"/>
          <w:b/>
          <w:bCs/>
          <w:sz w:val="20"/>
        </w:rPr>
        <w:t>4</w:t>
      </w:r>
      <w:r>
        <w:rPr>
          <w:rFonts w:ascii="Arial" w:hAnsi="Arial" w:cs="Arial"/>
          <w:b/>
          <w:bCs/>
          <w:sz w:val="20"/>
        </w:rPr>
        <w:tab/>
        <w:t>The Court Security Act 1980</w:t>
      </w:r>
    </w:p>
    <w:p w14:paraId="1927685B" w14:textId="2E11773F" w:rsidR="00AE2EB6" w:rsidRDefault="00AE2EB6" w:rsidP="006D592F">
      <w:pPr>
        <w:shd w:val="clear" w:color="auto" w:fill="FFFFFF"/>
        <w:ind w:right="-57"/>
        <w:jc w:val="both"/>
        <w:rPr>
          <w:rFonts w:ascii="Arial" w:hAnsi="Arial" w:cs="Arial"/>
          <w:bCs/>
          <w:sz w:val="20"/>
          <w:szCs w:val="20"/>
        </w:rPr>
      </w:pPr>
      <w:r>
        <w:rPr>
          <w:rFonts w:ascii="Arial" w:hAnsi="Arial" w:cs="Arial"/>
          <w:bCs/>
          <w:sz w:val="20"/>
          <w:szCs w:val="20"/>
        </w:rPr>
        <w:t xml:space="preserve">The </w:t>
      </w:r>
      <w:r w:rsidRPr="00AE2EB6">
        <w:rPr>
          <w:rFonts w:ascii="Arial" w:hAnsi="Arial" w:cs="Arial"/>
          <w:bCs/>
          <w:i/>
          <w:iCs/>
          <w:sz w:val="20"/>
          <w:szCs w:val="20"/>
        </w:rPr>
        <w:t>Court Security Act 1980</w:t>
      </w:r>
      <w:r>
        <w:rPr>
          <w:rFonts w:ascii="Arial" w:hAnsi="Arial" w:cs="Arial"/>
          <w:bCs/>
          <w:sz w:val="20"/>
          <w:szCs w:val="20"/>
        </w:rPr>
        <w:t xml:space="preserve"> [CSA] is described as “An Act to make Provisions in relation to the secure and orderly operation of Courts…”  It applies to </w:t>
      </w:r>
      <w:r w:rsidR="00F82B9C">
        <w:rPr>
          <w:rFonts w:ascii="Arial" w:hAnsi="Arial" w:cs="Arial"/>
          <w:bCs/>
          <w:sz w:val="20"/>
          <w:szCs w:val="20"/>
        </w:rPr>
        <w:t xml:space="preserve">all venues of </w:t>
      </w:r>
      <w:r>
        <w:rPr>
          <w:rFonts w:ascii="Arial" w:hAnsi="Arial" w:cs="Arial"/>
          <w:bCs/>
          <w:sz w:val="20"/>
          <w:szCs w:val="20"/>
        </w:rPr>
        <w:t xml:space="preserve">the Children’s Court by virtue of the definition of </w:t>
      </w:r>
      <w:r w:rsidRPr="00AE2EB6">
        <w:rPr>
          <w:rFonts w:ascii="Arial" w:hAnsi="Arial" w:cs="Arial"/>
          <w:b/>
          <w:i/>
          <w:iCs/>
          <w:sz w:val="20"/>
          <w:szCs w:val="20"/>
        </w:rPr>
        <w:t>‘proceeding’</w:t>
      </w:r>
      <w:r>
        <w:rPr>
          <w:rFonts w:ascii="Arial" w:hAnsi="Arial" w:cs="Arial"/>
          <w:bCs/>
          <w:sz w:val="20"/>
          <w:szCs w:val="20"/>
        </w:rPr>
        <w:t xml:space="preserve"> and paragraph (d) in the definition of </w:t>
      </w:r>
      <w:r w:rsidRPr="00AE2EB6">
        <w:rPr>
          <w:rFonts w:ascii="Arial" w:hAnsi="Arial" w:cs="Arial"/>
          <w:bCs/>
          <w:sz w:val="20"/>
          <w:szCs w:val="20"/>
        </w:rPr>
        <w:t>‘</w:t>
      </w:r>
      <w:r w:rsidRPr="00AE2EB6">
        <w:rPr>
          <w:rFonts w:ascii="Arial" w:hAnsi="Arial" w:cs="Arial"/>
          <w:b/>
          <w:sz w:val="20"/>
          <w:szCs w:val="20"/>
        </w:rPr>
        <w:t>court</w:t>
      </w:r>
      <w:r w:rsidRPr="00AE2EB6">
        <w:rPr>
          <w:rFonts w:ascii="Arial" w:hAnsi="Arial" w:cs="Arial"/>
          <w:bCs/>
          <w:sz w:val="20"/>
          <w:szCs w:val="20"/>
        </w:rPr>
        <w:t>’</w:t>
      </w:r>
      <w:r>
        <w:rPr>
          <w:rFonts w:ascii="Arial" w:hAnsi="Arial" w:cs="Arial"/>
          <w:bCs/>
          <w:sz w:val="20"/>
          <w:szCs w:val="20"/>
        </w:rPr>
        <w:t xml:space="preserve"> in s.2(1).  Its provisions include:</w:t>
      </w:r>
    </w:p>
    <w:p w14:paraId="50A18C3A" w14:textId="77777777" w:rsidR="00AE2EB6" w:rsidRDefault="00AE2EB6" w:rsidP="006D592F">
      <w:pPr>
        <w:shd w:val="clear" w:color="auto" w:fill="FFFFFF"/>
        <w:ind w:right="-57"/>
        <w:jc w:val="both"/>
        <w:rPr>
          <w:rFonts w:ascii="Arial" w:hAnsi="Arial" w:cs="Arial"/>
          <w:bCs/>
          <w:sz w:val="20"/>
          <w:szCs w:val="20"/>
        </w:rPr>
      </w:pPr>
    </w:p>
    <w:tbl>
      <w:tblPr>
        <w:tblStyle w:val="TableGrid"/>
        <w:tblW w:w="0" w:type="auto"/>
        <w:tblLook w:val="04A0" w:firstRow="1" w:lastRow="0" w:firstColumn="1" w:lastColumn="0" w:noHBand="0" w:noVBand="1"/>
      </w:tblPr>
      <w:tblGrid>
        <w:gridCol w:w="1128"/>
        <w:gridCol w:w="7931"/>
      </w:tblGrid>
      <w:tr w:rsidR="00AE2EB6" w14:paraId="08AA25F2" w14:textId="77777777" w:rsidTr="00BB08A1">
        <w:tc>
          <w:tcPr>
            <w:tcW w:w="1128" w:type="dxa"/>
            <w:tcBorders>
              <w:bottom w:val="single" w:sz="8" w:space="0" w:color="auto"/>
            </w:tcBorders>
            <w:shd w:val="clear" w:color="auto" w:fill="000000" w:themeFill="text1"/>
          </w:tcPr>
          <w:p w14:paraId="29D806F0" w14:textId="2840E788" w:rsidR="00AE2EB6" w:rsidRPr="00AE2EB6" w:rsidRDefault="00AE2EB6" w:rsidP="00AE2EB6">
            <w:pPr>
              <w:ind w:right="-57"/>
              <w:jc w:val="center"/>
              <w:rPr>
                <w:rFonts w:ascii="Arial" w:hAnsi="Arial" w:cs="Arial"/>
                <w:b/>
                <w:color w:val="FFFFFF" w:themeColor="background1"/>
                <w:sz w:val="20"/>
                <w:szCs w:val="20"/>
              </w:rPr>
            </w:pPr>
            <w:r w:rsidRPr="00AE2EB6">
              <w:rPr>
                <w:rFonts w:ascii="Arial" w:hAnsi="Arial" w:cs="Arial"/>
                <w:b/>
                <w:color w:val="FFFFFF" w:themeColor="background1"/>
                <w:sz w:val="20"/>
                <w:szCs w:val="20"/>
              </w:rPr>
              <w:t>SECTION</w:t>
            </w:r>
          </w:p>
        </w:tc>
        <w:tc>
          <w:tcPr>
            <w:tcW w:w="7931" w:type="dxa"/>
            <w:tcBorders>
              <w:bottom w:val="single" w:sz="4" w:space="0" w:color="auto"/>
            </w:tcBorders>
            <w:shd w:val="clear" w:color="auto" w:fill="000000" w:themeFill="text1"/>
          </w:tcPr>
          <w:p w14:paraId="5F8EE9BF" w14:textId="67E310E4" w:rsidR="00AE2EB6" w:rsidRPr="00AE2EB6" w:rsidRDefault="00AE2EB6" w:rsidP="00AE2EB6">
            <w:pPr>
              <w:ind w:right="-57"/>
              <w:jc w:val="center"/>
              <w:rPr>
                <w:rFonts w:ascii="Arial" w:hAnsi="Arial" w:cs="Arial"/>
                <w:b/>
                <w:color w:val="FFFFFF" w:themeColor="background1"/>
                <w:sz w:val="20"/>
                <w:szCs w:val="20"/>
              </w:rPr>
            </w:pPr>
            <w:r w:rsidRPr="00AE2EB6">
              <w:rPr>
                <w:rFonts w:ascii="Arial" w:hAnsi="Arial" w:cs="Arial"/>
                <w:b/>
                <w:color w:val="FFFFFF" w:themeColor="background1"/>
                <w:sz w:val="20"/>
                <w:szCs w:val="20"/>
              </w:rPr>
              <w:t>CONTENT</w:t>
            </w:r>
          </w:p>
        </w:tc>
      </w:tr>
      <w:tr w:rsidR="00F10653" w14:paraId="74688921" w14:textId="77777777" w:rsidTr="00BB08A1">
        <w:tc>
          <w:tcPr>
            <w:tcW w:w="1128" w:type="dxa"/>
            <w:tcBorders>
              <w:top w:val="single" w:sz="8" w:space="0" w:color="auto"/>
              <w:left w:val="single" w:sz="12" w:space="0" w:color="auto"/>
              <w:bottom w:val="single" w:sz="4" w:space="0" w:color="auto"/>
              <w:right w:val="single" w:sz="8" w:space="0" w:color="auto"/>
            </w:tcBorders>
          </w:tcPr>
          <w:p w14:paraId="54165561" w14:textId="09B64D57" w:rsidR="00F10653" w:rsidRDefault="00F10653" w:rsidP="005B30C8">
            <w:pPr>
              <w:ind w:right="-57"/>
              <w:jc w:val="center"/>
              <w:rPr>
                <w:rFonts w:ascii="Arial" w:hAnsi="Arial" w:cs="Arial"/>
                <w:bCs/>
                <w:sz w:val="20"/>
                <w:szCs w:val="20"/>
              </w:rPr>
            </w:pPr>
            <w:r>
              <w:rPr>
                <w:rFonts w:ascii="Arial" w:hAnsi="Arial" w:cs="Arial"/>
                <w:bCs/>
                <w:sz w:val="20"/>
                <w:szCs w:val="20"/>
              </w:rPr>
              <w:t>2</w:t>
            </w:r>
            <w:r w:rsidR="005534CC">
              <w:rPr>
                <w:rFonts w:ascii="Arial" w:hAnsi="Arial" w:cs="Arial"/>
                <w:bCs/>
                <w:sz w:val="20"/>
                <w:szCs w:val="20"/>
              </w:rPr>
              <w:t>(1)</w:t>
            </w:r>
          </w:p>
        </w:tc>
        <w:tc>
          <w:tcPr>
            <w:tcW w:w="7931" w:type="dxa"/>
            <w:tcBorders>
              <w:left w:val="single" w:sz="8" w:space="0" w:color="auto"/>
              <w:right w:val="single" w:sz="12" w:space="0" w:color="auto"/>
            </w:tcBorders>
          </w:tcPr>
          <w:p w14:paraId="77D6542F" w14:textId="1C9B33B0" w:rsidR="00F10653" w:rsidRDefault="00F10653" w:rsidP="005B30C8">
            <w:pPr>
              <w:ind w:right="-57"/>
              <w:jc w:val="both"/>
              <w:rPr>
                <w:rFonts w:ascii="Arial" w:hAnsi="Arial" w:cs="Arial"/>
                <w:bCs/>
                <w:sz w:val="20"/>
                <w:szCs w:val="20"/>
              </w:rPr>
            </w:pPr>
            <w:r>
              <w:rPr>
                <w:rFonts w:ascii="Arial" w:hAnsi="Arial" w:cs="Arial"/>
                <w:bCs/>
                <w:sz w:val="20"/>
                <w:szCs w:val="20"/>
              </w:rPr>
              <w:t xml:space="preserve">Definitions including </w:t>
            </w:r>
            <w:r w:rsidRPr="00F10653">
              <w:rPr>
                <w:rFonts w:ascii="Arial" w:hAnsi="Arial" w:cs="Arial"/>
                <w:b/>
                <w:i/>
                <w:iCs/>
                <w:sz w:val="20"/>
                <w:szCs w:val="20"/>
              </w:rPr>
              <w:t>‘authorized officer’</w:t>
            </w:r>
            <w:r>
              <w:rPr>
                <w:rFonts w:ascii="Arial" w:hAnsi="Arial" w:cs="Arial"/>
                <w:bCs/>
                <w:sz w:val="20"/>
                <w:szCs w:val="20"/>
              </w:rPr>
              <w:t xml:space="preserve">, </w:t>
            </w:r>
            <w:r w:rsidRPr="00F10653">
              <w:rPr>
                <w:rFonts w:ascii="Arial" w:hAnsi="Arial" w:cs="Arial"/>
                <w:b/>
                <w:i/>
                <w:iCs/>
                <w:sz w:val="20"/>
                <w:szCs w:val="20"/>
              </w:rPr>
              <w:t>‘court’</w:t>
            </w:r>
            <w:r>
              <w:rPr>
                <w:rFonts w:ascii="Arial" w:hAnsi="Arial" w:cs="Arial"/>
                <w:bCs/>
                <w:sz w:val="20"/>
                <w:szCs w:val="20"/>
              </w:rPr>
              <w:t xml:space="preserve">, </w:t>
            </w:r>
            <w:r w:rsidRPr="00F10653">
              <w:rPr>
                <w:rFonts w:ascii="Arial" w:hAnsi="Arial" w:cs="Arial"/>
                <w:b/>
                <w:i/>
                <w:iCs/>
                <w:sz w:val="20"/>
                <w:szCs w:val="20"/>
              </w:rPr>
              <w:t>‘court premises’</w:t>
            </w:r>
            <w:r>
              <w:rPr>
                <w:rFonts w:ascii="Arial" w:hAnsi="Arial" w:cs="Arial"/>
                <w:bCs/>
                <w:sz w:val="20"/>
                <w:szCs w:val="20"/>
              </w:rPr>
              <w:t xml:space="preserve">, </w:t>
            </w:r>
            <w:r w:rsidR="005534CC" w:rsidRPr="005534CC">
              <w:rPr>
                <w:rFonts w:ascii="Arial" w:hAnsi="Arial" w:cs="Arial"/>
                <w:b/>
                <w:i/>
                <w:iCs/>
                <w:sz w:val="20"/>
                <w:szCs w:val="20"/>
              </w:rPr>
              <w:t>‘pandemic declaration’</w:t>
            </w:r>
            <w:r w:rsidR="005534CC">
              <w:rPr>
                <w:rFonts w:ascii="Arial" w:hAnsi="Arial" w:cs="Arial"/>
                <w:bCs/>
                <w:sz w:val="20"/>
                <w:szCs w:val="20"/>
              </w:rPr>
              <w:t xml:space="preserve">, </w:t>
            </w:r>
            <w:r w:rsidR="005534CC" w:rsidRPr="005534CC">
              <w:rPr>
                <w:rFonts w:ascii="Arial" w:hAnsi="Arial" w:cs="Arial"/>
                <w:b/>
                <w:i/>
                <w:iCs/>
                <w:sz w:val="20"/>
                <w:szCs w:val="20"/>
              </w:rPr>
              <w:t>‘pandemic order’</w:t>
            </w:r>
            <w:r w:rsidR="005534CC">
              <w:rPr>
                <w:rFonts w:ascii="Arial" w:hAnsi="Arial" w:cs="Arial"/>
                <w:bCs/>
                <w:sz w:val="20"/>
                <w:szCs w:val="20"/>
              </w:rPr>
              <w:t xml:space="preserve">, </w:t>
            </w:r>
            <w:r w:rsidRPr="00F10653">
              <w:rPr>
                <w:rFonts w:ascii="Arial" w:hAnsi="Arial" w:cs="Arial"/>
                <w:b/>
                <w:i/>
                <w:iCs/>
                <w:sz w:val="20"/>
                <w:szCs w:val="20"/>
              </w:rPr>
              <w:t>‘proceeding’</w:t>
            </w:r>
            <w:r>
              <w:rPr>
                <w:rFonts w:ascii="Arial" w:hAnsi="Arial" w:cs="Arial"/>
                <w:bCs/>
                <w:sz w:val="20"/>
                <w:szCs w:val="20"/>
              </w:rPr>
              <w:t xml:space="preserve">, </w:t>
            </w:r>
            <w:r w:rsidRPr="00F10653">
              <w:rPr>
                <w:rFonts w:ascii="Arial" w:hAnsi="Arial" w:cs="Arial"/>
                <w:b/>
                <w:i/>
                <w:iCs/>
                <w:sz w:val="20"/>
                <w:szCs w:val="20"/>
              </w:rPr>
              <w:t>‘prohibited item’</w:t>
            </w:r>
            <w:r>
              <w:rPr>
                <w:rFonts w:ascii="Arial" w:hAnsi="Arial" w:cs="Arial"/>
                <w:bCs/>
                <w:sz w:val="20"/>
                <w:szCs w:val="20"/>
              </w:rPr>
              <w:t xml:space="preserve">, </w:t>
            </w:r>
            <w:r w:rsidRPr="00F10653">
              <w:rPr>
                <w:rFonts w:ascii="Arial" w:hAnsi="Arial" w:cs="Arial"/>
                <w:b/>
                <w:i/>
                <w:iCs/>
                <w:sz w:val="20"/>
                <w:szCs w:val="20"/>
              </w:rPr>
              <w:t>‘publish’</w:t>
            </w:r>
            <w:r>
              <w:rPr>
                <w:rFonts w:ascii="Arial" w:hAnsi="Arial" w:cs="Arial"/>
                <w:bCs/>
                <w:sz w:val="20"/>
                <w:szCs w:val="20"/>
              </w:rPr>
              <w:t xml:space="preserve"> &amp; </w:t>
            </w:r>
            <w:r w:rsidRPr="00F10653">
              <w:rPr>
                <w:rFonts w:ascii="Arial" w:hAnsi="Arial" w:cs="Arial"/>
                <w:b/>
                <w:i/>
                <w:iCs/>
                <w:sz w:val="20"/>
                <w:szCs w:val="20"/>
              </w:rPr>
              <w:t>‘recording’</w:t>
            </w:r>
            <w:r>
              <w:rPr>
                <w:rFonts w:ascii="Arial" w:hAnsi="Arial" w:cs="Arial"/>
                <w:bCs/>
                <w:sz w:val="20"/>
                <w:szCs w:val="20"/>
              </w:rPr>
              <w:t>.</w:t>
            </w:r>
          </w:p>
        </w:tc>
      </w:tr>
      <w:tr w:rsidR="005534CC" w14:paraId="253C6D3B" w14:textId="77777777" w:rsidTr="00BB08A1">
        <w:tc>
          <w:tcPr>
            <w:tcW w:w="1128" w:type="dxa"/>
            <w:tcBorders>
              <w:top w:val="single" w:sz="4" w:space="0" w:color="auto"/>
              <w:left w:val="single" w:sz="12" w:space="0" w:color="auto"/>
              <w:bottom w:val="single" w:sz="4" w:space="0" w:color="auto"/>
              <w:right w:val="single" w:sz="8" w:space="0" w:color="auto"/>
            </w:tcBorders>
          </w:tcPr>
          <w:p w14:paraId="21637449" w14:textId="2808F8E3" w:rsidR="005534CC" w:rsidRDefault="005534CC" w:rsidP="00AE2EB6">
            <w:pPr>
              <w:ind w:right="-57"/>
              <w:jc w:val="center"/>
              <w:rPr>
                <w:rFonts w:ascii="Arial" w:hAnsi="Arial" w:cs="Arial"/>
                <w:bCs/>
                <w:sz w:val="20"/>
                <w:szCs w:val="20"/>
              </w:rPr>
            </w:pPr>
            <w:r>
              <w:rPr>
                <w:rFonts w:ascii="Arial" w:hAnsi="Arial" w:cs="Arial"/>
                <w:bCs/>
                <w:sz w:val="20"/>
                <w:szCs w:val="20"/>
              </w:rPr>
              <w:t>2(2)</w:t>
            </w:r>
          </w:p>
        </w:tc>
        <w:tc>
          <w:tcPr>
            <w:tcW w:w="7931" w:type="dxa"/>
            <w:tcBorders>
              <w:left w:val="single" w:sz="8" w:space="0" w:color="auto"/>
              <w:right w:val="single" w:sz="12" w:space="0" w:color="auto"/>
            </w:tcBorders>
          </w:tcPr>
          <w:p w14:paraId="02B720B1" w14:textId="77777777" w:rsidR="005534CC" w:rsidRDefault="005534CC" w:rsidP="00AE2EB6">
            <w:pPr>
              <w:ind w:right="-57"/>
              <w:jc w:val="both"/>
              <w:rPr>
                <w:rFonts w:ascii="Arial" w:hAnsi="Arial" w:cs="Arial"/>
                <w:bCs/>
                <w:sz w:val="20"/>
                <w:szCs w:val="20"/>
              </w:rPr>
            </w:pPr>
            <w:r>
              <w:rPr>
                <w:rFonts w:ascii="Arial" w:hAnsi="Arial" w:cs="Arial"/>
                <w:bCs/>
                <w:sz w:val="20"/>
                <w:szCs w:val="20"/>
              </w:rPr>
              <w:t>A reference in the CSA to “the security, good order or management of the court premises” includes-</w:t>
            </w:r>
          </w:p>
          <w:p w14:paraId="5E0FF51D" w14:textId="0DF51637" w:rsidR="005534CC" w:rsidRDefault="005534CC" w:rsidP="005534CC">
            <w:pPr>
              <w:ind w:left="454" w:right="-57" w:hanging="454"/>
              <w:jc w:val="both"/>
              <w:rPr>
                <w:rFonts w:ascii="Arial" w:hAnsi="Arial" w:cs="Arial"/>
                <w:bCs/>
                <w:sz w:val="20"/>
                <w:szCs w:val="20"/>
              </w:rPr>
            </w:pPr>
            <w:r>
              <w:rPr>
                <w:rFonts w:ascii="Arial" w:hAnsi="Arial" w:cs="Arial"/>
                <w:bCs/>
                <w:sz w:val="20"/>
                <w:szCs w:val="20"/>
              </w:rPr>
              <w:t>(a)</w:t>
            </w:r>
            <w:r>
              <w:rPr>
                <w:rFonts w:ascii="Arial" w:hAnsi="Arial" w:cs="Arial"/>
                <w:sz w:val="20"/>
                <w:szCs w:val="20"/>
              </w:rPr>
              <w:tab/>
            </w:r>
            <w:r>
              <w:rPr>
                <w:rFonts w:ascii="Arial" w:hAnsi="Arial" w:cs="Arial"/>
                <w:bCs/>
                <w:sz w:val="20"/>
                <w:szCs w:val="20"/>
              </w:rPr>
              <w:t>the safety of all persons who work at or attend the court premises;</w:t>
            </w:r>
          </w:p>
          <w:p w14:paraId="2354304E" w14:textId="3D049430" w:rsidR="005534CC" w:rsidRDefault="005534CC" w:rsidP="005534CC">
            <w:pPr>
              <w:ind w:left="454" w:right="-57" w:hanging="454"/>
              <w:jc w:val="both"/>
              <w:rPr>
                <w:rFonts w:ascii="Arial" w:hAnsi="Arial" w:cs="Arial"/>
                <w:bCs/>
                <w:sz w:val="20"/>
                <w:szCs w:val="20"/>
              </w:rPr>
            </w:pPr>
            <w:r>
              <w:rPr>
                <w:rFonts w:ascii="Arial" w:hAnsi="Arial" w:cs="Arial"/>
                <w:bCs/>
                <w:sz w:val="20"/>
                <w:szCs w:val="20"/>
              </w:rPr>
              <w:t>(b)</w:t>
            </w:r>
            <w:r>
              <w:rPr>
                <w:rFonts w:ascii="Arial" w:hAnsi="Arial" w:cs="Arial"/>
                <w:sz w:val="20"/>
                <w:szCs w:val="20"/>
              </w:rPr>
              <w:tab/>
            </w:r>
            <w:r>
              <w:rPr>
                <w:rFonts w:ascii="Arial" w:hAnsi="Arial" w:cs="Arial"/>
                <w:bCs/>
                <w:sz w:val="20"/>
                <w:szCs w:val="20"/>
              </w:rPr>
              <w:t>the safety and welfare of all persons in custody at the court premises;</w:t>
            </w:r>
          </w:p>
          <w:p w14:paraId="5292C8BF" w14:textId="0B7E0739" w:rsidR="005534CC" w:rsidRDefault="005534CC" w:rsidP="005534CC">
            <w:pPr>
              <w:ind w:left="454" w:right="-57" w:hanging="454"/>
              <w:jc w:val="both"/>
              <w:rPr>
                <w:rFonts w:ascii="Arial" w:hAnsi="Arial" w:cs="Arial"/>
                <w:bCs/>
                <w:sz w:val="20"/>
                <w:szCs w:val="20"/>
              </w:rPr>
            </w:pPr>
            <w:r>
              <w:rPr>
                <w:rFonts w:ascii="Arial" w:hAnsi="Arial" w:cs="Arial"/>
                <w:bCs/>
                <w:sz w:val="20"/>
                <w:szCs w:val="20"/>
              </w:rPr>
              <w:t>(c)</w:t>
            </w:r>
            <w:r>
              <w:rPr>
                <w:rFonts w:ascii="Arial" w:hAnsi="Arial" w:cs="Arial"/>
                <w:sz w:val="20"/>
                <w:szCs w:val="20"/>
              </w:rPr>
              <w:tab/>
            </w:r>
            <w:r>
              <w:rPr>
                <w:rFonts w:ascii="Arial" w:hAnsi="Arial" w:cs="Arial"/>
                <w:bCs/>
                <w:sz w:val="20"/>
                <w:szCs w:val="20"/>
              </w:rPr>
              <w:t>the good order or management of legal proceedings or other business conducted at the court premises;</w:t>
            </w:r>
          </w:p>
          <w:p w14:paraId="7CE7BCAB" w14:textId="524637B5" w:rsidR="005534CC" w:rsidRDefault="005534CC" w:rsidP="005534CC">
            <w:pPr>
              <w:ind w:left="454" w:right="-57" w:hanging="454"/>
              <w:jc w:val="both"/>
              <w:rPr>
                <w:rFonts w:ascii="Arial" w:hAnsi="Arial" w:cs="Arial"/>
                <w:sz w:val="20"/>
                <w:szCs w:val="20"/>
              </w:rPr>
            </w:pPr>
            <w:r>
              <w:rPr>
                <w:rFonts w:ascii="Arial" w:hAnsi="Arial" w:cs="Arial"/>
                <w:bCs/>
                <w:sz w:val="20"/>
                <w:szCs w:val="20"/>
              </w:rPr>
              <w:t>(d)</w:t>
            </w:r>
            <w:r>
              <w:rPr>
                <w:rFonts w:ascii="Arial" w:hAnsi="Arial" w:cs="Arial"/>
                <w:sz w:val="20"/>
                <w:szCs w:val="20"/>
              </w:rPr>
              <w:tab/>
              <w:t>in relation to a pandemic declaration, the health of all persons or any class of person who work at, attend or are in custody at the court premises;</w:t>
            </w:r>
          </w:p>
          <w:p w14:paraId="7C1EA708" w14:textId="0871FCB7" w:rsidR="005534CC" w:rsidRDefault="005534CC" w:rsidP="005534CC">
            <w:pPr>
              <w:ind w:left="454" w:right="-57" w:hanging="454"/>
              <w:jc w:val="both"/>
              <w:rPr>
                <w:rFonts w:ascii="Arial" w:hAnsi="Arial" w:cs="Arial"/>
                <w:sz w:val="20"/>
                <w:szCs w:val="20"/>
              </w:rPr>
            </w:pPr>
            <w:r>
              <w:rPr>
                <w:rFonts w:ascii="Arial" w:hAnsi="Arial" w:cs="Arial"/>
                <w:bCs/>
                <w:sz w:val="20"/>
                <w:szCs w:val="20"/>
              </w:rPr>
              <w:t>(e)</w:t>
            </w:r>
            <w:r>
              <w:rPr>
                <w:rFonts w:ascii="Arial" w:hAnsi="Arial" w:cs="Arial"/>
                <w:sz w:val="20"/>
                <w:szCs w:val="20"/>
              </w:rPr>
              <w:tab/>
              <w:t>the following of any relevant pandemic order at the court premises;</w:t>
            </w:r>
          </w:p>
          <w:p w14:paraId="7F70CB83" w14:textId="27A6D21C" w:rsidR="005534CC" w:rsidRDefault="005534CC" w:rsidP="005534CC">
            <w:pPr>
              <w:ind w:left="454" w:right="-57" w:hanging="454"/>
              <w:jc w:val="both"/>
              <w:rPr>
                <w:rFonts w:ascii="Arial" w:hAnsi="Arial" w:cs="Arial"/>
                <w:bCs/>
                <w:sz w:val="20"/>
                <w:szCs w:val="20"/>
              </w:rPr>
            </w:pPr>
            <w:r>
              <w:rPr>
                <w:rFonts w:ascii="Arial" w:hAnsi="Arial" w:cs="Arial"/>
                <w:sz w:val="20"/>
                <w:szCs w:val="20"/>
              </w:rPr>
              <w:t>(f)</w:t>
            </w:r>
            <w:r>
              <w:rPr>
                <w:rFonts w:ascii="Arial" w:hAnsi="Arial" w:cs="Arial"/>
                <w:sz w:val="20"/>
                <w:szCs w:val="20"/>
              </w:rPr>
              <w:tab/>
              <w:t xml:space="preserve">the following of any relevant directions made by an authorised officer under Part 8A or 10 of the </w:t>
            </w:r>
            <w:r w:rsidRPr="005534CC">
              <w:rPr>
                <w:rFonts w:ascii="Arial" w:hAnsi="Arial" w:cs="Arial"/>
                <w:i/>
                <w:iCs/>
                <w:sz w:val="20"/>
                <w:szCs w:val="20"/>
              </w:rPr>
              <w:t>Public Health and Wellbeing Act 2008</w:t>
            </w:r>
            <w:r>
              <w:rPr>
                <w:rFonts w:ascii="Arial" w:hAnsi="Arial" w:cs="Arial"/>
                <w:sz w:val="20"/>
                <w:szCs w:val="20"/>
              </w:rPr>
              <w:t xml:space="preserve"> at the court premises.</w:t>
            </w:r>
          </w:p>
        </w:tc>
      </w:tr>
      <w:tr w:rsidR="00AE2EB6" w14:paraId="5E9F679E" w14:textId="77777777" w:rsidTr="00BB08A1">
        <w:tc>
          <w:tcPr>
            <w:tcW w:w="1128" w:type="dxa"/>
            <w:tcBorders>
              <w:top w:val="single" w:sz="4" w:space="0" w:color="auto"/>
              <w:left w:val="single" w:sz="12" w:space="0" w:color="auto"/>
              <w:bottom w:val="single" w:sz="4" w:space="0" w:color="auto"/>
              <w:right w:val="single" w:sz="8" w:space="0" w:color="auto"/>
            </w:tcBorders>
          </w:tcPr>
          <w:p w14:paraId="027E7B6D" w14:textId="42F50C28" w:rsidR="00AE2EB6" w:rsidRDefault="00AE2EB6" w:rsidP="00AE2EB6">
            <w:pPr>
              <w:ind w:right="-57"/>
              <w:jc w:val="center"/>
              <w:rPr>
                <w:rFonts w:ascii="Arial" w:hAnsi="Arial" w:cs="Arial"/>
                <w:bCs/>
                <w:sz w:val="20"/>
                <w:szCs w:val="20"/>
              </w:rPr>
            </w:pPr>
            <w:r>
              <w:rPr>
                <w:rFonts w:ascii="Arial" w:hAnsi="Arial" w:cs="Arial"/>
                <w:bCs/>
                <w:sz w:val="20"/>
                <w:szCs w:val="20"/>
              </w:rPr>
              <w:t>3</w:t>
            </w:r>
          </w:p>
        </w:tc>
        <w:tc>
          <w:tcPr>
            <w:tcW w:w="7931" w:type="dxa"/>
            <w:tcBorders>
              <w:left w:val="single" w:sz="8" w:space="0" w:color="auto"/>
              <w:right w:val="single" w:sz="12" w:space="0" w:color="auto"/>
            </w:tcBorders>
          </w:tcPr>
          <w:p w14:paraId="4E274B63" w14:textId="005B177B" w:rsidR="00AE2EB6" w:rsidRDefault="00AE2EB6" w:rsidP="00AE2EB6">
            <w:pPr>
              <w:ind w:right="-57"/>
              <w:jc w:val="both"/>
              <w:rPr>
                <w:rFonts w:ascii="Arial" w:hAnsi="Arial" w:cs="Arial"/>
                <w:bCs/>
                <w:sz w:val="20"/>
                <w:szCs w:val="20"/>
              </w:rPr>
            </w:pPr>
            <w:r>
              <w:rPr>
                <w:rFonts w:ascii="Arial" w:hAnsi="Arial" w:cs="Arial"/>
                <w:bCs/>
                <w:sz w:val="20"/>
                <w:szCs w:val="20"/>
              </w:rPr>
              <w:t>Powers of authori</w:t>
            </w:r>
            <w:r w:rsidR="00F10653">
              <w:rPr>
                <w:rFonts w:ascii="Arial" w:hAnsi="Arial" w:cs="Arial"/>
                <w:bCs/>
                <w:sz w:val="20"/>
                <w:szCs w:val="20"/>
              </w:rPr>
              <w:t>z</w:t>
            </w:r>
            <w:r>
              <w:rPr>
                <w:rFonts w:ascii="Arial" w:hAnsi="Arial" w:cs="Arial"/>
                <w:bCs/>
                <w:sz w:val="20"/>
                <w:szCs w:val="20"/>
              </w:rPr>
              <w:t>ed officers</w:t>
            </w:r>
            <w:r w:rsidR="004365D6">
              <w:rPr>
                <w:rFonts w:ascii="Arial" w:hAnsi="Arial" w:cs="Arial"/>
                <w:bCs/>
                <w:sz w:val="20"/>
                <w:szCs w:val="20"/>
              </w:rPr>
              <w:t xml:space="preserve"> include</w:t>
            </w:r>
            <w:r w:rsidR="00B80A2B">
              <w:rPr>
                <w:rFonts w:ascii="Arial" w:hAnsi="Arial" w:cs="Arial"/>
                <w:bCs/>
                <w:sz w:val="20"/>
                <w:szCs w:val="20"/>
              </w:rPr>
              <w:t xml:space="preserve"> powers to</w:t>
            </w:r>
            <w:r w:rsidR="004365D6">
              <w:rPr>
                <w:rFonts w:ascii="Arial" w:hAnsi="Arial" w:cs="Arial"/>
                <w:bCs/>
                <w:sz w:val="20"/>
                <w:szCs w:val="20"/>
              </w:rPr>
              <w:t>-</w:t>
            </w:r>
          </w:p>
          <w:p w14:paraId="59B10D70" w14:textId="05547257" w:rsidR="004365D6" w:rsidRDefault="004365D6" w:rsidP="004365D6">
            <w:pPr>
              <w:pStyle w:val="ListParagraph"/>
              <w:numPr>
                <w:ilvl w:val="0"/>
                <w:numId w:val="46"/>
              </w:numPr>
              <w:ind w:left="357" w:right="-57" w:hanging="357"/>
              <w:jc w:val="both"/>
              <w:rPr>
                <w:rFonts w:ascii="Arial" w:hAnsi="Arial" w:cs="Arial"/>
                <w:bCs/>
                <w:sz w:val="20"/>
              </w:rPr>
            </w:pPr>
            <w:r w:rsidRPr="004365D6">
              <w:rPr>
                <w:rFonts w:ascii="Arial" w:hAnsi="Arial" w:cs="Arial"/>
                <w:bCs/>
                <w:sz w:val="20"/>
              </w:rPr>
              <w:t>demand from a person who is on court premises the person’s name and address, reasons for being on the premises and evidence of identity;</w:t>
            </w:r>
          </w:p>
          <w:p w14:paraId="1FE4E552" w14:textId="32E304EE"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giv</w:t>
            </w:r>
            <w:r w:rsidR="00B80A2B">
              <w:rPr>
                <w:rFonts w:ascii="Arial" w:hAnsi="Arial" w:cs="Arial"/>
                <w:bCs/>
                <w:sz w:val="20"/>
              </w:rPr>
              <w:t>e</w:t>
            </w:r>
            <w:r>
              <w:rPr>
                <w:rFonts w:ascii="Arial" w:hAnsi="Arial" w:cs="Arial"/>
                <w:bCs/>
                <w:sz w:val="20"/>
              </w:rPr>
              <w:t xml:space="preserve"> to a person who wishes to enter court premises, or is on the court premises, a reasonable direction to do or not do a thing, for the purpose of maintaining or restoring the security, good order or management of the court premises;</w:t>
            </w:r>
          </w:p>
          <w:p w14:paraId="0EB92057" w14:textId="70F68325"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escort a person to or from court premises if that person has consented to being escorted;</w:t>
            </w:r>
          </w:p>
          <w:p w14:paraId="03DE090D" w14:textId="55F65AC7"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 xml:space="preserve">direct a person whom the officer reasonably suspects is </w:t>
            </w:r>
            <w:r w:rsidR="00DE5662">
              <w:rPr>
                <w:rFonts w:ascii="Arial" w:hAnsi="Arial" w:cs="Arial"/>
                <w:bCs/>
                <w:sz w:val="20"/>
              </w:rPr>
              <w:t xml:space="preserve">making a </w:t>
            </w:r>
            <w:r>
              <w:rPr>
                <w:rFonts w:ascii="Arial" w:hAnsi="Arial" w:cs="Arial"/>
                <w:bCs/>
                <w:sz w:val="20"/>
              </w:rPr>
              <w:t>recording, transmi</w:t>
            </w:r>
            <w:r w:rsidR="00DE5662">
              <w:rPr>
                <w:rFonts w:ascii="Arial" w:hAnsi="Arial" w:cs="Arial"/>
                <w:bCs/>
                <w:sz w:val="20"/>
              </w:rPr>
              <w:t>ssion</w:t>
            </w:r>
            <w:r>
              <w:rPr>
                <w:rFonts w:ascii="Arial" w:hAnsi="Arial" w:cs="Arial"/>
                <w:bCs/>
                <w:sz w:val="20"/>
              </w:rPr>
              <w:t xml:space="preserve"> or publi</w:t>
            </w:r>
            <w:r w:rsidR="00DE5662">
              <w:rPr>
                <w:rFonts w:ascii="Arial" w:hAnsi="Arial" w:cs="Arial"/>
                <w:bCs/>
                <w:sz w:val="20"/>
              </w:rPr>
              <w:t>cation of</w:t>
            </w:r>
            <w:r>
              <w:rPr>
                <w:rFonts w:ascii="Arial" w:hAnsi="Arial" w:cs="Arial"/>
                <w:bCs/>
                <w:sz w:val="20"/>
              </w:rPr>
              <w:t xml:space="preserve"> a proceeding contrary to the CSA or any other Act:</w:t>
            </w:r>
          </w:p>
          <w:p w14:paraId="4E70DE5B" w14:textId="2DDA1E7D" w:rsidR="004365D6" w:rsidRDefault="004365D6" w:rsidP="00B80A2B">
            <w:pPr>
              <w:ind w:left="811" w:right="-57" w:hanging="454"/>
              <w:jc w:val="both"/>
              <w:rPr>
                <w:rFonts w:ascii="Arial" w:hAnsi="Arial" w:cs="Arial"/>
                <w:bCs/>
                <w:sz w:val="20"/>
              </w:rPr>
            </w:pPr>
            <w:r>
              <w:rPr>
                <w:rFonts w:ascii="Arial" w:hAnsi="Arial" w:cs="Arial"/>
                <w:bCs/>
                <w:sz w:val="20"/>
              </w:rPr>
              <w:t>(i)</w:t>
            </w:r>
            <w:r>
              <w:rPr>
                <w:rFonts w:ascii="Arial" w:hAnsi="Arial" w:cs="Arial"/>
                <w:bCs/>
                <w:sz w:val="20"/>
                <w:szCs w:val="20"/>
              </w:rPr>
              <w:tab/>
            </w:r>
            <w:r>
              <w:rPr>
                <w:rFonts w:ascii="Arial" w:hAnsi="Arial" w:cs="Arial"/>
                <w:bCs/>
                <w:sz w:val="20"/>
              </w:rPr>
              <w:t>to stop making the recording, transmission or publication; and/or</w:t>
            </w:r>
          </w:p>
          <w:p w14:paraId="483656E3" w14:textId="58A258F5" w:rsidR="004365D6" w:rsidRDefault="004365D6" w:rsidP="00B80A2B">
            <w:pPr>
              <w:ind w:left="811" w:right="-57" w:hanging="454"/>
              <w:jc w:val="both"/>
              <w:rPr>
                <w:rFonts w:ascii="Arial" w:hAnsi="Arial" w:cs="Arial"/>
                <w:bCs/>
                <w:sz w:val="20"/>
                <w:szCs w:val="20"/>
              </w:rPr>
            </w:pPr>
            <w:r>
              <w:rPr>
                <w:rFonts w:ascii="Arial" w:hAnsi="Arial" w:cs="Arial"/>
                <w:bCs/>
                <w:sz w:val="20"/>
              </w:rPr>
              <w:t>(ii)</w:t>
            </w:r>
            <w:r>
              <w:rPr>
                <w:rFonts w:ascii="Arial" w:hAnsi="Arial" w:cs="Arial"/>
                <w:bCs/>
                <w:sz w:val="20"/>
                <w:szCs w:val="20"/>
              </w:rPr>
              <w:tab/>
              <w:t>to permit an authorized officer to view the recording, transmission or publication on a device; and/or</w:t>
            </w:r>
          </w:p>
          <w:p w14:paraId="00E87874" w14:textId="234B35E3" w:rsidR="004365D6" w:rsidRDefault="004365D6" w:rsidP="00B80A2B">
            <w:pPr>
              <w:ind w:left="811" w:right="-57" w:hanging="454"/>
              <w:jc w:val="both"/>
              <w:rPr>
                <w:rFonts w:ascii="Arial" w:hAnsi="Arial" w:cs="Arial"/>
                <w:bCs/>
                <w:sz w:val="20"/>
              </w:rPr>
            </w:pPr>
            <w:r>
              <w:rPr>
                <w:rFonts w:ascii="Arial" w:hAnsi="Arial" w:cs="Arial"/>
                <w:bCs/>
                <w:sz w:val="20"/>
              </w:rPr>
              <w:t>(iii)</w:t>
            </w:r>
            <w:r>
              <w:rPr>
                <w:rFonts w:ascii="Arial" w:hAnsi="Arial" w:cs="Arial"/>
                <w:bCs/>
                <w:sz w:val="20"/>
                <w:szCs w:val="20"/>
              </w:rPr>
              <w:tab/>
            </w:r>
            <w:r w:rsidR="00B80A2B">
              <w:rPr>
                <w:rFonts w:ascii="Arial" w:hAnsi="Arial" w:cs="Arial"/>
                <w:bCs/>
                <w:sz w:val="20"/>
                <w:szCs w:val="20"/>
              </w:rPr>
              <w:t xml:space="preserve">to </w:t>
            </w:r>
            <w:r>
              <w:rPr>
                <w:rFonts w:ascii="Arial" w:hAnsi="Arial" w:cs="Arial"/>
                <w:bCs/>
                <w:sz w:val="20"/>
                <w:szCs w:val="20"/>
              </w:rPr>
              <w:t>delete the recording</w:t>
            </w:r>
            <w:r w:rsidR="00DE5662">
              <w:rPr>
                <w:rFonts w:ascii="Arial" w:hAnsi="Arial" w:cs="Arial"/>
                <w:bCs/>
                <w:sz w:val="20"/>
                <w:szCs w:val="20"/>
              </w:rPr>
              <w:t>;</w:t>
            </w:r>
          </w:p>
          <w:p w14:paraId="2196E35D" w14:textId="6BEB3986" w:rsidR="00B80A2B" w:rsidRDefault="00B80A2B" w:rsidP="00B80A2B">
            <w:pPr>
              <w:pStyle w:val="ListParagraph"/>
              <w:numPr>
                <w:ilvl w:val="0"/>
                <w:numId w:val="46"/>
              </w:numPr>
              <w:ind w:left="357" w:right="-57" w:hanging="357"/>
              <w:jc w:val="both"/>
              <w:rPr>
                <w:rFonts w:ascii="Arial" w:hAnsi="Arial" w:cs="Arial"/>
                <w:bCs/>
                <w:sz w:val="20"/>
              </w:rPr>
            </w:pPr>
            <w:r>
              <w:rPr>
                <w:rFonts w:ascii="Arial" w:hAnsi="Arial" w:cs="Arial"/>
                <w:bCs/>
                <w:sz w:val="20"/>
              </w:rPr>
              <w:t>require a person who wishes to enter court premises, or is on the court premises, to submit to a frisk search or a search of anything in the person’s possession</w:t>
            </w:r>
            <w:r w:rsidR="0020729F">
              <w:rPr>
                <w:rFonts w:ascii="Arial" w:hAnsi="Arial" w:cs="Arial"/>
                <w:bCs/>
                <w:sz w:val="20"/>
              </w:rPr>
              <w:t>;</w:t>
            </w:r>
          </w:p>
          <w:p w14:paraId="1B1503AE" w14:textId="718921A8" w:rsidR="00B80A2B" w:rsidRDefault="00B80A2B" w:rsidP="00B80A2B">
            <w:pPr>
              <w:pStyle w:val="ListParagraph"/>
              <w:numPr>
                <w:ilvl w:val="0"/>
                <w:numId w:val="46"/>
              </w:numPr>
              <w:ind w:left="357" w:right="-57" w:hanging="357"/>
              <w:jc w:val="both"/>
              <w:rPr>
                <w:rFonts w:ascii="Arial" w:hAnsi="Arial" w:cs="Arial"/>
                <w:bCs/>
                <w:sz w:val="20"/>
              </w:rPr>
            </w:pPr>
            <w:r>
              <w:rPr>
                <w:rFonts w:ascii="Arial" w:hAnsi="Arial" w:cs="Arial"/>
                <w:bCs/>
                <w:sz w:val="20"/>
              </w:rPr>
              <w:lastRenderedPageBreak/>
              <w:t>seize and retain any item found during a search</w:t>
            </w:r>
            <w:r w:rsidR="00DE5662">
              <w:rPr>
                <w:rFonts w:ascii="Arial" w:hAnsi="Arial" w:cs="Arial"/>
                <w:bCs/>
                <w:sz w:val="20"/>
              </w:rPr>
              <w:t xml:space="preserve"> that the authorized officer believes on reasonable grounds is a prohibited item</w:t>
            </w:r>
            <w:r>
              <w:rPr>
                <w:rFonts w:ascii="Arial" w:hAnsi="Arial" w:cs="Arial"/>
                <w:bCs/>
                <w:sz w:val="20"/>
              </w:rPr>
              <w:t>;</w:t>
            </w:r>
          </w:p>
          <w:p w14:paraId="4951B527" w14:textId="4D8E8D93" w:rsidR="004365D6" w:rsidRPr="00B80A2B" w:rsidRDefault="00B80A2B" w:rsidP="004365D6">
            <w:pPr>
              <w:pStyle w:val="ListParagraph"/>
              <w:numPr>
                <w:ilvl w:val="0"/>
                <w:numId w:val="46"/>
              </w:numPr>
              <w:ind w:left="357" w:right="-57" w:hanging="357"/>
              <w:jc w:val="both"/>
              <w:rPr>
                <w:rFonts w:ascii="Arial" w:hAnsi="Arial" w:cs="Arial"/>
                <w:bCs/>
                <w:sz w:val="20"/>
              </w:rPr>
            </w:pPr>
            <w:r>
              <w:rPr>
                <w:rFonts w:ascii="Arial" w:hAnsi="Arial" w:cs="Arial"/>
                <w:bCs/>
                <w:sz w:val="20"/>
              </w:rPr>
              <w:t>refuse a person entry to the court premises or remove a person from the court premises if the authorized officer believes on reasonable grounds that the person is likely to affect adversely the security, good order or management of the court premises.</w:t>
            </w:r>
          </w:p>
        </w:tc>
      </w:tr>
      <w:tr w:rsidR="00AE2EB6" w14:paraId="6CEB6840" w14:textId="77777777" w:rsidTr="00BB08A1">
        <w:tc>
          <w:tcPr>
            <w:tcW w:w="1128" w:type="dxa"/>
            <w:tcBorders>
              <w:top w:val="single" w:sz="4" w:space="0" w:color="auto"/>
              <w:left w:val="single" w:sz="12" w:space="0" w:color="auto"/>
              <w:bottom w:val="single" w:sz="4" w:space="0" w:color="auto"/>
              <w:right w:val="single" w:sz="8" w:space="0" w:color="auto"/>
            </w:tcBorders>
          </w:tcPr>
          <w:p w14:paraId="24571010" w14:textId="38CC57D3" w:rsidR="00AE2EB6" w:rsidRDefault="00AE2EB6" w:rsidP="00AE2EB6">
            <w:pPr>
              <w:ind w:right="-57"/>
              <w:jc w:val="center"/>
              <w:rPr>
                <w:rFonts w:ascii="Arial" w:hAnsi="Arial" w:cs="Arial"/>
                <w:bCs/>
                <w:sz w:val="20"/>
                <w:szCs w:val="20"/>
              </w:rPr>
            </w:pPr>
            <w:r>
              <w:rPr>
                <w:rFonts w:ascii="Arial" w:hAnsi="Arial" w:cs="Arial"/>
                <w:bCs/>
                <w:sz w:val="20"/>
                <w:szCs w:val="20"/>
              </w:rPr>
              <w:lastRenderedPageBreak/>
              <w:t>3A</w:t>
            </w:r>
          </w:p>
        </w:tc>
        <w:tc>
          <w:tcPr>
            <w:tcW w:w="7931" w:type="dxa"/>
            <w:tcBorders>
              <w:left w:val="single" w:sz="8" w:space="0" w:color="auto"/>
              <w:right w:val="single" w:sz="12" w:space="0" w:color="auto"/>
            </w:tcBorders>
          </w:tcPr>
          <w:p w14:paraId="3B0FEC5C" w14:textId="47DABE2C" w:rsidR="00AE2EB6" w:rsidRDefault="00AE2EB6" w:rsidP="00AE2EB6">
            <w:pPr>
              <w:ind w:right="-57"/>
              <w:jc w:val="both"/>
              <w:rPr>
                <w:rFonts w:ascii="Arial" w:hAnsi="Arial" w:cs="Arial"/>
                <w:bCs/>
                <w:sz w:val="20"/>
                <w:szCs w:val="20"/>
              </w:rPr>
            </w:pPr>
            <w:r>
              <w:rPr>
                <w:rFonts w:ascii="Arial" w:hAnsi="Arial" w:cs="Arial"/>
                <w:bCs/>
                <w:sz w:val="20"/>
                <w:szCs w:val="20"/>
              </w:rPr>
              <w:t>Police to be present at courts</w:t>
            </w:r>
          </w:p>
        </w:tc>
      </w:tr>
      <w:tr w:rsidR="00AE2EB6" w14:paraId="0D36C7FC" w14:textId="77777777" w:rsidTr="00BB08A1">
        <w:tc>
          <w:tcPr>
            <w:tcW w:w="1128" w:type="dxa"/>
            <w:tcBorders>
              <w:top w:val="single" w:sz="4" w:space="0" w:color="auto"/>
              <w:left w:val="single" w:sz="12" w:space="0" w:color="auto"/>
              <w:bottom w:val="single" w:sz="4" w:space="0" w:color="auto"/>
              <w:right w:val="single" w:sz="8" w:space="0" w:color="auto"/>
            </w:tcBorders>
          </w:tcPr>
          <w:p w14:paraId="1E0B4F7F" w14:textId="612965D2" w:rsidR="00AE2EB6" w:rsidRDefault="00F10653" w:rsidP="00AE2EB6">
            <w:pPr>
              <w:ind w:right="-57"/>
              <w:jc w:val="center"/>
              <w:rPr>
                <w:rFonts w:ascii="Arial" w:hAnsi="Arial" w:cs="Arial"/>
                <w:bCs/>
                <w:sz w:val="20"/>
                <w:szCs w:val="20"/>
              </w:rPr>
            </w:pPr>
            <w:r>
              <w:rPr>
                <w:rFonts w:ascii="Arial" w:hAnsi="Arial" w:cs="Arial"/>
                <w:bCs/>
                <w:sz w:val="20"/>
                <w:szCs w:val="20"/>
              </w:rPr>
              <w:t>4</w:t>
            </w:r>
          </w:p>
        </w:tc>
        <w:tc>
          <w:tcPr>
            <w:tcW w:w="7931" w:type="dxa"/>
            <w:tcBorders>
              <w:left w:val="single" w:sz="8" w:space="0" w:color="auto"/>
              <w:right w:val="single" w:sz="12" w:space="0" w:color="auto"/>
            </w:tcBorders>
          </w:tcPr>
          <w:p w14:paraId="32F57283" w14:textId="3046E3B9" w:rsidR="00AE2EB6" w:rsidRDefault="00F10653" w:rsidP="00AE2EB6">
            <w:pPr>
              <w:ind w:right="-57"/>
              <w:jc w:val="both"/>
              <w:rPr>
                <w:rFonts w:ascii="Arial" w:hAnsi="Arial" w:cs="Arial"/>
                <w:bCs/>
                <w:sz w:val="20"/>
                <w:szCs w:val="20"/>
              </w:rPr>
            </w:pPr>
            <w:r>
              <w:rPr>
                <w:rFonts w:ascii="Arial" w:hAnsi="Arial" w:cs="Arial"/>
                <w:bCs/>
                <w:sz w:val="20"/>
                <w:szCs w:val="20"/>
              </w:rPr>
              <w:t>Offence to carry or possess firearm, explosive substance or offensive weapon on court premises</w:t>
            </w:r>
          </w:p>
        </w:tc>
      </w:tr>
      <w:tr w:rsidR="00AE2EB6" w14:paraId="2D008710" w14:textId="77777777" w:rsidTr="00BB08A1">
        <w:tc>
          <w:tcPr>
            <w:tcW w:w="1128" w:type="dxa"/>
            <w:tcBorders>
              <w:top w:val="single" w:sz="4" w:space="0" w:color="auto"/>
              <w:left w:val="single" w:sz="12" w:space="0" w:color="auto"/>
              <w:bottom w:val="single" w:sz="4" w:space="0" w:color="auto"/>
              <w:right w:val="single" w:sz="8" w:space="0" w:color="auto"/>
            </w:tcBorders>
          </w:tcPr>
          <w:p w14:paraId="09A2D176" w14:textId="19365C06" w:rsidR="00AE2EB6" w:rsidRDefault="00F10653" w:rsidP="00AE2EB6">
            <w:pPr>
              <w:ind w:right="-57"/>
              <w:jc w:val="center"/>
              <w:rPr>
                <w:rFonts w:ascii="Arial" w:hAnsi="Arial" w:cs="Arial"/>
                <w:bCs/>
                <w:sz w:val="20"/>
                <w:szCs w:val="20"/>
              </w:rPr>
            </w:pPr>
            <w:r>
              <w:rPr>
                <w:rFonts w:ascii="Arial" w:hAnsi="Arial" w:cs="Arial"/>
                <w:bCs/>
                <w:sz w:val="20"/>
                <w:szCs w:val="20"/>
              </w:rPr>
              <w:t>4A</w:t>
            </w:r>
          </w:p>
        </w:tc>
        <w:tc>
          <w:tcPr>
            <w:tcW w:w="7931" w:type="dxa"/>
            <w:tcBorders>
              <w:left w:val="single" w:sz="8" w:space="0" w:color="auto"/>
              <w:right w:val="single" w:sz="12" w:space="0" w:color="auto"/>
            </w:tcBorders>
          </w:tcPr>
          <w:p w14:paraId="464A5736" w14:textId="4EF1BB7B" w:rsidR="00AE2EB6" w:rsidRDefault="00F10653" w:rsidP="00AE2EB6">
            <w:pPr>
              <w:ind w:right="-57"/>
              <w:jc w:val="both"/>
              <w:rPr>
                <w:rFonts w:ascii="Arial" w:hAnsi="Arial" w:cs="Arial"/>
                <w:bCs/>
                <w:sz w:val="20"/>
                <w:szCs w:val="20"/>
              </w:rPr>
            </w:pPr>
            <w:r>
              <w:rPr>
                <w:rFonts w:ascii="Arial" w:hAnsi="Arial" w:cs="Arial"/>
                <w:bCs/>
                <w:sz w:val="20"/>
                <w:szCs w:val="20"/>
              </w:rPr>
              <w:t>Offence to intentionally record a proceeding except in accordance with ss.4</w:t>
            </w:r>
            <w:proofErr w:type="gramStart"/>
            <w:r>
              <w:rPr>
                <w:rFonts w:ascii="Arial" w:hAnsi="Arial" w:cs="Arial"/>
                <w:bCs/>
                <w:sz w:val="20"/>
                <w:szCs w:val="20"/>
              </w:rPr>
              <w:t>A(</w:t>
            </w:r>
            <w:proofErr w:type="gramEnd"/>
            <w:r>
              <w:rPr>
                <w:rFonts w:ascii="Arial" w:hAnsi="Arial" w:cs="Arial"/>
                <w:bCs/>
                <w:sz w:val="20"/>
                <w:szCs w:val="20"/>
              </w:rPr>
              <w:t>2)-(4).</w:t>
            </w:r>
          </w:p>
        </w:tc>
      </w:tr>
      <w:tr w:rsidR="00AE2EB6" w14:paraId="77E3D348" w14:textId="77777777" w:rsidTr="00BB08A1">
        <w:tc>
          <w:tcPr>
            <w:tcW w:w="1128" w:type="dxa"/>
            <w:tcBorders>
              <w:top w:val="single" w:sz="4" w:space="0" w:color="auto"/>
              <w:left w:val="single" w:sz="12" w:space="0" w:color="auto"/>
              <w:bottom w:val="single" w:sz="4" w:space="0" w:color="auto"/>
              <w:right w:val="single" w:sz="8" w:space="0" w:color="auto"/>
            </w:tcBorders>
          </w:tcPr>
          <w:p w14:paraId="084A3F7E" w14:textId="0D0AB1BD" w:rsidR="00AE2EB6" w:rsidRDefault="00F10653" w:rsidP="00AE2EB6">
            <w:pPr>
              <w:ind w:right="-57"/>
              <w:jc w:val="center"/>
              <w:rPr>
                <w:rFonts w:ascii="Arial" w:hAnsi="Arial" w:cs="Arial"/>
                <w:bCs/>
                <w:sz w:val="20"/>
                <w:szCs w:val="20"/>
              </w:rPr>
            </w:pPr>
            <w:r>
              <w:rPr>
                <w:rFonts w:ascii="Arial" w:hAnsi="Arial" w:cs="Arial"/>
                <w:bCs/>
                <w:sz w:val="20"/>
                <w:szCs w:val="20"/>
              </w:rPr>
              <w:t>4B</w:t>
            </w:r>
          </w:p>
        </w:tc>
        <w:tc>
          <w:tcPr>
            <w:tcW w:w="7931" w:type="dxa"/>
            <w:tcBorders>
              <w:left w:val="single" w:sz="8" w:space="0" w:color="auto"/>
              <w:right w:val="single" w:sz="12" w:space="0" w:color="auto"/>
            </w:tcBorders>
          </w:tcPr>
          <w:p w14:paraId="23726D9D" w14:textId="2439B5A5" w:rsidR="00AE2EB6" w:rsidRDefault="00F10653" w:rsidP="00AE2EB6">
            <w:pPr>
              <w:ind w:right="-57"/>
              <w:jc w:val="both"/>
              <w:rPr>
                <w:rFonts w:ascii="Arial" w:hAnsi="Arial" w:cs="Arial"/>
                <w:bCs/>
                <w:sz w:val="20"/>
                <w:szCs w:val="20"/>
              </w:rPr>
            </w:pPr>
            <w:r>
              <w:rPr>
                <w:rFonts w:ascii="Arial" w:hAnsi="Arial" w:cs="Arial"/>
                <w:bCs/>
                <w:sz w:val="20"/>
                <w:szCs w:val="20"/>
              </w:rPr>
              <w:t>Offence to intentionally publish a recording of a proceeding except in accordance with s.4B(2).</w:t>
            </w:r>
            <w:r w:rsidR="004541D3">
              <w:rPr>
                <w:rFonts w:ascii="Arial" w:hAnsi="Arial" w:cs="Arial"/>
                <w:bCs/>
                <w:sz w:val="20"/>
                <w:szCs w:val="20"/>
              </w:rPr>
              <w:t xml:space="preserve">  However, s.4B(2A) provides that a person may publish a recording of a proceeding if the person does so on behalf of a court or tribunal for a purpose set out in s.8B of the </w:t>
            </w:r>
            <w:r w:rsidR="004541D3" w:rsidRPr="004541D3">
              <w:rPr>
                <w:rFonts w:ascii="Arial" w:hAnsi="Arial" w:cs="Arial"/>
                <w:bCs/>
                <w:i/>
                <w:iCs/>
                <w:sz w:val="20"/>
                <w:szCs w:val="20"/>
              </w:rPr>
              <w:t>Open Courts Act 2013</w:t>
            </w:r>
            <w:r w:rsidR="004541D3">
              <w:rPr>
                <w:rFonts w:ascii="Arial" w:hAnsi="Arial" w:cs="Arial"/>
                <w:bCs/>
                <w:sz w:val="20"/>
                <w:szCs w:val="20"/>
              </w:rPr>
              <w:t>.</w:t>
            </w:r>
          </w:p>
        </w:tc>
      </w:tr>
      <w:tr w:rsidR="00F10653" w14:paraId="239EF790" w14:textId="77777777" w:rsidTr="00BB08A1">
        <w:tc>
          <w:tcPr>
            <w:tcW w:w="1128" w:type="dxa"/>
            <w:tcBorders>
              <w:top w:val="single" w:sz="4" w:space="0" w:color="auto"/>
              <w:left w:val="single" w:sz="12" w:space="0" w:color="auto"/>
              <w:bottom w:val="single" w:sz="4" w:space="0" w:color="auto"/>
              <w:right w:val="single" w:sz="8" w:space="0" w:color="auto"/>
            </w:tcBorders>
          </w:tcPr>
          <w:p w14:paraId="3B916A1A" w14:textId="6EB28249" w:rsidR="00F10653" w:rsidRDefault="00F10653" w:rsidP="00AE2EB6">
            <w:pPr>
              <w:ind w:right="-57"/>
              <w:jc w:val="center"/>
              <w:rPr>
                <w:rFonts w:ascii="Arial" w:hAnsi="Arial" w:cs="Arial"/>
                <w:bCs/>
                <w:sz w:val="20"/>
                <w:szCs w:val="20"/>
              </w:rPr>
            </w:pPr>
            <w:r>
              <w:rPr>
                <w:rFonts w:ascii="Arial" w:hAnsi="Arial" w:cs="Arial"/>
                <w:bCs/>
                <w:sz w:val="20"/>
                <w:szCs w:val="20"/>
              </w:rPr>
              <w:t>4C</w:t>
            </w:r>
          </w:p>
        </w:tc>
        <w:tc>
          <w:tcPr>
            <w:tcW w:w="7931" w:type="dxa"/>
            <w:tcBorders>
              <w:left w:val="single" w:sz="8" w:space="0" w:color="auto"/>
              <w:right w:val="single" w:sz="12" w:space="0" w:color="auto"/>
            </w:tcBorders>
          </w:tcPr>
          <w:p w14:paraId="54A045B4" w14:textId="3CDB5198" w:rsidR="00F10653" w:rsidRDefault="00F10653" w:rsidP="00AE2EB6">
            <w:pPr>
              <w:ind w:right="-57"/>
              <w:jc w:val="both"/>
              <w:rPr>
                <w:rFonts w:ascii="Arial" w:hAnsi="Arial" w:cs="Arial"/>
                <w:bCs/>
                <w:sz w:val="20"/>
                <w:szCs w:val="20"/>
              </w:rPr>
            </w:pPr>
            <w:r>
              <w:rPr>
                <w:rFonts w:ascii="Arial" w:hAnsi="Arial" w:cs="Arial"/>
                <w:bCs/>
                <w:sz w:val="20"/>
                <w:szCs w:val="20"/>
              </w:rPr>
              <w:t>Offence to intentionally transmit to or give a recording of a proceeding to another person except in accordance with ss.4</w:t>
            </w:r>
            <w:proofErr w:type="gramStart"/>
            <w:r>
              <w:rPr>
                <w:rFonts w:ascii="Arial" w:hAnsi="Arial" w:cs="Arial"/>
                <w:bCs/>
                <w:sz w:val="20"/>
                <w:szCs w:val="20"/>
              </w:rPr>
              <w:t>C(</w:t>
            </w:r>
            <w:proofErr w:type="gramEnd"/>
            <w:r>
              <w:rPr>
                <w:rFonts w:ascii="Arial" w:hAnsi="Arial" w:cs="Arial"/>
                <w:bCs/>
                <w:sz w:val="20"/>
                <w:szCs w:val="20"/>
              </w:rPr>
              <w:t>2)-(4).</w:t>
            </w:r>
          </w:p>
        </w:tc>
      </w:tr>
      <w:tr w:rsidR="00F10653" w14:paraId="193A017D" w14:textId="77777777" w:rsidTr="00BB08A1">
        <w:tc>
          <w:tcPr>
            <w:tcW w:w="1128" w:type="dxa"/>
            <w:tcBorders>
              <w:top w:val="single" w:sz="4" w:space="0" w:color="auto"/>
              <w:left w:val="single" w:sz="12" w:space="0" w:color="auto"/>
              <w:bottom w:val="single" w:sz="4" w:space="0" w:color="auto"/>
              <w:right w:val="single" w:sz="8" w:space="0" w:color="auto"/>
            </w:tcBorders>
          </w:tcPr>
          <w:p w14:paraId="5E1F9D11" w14:textId="05830835" w:rsidR="00F10653" w:rsidRDefault="00F10653" w:rsidP="00AE2EB6">
            <w:pPr>
              <w:ind w:right="-57"/>
              <w:jc w:val="center"/>
              <w:rPr>
                <w:rFonts w:ascii="Arial" w:hAnsi="Arial" w:cs="Arial"/>
                <w:bCs/>
                <w:sz w:val="20"/>
                <w:szCs w:val="20"/>
              </w:rPr>
            </w:pPr>
            <w:r>
              <w:rPr>
                <w:rFonts w:ascii="Arial" w:hAnsi="Arial" w:cs="Arial"/>
                <w:bCs/>
                <w:sz w:val="20"/>
                <w:szCs w:val="20"/>
              </w:rPr>
              <w:t>5</w:t>
            </w:r>
          </w:p>
        </w:tc>
        <w:tc>
          <w:tcPr>
            <w:tcW w:w="7931" w:type="dxa"/>
            <w:tcBorders>
              <w:left w:val="single" w:sz="8" w:space="0" w:color="auto"/>
              <w:right w:val="single" w:sz="12" w:space="0" w:color="auto"/>
            </w:tcBorders>
          </w:tcPr>
          <w:p w14:paraId="7DD96D10" w14:textId="43D792D7" w:rsidR="00F10653" w:rsidRDefault="00F10653" w:rsidP="00AE2EB6">
            <w:pPr>
              <w:ind w:right="-57"/>
              <w:jc w:val="both"/>
              <w:rPr>
                <w:rFonts w:ascii="Arial" w:hAnsi="Arial" w:cs="Arial"/>
                <w:bCs/>
                <w:sz w:val="20"/>
                <w:szCs w:val="20"/>
              </w:rPr>
            </w:pPr>
            <w:r>
              <w:rPr>
                <w:rFonts w:ascii="Arial" w:hAnsi="Arial" w:cs="Arial"/>
                <w:bCs/>
                <w:sz w:val="20"/>
                <w:szCs w:val="20"/>
              </w:rPr>
              <w:t xml:space="preserve">The powers conferred by the CSA are in addition to and </w:t>
            </w:r>
            <w:r w:rsidR="00BB08A1">
              <w:rPr>
                <w:rFonts w:ascii="Arial" w:hAnsi="Arial" w:cs="Arial"/>
                <w:bCs/>
                <w:sz w:val="20"/>
                <w:szCs w:val="20"/>
              </w:rPr>
              <w:t>do</w:t>
            </w:r>
            <w:r>
              <w:rPr>
                <w:rFonts w:ascii="Arial" w:hAnsi="Arial" w:cs="Arial"/>
                <w:bCs/>
                <w:sz w:val="20"/>
                <w:szCs w:val="20"/>
              </w:rPr>
              <w:t xml:space="preserve"> not derogate from any other powers conferred on or possessed by any court</w:t>
            </w:r>
            <w:r w:rsidR="00BB08A1">
              <w:rPr>
                <w:rFonts w:ascii="Arial" w:hAnsi="Arial" w:cs="Arial"/>
                <w:bCs/>
                <w:sz w:val="20"/>
                <w:szCs w:val="20"/>
              </w:rPr>
              <w:t>,</w:t>
            </w:r>
            <w:r>
              <w:rPr>
                <w:rFonts w:ascii="Arial" w:hAnsi="Arial" w:cs="Arial"/>
                <w:bCs/>
                <w:sz w:val="20"/>
                <w:szCs w:val="20"/>
              </w:rPr>
              <w:t xml:space="preserve"> judge or person in relation to the conduct of proceedings in a court or the regulation of the conduct of persons in court premises.</w:t>
            </w:r>
          </w:p>
        </w:tc>
      </w:tr>
      <w:tr w:rsidR="00F10653" w14:paraId="7D3A9B9E" w14:textId="77777777" w:rsidTr="00BB08A1">
        <w:tc>
          <w:tcPr>
            <w:tcW w:w="1128" w:type="dxa"/>
            <w:tcBorders>
              <w:top w:val="single" w:sz="4" w:space="0" w:color="auto"/>
              <w:left w:val="single" w:sz="12" w:space="0" w:color="auto"/>
              <w:bottom w:val="single" w:sz="12" w:space="0" w:color="auto"/>
              <w:right w:val="single" w:sz="8" w:space="0" w:color="auto"/>
            </w:tcBorders>
          </w:tcPr>
          <w:p w14:paraId="70ACAD5E" w14:textId="16724AAC" w:rsidR="00F10653" w:rsidRDefault="00BB08A1" w:rsidP="00AE2EB6">
            <w:pPr>
              <w:ind w:right="-57"/>
              <w:jc w:val="center"/>
              <w:rPr>
                <w:rFonts w:ascii="Arial" w:hAnsi="Arial" w:cs="Arial"/>
                <w:bCs/>
                <w:sz w:val="20"/>
                <w:szCs w:val="20"/>
              </w:rPr>
            </w:pPr>
            <w:r>
              <w:rPr>
                <w:rFonts w:ascii="Arial" w:hAnsi="Arial" w:cs="Arial"/>
                <w:bCs/>
                <w:sz w:val="20"/>
                <w:szCs w:val="20"/>
              </w:rPr>
              <w:t>6 &amp; 7</w:t>
            </w:r>
          </w:p>
        </w:tc>
        <w:tc>
          <w:tcPr>
            <w:tcW w:w="7931" w:type="dxa"/>
            <w:tcBorders>
              <w:left w:val="single" w:sz="8" w:space="0" w:color="auto"/>
              <w:bottom w:val="single" w:sz="12" w:space="0" w:color="auto"/>
              <w:right w:val="single" w:sz="12" w:space="0" w:color="auto"/>
            </w:tcBorders>
          </w:tcPr>
          <w:p w14:paraId="2B83E024" w14:textId="0B1E9C77" w:rsidR="00F10653" w:rsidRDefault="00BB08A1" w:rsidP="00AE2EB6">
            <w:pPr>
              <w:ind w:right="-57"/>
              <w:jc w:val="both"/>
              <w:rPr>
                <w:rFonts w:ascii="Arial" w:hAnsi="Arial" w:cs="Arial"/>
                <w:bCs/>
                <w:sz w:val="20"/>
                <w:szCs w:val="20"/>
              </w:rPr>
            </w:pPr>
            <w:r>
              <w:rPr>
                <w:rFonts w:ascii="Arial" w:hAnsi="Arial" w:cs="Arial"/>
                <w:bCs/>
                <w:sz w:val="20"/>
                <w:szCs w:val="20"/>
              </w:rPr>
              <w:t>Powers to make regulations and/or rules.</w:t>
            </w:r>
          </w:p>
        </w:tc>
      </w:tr>
    </w:tbl>
    <w:p w14:paraId="35B35BEE" w14:textId="70DA2C99" w:rsidR="006D592F" w:rsidRDefault="006D592F" w:rsidP="006D592F">
      <w:pPr>
        <w:shd w:val="clear" w:color="auto" w:fill="FFFFFF"/>
        <w:ind w:right="-57"/>
        <w:jc w:val="both"/>
        <w:rPr>
          <w:rFonts w:ascii="Arial" w:hAnsi="Arial" w:cs="Arial"/>
          <w:bCs/>
          <w:sz w:val="20"/>
          <w:szCs w:val="20"/>
        </w:rPr>
      </w:pPr>
    </w:p>
    <w:p w14:paraId="66EFCBD4" w14:textId="166DC256" w:rsidR="006D592F" w:rsidRDefault="00BB08A1">
      <w:pPr>
        <w:jc w:val="both"/>
        <w:rPr>
          <w:rFonts w:ascii="Arial" w:hAnsi="Arial" w:cs="Arial"/>
          <w:sz w:val="20"/>
          <w:szCs w:val="20"/>
        </w:rPr>
      </w:pPr>
      <w:r>
        <w:rPr>
          <w:rFonts w:ascii="Arial" w:hAnsi="Arial" w:cs="Arial"/>
          <w:sz w:val="20"/>
          <w:szCs w:val="20"/>
        </w:rPr>
        <w:t xml:space="preserve">Section 7A CSA which provided some temporary measures in response to the COVID-19 pandemic </w:t>
      </w:r>
      <w:r w:rsidR="00D56DF6">
        <w:rPr>
          <w:rFonts w:ascii="Arial" w:hAnsi="Arial" w:cs="Arial"/>
          <w:sz w:val="20"/>
          <w:szCs w:val="20"/>
        </w:rPr>
        <w:t>wa</w:t>
      </w:r>
      <w:r>
        <w:rPr>
          <w:rFonts w:ascii="Arial" w:hAnsi="Arial" w:cs="Arial"/>
          <w:sz w:val="20"/>
          <w:szCs w:val="20"/>
        </w:rPr>
        <w:t xml:space="preserve">s repealed as and from </w:t>
      </w:r>
      <w:r w:rsidR="004541D3">
        <w:rPr>
          <w:rFonts w:ascii="Arial" w:hAnsi="Arial" w:cs="Arial"/>
          <w:sz w:val="20"/>
          <w:szCs w:val="20"/>
        </w:rPr>
        <w:t>11</w:t>
      </w:r>
      <w:r>
        <w:rPr>
          <w:rFonts w:ascii="Arial" w:hAnsi="Arial" w:cs="Arial"/>
          <w:sz w:val="20"/>
          <w:szCs w:val="20"/>
        </w:rPr>
        <w:t>/10/2023.</w:t>
      </w:r>
    </w:p>
    <w:p w14:paraId="02B7126E" w14:textId="77777777" w:rsidR="005534CC" w:rsidRPr="000D7DAB" w:rsidRDefault="005534CC">
      <w:pPr>
        <w:jc w:val="both"/>
        <w:rPr>
          <w:rFonts w:ascii="Arial" w:hAnsi="Arial" w:cs="Arial"/>
          <w:sz w:val="20"/>
          <w:szCs w:val="20"/>
        </w:rPr>
      </w:pPr>
    </w:p>
    <w:p w14:paraId="1796A177" w14:textId="77777777" w:rsidR="00277B85" w:rsidRPr="00BE6441" w:rsidRDefault="00277B85">
      <w:pPr>
        <w:pStyle w:val="Heading2"/>
        <w:tabs>
          <w:tab w:val="left" w:pos="567"/>
        </w:tabs>
        <w:spacing w:line="240" w:lineRule="auto"/>
        <w:rPr>
          <w:rFonts w:ascii="Arial" w:hAnsi="Arial" w:cs="Arial"/>
          <w:b/>
          <w:bCs/>
          <w:color w:val="000000"/>
        </w:rPr>
      </w:pPr>
      <w:bookmarkStart w:id="326" w:name="_2.6_A_specialist"/>
      <w:bookmarkStart w:id="327" w:name="_Toc30607524"/>
      <w:bookmarkStart w:id="328" w:name="_Toc30607653"/>
      <w:bookmarkStart w:id="329" w:name="_Toc30607978"/>
      <w:bookmarkStart w:id="330" w:name="_Toc30608795"/>
      <w:bookmarkStart w:id="331" w:name="_Toc30610008"/>
      <w:bookmarkStart w:id="332" w:name="_Toc30610251"/>
      <w:bookmarkStart w:id="333" w:name="_Toc30638405"/>
      <w:bookmarkStart w:id="334" w:name="_Toc30644214"/>
      <w:bookmarkStart w:id="335" w:name="_Toc30644617"/>
      <w:bookmarkStart w:id="336" w:name="_Toc30645167"/>
      <w:bookmarkStart w:id="337" w:name="_Toc30646371"/>
      <w:bookmarkStart w:id="338" w:name="_Toc30646666"/>
      <w:bookmarkStart w:id="339" w:name="_Toc30646776"/>
      <w:bookmarkStart w:id="340" w:name="_Toc30648133"/>
      <w:bookmarkStart w:id="341" w:name="_Toc30649031"/>
      <w:bookmarkStart w:id="342" w:name="_Toc30649107"/>
      <w:bookmarkStart w:id="343" w:name="_Toc30649368"/>
      <w:bookmarkStart w:id="344" w:name="_Toc30649688"/>
      <w:bookmarkStart w:id="345" w:name="_Toc30651622"/>
      <w:bookmarkStart w:id="346" w:name="_Toc30652606"/>
      <w:bookmarkStart w:id="347" w:name="_Toc30652704"/>
      <w:bookmarkStart w:id="348" w:name="_Toc30654049"/>
      <w:bookmarkStart w:id="349" w:name="_Toc30654400"/>
      <w:bookmarkStart w:id="350" w:name="_Toc30655019"/>
      <w:bookmarkStart w:id="351" w:name="_Toc30655276"/>
      <w:bookmarkStart w:id="352" w:name="_Toc30656952"/>
      <w:bookmarkStart w:id="353" w:name="_Toc30661701"/>
      <w:bookmarkStart w:id="354" w:name="_Toc30666389"/>
      <w:bookmarkStart w:id="355" w:name="_Toc30666619"/>
      <w:bookmarkStart w:id="356" w:name="_Toc30667794"/>
      <w:bookmarkStart w:id="357" w:name="_Toc30669172"/>
      <w:bookmarkStart w:id="358" w:name="_Toc30671388"/>
      <w:bookmarkStart w:id="359" w:name="_Toc30673915"/>
      <w:bookmarkStart w:id="360" w:name="_Toc30691137"/>
      <w:bookmarkStart w:id="361" w:name="_Toc30691508"/>
      <w:bookmarkStart w:id="362" w:name="_Toc30691888"/>
      <w:bookmarkStart w:id="363" w:name="_Toc30692647"/>
      <w:bookmarkStart w:id="364" w:name="_Toc30693026"/>
      <w:bookmarkStart w:id="365" w:name="_Toc30693404"/>
      <w:bookmarkStart w:id="366" w:name="_Toc30693783"/>
      <w:bookmarkStart w:id="367" w:name="_Toc30694164"/>
      <w:bookmarkStart w:id="368" w:name="_Toc30698753"/>
      <w:bookmarkStart w:id="369" w:name="_Toc30699131"/>
      <w:bookmarkStart w:id="370" w:name="_Toc30699516"/>
      <w:bookmarkStart w:id="371" w:name="_Toc30700671"/>
      <w:bookmarkStart w:id="372" w:name="_Toc30701058"/>
      <w:bookmarkStart w:id="373" w:name="_Toc30743667"/>
      <w:bookmarkStart w:id="374" w:name="_Toc30754490"/>
      <w:bookmarkStart w:id="375" w:name="_Toc30756930"/>
      <w:bookmarkStart w:id="376" w:name="_Toc30757479"/>
      <w:bookmarkStart w:id="377" w:name="_Toc30757879"/>
      <w:bookmarkStart w:id="378" w:name="_Toc30762640"/>
      <w:bookmarkStart w:id="379" w:name="_Toc30767294"/>
      <w:bookmarkStart w:id="380" w:name="_Toc34823319"/>
      <w:bookmarkEnd w:id="326"/>
      <w:r w:rsidRPr="00BE6441">
        <w:rPr>
          <w:rFonts w:ascii="Arial" w:hAnsi="Arial" w:cs="Arial"/>
          <w:b/>
          <w:bCs/>
          <w:color w:val="000000"/>
        </w:rPr>
        <w:t>2.6</w:t>
      </w:r>
      <w:r w:rsidRPr="00BE6441">
        <w:rPr>
          <w:rFonts w:ascii="Arial" w:hAnsi="Arial" w:cs="Arial"/>
          <w:b/>
          <w:bCs/>
          <w:color w:val="000000"/>
        </w:rPr>
        <w:tab/>
        <w:t>A specialist court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8BD075C" w14:textId="071170DB" w:rsidR="00277B85" w:rsidRDefault="00277B85">
      <w:pPr>
        <w:jc w:val="both"/>
        <w:rPr>
          <w:rFonts w:ascii="Arial" w:hAnsi="Arial" w:cs="Arial"/>
          <w:sz w:val="20"/>
        </w:rPr>
      </w:pPr>
    </w:p>
    <w:p w14:paraId="43232C58" w14:textId="2F084443" w:rsidR="00885636" w:rsidRDefault="00885636">
      <w:pPr>
        <w:jc w:val="both"/>
        <w:rPr>
          <w:rFonts w:ascii="Arial" w:hAnsi="Arial" w:cs="Arial"/>
          <w:sz w:val="20"/>
        </w:rPr>
      </w:pPr>
      <w:r>
        <w:rPr>
          <w:rFonts w:ascii="Arial" w:hAnsi="Arial" w:cs="Arial"/>
          <w:sz w:val="20"/>
        </w:rPr>
        <w:t xml:space="preserve">Prior to 2000 the Children’s Court had been in some respects a sort of ‘add-on’ to the Magistrates’ Court.  In the Second Reading Speech in support of the </w:t>
      </w:r>
      <w:r w:rsidRPr="00885636">
        <w:rPr>
          <w:rFonts w:ascii="Arial" w:hAnsi="Arial" w:cs="Arial"/>
          <w:i/>
          <w:iCs/>
          <w:sz w:val="20"/>
        </w:rPr>
        <w:t>Children and Young Persons (Appointment of President) Bill 2000</w:t>
      </w:r>
      <w:r>
        <w:rPr>
          <w:rFonts w:ascii="Arial" w:hAnsi="Arial" w:cs="Arial"/>
          <w:sz w:val="20"/>
        </w:rPr>
        <w:t xml:space="preserve"> the then Attorney-General Mr Hulls </w:t>
      </w:r>
      <w:r w:rsidR="008E312A">
        <w:rPr>
          <w:rFonts w:ascii="Arial" w:hAnsi="Arial" w:cs="Arial"/>
          <w:sz w:val="20"/>
        </w:rPr>
        <w:t>made it clear that one of the purposes of the Bill was to create an autonomous specialist court [Hansard, 04/05/2000, p.1</w:t>
      </w:r>
      <w:r w:rsidR="001E3EEE">
        <w:rPr>
          <w:rFonts w:ascii="Arial" w:hAnsi="Arial" w:cs="Arial"/>
          <w:sz w:val="20"/>
        </w:rPr>
        <w:t>32</w:t>
      </w:r>
      <w:r w:rsidR="008E312A">
        <w:rPr>
          <w:rFonts w:ascii="Arial" w:hAnsi="Arial" w:cs="Arial"/>
          <w:sz w:val="20"/>
        </w:rPr>
        <w:t>2]:</w:t>
      </w:r>
    </w:p>
    <w:p w14:paraId="4449BAF1" w14:textId="2472DA28" w:rsidR="008E312A" w:rsidRDefault="008E312A" w:rsidP="008E312A">
      <w:pPr>
        <w:spacing w:before="60"/>
        <w:ind w:left="567" w:right="567"/>
        <w:jc w:val="both"/>
        <w:rPr>
          <w:rFonts w:ascii="Arial" w:hAnsi="Arial" w:cs="Arial"/>
          <w:sz w:val="20"/>
        </w:rPr>
      </w:pPr>
      <w:r>
        <w:rPr>
          <w:rFonts w:ascii="Arial" w:hAnsi="Arial" w:cs="Arial"/>
          <w:sz w:val="20"/>
        </w:rPr>
        <w:t>“The…Bill elevates the status and authority of the long-neglected Children’s Court and by doing so advances the government’s commitment to promoting the position of young people in the Victorian community.</w:t>
      </w:r>
    </w:p>
    <w:p w14:paraId="6528075F" w14:textId="3979A046" w:rsidR="008E312A" w:rsidRDefault="008E312A" w:rsidP="008E312A">
      <w:pPr>
        <w:spacing w:before="60"/>
        <w:ind w:left="567" w:right="567"/>
        <w:jc w:val="both"/>
        <w:rPr>
          <w:rFonts w:ascii="Arial" w:hAnsi="Arial" w:cs="Arial"/>
          <w:sz w:val="20"/>
        </w:rPr>
      </w:pPr>
      <w:r>
        <w:rPr>
          <w:rFonts w:ascii="Arial" w:hAnsi="Arial" w:cs="Arial"/>
          <w:sz w:val="20"/>
        </w:rPr>
        <w:t>The Bill creates the office of President of the Children’s Court and establishes the Children’s Court as a new court which is separate from the Magistrates’ Court.</w:t>
      </w:r>
    </w:p>
    <w:p w14:paraId="0A067087" w14:textId="43240504" w:rsidR="008E312A" w:rsidRDefault="008E312A" w:rsidP="003D5A8D">
      <w:pPr>
        <w:spacing w:before="60"/>
        <w:ind w:left="567" w:right="567"/>
        <w:jc w:val="both"/>
        <w:rPr>
          <w:rFonts w:ascii="Arial" w:hAnsi="Arial" w:cs="Arial"/>
          <w:sz w:val="20"/>
        </w:rPr>
      </w:pPr>
      <w:r>
        <w:rPr>
          <w:rFonts w:ascii="Arial" w:hAnsi="Arial" w:cs="Arial"/>
          <w:sz w:val="20"/>
        </w:rPr>
        <w:t>The creation of the office of President of the Children’s Court:</w:t>
      </w:r>
    </w:p>
    <w:p w14:paraId="5495FD0C" w14:textId="08075AC5" w:rsidR="008E312A" w:rsidRPr="00FF0306" w:rsidRDefault="008E312A" w:rsidP="00C23CF0">
      <w:pPr>
        <w:pStyle w:val="ListParagraph"/>
        <w:numPr>
          <w:ilvl w:val="0"/>
          <w:numId w:val="26"/>
        </w:numPr>
        <w:spacing w:before="60"/>
        <w:ind w:left="924" w:right="454" w:hanging="357"/>
        <w:jc w:val="both"/>
        <w:rPr>
          <w:rFonts w:ascii="Arial" w:hAnsi="Arial" w:cs="Arial"/>
          <w:sz w:val="20"/>
        </w:rPr>
      </w:pPr>
      <w:r w:rsidRPr="00FF0306">
        <w:rPr>
          <w:rFonts w:ascii="Arial" w:hAnsi="Arial" w:cs="Arial"/>
          <w:sz w:val="20"/>
        </w:rPr>
        <w:t>reflects the importance, increasing specialisation and authority of the Children’s Court; and</w:t>
      </w:r>
    </w:p>
    <w:p w14:paraId="618704B0" w14:textId="44730385" w:rsidR="008E312A" w:rsidRPr="00FF0306" w:rsidRDefault="008E312A" w:rsidP="00C23CF0">
      <w:pPr>
        <w:pStyle w:val="ListParagraph"/>
        <w:numPr>
          <w:ilvl w:val="0"/>
          <w:numId w:val="26"/>
        </w:numPr>
        <w:spacing w:before="60"/>
        <w:ind w:left="924" w:right="454" w:hanging="357"/>
        <w:jc w:val="both"/>
        <w:rPr>
          <w:rFonts w:ascii="Arial" w:hAnsi="Arial" w:cs="Arial"/>
          <w:sz w:val="20"/>
        </w:rPr>
      </w:pPr>
      <w:r w:rsidRPr="00FF0306">
        <w:rPr>
          <w:rFonts w:ascii="Arial" w:hAnsi="Arial" w:cs="Arial"/>
          <w:sz w:val="20"/>
        </w:rPr>
        <w:t>will allow the Children’s Court to develop its specialist responsibilities autonomously.  The President will be able to promote the adoption of a consistent philosophy and set standards for the consistent treatment of young people in courts across the state.  This advances the government policy of growing the whole of the state of Victoria and providing increased services to rural and regional Victoria.</w:t>
      </w:r>
    </w:p>
    <w:p w14:paraId="3F52936F" w14:textId="1EB1F8DF" w:rsidR="008E312A" w:rsidRDefault="008E312A" w:rsidP="008E312A">
      <w:pPr>
        <w:spacing w:before="60"/>
        <w:ind w:left="567" w:right="567"/>
        <w:jc w:val="both"/>
        <w:rPr>
          <w:rFonts w:ascii="Arial" w:hAnsi="Arial" w:cs="Arial"/>
          <w:sz w:val="20"/>
        </w:rPr>
      </w:pPr>
      <w:r>
        <w:rPr>
          <w:rFonts w:ascii="Arial" w:hAnsi="Arial" w:cs="Arial"/>
          <w:sz w:val="20"/>
        </w:rPr>
        <w:t>The establishment of the Children’s Court as a freestanding, separately recognised court underlines its increased importance and specialisation.  This change clearly demonstrates the government’s recognition of the important role played by the Children’s Court in our judicial system in providing a specialised court catering for children and young people in both the criminal and family jurisdictions.”</w:t>
      </w:r>
    </w:p>
    <w:p w14:paraId="099BDB0E" w14:textId="77777777" w:rsidR="007E182D" w:rsidRDefault="007E182D">
      <w:pPr>
        <w:jc w:val="both"/>
        <w:rPr>
          <w:rFonts w:ascii="Arial" w:hAnsi="Arial" w:cs="Arial"/>
          <w:sz w:val="20"/>
        </w:rPr>
      </w:pPr>
    </w:p>
    <w:p w14:paraId="56CFFF94" w14:textId="038E6A97" w:rsidR="00277B85" w:rsidRDefault="00277B85">
      <w:pPr>
        <w:jc w:val="both"/>
        <w:rPr>
          <w:rFonts w:ascii="Arial" w:hAnsi="Arial" w:cs="Arial"/>
          <w:sz w:val="20"/>
        </w:rPr>
      </w:pPr>
      <w:r>
        <w:rPr>
          <w:rFonts w:ascii="Arial" w:hAnsi="Arial" w:cs="Arial"/>
          <w:sz w:val="20"/>
        </w:rPr>
        <w:t xml:space="preserve">Section </w:t>
      </w:r>
      <w:r w:rsidR="00D52216">
        <w:rPr>
          <w:rFonts w:ascii="Arial" w:hAnsi="Arial" w:cs="Arial"/>
          <w:sz w:val="20"/>
        </w:rPr>
        <w:t>507</w:t>
      </w:r>
      <w:r>
        <w:rPr>
          <w:rFonts w:ascii="Arial" w:hAnsi="Arial" w:cs="Arial"/>
          <w:sz w:val="20"/>
        </w:rPr>
        <w:t>(2) of the CY</w:t>
      </w:r>
      <w:r w:rsidR="00D52216">
        <w:rPr>
          <w:rFonts w:ascii="Arial" w:hAnsi="Arial" w:cs="Arial"/>
          <w:sz w:val="20"/>
        </w:rPr>
        <w:t>F</w:t>
      </w:r>
      <w:r>
        <w:rPr>
          <w:rFonts w:ascii="Arial" w:hAnsi="Arial" w:cs="Arial"/>
          <w:sz w:val="20"/>
        </w:rPr>
        <w:t xml:space="preserve">A requires the President, in assigning a magistrate or </w:t>
      </w:r>
      <w:r w:rsidRPr="000326C3">
        <w:rPr>
          <w:rFonts w:ascii="Arial" w:hAnsi="Arial" w:cs="Arial"/>
          <w:color w:val="000000"/>
          <w:sz w:val="20"/>
        </w:rPr>
        <w:t>a</w:t>
      </w:r>
      <w:r w:rsidR="000D597F" w:rsidRPr="000326C3">
        <w:rPr>
          <w:rFonts w:ascii="Arial" w:hAnsi="Arial" w:cs="Arial"/>
          <w:color w:val="000000"/>
          <w:sz w:val="20"/>
        </w:rPr>
        <w:t xml:space="preserve"> reserve</w:t>
      </w:r>
      <w:r w:rsidRPr="000326C3">
        <w:rPr>
          <w:rFonts w:ascii="Arial" w:hAnsi="Arial" w:cs="Arial"/>
          <w:color w:val="000000"/>
          <w:sz w:val="20"/>
        </w:rPr>
        <w:t xml:space="preserve"> </w:t>
      </w:r>
      <w:r>
        <w:rPr>
          <w:rFonts w:ascii="Arial" w:hAnsi="Arial" w:cs="Arial"/>
          <w:sz w:val="20"/>
        </w:rPr>
        <w:t>magistrate to be a magistrate for the Court, to have regard to his or her experience in matters relating to child welfare.</w:t>
      </w:r>
    </w:p>
    <w:p w14:paraId="048CC296" w14:textId="77777777" w:rsidR="00277B85" w:rsidRDefault="00277B85">
      <w:pPr>
        <w:jc w:val="both"/>
        <w:rPr>
          <w:rFonts w:ascii="Arial" w:hAnsi="Arial" w:cs="Arial"/>
          <w:sz w:val="20"/>
        </w:rPr>
      </w:pPr>
    </w:p>
    <w:p w14:paraId="2711A499" w14:textId="77777777" w:rsidR="00277B85" w:rsidRDefault="00277B85">
      <w:pPr>
        <w:jc w:val="both"/>
        <w:rPr>
          <w:rFonts w:ascii="Arial" w:hAnsi="Arial" w:cs="Arial"/>
          <w:sz w:val="20"/>
        </w:rPr>
      </w:pPr>
      <w:r>
        <w:rPr>
          <w:rFonts w:ascii="Arial" w:hAnsi="Arial" w:cs="Arial"/>
          <w:sz w:val="20"/>
        </w:rPr>
        <w:t>In order to enhance their experience in this specialist area, judicial officers assigned to the Court attend regular seminars on various matters relating to child welfare, especially on psychological and psychiatric issues and on aspects of child abuse.  Many of these are closed seminars arranged by the Children's Court Clinic.</w:t>
      </w:r>
    </w:p>
    <w:p w14:paraId="6AE44C95" w14:textId="77777777" w:rsidR="00277B85" w:rsidRDefault="00277B85">
      <w:pPr>
        <w:jc w:val="both"/>
        <w:rPr>
          <w:rFonts w:ascii="Arial" w:hAnsi="Arial" w:cs="Arial"/>
          <w:sz w:val="20"/>
        </w:rPr>
      </w:pPr>
    </w:p>
    <w:p w14:paraId="535AE983" w14:textId="77777777" w:rsidR="00277B85" w:rsidRDefault="00277B85">
      <w:pPr>
        <w:jc w:val="both"/>
        <w:rPr>
          <w:rFonts w:ascii="Arial" w:hAnsi="Arial" w:cs="Arial"/>
          <w:sz w:val="20"/>
        </w:rPr>
      </w:pPr>
      <w:r>
        <w:rPr>
          <w:rFonts w:ascii="Arial" w:hAnsi="Arial" w:cs="Arial"/>
          <w:sz w:val="20"/>
        </w:rPr>
        <w:t xml:space="preserve">In </w:t>
      </w:r>
      <w:r>
        <w:rPr>
          <w:rFonts w:ascii="Arial" w:hAnsi="Arial" w:cs="Arial"/>
          <w:i/>
          <w:iCs/>
          <w:sz w:val="20"/>
        </w:rPr>
        <w:t>T v Secretary of Department of Human Services</w:t>
      </w:r>
      <w:r>
        <w:rPr>
          <w:rFonts w:ascii="Arial" w:hAnsi="Arial" w:cs="Arial"/>
          <w:sz w:val="20"/>
        </w:rPr>
        <w:t xml:space="preserve"> [1999] VSC 42 Beach J dismissed an appeal by a mother against interim accommodation orders placing her 2 children in the care of a suitable person.  At the conclusion of his judgment, Beach J said at [21]:</w:t>
      </w:r>
    </w:p>
    <w:p w14:paraId="61BD2A51" w14:textId="77777777" w:rsidR="00277B85" w:rsidRDefault="00277B85" w:rsidP="00DE6548">
      <w:pPr>
        <w:spacing w:before="60"/>
        <w:ind w:left="567" w:right="567"/>
        <w:jc w:val="both"/>
        <w:rPr>
          <w:rFonts w:ascii="Arial" w:hAnsi="Arial" w:cs="Arial"/>
          <w:sz w:val="20"/>
        </w:rPr>
      </w:pPr>
      <w:r>
        <w:rPr>
          <w:rFonts w:ascii="Arial" w:hAnsi="Arial" w:cs="Arial"/>
          <w:sz w:val="20"/>
        </w:rPr>
        <w:lastRenderedPageBreak/>
        <w:t>"The Children's Court is a specialist court presided over by Magistrates experienced in matters affecting young children and with ready access to experts in the field of child care.  It is beyond doubt that Magistrates at the Court become very skilled in dealing with children and assessing the veracity of evidence given by them in courts and of the complaints they make particularly complaints of sexual abuse.  Th[e Supreme] Court should be reluctant to interfere with orders of the Court made in such matters, particularly interim orders which are still subject to further review by the Children's Court itself and should do so only where it is abundantly clear that some significant error has been made."</w:t>
      </w:r>
    </w:p>
    <w:p w14:paraId="310D5C90" w14:textId="77777777" w:rsidR="00277B85" w:rsidRDefault="00277B85">
      <w:pPr>
        <w:jc w:val="both"/>
        <w:rPr>
          <w:rFonts w:ascii="Arial" w:hAnsi="Arial" w:cs="Arial"/>
          <w:sz w:val="20"/>
        </w:rPr>
      </w:pPr>
    </w:p>
    <w:p w14:paraId="68A4D2CE" w14:textId="445BEDC7" w:rsidR="00C95F65" w:rsidRDefault="00277B85" w:rsidP="00E46F6A">
      <w:pPr>
        <w:jc w:val="both"/>
        <w:rPr>
          <w:rFonts w:ascii="Arial" w:hAnsi="Arial" w:cs="Arial"/>
          <w:sz w:val="20"/>
        </w:rPr>
      </w:pPr>
      <w:r>
        <w:rPr>
          <w:rFonts w:ascii="Arial" w:hAnsi="Arial" w:cs="Arial"/>
          <w:sz w:val="20"/>
        </w:rPr>
        <w:t xml:space="preserve">In </w:t>
      </w:r>
      <w:r>
        <w:rPr>
          <w:rFonts w:ascii="Arial" w:hAnsi="Arial" w:cs="Arial"/>
          <w:i/>
          <w:iCs/>
          <w:sz w:val="20"/>
        </w:rPr>
        <w:t xml:space="preserve">P v RM &amp; </w:t>
      </w:r>
      <w:proofErr w:type="spellStart"/>
      <w:r>
        <w:rPr>
          <w:rFonts w:ascii="Arial" w:hAnsi="Arial" w:cs="Arial"/>
          <w:i/>
          <w:iCs/>
          <w:sz w:val="20"/>
        </w:rPr>
        <w:t>Ors</w:t>
      </w:r>
      <w:proofErr w:type="spellEnd"/>
      <w:r>
        <w:rPr>
          <w:rFonts w:ascii="Arial" w:hAnsi="Arial" w:cs="Arial"/>
          <w:sz w:val="20"/>
        </w:rPr>
        <w:t xml:space="preserve"> [2004] VSC 14 Gillard J, after referring to the above dicta, said at [28]: "I</w:t>
      </w:r>
      <w:r w:rsidR="00E5215E">
        <w:rPr>
          <w:rFonts w:ascii="Arial" w:hAnsi="Arial" w:cs="Arial"/>
          <w:sz w:val="20"/>
        </w:rPr>
        <w:t xml:space="preserve"> </w:t>
      </w:r>
      <w:r>
        <w:rPr>
          <w:rFonts w:ascii="Arial" w:hAnsi="Arial" w:cs="Arial"/>
          <w:sz w:val="20"/>
        </w:rPr>
        <w:t>would not raise the hurdle as high as that…Speaking for myself I take the view that weight should be accorded to decisions made by Magistrates experienced in this area."</w:t>
      </w:r>
      <w:r w:rsidR="00C95F65">
        <w:rPr>
          <w:rFonts w:ascii="Arial" w:hAnsi="Arial" w:cs="Arial"/>
          <w:sz w:val="20"/>
        </w:rPr>
        <w:t xml:space="preserve">  In </w:t>
      </w:r>
      <w:r w:rsidR="00C95F65" w:rsidRPr="00894678">
        <w:rPr>
          <w:rFonts w:ascii="Arial" w:hAnsi="Arial" w:cs="Arial"/>
          <w:i/>
          <w:sz w:val="20"/>
        </w:rPr>
        <w:t>DOHS v SM</w:t>
      </w:r>
      <w:r w:rsidR="00C95F65">
        <w:rPr>
          <w:rFonts w:ascii="Arial" w:hAnsi="Arial" w:cs="Arial"/>
          <w:sz w:val="20"/>
        </w:rPr>
        <w:t xml:space="preserve"> [2006] VSC 129 at [14] Hansen J expressed a similar view:</w:t>
      </w:r>
    </w:p>
    <w:p w14:paraId="16382884" w14:textId="77777777" w:rsidR="00C95F65" w:rsidRDefault="00C95F65" w:rsidP="001E3EEE">
      <w:pPr>
        <w:spacing w:before="60"/>
        <w:ind w:left="454" w:right="454"/>
        <w:jc w:val="both"/>
        <w:rPr>
          <w:rFonts w:ascii="Arial" w:hAnsi="Arial" w:cs="Arial"/>
          <w:sz w:val="20"/>
        </w:rPr>
      </w:pPr>
      <w:r>
        <w:rPr>
          <w:rFonts w:ascii="Arial" w:hAnsi="Arial" w:cs="Arial"/>
          <w:sz w:val="20"/>
        </w:rPr>
        <w:t>“[T]h</w:t>
      </w:r>
      <w:r w:rsidRPr="00894678">
        <w:rPr>
          <w:rFonts w:ascii="Arial" w:hAnsi="Arial" w:cs="Arial"/>
          <w:sz w:val="20"/>
        </w:rPr>
        <w:t>e decision of an experienced Magistrate in a specialist court is to be afforded respect and weight in consequence that it is such a decision, but doing so, in the end the decision must nevertheless be regarded in the context of all the relevant facts and circumstances of the case.</w:t>
      </w:r>
      <w:r>
        <w:rPr>
          <w:rFonts w:ascii="Arial" w:hAnsi="Arial" w:cs="Arial"/>
          <w:sz w:val="20"/>
        </w:rPr>
        <w:t>”</w:t>
      </w:r>
    </w:p>
    <w:p w14:paraId="03771737" w14:textId="77777777" w:rsidR="00B91F6E" w:rsidRDefault="00B91F6E" w:rsidP="00B91F6E">
      <w:pPr>
        <w:jc w:val="both"/>
        <w:rPr>
          <w:rFonts w:ascii="Arial" w:hAnsi="Arial" w:cs="Arial"/>
          <w:sz w:val="20"/>
        </w:rPr>
      </w:pPr>
    </w:p>
    <w:p w14:paraId="0AC2427F" w14:textId="77777777" w:rsidR="00B91F6E" w:rsidRPr="00B46EF1" w:rsidRDefault="00B91F6E" w:rsidP="00B91F6E">
      <w:pPr>
        <w:jc w:val="both"/>
        <w:rPr>
          <w:rFonts w:ascii="Arial" w:hAnsi="Arial" w:cs="Arial"/>
          <w:color w:val="000000"/>
          <w:sz w:val="20"/>
        </w:rPr>
      </w:pPr>
      <w:r w:rsidRPr="00B46EF1">
        <w:rPr>
          <w:rFonts w:ascii="Arial" w:hAnsi="Arial" w:cs="Arial"/>
          <w:color w:val="000000"/>
          <w:sz w:val="20"/>
        </w:rPr>
        <w:t xml:space="preserve">In </w:t>
      </w:r>
      <w:r w:rsidRPr="00B46EF1">
        <w:rPr>
          <w:rFonts w:ascii="Arial" w:hAnsi="Arial" w:cs="Arial"/>
          <w:i/>
          <w:color w:val="000000"/>
          <w:sz w:val="20"/>
        </w:rPr>
        <w:t>DOHS v Sanding</w:t>
      </w:r>
      <w:r w:rsidRPr="00B46EF1">
        <w:rPr>
          <w:rFonts w:ascii="Arial" w:hAnsi="Arial" w:cs="Arial"/>
          <w:color w:val="000000"/>
          <w:sz w:val="20"/>
        </w:rPr>
        <w:t xml:space="preserve"> [2011] VSC 42 at [</w:t>
      </w:r>
      <w:r w:rsidR="00F73D7A" w:rsidRPr="00B46EF1">
        <w:rPr>
          <w:rFonts w:ascii="Arial" w:hAnsi="Arial" w:cs="Arial"/>
          <w:color w:val="000000"/>
          <w:sz w:val="20"/>
        </w:rPr>
        <w:t>28</w:t>
      </w:r>
      <w:r w:rsidRPr="00B46EF1">
        <w:rPr>
          <w:rFonts w:ascii="Arial" w:hAnsi="Arial" w:cs="Arial"/>
          <w:color w:val="000000"/>
          <w:sz w:val="20"/>
        </w:rPr>
        <w:t xml:space="preserve">] </w:t>
      </w:r>
      <w:r w:rsidR="00F73D7A" w:rsidRPr="00B46EF1">
        <w:rPr>
          <w:rFonts w:ascii="Arial" w:hAnsi="Arial" w:cs="Arial"/>
          <w:color w:val="000000"/>
          <w:sz w:val="20"/>
        </w:rPr>
        <w:t xml:space="preserve">Bell J referred with approval to the first two sentences of the above dicta of Beach J in </w:t>
      </w:r>
      <w:r w:rsidR="00F73D7A" w:rsidRPr="00B46EF1">
        <w:rPr>
          <w:rFonts w:ascii="Arial" w:hAnsi="Arial" w:cs="Arial"/>
          <w:i/>
          <w:color w:val="000000"/>
          <w:sz w:val="20"/>
        </w:rPr>
        <w:t>T’s case</w:t>
      </w:r>
      <w:r w:rsidR="00F73D7A" w:rsidRPr="00B46EF1">
        <w:rPr>
          <w:rFonts w:ascii="Arial" w:hAnsi="Arial" w:cs="Arial"/>
          <w:color w:val="000000"/>
          <w:sz w:val="20"/>
        </w:rPr>
        <w:t xml:space="preserve"> and to dicta of Gillard J in </w:t>
      </w:r>
      <w:r w:rsidR="00F73D7A" w:rsidRPr="00B46EF1">
        <w:rPr>
          <w:rFonts w:ascii="Arial" w:hAnsi="Arial" w:cs="Arial"/>
          <w:i/>
          <w:color w:val="000000"/>
          <w:sz w:val="20"/>
        </w:rPr>
        <w:t xml:space="preserve">R v RM &amp; </w:t>
      </w:r>
      <w:proofErr w:type="spellStart"/>
      <w:r w:rsidR="00F73D7A" w:rsidRPr="00B46EF1">
        <w:rPr>
          <w:rFonts w:ascii="Arial" w:hAnsi="Arial" w:cs="Arial"/>
          <w:i/>
          <w:color w:val="000000"/>
          <w:sz w:val="20"/>
        </w:rPr>
        <w:t>Ors</w:t>
      </w:r>
      <w:proofErr w:type="spellEnd"/>
      <w:r w:rsidR="00F73D7A" w:rsidRPr="00B46EF1">
        <w:rPr>
          <w:rFonts w:ascii="Arial" w:hAnsi="Arial" w:cs="Arial"/>
          <w:color w:val="000000"/>
          <w:sz w:val="20"/>
        </w:rPr>
        <w:t xml:space="preserve"> </w:t>
      </w:r>
      <w:r w:rsidR="00474A52" w:rsidRPr="00B46EF1">
        <w:rPr>
          <w:rFonts w:ascii="Arial" w:hAnsi="Arial" w:cs="Arial"/>
          <w:color w:val="000000"/>
          <w:sz w:val="20"/>
        </w:rPr>
        <w:t xml:space="preserve">at [27] </w:t>
      </w:r>
      <w:r w:rsidR="00F73D7A" w:rsidRPr="00B46EF1">
        <w:rPr>
          <w:rFonts w:ascii="Arial" w:hAnsi="Arial" w:cs="Arial"/>
          <w:color w:val="000000"/>
          <w:sz w:val="20"/>
        </w:rPr>
        <w:t xml:space="preserve">and of </w:t>
      </w:r>
      <w:proofErr w:type="spellStart"/>
      <w:r w:rsidR="00F73D7A" w:rsidRPr="00B46EF1">
        <w:rPr>
          <w:rFonts w:ascii="Arial" w:hAnsi="Arial" w:cs="Arial"/>
          <w:color w:val="000000"/>
          <w:sz w:val="20"/>
        </w:rPr>
        <w:t>Habersberger</w:t>
      </w:r>
      <w:proofErr w:type="spellEnd"/>
      <w:r w:rsidR="00F73D7A" w:rsidRPr="00B46EF1">
        <w:rPr>
          <w:rFonts w:ascii="Arial" w:hAnsi="Arial" w:cs="Arial"/>
          <w:color w:val="000000"/>
          <w:sz w:val="20"/>
        </w:rPr>
        <w:t xml:space="preserve"> J in </w:t>
      </w:r>
      <w:r w:rsidR="00F73D7A" w:rsidRPr="00B46EF1">
        <w:rPr>
          <w:rFonts w:ascii="Arial" w:hAnsi="Arial" w:cs="Arial"/>
          <w:i/>
          <w:color w:val="000000"/>
          <w:sz w:val="20"/>
        </w:rPr>
        <w:t>CJ v DOHS</w:t>
      </w:r>
      <w:r w:rsidR="00F73D7A" w:rsidRPr="00B46EF1">
        <w:rPr>
          <w:rFonts w:ascii="Arial" w:hAnsi="Arial" w:cs="Arial"/>
          <w:color w:val="000000"/>
          <w:sz w:val="20"/>
        </w:rPr>
        <w:t xml:space="preserve"> [2004] VSC 317 at [21] and said:</w:t>
      </w:r>
    </w:p>
    <w:p w14:paraId="597DA760" w14:textId="77777777" w:rsidR="00B91F6E" w:rsidRPr="00B46EF1" w:rsidRDefault="00B91F6E" w:rsidP="00B91F6E">
      <w:pPr>
        <w:spacing w:before="60"/>
        <w:ind w:left="567" w:right="567"/>
        <w:jc w:val="both"/>
        <w:rPr>
          <w:rFonts w:ascii="Arial" w:hAnsi="Arial" w:cs="Arial"/>
          <w:color w:val="000000"/>
          <w:sz w:val="20"/>
        </w:rPr>
      </w:pPr>
      <w:r w:rsidRPr="00B46EF1">
        <w:rPr>
          <w:rFonts w:ascii="Arial" w:hAnsi="Arial" w:cs="Arial"/>
          <w:color w:val="000000"/>
          <w:sz w:val="20"/>
        </w:rPr>
        <w:t>“</w:t>
      </w:r>
      <w:r w:rsidR="00F73D7A" w:rsidRPr="00B46EF1">
        <w:rPr>
          <w:rFonts w:ascii="Arial" w:hAnsi="Arial" w:cs="Arial"/>
          <w:color w:val="000000"/>
          <w:sz w:val="20"/>
        </w:rPr>
        <w:t xml:space="preserve">This Court recognizes the specialist nature of the jurisdiction of the Children’s Court and the expertise which it has developed in the </w:t>
      </w:r>
      <w:r w:rsidR="00474A52" w:rsidRPr="00B46EF1">
        <w:rPr>
          <w:rFonts w:ascii="Arial" w:hAnsi="Arial" w:cs="Arial"/>
          <w:color w:val="000000"/>
          <w:sz w:val="20"/>
        </w:rPr>
        <w:t>exercise of that jurisdiction… This will be an important consideration in the present case, for the court will be cautious before interfering with decisions made by the Children’s Court concerning the procedures to be followed in the exercise of its specialist jurisdiction.”</w:t>
      </w:r>
    </w:p>
    <w:p w14:paraId="448AF247" w14:textId="062BAAC8" w:rsidR="00C95F65" w:rsidRDefault="00C95F65">
      <w:pPr>
        <w:jc w:val="both"/>
        <w:rPr>
          <w:rFonts w:ascii="Arial" w:hAnsi="Arial" w:cs="Arial"/>
          <w:sz w:val="20"/>
          <w:szCs w:val="22"/>
        </w:rPr>
      </w:pPr>
    </w:p>
    <w:p w14:paraId="54436357" w14:textId="47C33FDB" w:rsidR="00C77992" w:rsidRDefault="00C77992">
      <w:pPr>
        <w:jc w:val="both"/>
        <w:rPr>
          <w:rFonts w:ascii="Arial" w:hAnsi="Arial" w:cs="Arial"/>
          <w:sz w:val="20"/>
          <w:szCs w:val="22"/>
        </w:rPr>
      </w:pPr>
      <w:r>
        <w:rPr>
          <w:rFonts w:ascii="Arial" w:hAnsi="Arial" w:cs="Arial"/>
          <w:sz w:val="20"/>
          <w:szCs w:val="22"/>
        </w:rPr>
        <w:t xml:space="preserve">In </w:t>
      </w:r>
      <w:r w:rsidRPr="00C77992">
        <w:rPr>
          <w:rFonts w:ascii="Arial" w:hAnsi="Arial" w:cs="Arial"/>
          <w:i/>
          <w:iCs/>
          <w:sz w:val="20"/>
          <w:szCs w:val="22"/>
        </w:rPr>
        <w:t>DHHS v Brown</w:t>
      </w:r>
      <w:r>
        <w:rPr>
          <w:rFonts w:ascii="Arial" w:hAnsi="Arial" w:cs="Arial"/>
          <w:sz w:val="20"/>
          <w:szCs w:val="22"/>
        </w:rPr>
        <w:t xml:space="preserve"> [2018] VSC 775 Beach J said at [62]:</w:t>
      </w:r>
    </w:p>
    <w:p w14:paraId="14D78F51" w14:textId="7AF6B17A" w:rsidR="00C77992" w:rsidRDefault="00C77992" w:rsidP="00E5215E">
      <w:pPr>
        <w:spacing w:before="60"/>
        <w:ind w:left="567" w:right="567"/>
        <w:jc w:val="both"/>
        <w:rPr>
          <w:rFonts w:ascii="Arial" w:hAnsi="Arial" w:cs="Arial"/>
          <w:sz w:val="20"/>
          <w:szCs w:val="22"/>
        </w:rPr>
      </w:pPr>
      <w:r>
        <w:rPr>
          <w:rFonts w:ascii="Arial" w:hAnsi="Arial" w:cs="Arial"/>
          <w:sz w:val="20"/>
          <w:szCs w:val="22"/>
        </w:rPr>
        <w:t>“</w:t>
      </w:r>
      <w:r w:rsidRPr="00C77992">
        <w:rPr>
          <w:rFonts w:ascii="Arial" w:hAnsi="Arial" w:cs="Arial"/>
          <w:sz w:val="20"/>
          <w:szCs w:val="20"/>
        </w:rPr>
        <w:t>The Children’s Court is a busy specialist jurisdiction that deals day in day out with cases involving the wellbeing of children. It is frequently called upon to resolve matters of great complexity where there may be significant competing considerations that must be taken into account in the resolution of its proceedings. Accordingly, in an appeal of the present kind, the views of the magistrate who has conducted a lengthy and detailed proceeding must be accorded considerable weight. There is no occasion for this Court to substitute its view for the view of the magistrate in a case where reasonable minds might legitimately disagree.</w:t>
      </w:r>
      <w:r w:rsidR="0061224E">
        <w:rPr>
          <w:rFonts w:ascii="Arial" w:hAnsi="Arial" w:cs="Arial"/>
          <w:sz w:val="20"/>
          <w:szCs w:val="20"/>
        </w:rPr>
        <w:t>”</w:t>
      </w:r>
    </w:p>
    <w:p w14:paraId="43E25353" w14:textId="77777777" w:rsidR="00C77992" w:rsidRPr="003369AE" w:rsidRDefault="00C77992">
      <w:pPr>
        <w:jc w:val="both"/>
        <w:rPr>
          <w:rFonts w:ascii="Arial" w:hAnsi="Arial" w:cs="Arial"/>
          <w:sz w:val="20"/>
          <w:szCs w:val="22"/>
        </w:rPr>
      </w:pPr>
    </w:p>
    <w:p w14:paraId="217D76EB" w14:textId="77777777" w:rsidR="003369AE" w:rsidRPr="00BE6441" w:rsidRDefault="003369AE">
      <w:pPr>
        <w:jc w:val="both"/>
        <w:rPr>
          <w:rFonts w:ascii="Arial" w:hAnsi="Arial" w:cs="Arial"/>
          <w:color w:val="000000"/>
          <w:sz w:val="20"/>
          <w:szCs w:val="22"/>
        </w:rPr>
      </w:pPr>
      <w:r w:rsidRPr="00BE6441">
        <w:rPr>
          <w:rFonts w:ascii="Arial" w:hAnsi="Arial" w:cs="Arial"/>
          <w:color w:val="000000"/>
          <w:sz w:val="20"/>
          <w:szCs w:val="22"/>
        </w:rPr>
        <w:t xml:space="preserve">In </w:t>
      </w:r>
      <w:r w:rsidRPr="00BE6441">
        <w:rPr>
          <w:rFonts w:ascii="Arial" w:hAnsi="Arial" w:cs="Arial"/>
          <w:i/>
          <w:iCs/>
          <w:color w:val="000000"/>
          <w:sz w:val="20"/>
          <w:szCs w:val="22"/>
        </w:rPr>
        <w:t>Cardell (a pseudonym) v DHHS</w:t>
      </w:r>
      <w:r w:rsidRPr="00BE6441">
        <w:rPr>
          <w:rFonts w:ascii="Arial" w:hAnsi="Arial" w:cs="Arial"/>
          <w:color w:val="000000"/>
          <w:sz w:val="20"/>
          <w:szCs w:val="22"/>
        </w:rPr>
        <w:t xml:space="preserve"> [2019] VSC 781 Maxwell P said at [</w:t>
      </w:r>
      <w:r w:rsidR="005E1DB8" w:rsidRPr="00BE6441">
        <w:rPr>
          <w:rFonts w:ascii="Arial" w:hAnsi="Arial" w:cs="Arial"/>
          <w:color w:val="000000"/>
          <w:sz w:val="20"/>
          <w:szCs w:val="22"/>
        </w:rPr>
        <w:t>40</w:t>
      </w:r>
      <w:r w:rsidRPr="00BE6441">
        <w:rPr>
          <w:rFonts w:ascii="Arial" w:hAnsi="Arial" w:cs="Arial"/>
          <w:color w:val="000000"/>
          <w:sz w:val="20"/>
          <w:szCs w:val="22"/>
        </w:rPr>
        <w:t>]-[</w:t>
      </w:r>
      <w:r w:rsidR="005E1DB8" w:rsidRPr="00BE6441">
        <w:rPr>
          <w:rFonts w:ascii="Arial" w:hAnsi="Arial" w:cs="Arial"/>
          <w:color w:val="000000"/>
          <w:sz w:val="20"/>
          <w:szCs w:val="22"/>
        </w:rPr>
        <w:t>41</w:t>
      </w:r>
      <w:r w:rsidRPr="00BE6441">
        <w:rPr>
          <w:rFonts w:ascii="Arial" w:hAnsi="Arial" w:cs="Arial"/>
          <w:color w:val="000000"/>
          <w:sz w:val="20"/>
          <w:szCs w:val="22"/>
        </w:rPr>
        <w:t>]:</w:t>
      </w:r>
    </w:p>
    <w:p w14:paraId="6547E924" w14:textId="77777777" w:rsidR="003369AE" w:rsidRPr="00BE6441" w:rsidRDefault="003369AE" w:rsidP="003369AE">
      <w:pPr>
        <w:spacing w:before="60"/>
        <w:ind w:left="567" w:right="567"/>
        <w:jc w:val="both"/>
        <w:rPr>
          <w:rFonts w:ascii="Arial" w:hAnsi="Arial" w:cs="Arial"/>
          <w:color w:val="000000"/>
          <w:sz w:val="20"/>
          <w:szCs w:val="20"/>
        </w:rPr>
      </w:pPr>
      <w:r w:rsidRPr="00BE6441">
        <w:rPr>
          <w:rFonts w:ascii="Arial" w:hAnsi="Arial" w:cs="Arial"/>
          <w:color w:val="000000"/>
          <w:sz w:val="20"/>
          <w:szCs w:val="20"/>
        </w:rPr>
        <w:t>“</w:t>
      </w:r>
      <w:r w:rsidR="002F5A52" w:rsidRPr="00BE6441">
        <w:rPr>
          <w:rFonts w:ascii="Arial" w:hAnsi="Arial" w:cs="Arial"/>
          <w:color w:val="000000"/>
          <w:sz w:val="20"/>
          <w:szCs w:val="20"/>
        </w:rPr>
        <w:t>The written submission for the appellant contended that, if the appeal from the Children’s Court orders failed, then this Court should proceed to make its own order with respect to the care and protection of Oliver.  I expressed the provisional view in the course of argument that, were that to be the outcome of the appeal, it was extremely unlikely that I would be persuaded to exercise the Court’s inherent [</w:t>
      </w:r>
      <w:proofErr w:type="spellStart"/>
      <w:r w:rsidR="002F5A52" w:rsidRPr="00BE6441">
        <w:rPr>
          <w:rFonts w:ascii="Arial" w:hAnsi="Arial" w:cs="Arial"/>
          <w:i/>
          <w:iCs/>
          <w:color w:val="000000"/>
          <w:sz w:val="20"/>
          <w:szCs w:val="20"/>
        </w:rPr>
        <w:t>parens</w:t>
      </w:r>
      <w:proofErr w:type="spellEnd"/>
      <w:r w:rsidR="002F5A52" w:rsidRPr="00BE6441">
        <w:rPr>
          <w:rFonts w:ascii="Arial" w:hAnsi="Arial" w:cs="Arial"/>
          <w:i/>
          <w:iCs/>
          <w:color w:val="000000"/>
          <w:sz w:val="20"/>
          <w:szCs w:val="20"/>
        </w:rPr>
        <w:t xml:space="preserve"> patriae</w:t>
      </w:r>
      <w:r w:rsidR="002F5A52" w:rsidRPr="00BE6441">
        <w:rPr>
          <w:rFonts w:ascii="Arial" w:hAnsi="Arial" w:cs="Arial"/>
          <w:color w:val="000000"/>
          <w:sz w:val="20"/>
          <w:szCs w:val="20"/>
        </w:rPr>
        <w:t xml:space="preserve">] power.  </w:t>
      </w:r>
      <w:r w:rsidRPr="00BE6441">
        <w:rPr>
          <w:rFonts w:ascii="Arial" w:hAnsi="Arial" w:cs="Arial"/>
          <w:color w:val="000000"/>
          <w:sz w:val="20"/>
          <w:szCs w:val="20"/>
        </w:rPr>
        <w:t xml:space="preserve">I drew attention to authorities relied on by the Secretary (who is the defendant to the originating motion), the effect of which is that where a child’s welfare is being dealt with by a specialist court, under a legislative scheme explicitly directed at child welfare, the Supreme Court would be very slow to step in and exercise its own jurisdiction: </w:t>
      </w:r>
      <w:r w:rsidRPr="00BE6441">
        <w:rPr>
          <w:rFonts w:ascii="Arial" w:hAnsi="Arial" w:cs="Arial"/>
          <w:i/>
          <w:color w:val="000000"/>
          <w:sz w:val="20"/>
          <w:szCs w:val="20"/>
        </w:rPr>
        <w:t xml:space="preserve">Re Anna, Bruno, Courtney and Deepak </w:t>
      </w:r>
      <w:r w:rsidRPr="00BE6441">
        <w:rPr>
          <w:rFonts w:ascii="Arial" w:hAnsi="Arial" w:cs="Arial"/>
          <w:color w:val="000000"/>
          <w:sz w:val="20"/>
          <w:szCs w:val="20"/>
        </w:rPr>
        <w:t xml:space="preserve">[2001] NSWSC 79, [20];  </w:t>
      </w:r>
      <w:r w:rsidRPr="00BE6441">
        <w:rPr>
          <w:rFonts w:ascii="Arial" w:hAnsi="Arial" w:cs="Arial"/>
          <w:i/>
          <w:color w:val="000000"/>
          <w:sz w:val="20"/>
          <w:szCs w:val="20"/>
        </w:rPr>
        <w:t>RC v Director-General, Department of Family and Community Services</w:t>
      </w:r>
      <w:r w:rsidRPr="00BE6441">
        <w:rPr>
          <w:rFonts w:ascii="Arial" w:hAnsi="Arial" w:cs="Arial"/>
          <w:color w:val="000000"/>
          <w:sz w:val="20"/>
          <w:szCs w:val="20"/>
        </w:rPr>
        <w:t xml:space="preserve"> [2014] NSWCA 38, [65].  I remain of that view.”</w:t>
      </w:r>
    </w:p>
    <w:p w14:paraId="56A6AE9E" w14:textId="798D2695" w:rsidR="00885636" w:rsidRDefault="00885636" w:rsidP="00885636">
      <w:pPr>
        <w:jc w:val="both"/>
        <w:rPr>
          <w:rFonts w:ascii="Arial" w:hAnsi="Arial" w:cs="Arial"/>
          <w:sz w:val="20"/>
        </w:rPr>
      </w:pPr>
      <w:bookmarkStart w:id="381" w:name="_2.7_The_Court"/>
      <w:bookmarkStart w:id="382" w:name="_Toc30608796"/>
      <w:bookmarkStart w:id="383" w:name="_Toc30610009"/>
      <w:bookmarkStart w:id="384" w:name="_Toc30610252"/>
      <w:bookmarkStart w:id="385" w:name="_Toc30638406"/>
      <w:bookmarkStart w:id="386" w:name="_Toc30644215"/>
      <w:bookmarkStart w:id="387" w:name="_Toc30644618"/>
      <w:bookmarkStart w:id="388" w:name="_Toc30645168"/>
      <w:bookmarkStart w:id="389" w:name="_Toc30646372"/>
      <w:bookmarkStart w:id="390" w:name="_Toc30646667"/>
      <w:bookmarkStart w:id="391" w:name="_Toc30646777"/>
      <w:bookmarkStart w:id="392" w:name="_Toc30648134"/>
      <w:bookmarkStart w:id="393" w:name="_Toc30649032"/>
      <w:bookmarkStart w:id="394" w:name="_Toc30649108"/>
      <w:bookmarkStart w:id="395" w:name="_Toc30649369"/>
      <w:bookmarkStart w:id="396" w:name="_Toc30649689"/>
      <w:bookmarkStart w:id="397" w:name="_Toc30651623"/>
      <w:bookmarkStart w:id="398" w:name="_Toc30652607"/>
      <w:bookmarkStart w:id="399" w:name="_Toc30652705"/>
      <w:bookmarkStart w:id="400" w:name="_Toc30654050"/>
      <w:bookmarkStart w:id="401" w:name="_Toc30654401"/>
      <w:bookmarkStart w:id="402" w:name="_Toc30655020"/>
      <w:bookmarkStart w:id="403" w:name="_Toc30655277"/>
      <w:bookmarkStart w:id="404" w:name="_Toc30656953"/>
      <w:bookmarkStart w:id="405" w:name="_Toc30661702"/>
      <w:bookmarkStart w:id="406" w:name="_Toc30666390"/>
      <w:bookmarkStart w:id="407" w:name="_Toc30666620"/>
      <w:bookmarkStart w:id="408" w:name="_Toc30667795"/>
      <w:bookmarkStart w:id="409" w:name="_Toc30669173"/>
      <w:bookmarkStart w:id="410" w:name="_Toc30671389"/>
      <w:bookmarkStart w:id="411" w:name="_Toc30673916"/>
      <w:bookmarkStart w:id="412" w:name="_Toc30691138"/>
      <w:bookmarkStart w:id="413" w:name="_Toc30691509"/>
      <w:bookmarkStart w:id="414" w:name="_Toc30691889"/>
      <w:bookmarkStart w:id="415" w:name="_Toc30692648"/>
      <w:bookmarkStart w:id="416" w:name="_Toc30693027"/>
      <w:bookmarkStart w:id="417" w:name="_Toc30693405"/>
      <w:bookmarkStart w:id="418" w:name="_Toc30693784"/>
      <w:bookmarkStart w:id="419" w:name="_Toc30694165"/>
      <w:bookmarkStart w:id="420" w:name="_Toc30698754"/>
      <w:bookmarkStart w:id="421" w:name="_Toc30699132"/>
      <w:bookmarkStart w:id="422" w:name="_Toc30699517"/>
      <w:bookmarkStart w:id="423" w:name="_Toc30700672"/>
      <w:bookmarkStart w:id="424" w:name="_Toc30701059"/>
      <w:bookmarkStart w:id="425" w:name="_Toc30743668"/>
      <w:bookmarkStart w:id="426" w:name="_Toc30754491"/>
      <w:bookmarkStart w:id="427" w:name="_Toc30756931"/>
      <w:bookmarkStart w:id="428" w:name="_Toc30757480"/>
      <w:bookmarkStart w:id="429" w:name="_Toc30757880"/>
      <w:bookmarkStart w:id="430" w:name="_Toc30762641"/>
      <w:bookmarkStart w:id="431" w:name="_Toc30767295"/>
      <w:bookmarkStart w:id="432" w:name="_Toc34823320"/>
      <w:bookmarkEnd w:id="381"/>
    </w:p>
    <w:p w14:paraId="370E1BAA" w14:textId="0FA5657D" w:rsidR="00C74EA7" w:rsidRDefault="00C74EA7" w:rsidP="00CC13FB">
      <w:pPr>
        <w:jc w:val="both"/>
        <w:rPr>
          <w:rFonts w:ascii="Arial" w:hAnsi="Arial" w:cs="Arial"/>
          <w:sz w:val="20"/>
        </w:rPr>
      </w:pPr>
      <w:r w:rsidRPr="00C77992">
        <w:rPr>
          <w:rFonts w:ascii="Arial" w:hAnsi="Arial" w:cs="Arial"/>
          <w:sz w:val="20"/>
          <w:szCs w:val="20"/>
        </w:rPr>
        <w:t xml:space="preserve">In </w:t>
      </w:r>
      <w:r w:rsidR="00F60089" w:rsidRPr="00C77992">
        <w:rPr>
          <w:rFonts w:ascii="Arial" w:hAnsi="Arial" w:cs="Arial"/>
          <w:i/>
          <w:iCs/>
          <w:sz w:val="20"/>
          <w:szCs w:val="20"/>
        </w:rPr>
        <w:t xml:space="preserve">TSH v DFFH </w:t>
      </w:r>
      <w:r w:rsidR="00F60089" w:rsidRPr="00C77992">
        <w:rPr>
          <w:rFonts w:ascii="Arial" w:hAnsi="Arial" w:cs="Arial"/>
          <w:sz w:val="20"/>
          <w:szCs w:val="20"/>
        </w:rPr>
        <w:t xml:space="preserve">[2022] VSC 390, </w:t>
      </w:r>
      <w:r w:rsidR="00E46F6A">
        <w:rPr>
          <w:rFonts w:ascii="Arial" w:hAnsi="Arial" w:cs="Arial"/>
          <w:sz w:val="20"/>
          <w:szCs w:val="20"/>
        </w:rPr>
        <w:t>having</w:t>
      </w:r>
      <w:r w:rsidRPr="00C77992">
        <w:rPr>
          <w:rFonts w:ascii="Arial" w:hAnsi="Arial" w:cs="Arial"/>
          <w:sz w:val="20"/>
          <w:szCs w:val="20"/>
        </w:rPr>
        <w:t xml:space="preserve"> referr</w:t>
      </w:r>
      <w:r w:rsidR="00E46F6A">
        <w:rPr>
          <w:rFonts w:ascii="Arial" w:hAnsi="Arial" w:cs="Arial"/>
          <w:sz w:val="20"/>
          <w:szCs w:val="20"/>
        </w:rPr>
        <w:t>ed</w:t>
      </w:r>
      <w:r w:rsidRPr="00C77992">
        <w:rPr>
          <w:rFonts w:ascii="Arial" w:hAnsi="Arial" w:cs="Arial"/>
          <w:sz w:val="20"/>
          <w:szCs w:val="20"/>
        </w:rPr>
        <w:t xml:space="preserve"> to the judgment of Beach J in </w:t>
      </w:r>
      <w:r w:rsidRPr="00C77992">
        <w:rPr>
          <w:rFonts w:ascii="Arial" w:hAnsi="Arial" w:cs="Arial"/>
          <w:i/>
          <w:iCs/>
          <w:sz w:val="20"/>
          <w:szCs w:val="20"/>
        </w:rPr>
        <w:t>T v Secretary of Department of Human Services</w:t>
      </w:r>
      <w:r w:rsidRPr="00C77992">
        <w:rPr>
          <w:rFonts w:ascii="Arial" w:hAnsi="Arial" w:cs="Arial"/>
          <w:sz w:val="20"/>
          <w:szCs w:val="20"/>
        </w:rPr>
        <w:t xml:space="preserve"> [1999] VSC 42</w:t>
      </w:r>
      <w:r w:rsidR="00C77992" w:rsidRPr="00C77992">
        <w:rPr>
          <w:rFonts w:ascii="Arial" w:hAnsi="Arial" w:cs="Arial"/>
          <w:sz w:val="20"/>
          <w:szCs w:val="20"/>
        </w:rPr>
        <w:t xml:space="preserve">, </w:t>
      </w:r>
      <w:r w:rsidRPr="00C77992">
        <w:rPr>
          <w:rFonts w:ascii="Arial" w:hAnsi="Arial" w:cs="Arial"/>
          <w:sz w:val="20"/>
          <w:szCs w:val="20"/>
        </w:rPr>
        <w:t xml:space="preserve">the </w:t>
      </w:r>
      <w:r w:rsidR="00077D99">
        <w:rPr>
          <w:rFonts w:ascii="Arial" w:hAnsi="Arial" w:cs="Arial"/>
          <w:sz w:val="20"/>
          <w:szCs w:val="20"/>
        </w:rPr>
        <w:t>judgment</w:t>
      </w:r>
      <w:r w:rsidRPr="00C77992">
        <w:rPr>
          <w:rFonts w:ascii="Arial" w:hAnsi="Arial" w:cs="Arial"/>
          <w:sz w:val="20"/>
          <w:szCs w:val="20"/>
        </w:rPr>
        <w:t xml:space="preserve"> of his son in </w:t>
      </w:r>
      <w:r w:rsidRPr="00C77992">
        <w:rPr>
          <w:rFonts w:ascii="Arial" w:hAnsi="Arial" w:cs="Arial"/>
          <w:i/>
          <w:iCs/>
          <w:sz w:val="20"/>
          <w:szCs w:val="20"/>
        </w:rPr>
        <w:t>DHHS v Brown</w:t>
      </w:r>
      <w:r w:rsidRPr="00C77992">
        <w:rPr>
          <w:rFonts w:ascii="Arial" w:hAnsi="Arial" w:cs="Arial"/>
          <w:sz w:val="20"/>
          <w:szCs w:val="20"/>
        </w:rPr>
        <w:t xml:space="preserve"> </w:t>
      </w:r>
      <w:r w:rsidR="00C77992" w:rsidRPr="00C77992">
        <w:rPr>
          <w:rFonts w:ascii="Arial" w:hAnsi="Arial" w:cs="Arial"/>
          <w:sz w:val="20"/>
          <w:szCs w:val="20"/>
        </w:rPr>
        <w:t>[2018] VSC 775 at [62] and</w:t>
      </w:r>
      <w:r w:rsidR="00C77992">
        <w:rPr>
          <w:rFonts w:ascii="Arial" w:hAnsi="Arial" w:cs="Arial"/>
          <w:sz w:val="20"/>
          <w:szCs w:val="20"/>
        </w:rPr>
        <w:t xml:space="preserve"> the judgments in </w:t>
      </w:r>
      <w:r w:rsidR="00C77992" w:rsidRPr="00C77992">
        <w:rPr>
          <w:rFonts w:ascii="Arial" w:hAnsi="Arial" w:cs="Arial"/>
          <w:i/>
          <w:iCs/>
          <w:sz w:val="20"/>
          <w:szCs w:val="20"/>
        </w:rPr>
        <w:t>P v RM</w:t>
      </w:r>
      <w:r w:rsidR="00C77992" w:rsidRPr="00F60089">
        <w:rPr>
          <w:rFonts w:ascii="Arial" w:hAnsi="Arial" w:cs="Arial"/>
          <w:sz w:val="20"/>
          <w:szCs w:val="20"/>
        </w:rPr>
        <w:t xml:space="preserve"> [2004] VSC 14 at [28]</w:t>
      </w:r>
      <w:r w:rsidR="00C77992">
        <w:rPr>
          <w:rFonts w:ascii="Arial" w:hAnsi="Arial" w:cs="Arial"/>
          <w:sz w:val="20"/>
          <w:szCs w:val="20"/>
        </w:rPr>
        <w:t xml:space="preserve"> and</w:t>
      </w:r>
      <w:r w:rsidR="00C77992" w:rsidRPr="00F60089">
        <w:rPr>
          <w:rFonts w:ascii="Arial" w:hAnsi="Arial" w:cs="Arial"/>
          <w:sz w:val="20"/>
          <w:szCs w:val="20"/>
        </w:rPr>
        <w:t xml:space="preserve"> </w:t>
      </w:r>
      <w:r w:rsidR="0061224E">
        <w:rPr>
          <w:rFonts w:ascii="Arial" w:hAnsi="Arial" w:cs="Arial"/>
          <w:i/>
          <w:iCs/>
          <w:sz w:val="20"/>
          <w:szCs w:val="20"/>
        </w:rPr>
        <w:t>DOHS</w:t>
      </w:r>
      <w:r w:rsidR="00C77992" w:rsidRPr="00C77992">
        <w:rPr>
          <w:rFonts w:ascii="Arial" w:hAnsi="Arial" w:cs="Arial"/>
          <w:i/>
          <w:iCs/>
          <w:sz w:val="20"/>
          <w:szCs w:val="20"/>
        </w:rPr>
        <w:t xml:space="preserve"> v </w:t>
      </w:r>
      <w:r w:rsidR="00C77992">
        <w:rPr>
          <w:rFonts w:ascii="Arial" w:hAnsi="Arial" w:cs="Arial"/>
          <w:i/>
          <w:iCs/>
          <w:sz w:val="20"/>
          <w:szCs w:val="20"/>
        </w:rPr>
        <w:t>S</w:t>
      </w:r>
      <w:r w:rsidR="00C77992" w:rsidRPr="00C77992">
        <w:rPr>
          <w:rFonts w:ascii="Arial" w:hAnsi="Arial" w:cs="Arial"/>
          <w:i/>
          <w:iCs/>
          <w:sz w:val="20"/>
          <w:szCs w:val="20"/>
        </w:rPr>
        <w:t>M</w:t>
      </w:r>
      <w:r w:rsidR="00C77992" w:rsidRPr="00F60089">
        <w:rPr>
          <w:rFonts w:ascii="Arial" w:hAnsi="Arial" w:cs="Arial"/>
          <w:sz w:val="20"/>
          <w:szCs w:val="20"/>
        </w:rPr>
        <w:t xml:space="preserve"> [2006] VSC 129 at [13]</w:t>
      </w:r>
      <w:r w:rsidR="0061224E">
        <w:rPr>
          <w:rFonts w:ascii="Arial" w:hAnsi="Arial" w:cs="Arial"/>
          <w:sz w:val="20"/>
          <w:szCs w:val="20"/>
        </w:rPr>
        <w:noBreakHyphen/>
      </w:r>
      <w:r w:rsidR="00C77992" w:rsidRPr="00F60089">
        <w:rPr>
          <w:rFonts w:ascii="Arial" w:hAnsi="Arial" w:cs="Arial"/>
          <w:sz w:val="20"/>
          <w:szCs w:val="20"/>
        </w:rPr>
        <w:t>[14]</w:t>
      </w:r>
      <w:r w:rsidR="00C77992">
        <w:rPr>
          <w:rFonts w:ascii="Arial" w:hAnsi="Arial" w:cs="Arial"/>
          <w:sz w:val="20"/>
          <w:szCs w:val="20"/>
        </w:rPr>
        <w:t xml:space="preserve">, </w:t>
      </w:r>
      <w:proofErr w:type="spellStart"/>
      <w:r w:rsidR="00F60089" w:rsidRPr="00F60089">
        <w:rPr>
          <w:rFonts w:ascii="Arial" w:hAnsi="Arial" w:cs="Arial"/>
          <w:sz w:val="20"/>
          <w:szCs w:val="20"/>
        </w:rPr>
        <w:t>Tsalamandris</w:t>
      </w:r>
      <w:proofErr w:type="spellEnd"/>
      <w:r w:rsidR="00F60089" w:rsidRPr="00F60089">
        <w:rPr>
          <w:rFonts w:ascii="Arial" w:hAnsi="Arial" w:cs="Arial"/>
          <w:sz w:val="20"/>
          <w:szCs w:val="20"/>
        </w:rPr>
        <w:t xml:space="preserve"> J said at [62]:</w:t>
      </w:r>
    </w:p>
    <w:p w14:paraId="042F74A7" w14:textId="0A0E134F" w:rsidR="00C74EA7" w:rsidRPr="00F60089" w:rsidRDefault="00F60089" w:rsidP="00F60089">
      <w:pPr>
        <w:spacing w:before="60"/>
        <w:ind w:left="567" w:right="567"/>
        <w:jc w:val="both"/>
        <w:rPr>
          <w:rFonts w:ascii="Arial" w:hAnsi="Arial" w:cs="Arial"/>
          <w:sz w:val="16"/>
          <w:szCs w:val="20"/>
        </w:rPr>
      </w:pPr>
      <w:r>
        <w:rPr>
          <w:rFonts w:ascii="Arial" w:hAnsi="Arial" w:cs="Arial"/>
          <w:sz w:val="20"/>
          <w:szCs w:val="20"/>
        </w:rPr>
        <w:t>“</w:t>
      </w:r>
      <w:r w:rsidR="00C74EA7" w:rsidRPr="00F60089">
        <w:rPr>
          <w:rFonts w:ascii="Arial" w:hAnsi="Arial" w:cs="Arial"/>
          <w:sz w:val="20"/>
          <w:szCs w:val="20"/>
        </w:rPr>
        <w:t>I consider that the Magistrate sitting in the specialist Children’s Court decided the appropriate weight to be given to each of the principles required of her under s 10(3) of the Act. There is nothing to persuade me that the Magistrate erred in law in respect of her decision.</w:t>
      </w:r>
      <w:r>
        <w:rPr>
          <w:rFonts w:ascii="Arial" w:hAnsi="Arial" w:cs="Arial"/>
          <w:sz w:val="20"/>
          <w:szCs w:val="20"/>
        </w:rPr>
        <w:t>”</w:t>
      </w:r>
    </w:p>
    <w:p w14:paraId="016449D4" w14:textId="21BCE2CC" w:rsidR="00F60089" w:rsidRDefault="00F60089" w:rsidP="00F60089">
      <w:pPr>
        <w:jc w:val="both"/>
        <w:rPr>
          <w:rFonts w:ascii="Arial" w:hAnsi="Arial" w:cs="Arial"/>
          <w:sz w:val="20"/>
        </w:rPr>
      </w:pPr>
    </w:p>
    <w:p w14:paraId="1F91ABD2" w14:textId="43F0464F" w:rsidR="00A3515B" w:rsidRDefault="00A3515B" w:rsidP="00F60089">
      <w:pPr>
        <w:jc w:val="both"/>
        <w:rPr>
          <w:rFonts w:ascii="Arial" w:hAnsi="Arial" w:cs="Arial"/>
          <w:sz w:val="20"/>
        </w:rPr>
      </w:pPr>
      <w:r>
        <w:rPr>
          <w:rFonts w:ascii="Arial" w:hAnsi="Arial" w:cs="Arial"/>
          <w:sz w:val="20"/>
        </w:rPr>
        <w:t xml:space="preserve">See also </w:t>
      </w:r>
      <w:r w:rsidRPr="0027049C">
        <w:rPr>
          <w:rFonts w:ascii="Arial" w:hAnsi="Arial" w:cs="Arial"/>
          <w:i/>
          <w:iCs/>
          <w:sz w:val="20"/>
          <w:szCs w:val="20"/>
        </w:rPr>
        <w:t>Mia Harris (a pseudonym) and Adam Jackson (a pseudonym) v Secretary to the Department of Families Fairness and Housing</w:t>
      </w:r>
      <w:r w:rsidRPr="0027049C">
        <w:rPr>
          <w:rFonts w:ascii="Arial" w:hAnsi="Arial" w:cs="Arial"/>
          <w:sz w:val="20"/>
          <w:szCs w:val="20"/>
        </w:rPr>
        <w:t xml:space="preserve"> [2023] VSC </w:t>
      </w:r>
      <w:r>
        <w:rPr>
          <w:rFonts w:ascii="Arial" w:hAnsi="Arial" w:cs="Arial"/>
          <w:sz w:val="20"/>
          <w:szCs w:val="20"/>
        </w:rPr>
        <w:t>228 at [106].</w:t>
      </w:r>
    </w:p>
    <w:p w14:paraId="19ECBB22" w14:textId="20C1E597" w:rsidR="00277B85" w:rsidRDefault="00277B85">
      <w:pPr>
        <w:pStyle w:val="Heading2"/>
        <w:keepNext/>
        <w:tabs>
          <w:tab w:val="left" w:pos="567"/>
        </w:tabs>
        <w:spacing w:line="240" w:lineRule="auto"/>
        <w:rPr>
          <w:rFonts w:ascii="Arial" w:hAnsi="Arial" w:cs="Arial"/>
          <w:b/>
          <w:bCs/>
        </w:rPr>
      </w:pPr>
      <w:bookmarkStart w:id="433" w:name="_2.7_The_Court_1"/>
      <w:bookmarkEnd w:id="433"/>
      <w:r>
        <w:rPr>
          <w:rFonts w:ascii="Arial" w:hAnsi="Arial" w:cs="Arial"/>
          <w:b/>
          <w:bCs/>
        </w:rPr>
        <w:lastRenderedPageBreak/>
        <w:t>2.7</w:t>
      </w:r>
      <w:r>
        <w:rPr>
          <w:rFonts w:ascii="Arial" w:hAnsi="Arial" w:cs="Arial"/>
          <w:b/>
          <w:bCs/>
        </w:rPr>
        <w:tab/>
        <w:t>The Court</w:t>
      </w:r>
      <w:bookmarkEnd w:id="382"/>
      <w:bookmarkEnd w:id="383"/>
      <w:r>
        <w:rPr>
          <w:rFonts w:ascii="Arial" w:hAnsi="Arial" w:cs="Arial"/>
          <w:b/>
          <w:bCs/>
        </w:rPr>
        <w:t xml:space="preserve"> is generally open to the public</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9D3B73C" w14:textId="77777777" w:rsidR="00277B85" w:rsidRPr="00B461AE" w:rsidRDefault="00277B85">
      <w:pPr>
        <w:keepNext/>
        <w:jc w:val="both"/>
        <w:rPr>
          <w:rFonts w:ascii="Arial" w:hAnsi="Arial" w:cs="Arial"/>
          <w:sz w:val="22"/>
        </w:rPr>
      </w:pPr>
      <w:bookmarkStart w:id="434" w:name="_Hlk114850633"/>
    </w:p>
    <w:p w14:paraId="3A292EE5" w14:textId="77777777" w:rsidR="0069375F" w:rsidRDefault="00277B85">
      <w:pPr>
        <w:jc w:val="both"/>
        <w:rPr>
          <w:rFonts w:ascii="Arial" w:hAnsi="Arial" w:cs="Arial"/>
          <w:sz w:val="20"/>
        </w:rPr>
      </w:pPr>
      <w:r>
        <w:rPr>
          <w:rFonts w:ascii="Arial" w:hAnsi="Arial" w:cs="Arial"/>
          <w:sz w:val="20"/>
        </w:rPr>
        <w:t xml:space="preserve">Generally, courts are open to the public.  Anyone has a right to go into any court when it is sitting, unless for special reason in a particular case the presiding judge/magistrate has ordered a closed court hearing.  The reason for this was stated </w:t>
      </w:r>
      <w:r w:rsidR="0069375F">
        <w:rPr>
          <w:rFonts w:ascii="Arial" w:hAnsi="Arial" w:cs="Arial"/>
          <w:sz w:val="20"/>
        </w:rPr>
        <w:t xml:space="preserve">in eloquent terms by Lord Shaw of </w:t>
      </w:r>
      <w:smartTag w:uri="urn:schemas-microsoft-com:office:smarttags" w:element="place">
        <w:r w:rsidR="0069375F">
          <w:rPr>
            <w:rFonts w:ascii="Arial" w:hAnsi="Arial" w:cs="Arial"/>
            <w:sz w:val="20"/>
          </w:rPr>
          <w:t>Dunfermline</w:t>
        </w:r>
      </w:smartTag>
      <w:r w:rsidR="0069375F">
        <w:rPr>
          <w:rFonts w:ascii="Arial" w:hAnsi="Arial" w:cs="Arial"/>
          <w:sz w:val="20"/>
        </w:rPr>
        <w:t xml:space="preserve"> in </w:t>
      </w:r>
      <w:r w:rsidR="0069375F" w:rsidRPr="0069375F">
        <w:rPr>
          <w:rFonts w:ascii="Arial" w:hAnsi="Arial" w:cs="Arial"/>
          <w:i/>
          <w:sz w:val="20"/>
        </w:rPr>
        <w:t>Scott v Scott</w:t>
      </w:r>
      <w:r w:rsidR="0069375F">
        <w:rPr>
          <w:rFonts w:ascii="Arial" w:hAnsi="Arial" w:cs="Arial"/>
          <w:sz w:val="20"/>
        </w:rPr>
        <w:t xml:space="preserve"> [1913] AC 417.  Quoting Bentham, his Lordship said at 477-8:</w:t>
      </w:r>
    </w:p>
    <w:p w14:paraId="58F8E693" w14:textId="77777777" w:rsidR="0069375F" w:rsidRDefault="0069375F" w:rsidP="0069375F">
      <w:pPr>
        <w:spacing w:before="60"/>
        <w:ind w:left="567" w:right="567"/>
        <w:jc w:val="both"/>
        <w:rPr>
          <w:rFonts w:ascii="Arial" w:hAnsi="Arial" w:cs="Arial"/>
          <w:sz w:val="20"/>
        </w:rPr>
      </w:pPr>
      <w:r>
        <w:rPr>
          <w:rFonts w:ascii="Arial" w:hAnsi="Arial" w:cs="Arial"/>
          <w:sz w:val="20"/>
        </w:rPr>
        <w:t xml:space="preserve">“’Publicity is the very soul of justice.  It is the keenest spur to exertion and the surest of all guards against improbity.  It keeps the judge himself while trying under trial’. ‘The security </w:t>
      </w:r>
      <w:r w:rsidR="004865C7">
        <w:rPr>
          <w:rFonts w:ascii="Arial" w:hAnsi="Arial" w:cs="Arial"/>
          <w:sz w:val="20"/>
        </w:rPr>
        <w:t>of securities is publicity’ but amongst historians the grave and enlightened verdict of Hallam, in which he ranks the publicity of judicial proceedings even higher than the rights of Parliament as a guarantee of public security, is not likely to be forgotten: ‘Civil liberty in this Kingdom has two direct guarantees; the open administration of justice according to known laws truly interpreted, and fair constructions of evidence; and the right of Parliament, without let or interruption, to inquire into, and obtain redress of, grievances.  Of these, the first is by far the most indispensable; nor can the subjects of any State be reckoned to enjoy a real freedom, where this condition is not found both in its judicial exercise and in their constant exercise.”</w:t>
      </w:r>
    </w:p>
    <w:p w14:paraId="5FB27802" w14:textId="77777777" w:rsidR="0069375F" w:rsidRDefault="0069375F">
      <w:pPr>
        <w:jc w:val="both"/>
        <w:rPr>
          <w:rFonts w:ascii="Arial" w:hAnsi="Arial" w:cs="Arial"/>
          <w:sz w:val="20"/>
        </w:rPr>
      </w:pPr>
    </w:p>
    <w:p w14:paraId="5CB2C010" w14:textId="77777777" w:rsidR="00277B85" w:rsidRDefault="004865C7" w:rsidP="006027E2">
      <w:pPr>
        <w:jc w:val="both"/>
        <w:rPr>
          <w:rFonts w:ascii="Arial" w:hAnsi="Arial" w:cs="Arial"/>
          <w:sz w:val="20"/>
        </w:rPr>
      </w:pPr>
      <w:r>
        <w:rPr>
          <w:rFonts w:ascii="Arial" w:hAnsi="Arial" w:cs="Arial"/>
          <w:sz w:val="20"/>
        </w:rPr>
        <w:t xml:space="preserve">The principles espoused in </w:t>
      </w:r>
      <w:r w:rsidRPr="004865C7">
        <w:rPr>
          <w:rFonts w:ascii="Arial" w:hAnsi="Arial" w:cs="Arial"/>
          <w:i/>
          <w:sz w:val="20"/>
        </w:rPr>
        <w:t>Scott v Scott</w:t>
      </w:r>
      <w:r>
        <w:rPr>
          <w:rFonts w:ascii="Arial" w:hAnsi="Arial" w:cs="Arial"/>
          <w:sz w:val="20"/>
        </w:rPr>
        <w:t xml:space="preserve"> were recognized by the High Court in </w:t>
      </w:r>
      <w:r>
        <w:rPr>
          <w:rFonts w:ascii="Arial" w:hAnsi="Arial" w:cs="Arial"/>
          <w:i/>
          <w:iCs/>
          <w:sz w:val="20"/>
        </w:rPr>
        <w:t>Russell v Russell</w:t>
      </w:r>
      <w:r>
        <w:rPr>
          <w:rFonts w:ascii="Arial" w:hAnsi="Arial" w:cs="Arial"/>
          <w:sz w:val="20"/>
        </w:rPr>
        <w:t xml:space="preserve"> (1976) 134 CLR 495, a case which </w:t>
      </w:r>
      <w:r w:rsidR="00277B85">
        <w:rPr>
          <w:rFonts w:ascii="Arial" w:hAnsi="Arial" w:cs="Arial"/>
          <w:sz w:val="20"/>
        </w:rPr>
        <w:t xml:space="preserve">concerned, among other things, the constitutional validity of sections of the </w:t>
      </w:r>
      <w:r w:rsidR="00277B85" w:rsidRPr="005161F3">
        <w:rPr>
          <w:rFonts w:ascii="Arial" w:hAnsi="Arial" w:cs="Arial"/>
          <w:i/>
          <w:iCs/>
          <w:sz w:val="20"/>
        </w:rPr>
        <w:t>Family Law Act 1975</w:t>
      </w:r>
      <w:r w:rsidR="00277B85" w:rsidRPr="005161F3">
        <w:rPr>
          <w:rFonts w:ascii="Arial" w:hAnsi="Arial" w:cs="Arial"/>
          <w:sz w:val="20"/>
        </w:rPr>
        <w:t xml:space="preserve"> (</w:t>
      </w:r>
      <w:proofErr w:type="spellStart"/>
      <w:r w:rsidR="00277B85" w:rsidRPr="005161F3">
        <w:rPr>
          <w:rFonts w:ascii="Arial" w:hAnsi="Arial" w:cs="Arial"/>
          <w:sz w:val="20"/>
        </w:rPr>
        <w:t>Cth</w:t>
      </w:r>
      <w:proofErr w:type="spellEnd"/>
      <w:r w:rsidR="00277B85" w:rsidRPr="005161F3">
        <w:rPr>
          <w:rFonts w:ascii="Arial" w:hAnsi="Arial" w:cs="Arial"/>
          <w:sz w:val="20"/>
        </w:rPr>
        <w:t>)</w:t>
      </w:r>
      <w:r w:rsidR="00277B85">
        <w:rPr>
          <w:rFonts w:ascii="Arial" w:hAnsi="Arial" w:cs="Arial"/>
          <w:sz w:val="20"/>
        </w:rPr>
        <w:t xml:space="preserve"> which at that time required Family Courts to be closed and prohibited publication of their proceedings.  </w:t>
      </w:r>
      <w:r>
        <w:rPr>
          <w:rFonts w:ascii="Arial" w:hAnsi="Arial" w:cs="Arial"/>
          <w:sz w:val="20"/>
        </w:rPr>
        <w:t>At p.520 Gibbs CJ said</w:t>
      </w:r>
      <w:r w:rsidR="00277B85">
        <w:rPr>
          <w:rFonts w:ascii="Arial" w:hAnsi="Arial" w:cs="Arial"/>
          <w:sz w:val="20"/>
        </w:rPr>
        <w:t>:</w:t>
      </w:r>
    </w:p>
    <w:p w14:paraId="507F0FC3" w14:textId="77777777" w:rsidR="00277B85" w:rsidRDefault="00277B85" w:rsidP="00DE6548">
      <w:pPr>
        <w:spacing w:before="60"/>
        <w:ind w:left="567" w:right="567"/>
        <w:jc w:val="both"/>
        <w:rPr>
          <w:rFonts w:ascii="Arial" w:hAnsi="Arial" w:cs="Arial"/>
          <w:sz w:val="20"/>
        </w:rPr>
      </w:pPr>
      <w:r>
        <w:rPr>
          <w:rFonts w:ascii="Arial" w:hAnsi="Arial" w:cs="Arial"/>
          <w:sz w:val="20"/>
        </w:rPr>
        <w:t>"It is the ordinary rule of the Supreme Court, as of the other courts of the nation, that their proceedings shall be conducted 'publicly and in open view' (</w:t>
      </w:r>
      <w:r>
        <w:rPr>
          <w:rFonts w:ascii="Arial" w:hAnsi="Arial" w:cs="Arial"/>
          <w:i/>
          <w:iCs/>
          <w:sz w:val="20"/>
        </w:rPr>
        <w:t>Scott v Scott</w:t>
      </w:r>
      <w:r>
        <w:rPr>
          <w:rFonts w:ascii="Arial" w:hAnsi="Arial" w:cs="Arial"/>
          <w:sz w:val="20"/>
        </w:rPr>
        <w:t xml:space="preserve"> [1913] AC 417 at 441).  This rule has the virtue that the proceedings of every court are fully exposed to public and professional scrutiny and criticism without which abuses may flourish undetected.  Further, the public administration of justice tends to maintain confidence in the integrity and independence of the courts.  The fact that courts of law are held openly and not in secret is an essential aspect of their character.  It distinguishes their activities from those of administrative officials, for 'publicity is the authentic hall-mark of judicial as distinct from administrative procedure' (</w:t>
      </w:r>
      <w:r>
        <w:rPr>
          <w:rFonts w:ascii="Arial" w:hAnsi="Arial" w:cs="Arial"/>
          <w:i/>
          <w:iCs/>
          <w:sz w:val="20"/>
        </w:rPr>
        <w:t>McPherson v McPherson</w:t>
      </w:r>
      <w:r>
        <w:rPr>
          <w:rFonts w:ascii="Arial" w:hAnsi="Arial" w:cs="Arial"/>
          <w:sz w:val="20"/>
        </w:rPr>
        <w:t xml:space="preserve"> [1936] AC 177 at 200).  To require a court invariably to sit in closed court is to alter the nature of the court.  Of course there are established exceptions to the general rule that judicial proceedings shall be conducted in public; and the category of exceptions is not closed to the Parliament.  The need to maintain secrecy or confidentiality in the interests of privacy or delicacy may in some cases be thought to render it desirable for a matter, or part of it, to be heard in closed court."</w:t>
      </w:r>
    </w:p>
    <w:p w14:paraId="358C7F89" w14:textId="77777777" w:rsidR="00E54921" w:rsidRDefault="00E54921">
      <w:pPr>
        <w:jc w:val="both"/>
        <w:rPr>
          <w:rFonts w:ascii="Arial" w:hAnsi="Arial" w:cs="Arial"/>
          <w:sz w:val="20"/>
        </w:rPr>
      </w:pPr>
    </w:p>
    <w:p w14:paraId="6A05807C" w14:textId="2DE7AD27" w:rsidR="00277B85" w:rsidRPr="00B46EF1" w:rsidRDefault="00277B85">
      <w:pPr>
        <w:jc w:val="both"/>
        <w:rPr>
          <w:rFonts w:ascii="Arial" w:hAnsi="Arial" w:cs="Arial"/>
          <w:color w:val="000000"/>
          <w:sz w:val="20"/>
        </w:rPr>
      </w:pPr>
      <w:r>
        <w:rPr>
          <w:rFonts w:ascii="Arial" w:hAnsi="Arial" w:cs="Arial"/>
          <w:sz w:val="20"/>
        </w:rPr>
        <w:t xml:space="preserve">Similar statements of principle are to be found in numerous other cases, including </w:t>
      </w:r>
      <w:r>
        <w:rPr>
          <w:rFonts w:ascii="Arial" w:hAnsi="Arial" w:cs="Arial"/>
          <w:i/>
          <w:sz w:val="20"/>
        </w:rPr>
        <w:t>Dickason v Dickason</w:t>
      </w:r>
      <w:r>
        <w:rPr>
          <w:rFonts w:ascii="Arial" w:hAnsi="Arial" w:cs="Arial"/>
          <w:sz w:val="20"/>
        </w:rPr>
        <w:t xml:space="preserve"> (1913) 17 CLR 50, </w:t>
      </w:r>
      <w:r>
        <w:rPr>
          <w:rFonts w:ascii="Arial" w:hAnsi="Arial" w:cs="Arial"/>
          <w:i/>
          <w:sz w:val="20"/>
        </w:rPr>
        <w:t xml:space="preserve">David Syme &amp; Co Ltd v General Motors Holden’s Ltd </w:t>
      </w:r>
      <w:r>
        <w:rPr>
          <w:rFonts w:ascii="Arial" w:hAnsi="Arial" w:cs="Arial"/>
          <w:sz w:val="20"/>
        </w:rPr>
        <w:t>[1984] 2</w:t>
      </w:r>
      <w:r w:rsidR="006D0140">
        <w:rPr>
          <w:rFonts w:ascii="Arial" w:hAnsi="Arial" w:cs="Arial"/>
          <w:sz w:val="20"/>
        </w:rPr>
        <w:t> </w:t>
      </w:r>
      <w:r>
        <w:rPr>
          <w:rFonts w:ascii="Arial" w:hAnsi="Arial" w:cs="Arial"/>
          <w:sz w:val="20"/>
        </w:rPr>
        <w:t xml:space="preserve">N.S.W.L.R. 294 per Street CJ at 299, Hutley AP at 307 &amp; Samuels JA at 310, </w:t>
      </w:r>
      <w:proofErr w:type="spellStart"/>
      <w:r>
        <w:rPr>
          <w:rFonts w:ascii="Arial" w:hAnsi="Arial" w:cs="Arial"/>
          <w:i/>
          <w:sz w:val="20"/>
        </w:rPr>
        <w:t>Raybos</w:t>
      </w:r>
      <w:proofErr w:type="spellEnd"/>
      <w:r>
        <w:rPr>
          <w:rFonts w:ascii="Arial" w:hAnsi="Arial" w:cs="Arial"/>
          <w:i/>
          <w:sz w:val="20"/>
        </w:rPr>
        <w:t xml:space="preserve"> Australia Pty Ltd v Jones</w:t>
      </w:r>
      <w:r>
        <w:rPr>
          <w:rFonts w:ascii="Arial" w:hAnsi="Arial" w:cs="Arial"/>
          <w:sz w:val="20"/>
        </w:rPr>
        <w:t xml:space="preserve"> [1985] 2 NSWLR 47 per Kirby P at 50-53, </w:t>
      </w:r>
      <w:r>
        <w:rPr>
          <w:rFonts w:ascii="Arial" w:hAnsi="Arial" w:cs="Arial"/>
          <w:i/>
          <w:sz w:val="20"/>
        </w:rPr>
        <w:t>John Fairfax &amp; Sons Ltd v Police Tribunal of New South Wales</w:t>
      </w:r>
      <w:r>
        <w:rPr>
          <w:rFonts w:ascii="Arial" w:hAnsi="Arial" w:cs="Arial"/>
          <w:sz w:val="20"/>
        </w:rPr>
        <w:t xml:space="preserve"> (1986) 5 N.S.W.L.R. 465 per McHugh JA at 476</w:t>
      </w:r>
      <w:r w:rsidR="00510651">
        <w:rPr>
          <w:rFonts w:ascii="Arial" w:hAnsi="Arial" w:cs="Arial"/>
          <w:sz w:val="20"/>
        </w:rPr>
        <w:t xml:space="preserve">; </w:t>
      </w:r>
      <w:r>
        <w:rPr>
          <w:rFonts w:ascii="Arial" w:hAnsi="Arial" w:cs="Arial"/>
          <w:i/>
          <w:iCs/>
          <w:sz w:val="20"/>
        </w:rPr>
        <w:t>Jarvie v Magistrates' Court of Victoria</w:t>
      </w:r>
      <w:r>
        <w:rPr>
          <w:rFonts w:ascii="Arial" w:hAnsi="Arial" w:cs="Arial"/>
          <w:sz w:val="20"/>
        </w:rPr>
        <w:t xml:space="preserve"> [1995] 1 VR 84</w:t>
      </w:r>
      <w:r w:rsidR="00510651">
        <w:rPr>
          <w:rFonts w:ascii="Arial" w:hAnsi="Arial" w:cs="Arial"/>
          <w:sz w:val="20"/>
        </w:rPr>
        <w:t xml:space="preserve"> per Brooking J; </w:t>
      </w:r>
      <w:r w:rsidR="00510651" w:rsidRPr="00510651">
        <w:rPr>
          <w:rFonts w:ascii="Arial" w:hAnsi="Arial" w:cs="Arial"/>
          <w:i/>
          <w:sz w:val="20"/>
        </w:rPr>
        <w:t>Herald &amp; Weekly Times Ltd v Medical Practitioners Board</w:t>
      </w:r>
      <w:r w:rsidR="00510651">
        <w:rPr>
          <w:rFonts w:ascii="Arial" w:hAnsi="Arial" w:cs="Arial"/>
          <w:i/>
          <w:sz w:val="20"/>
        </w:rPr>
        <w:t xml:space="preserve"> of Victoria</w:t>
      </w:r>
      <w:r w:rsidR="00510651">
        <w:rPr>
          <w:rFonts w:ascii="Arial" w:hAnsi="Arial" w:cs="Arial"/>
          <w:sz w:val="20"/>
        </w:rPr>
        <w:t xml:space="preserve"> [1999] 1 V</w:t>
      </w:r>
      <w:r w:rsidR="004248AC">
        <w:rPr>
          <w:rFonts w:ascii="Arial" w:hAnsi="Arial" w:cs="Arial"/>
          <w:sz w:val="20"/>
        </w:rPr>
        <w:t xml:space="preserve">R 267 at 278-292 per </w:t>
      </w:r>
      <w:proofErr w:type="spellStart"/>
      <w:r w:rsidR="004248AC">
        <w:rPr>
          <w:rFonts w:ascii="Arial" w:hAnsi="Arial" w:cs="Arial"/>
          <w:sz w:val="20"/>
        </w:rPr>
        <w:t>Hedigan</w:t>
      </w:r>
      <w:proofErr w:type="spellEnd"/>
      <w:r w:rsidR="004248AC">
        <w:rPr>
          <w:rFonts w:ascii="Arial" w:hAnsi="Arial" w:cs="Arial"/>
          <w:sz w:val="20"/>
        </w:rPr>
        <w:t xml:space="preserve"> J; </w:t>
      </w:r>
      <w:r w:rsidR="004248AC" w:rsidRPr="004248AC">
        <w:rPr>
          <w:rFonts w:ascii="Arial" w:hAnsi="Arial" w:cs="Arial"/>
          <w:i/>
          <w:sz w:val="20"/>
        </w:rPr>
        <w:t>The Queen v G</w:t>
      </w:r>
      <w:r w:rsidR="004248AC">
        <w:rPr>
          <w:rFonts w:ascii="Arial" w:hAnsi="Arial" w:cs="Arial"/>
          <w:sz w:val="20"/>
        </w:rPr>
        <w:t xml:space="preserve"> [2007] VSC 503 [Edited Version</w:t>
      </w:r>
      <w:r w:rsidR="006D0140">
        <w:rPr>
          <w:rFonts w:ascii="Arial" w:hAnsi="Arial" w:cs="Arial"/>
          <w:sz w:val="20"/>
        </w:rPr>
        <w:t xml:space="preserve">] </w:t>
      </w:r>
      <w:proofErr w:type="spellStart"/>
      <w:r w:rsidR="006D0140" w:rsidRPr="00B46EF1">
        <w:rPr>
          <w:rFonts w:ascii="Arial" w:hAnsi="Arial" w:cs="Arial"/>
          <w:color w:val="000000"/>
          <w:sz w:val="20"/>
        </w:rPr>
        <w:t>esp</w:t>
      </w:r>
      <w:proofErr w:type="spellEnd"/>
      <w:r w:rsidR="006D0140" w:rsidRPr="00B46EF1">
        <w:rPr>
          <w:rFonts w:ascii="Arial" w:hAnsi="Arial" w:cs="Arial"/>
          <w:color w:val="000000"/>
          <w:sz w:val="20"/>
        </w:rPr>
        <w:t xml:space="preserve"> at [14]-[16] per Whelan J; </w:t>
      </w:r>
      <w:r w:rsidR="006D0140" w:rsidRPr="00B46EF1">
        <w:rPr>
          <w:rFonts w:ascii="Arial" w:hAnsi="Arial" w:cs="Arial"/>
          <w:i/>
          <w:color w:val="000000"/>
          <w:sz w:val="20"/>
        </w:rPr>
        <w:t>Russo v Russo</w:t>
      </w:r>
      <w:r w:rsidR="006D0140" w:rsidRPr="00B46EF1">
        <w:rPr>
          <w:rFonts w:ascii="Arial" w:hAnsi="Arial" w:cs="Arial"/>
          <w:color w:val="000000"/>
          <w:sz w:val="20"/>
        </w:rPr>
        <w:t xml:space="preserve"> [2010] VSC 98 at [9]-[16] &amp; [25] per Croft J.</w:t>
      </w:r>
    </w:p>
    <w:p w14:paraId="701F0D74" w14:textId="77777777" w:rsidR="00277B85" w:rsidRDefault="00277B85">
      <w:pPr>
        <w:jc w:val="both"/>
        <w:rPr>
          <w:rFonts w:ascii="Arial" w:hAnsi="Arial" w:cs="Arial"/>
          <w:sz w:val="20"/>
        </w:rPr>
      </w:pPr>
    </w:p>
    <w:p w14:paraId="7254175E" w14:textId="101D0EFE" w:rsidR="00277B85" w:rsidRDefault="00277B85">
      <w:pPr>
        <w:jc w:val="both"/>
        <w:rPr>
          <w:rFonts w:ascii="Arial" w:hAnsi="Arial" w:cs="Arial"/>
          <w:sz w:val="20"/>
        </w:rPr>
      </w:pPr>
      <w:r>
        <w:rPr>
          <w:rFonts w:ascii="Arial" w:hAnsi="Arial" w:cs="Arial"/>
          <w:sz w:val="20"/>
        </w:rPr>
        <w:t xml:space="preserve">When the </w:t>
      </w:r>
      <w:r w:rsidRPr="005161F3">
        <w:rPr>
          <w:rFonts w:ascii="Arial" w:hAnsi="Arial" w:cs="Arial"/>
          <w:i/>
          <w:iCs/>
          <w:sz w:val="20"/>
        </w:rPr>
        <w:t xml:space="preserve">Family Law Act </w:t>
      </w:r>
      <w:r w:rsidR="005161F3" w:rsidRPr="005161F3">
        <w:rPr>
          <w:rFonts w:ascii="Arial" w:hAnsi="Arial" w:cs="Arial"/>
          <w:i/>
          <w:iCs/>
          <w:sz w:val="20"/>
        </w:rPr>
        <w:t>1975</w:t>
      </w:r>
      <w:r w:rsidR="005161F3">
        <w:rPr>
          <w:rFonts w:ascii="Arial" w:hAnsi="Arial" w:cs="Arial"/>
          <w:sz w:val="20"/>
        </w:rPr>
        <w:t xml:space="preserve"> </w:t>
      </w:r>
      <w:r w:rsidRPr="005161F3">
        <w:rPr>
          <w:rFonts w:ascii="Arial" w:hAnsi="Arial" w:cs="Arial"/>
          <w:sz w:val="20"/>
        </w:rPr>
        <w:t>(</w:t>
      </w:r>
      <w:proofErr w:type="spellStart"/>
      <w:r w:rsidRPr="005161F3">
        <w:rPr>
          <w:rFonts w:ascii="Arial" w:hAnsi="Arial" w:cs="Arial"/>
          <w:sz w:val="20"/>
        </w:rPr>
        <w:t>Cth</w:t>
      </w:r>
      <w:proofErr w:type="spellEnd"/>
      <w:r w:rsidRPr="005161F3">
        <w:rPr>
          <w:rFonts w:ascii="Arial" w:hAnsi="Arial" w:cs="Arial"/>
          <w:sz w:val="20"/>
        </w:rPr>
        <w:t>)</w:t>
      </w:r>
      <w:r>
        <w:rPr>
          <w:rFonts w:ascii="Arial" w:hAnsi="Arial" w:cs="Arial"/>
          <w:sz w:val="20"/>
        </w:rPr>
        <w:t xml:space="preserve"> commenced in 1975, it provided that cases would be heard in closed court and also prevented publication of any details of the cases.  This was to preserve the privacy of </w:t>
      </w:r>
      <w:r w:rsidR="009958D2">
        <w:rPr>
          <w:rFonts w:ascii="Arial" w:hAnsi="Arial" w:cs="Arial"/>
          <w:sz w:val="20"/>
        </w:rPr>
        <w:t xml:space="preserve">the </w:t>
      </w:r>
      <w:r>
        <w:rPr>
          <w:rFonts w:ascii="Arial" w:hAnsi="Arial" w:cs="Arial"/>
          <w:sz w:val="20"/>
        </w:rPr>
        <w:t>people involved, including the children, and to prevent reporting in the media of sensationalised stories about peoples' private lives.  Following wide-spread criticism, the provision for closed Family Court hearings was repealed in 1983 and the prohibition on publication was substantially modified, so that now it only prohibits publication of anything which identifies people involved in the case.</w:t>
      </w:r>
    </w:p>
    <w:bookmarkEnd w:id="434"/>
    <w:p w14:paraId="1F1177A6" w14:textId="045DD96A" w:rsidR="005619BF" w:rsidRDefault="005619BF" w:rsidP="006461A4">
      <w:pPr>
        <w:widowControl w:val="0"/>
        <w:jc w:val="both"/>
        <w:rPr>
          <w:rFonts w:ascii="Arial" w:hAnsi="Arial" w:cs="Arial"/>
          <w:sz w:val="20"/>
        </w:rPr>
      </w:pPr>
    </w:p>
    <w:p w14:paraId="2102BE23" w14:textId="0DB34A85" w:rsidR="009536D4" w:rsidRDefault="006461A4" w:rsidP="006461A4">
      <w:pPr>
        <w:widowControl w:val="0"/>
        <w:jc w:val="both"/>
        <w:rPr>
          <w:rFonts w:ascii="Arial" w:hAnsi="Arial" w:cs="Arial"/>
          <w:sz w:val="20"/>
        </w:rPr>
      </w:pPr>
      <w:r>
        <w:rPr>
          <w:rFonts w:ascii="Arial" w:hAnsi="Arial" w:cs="Arial"/>
          <w:sz w:val="20"/>
        </w:rPr>
        <w:t xml:space="preserve">In </w:t>
      </w:r>
      <w:r w:rsidRPr="00016A6C">
        <w:rPr>
          <w:rFonts w:ascii="Arial" w:hAnsi="Arial" w:cs="Arial"/>
          <w:b/>
          <w:bCs/>
          <w:i/>
          <w:iCs/>
          <w:sz w:val="20"/>
        </w:rPr>
        <w:t>Ramsay Alec (a pseudonym) v The King</w:t>
      </w:r>
      <w:r w:rsidRPr="00016A6C">
        <w:rPr>
          <w:rFonts w:ascii="Arial" w:hAnsi="Arial" w:cs="Arial"/>
          <w:b/>
          <w:bCs/>
          <w:sz w:val="20"/>
        </w:rPr>
        <w:t xml:space="preserve"> [2023] VSCA 208</w:t>
      </w:r>
      <w:r>
        <w:rPr>
          <w:rFonts w:ascii="Arial" w:hAnsi="Arial" w:cs="Arial"/>
          <w:sz w:val="20"/>
        </w:rPr>
        <w:t xml:space="preserve"> – a case in which the principles of open justice</w:t>
      </w:r>
      <w:r w:rsidR="00D55BDF">
        <w:rPr>
          <w:rFonts w:ascii="Arial" w:hAnsi="Arial" w:cs="Arial"/>
          <w:sz w:val="20"/>
        </w:rPr>
        <w:t>, procedural fairness</w:t>
      </w:r>
      <w:r>
        <w:rPr>
          <w:rFonts w:ascii="Arial" w:hAnsi="Arial" w:cs="Arial"/>
          <w:sz w:val="20"/>
        </w:rPr>
        <w:t xml:space="preserve"> and apprehension of judicial bias coexisted – the Court of Appeal allowed an appeal, set aside a conviction for incest and associated offences in</w:t>
      </w:r>
      <w:r w:rsidR="005D4536">
        <w:rPr>
          <w:rFonts w:ascii="Arial" w:hAnsi="Arial" w:cs="Arial"/>
          <w:sz w:val="20"/>
        </w:rPr>
        <w:t xml:space="preserve"> which</w:t>
      </w:r>
      <w:r>
        <w:rPr>
          <w:rFonts w:ascii="Arial" w:hAnsi="Arial" w:cs="Arial"/>
          <w:sz w:val="20"/>
        </w:rPr>
        <w:t xml:space="preserve"> the appellant’s stepson TB </w:t>
      </w:r>
      <w:r w:rsidR="005D4536">
        <w:rPr>
          <w:rFonts w:ascii="Arial" w:hAnsi="Arial" w:cs="Arial"/>
          <w:sz w:val="20"/>
        </w:rPr>
        <w:t xml:space="preserve">was the complainant </w:t>
      </w:r>
      <w:r>
        <w:rPr>
          <w:rFonts w:ascii="Arial" w:hAnsi="Arial" w:cs="Arial"/>
          <w:sz w:val="20"/>
        </w:rPr>
        <w:t xml:space="preserve">and ordered a new trial.  At a ground rules hearing on the day before </w:t>
      </w:r>
      <w:r w:rsidR="009536D4">
        <w:rPr>
          <w:rFonts w:ascii="Arial" w:hAnsi="Arial" w:cs="Arial"/>
          <w:sz w:val="20"/>
        </w:rPr>
        <w:t xml:space="preserve">TB gave evidence at a special hearing, </w:t>
      </w:r>
      <w:r>
        <w:rPr>
          <w:rFonts w:ascii="Arial" w:hAnsi="Arial" w:cs="Arial"/>
          <w:sz w:val="20"/>
        </w:rPr>
        <w:t xml:space="preserve">the judge was told by the intermediary that the complainant – with whom both counsel had met – “would be one of the most anxious young men that I’ve come across in my time of doing this work” and said that if it was possible for the judge “to have a brief chat with him” before he gave evidence “that would be ideal”.  </w:t>
      </w:r>
      <w:r w:rsidR="005D4536">
        <w:rPr>
          <w:rFonts w:ascii="Arial" w:hAnsi="Arial" w:cs="Arial"/>
          <w:sz w:val="20"/>
        </w:rPr>
        <w:t xml:space="preserve">The judge did meet privately with the child complainant, no objections to the meeting having been raised by counsel.  No record was made of the meeting although </w:t>
      </w:r>
      <w:r w:rsidR="005D4536">
        <w:rPr>
          <w:rFonts w:ascii="Arial" w:hAnsi="Arial" w:cs="Arial"/>
          <w:sz w:val="20"/>
        </w:rPr>
        <w:lastRenderedPageBreak/>
        <w:t>in the special hearing the judge articulate</w:t>
      </w:r>
      <w:r w:rsidR="009378B4">
        <w:rPr>
          <w:rFonts w:ascii="Arial" w:hAnsi="Arial" w:cs="Arial"/>
          <w:sz w:val="20"/>
        </w:rPr>
        <w:t>d</w:t>
      </w:r>
      <w:r w:rsidR="005D4536">
        <w:rPr>
          <w:rFonts w:ascii="Arial" w:hAnsi="Arial" w:cs="Arial"/>
          <w:sz w:val="20"/>
        </w:rPr>
        <w:t xml:space="preserve"> some, but not all, of the conversation he had with TB.</w:t>
      </w:r>
      <w:r w:rsidR="009536D4">
        <w:rPr>
          <w:rFonts w:ascii="Arial" w:hAnsi="Arial" w:cs="Arial"/>
          <w:sz w:val="20"/>
        </w:rPr>
        <w:t xml:space="preserve">  The Court of Appeal </w:t>
      </w:r>
      <w:r w:rsidR="00B72F2B">
        <w:rPr>
          <w:rFonts w:ascii="Arial" w:hAnsi="Arial" w:cs="Arial"/>
          <w:sz w:val="20"/>
        </w:rPr>
        <w:t xml:space="preserve">(Priest, Walker &amp; Taylor JJA) </w:t>
      </w:r>
      <w:r w:rsidR="009536D4">
        <w:rPr>
          <w:rFonts w:ascii="Arial" w:hAnsi="Arial" w:cs="Arial"/>
          <w:sz w:val="20"/>
        </w:rPr>
        <w:t>held that–</w:t>
      </w:r>
    </w:p>
    <w:p w14:paraId="50E07FB8" w14:textId="1A1D54B0" w:rsidR="009536D4" w:rsidRDefault="009536D4"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process by which TB came to give evidence at the special hearing was tainted;</w:t>
      </w:r>
    </w:p>
    <w:p w14:paraId="731A8EE9" w14:textId="2F762183" w:rsidR="009536D4" w:rsidRDefault="009536D4"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p</w:t>
      </w:r>
      <w:r w:rsidRPr="006461A4">
        <w:rPr>
          <w:rFonts w:ascii="Arial" w:hAnsi="Arial" w:cs="Arial"/>
          <w:sz w:val="20"/>
        </w:rPr>
        <w:t>rinciple of open justice requires court proceedings to be open to scrutiny</w:t>
      </w:r>
      <w:r w:rsidR="00FB4A40">
        <w:rPr>
          <w:rFonts w:ascii="Arial" w:hAnsi="Arial" w:cs="Arial"/>
          <w:sz w:val="20"/>
        </w:rPr>
        <w:t>; and</w:t>
      </w:r>
    </w:p>
    <w:p w14:paraId="0EDBDCBE" w14:textId="0045D9F7" w:rsidR="009536D4" w:rsidRPr="009536D4" w:rsidRDefault="00FB4A40"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m</w:t>
      </w:r>
      <w:r w:rsidR="009536D4" w:rsidRPr="006461A4">
        <w:rPr>
          <w:rFonts w:ascii="Arial" w:hAnsi="Arial" w:cs="Arial"/>
          <w:sz w:val="20"/>
        </w:rPr>
        <w:t xml:space="preserve">eeting occasioned </w:t>
      </w:r>
      <w:r>
        <w:rPr>
          <w:rFonts w:ascii="Arial" w:hAnsi="Arial" w:cs="Arial"/>
          <w:sz w:val="20"/>
        </w:rPr>
        <w:t xml:space="preserve">a </w:t>
      </w:r>
      <w:r w:rsidR="009536D4" w:rsidRPr="006461A4">
        <w:rPr>
          <w:rFonts w:ascii="Arial" w:hAnsi="Arial" w:cs="Arial"/>
          <w:sz w:val="20"/>
        </w:rPr>
        <w:t>substantial miscarriage of justice</w:t>
      </w:r>
      <w:r>
        <w:rPr>
          <w:rFonts w:ascii="Arial" w:hAnsi="Arial" w:cs="Arial"/>
          <w:sz w:val="20"/>
        </w:rPr>
        <w:t xml:space="preserve"> and had given rise to a</w:t>
      </w:r>
      <w:r w:rsidR="001C7A54">
        <w:rPr>
          <w:rFonts w:ascii="Arial" w:hAnsi="Arial" w:cs="Arial"/>
          <w:sz w:val="20"/>
        </w:rPr>
        <w:t xml:space="preserve"> reasonable</w:t>
      </w:r>
      <w:r>
        <w:rPr>
          <w:rFonts w:ascii="Arial" w:hAnsi="Arial" w:cs="Arial"/>
          <w:sz w:val="20"/>
        </w:rPr>
        <w:t xml:space="preserve"> apprehension of partiality.</w:t>
      </w:r>
    </w:p>
    <w:p w14:paraId="6E8AA88D" w14:textId="0D8DB9DA" w:rsidR="00FB4A40" w:rsidRDefault="00FB4A40" w:rsidP="00AA15AD">
      <w:pPr>
        <w:widowControl w:val="0"/>
        <w:spacing w:before="120"/>
        <w:jc w:val="both"/>
        <w:rPr>
          <w:rFonts w:ascii="Arial" w:hAnsi="Arial" w:cs="Arial"/>
          <w:sz w:val="20"/>
        </w:rPr>
      </w:pPr>
      <w:r>
        <w:rPr>
          <w:rFonts w:ascii="Arial" w:hAnsi="Arial" w:cs="Arial"/>
          <w:sz w:val="20"/>
        </w:rPr>
        <w:t>The Court of Appeal said at [21]:</w:t>
      </w:r>
    </w:p>
    <w:p w14:paraId="5BCC57D5" w14:textId="1DB3062C" w:rsidR="00FB4A40" w:rsidRDefault="00FB4A40" w:rsidP="00FB4A40">
      <w:pPr>
        <w:spacing w:before="60"/>
        <w:ind w:left="567" w:right="567"/>
        <w:jc w:val="both"/>
        <w:rPr>
          <w:rFonts w:ascii="Arial" w:hAnsi="Arial" w:cs="Arial"/>
          <w:sz w:val="20"/>
        </w:rPr>
      </w:pPr>
      <w:r>
        <w:rPr>
          <w:rFonts w:ascii="Arial" w:hAnsi="Arial" w:cs="Arial"/>
          <w:sz w:val="20"/>
        </w:rPr>
        <w:t>“</w:t>
      </w:r>
      <w:r w:rsidRPr="00FB4A40">
        <w:rPr>
          <w:rFonts w:ascii="Arial" w:hAnsi="Arial" w:cs="Arial"/>
          <w:sz w:val="20"/>
          <w:szCs w:val="20"/>
        </w:rPr>
        <w:t xml:space="preserve">Almost a century ago, Lord Hewart LCJ, in </w:t>
      </w:r>
      <w:r w:rsidRPr="00FB4A40">
        <w:rPr>
          <w:rFonts w:ascii="Arial" w:hAnsi="Arial" w:cs="Arial"/>
          <w:i/>
          <w:iCs/>
          <w:sz w:val="20"/>
          <w:szCs w:val="20"/>
        </w:rPr>
        <w:t xml:space="preserve">R v Sussex Justices; Ex </w:t>
      </w:r>
      <w:proofErr w:type="spellStart"/>
      <w:r w:rsidRPr="00FB4A40">
        <w:rPr>
          <w:rFonts w:ascii="Arial" w:hAnsi="Arial" w:cs="Arial"/>
          <w:i/>
          <w:iCs/>
          <w:sz w:val="20"/>
          <w:szCs w:val="20"/>
        </w:rPr>
        <w:t>parte</w:t>
      </w:r>
      <w:proofErr w:type="spellEnd"/>
      <w:r w:rsidRPr="00FB4A40">
        <w:rPr>
          <w:rFonts w:ascii="Arial" w:hAnsi="Arial" w:cs="Arial"/>
          <w:i/>
          <w:iCs/>
          <w:sz w:val="20"/>
          <w:szCs w:val="20"/>
        </w:rPr>
        <w:t xml:space="preserve"> McCarth</w:t>
      </w:r>
      <w:r>
        <w:rPr>
          <w:rFonts w:ascii="Arial" w:hAnsi="Arial" w:cs="Arial"/>
          <w:i/>
          <w:iCs/>
          <w:sz w:val="20"/>
          <w:szCs w:val="20"/>
        </w:rPr>
        <w:t>y</w:t>
      </w:r>
      <w:r w:rsidRPr="00FB4A40">
        <w:rPr>
          <w:rFonts w:ascii="Arial" w:hAnsi="Arial" w:cs="Arial"/>
          <w:sz w:val="20"/>
          <w:szCs w:val="20"/>
        </w:rPr>
        <w:t xml:space="preserve"> </w:t>
      </w:r>
      <w:r w:rsidRPr="00BF24E8">
        <w:rPr>
          <w:rFonts w:ascii="Arial" w:hAnsi="Arial" w:cs="Arial"/>
          <w:sz w:val="20"/>
          <w:szCs w:val="20"/>
        </w:rPr>
        <w:t>[1924] 1 KB 256, 259</w:t>
      </w:r>
      <w:r w:rsidR="00BF24E8">
        <w:rPr>
          <w:rFonts w:ascii="Arial" w:hAnsi="Arial" w:cs="Arial"/>
          <w:sz w:val="20"/>
          <w:szCs w:val="20"/>
        </w:rPr>
        <w:t>,</w:t>
      </w:r>
      <w:r w:rsidRPr="00BF24E8">
        <w:rPr>
          <w:rFonts w:ascii="Arial" w:hAnsi="Arial" w:cs="Arial"/>
          <w:sz w:val="20"/>
          <w:szCs w:val="20"/>
        </w:rPr>
        <w:t xml:space="preserve"> </w:t>
      </w:r>
      <w:r w:rsidRPr="00FB4A40">
        <w:rPr>
          <w:rFonts w:ascii="Arial" w:hAnsi="Arial" w:cs="Arial"/>
          <w:sz w:val="20"/>
          <w:szCs w:val="20"/>
        </w:rPr>
        <w:t>declared that it ‘is of fundamental importance that justice should not only be done, but should manifestly and undoubtedly be seen to be done.’</w:t>
      </w:r>
      <w:r>
        <w:rPr>
          <w:rFonts w:ascii="Arial" w:hAnsi="Arial" w:cs="Arial"/>
          <w:sz w:val="20"/>
          <w:szCs w:val="20"/>
        </w:rPr>
        <w:t>”</w:t>
      </w:r>
    </w:p>
    <w:p w14:paraId="043DFE66" w14:textId="1D01A070" w:rsidR="00FB4A40" w:rsidRDefault="00BF24E8" w:rsidP="00BF24E8">
      <w:pPr>
        <w:widowControl w:val="0"/>
        <w:spacing w:before="120"/>
        <w:jc w:val="both"/>
        <w:rPr>
          <w:rFonts w:ascii="Arial" w:hAnsi="Arial" w:cs="Arial"/>
          <w:sz w:val="20"/>
        </w:rPr>
      </w:pPr>
      <w:r>
        <w:rPr>
          <w:rFonts w:ascii="Arial" w:hAnsi="Arial" w:cs="Arial"/>
          <w:sz w:val="20"/>
        </w:rPr>
        <w:t>Their Honours continued at [23], [27]-[30] &amp; [32]:</w:t>
      </w:r>
    </w:p>
    <w:p w14:paraId="79A88B61" w14:textId="50AD486A" w:rsidR="00FB4A40" w:rsidRDefault="009536D4" w:rsidP="00B72F2B">
      <w:pPr>
        <w:spacing w:before="80"/>
        <w:ind w:left="567" w:right="567"/>
        <w:jc w:val="both"/>
        <w:rPr>
          <w:rFonts w:ascii="Arial" w:hAnsi="Arial" w:cs="Arial"/>
          <w:sz w:val="20"/>
          <w:szCs w:val="20"/>
        </w:rPr>
      </w:pPr>
      <w:r>
        <w:rPr>
          <w:rFonts w:ascii="Arial" w:hAnsi="Arial" w:cs="Arial"/>
          <w:sz w:val="20"/>
          <w:szCs w:val="20"/>
        </w:rPr>
        <w:t xml:space="preserve">[23] </w:t>
      </w:r>
      <w:r w:rsidRPr="00FB4A40">
        <w:rPr>
          <w:rFonts w:ascii="Arial" w:hAnsi="Arial" w:cs="Arial"/>
          <w:sz w:val="20"/>
          <w:szCs w:val="20"/>
        </w:rPr>
        <w:t>“It cannot be doubted that, in deciding to meet privately with TB</w:t>
      </w:r>
      <w:r w:rsidR="00BF24E8">
        <w:rPr>
          <w:rFonts w:ascii="Arial" w:hAnsi="Arial" w:cs="Arial"/>
          <w:sz w:val="20"/>
          <w:szCs w:val="20"/>
        </w:rPr>
        <w:t xml:space="preserve"> [albeit </w:t>
      </w:r>
      <w:r w:rsidR="001C7A54">
        <w:rPr>
          <w:rFonts w:ascii="Arial" w:hAnsi="Arial" w:cs="Arial"/>
          <w:sz w:val="20"/>
          <w:szCs w:val="20"/>
        </w:rPr>
        <w:t xml:space="preserve">apparently </w:t>
      </w:r>
      <w:r w:rsidR="00BF24E8">
        <w:rPr>
          <w:rFonts w:ascii="Arial" w:hAnsi="Arial" w:cs="Arial"/>
          <w:sz w:val="20"/>
          <w:szCs w:val="20"/>
        </w:rPr>
        <w:t>in the presence of the intermediary]</w:t>
      </w:r>
      <w:r w:rsidRPr="00FB4A40">
        <w:rPr>
          <w:rFonts w:ascii="Arial" w:hAnsi="Arial" w:cs="Arial"/>
          <w:sz w:val="20"/>
          <w:szCs w:val="20"/>
        </w:rPr>
        <w:t xml:space="preserve">, the judge in the present case was also motivated by consideration for a youthful witness. But as was the case in </w:t>
      </w:r>
      <w:r w:rsidR="00FB4A40" w:rsidRPr="00FB4A40">
        <w:rPr>
          <w:rFonts w:ascii="Arial" w:hAnsi="Arial" w:cs="Arial"/>
          <w:i/>
          <w:iCs/>
          <w:sz w:val="20"/>
          <w:szCs w:val="20"/>
        </w:rPr>
        <w:t xml:space="preserve">R v </w:t>
      </w:r>
      <w:r w:rsidRPr="00FB4A40">
        <w:rPr>
          <w:rFonts w:ascii="Arial" w:hAnsi="Arial" w:cs="Arial"/>
          <w:i/>
          <w:iCs/>
          <w:sz w:val="20"/>
          <w:szCs w:val="20"/>
        </w:rPr>
        <w:t>Dunne</w:t>
      </w:r>
      <w:r w:rsidRPr="00FB4A40">
        <w:rPr>
          <w:rFonts w:ascii="Arial" w:hAnsi="Arial" w:cs="Arial"/>
          <w:sz w:val="20"/>
          <w:szCs w:val="20"/>
        </w:rPr>
        <w:t>, ‘something was said to or by this witness which was not in the hearing or presence of the jury or of the accused’</w:t>
      </w:r>
      <w:r w:rsidR="001C7A54">
        <w:rPr>
          <w:rFonts w:ascii="Arial" w:hAnsi="Arial" w:cs="Arial"/>
          <w:sz w:val="20"/>
          <w:szCs w:val="20"/>
        </w:rPr>
        <w:t xml:space="preserve">: see </w:t>
      </w:r>
      <w:r w:rsidR="001C7A54" w:rsidRPr="00FB4A40">
        <w:rPr>
          <w:rFonts w:ascii="Arial" w:hAnsi="Arial" w:cs="Arial"/>
          <w:sz w:val="20"/>
          <w:szCs w:val="20"/>
        </w:rPr>
        <w:t>(1929) 21 Cr App R 176</w:t>
      </w:r>
      <w:r w:rsidR="001C7A54">
        <w:rPr>
          <w:rFonts w:ascii="Arial" w:hAnsi="Arial" w:cs="Arial"/>
          <w:sz w:val="20"/>
          <w:szCs w:val="20"/>
        </w:rPr>
        <w:t>, 178</w:t>
      </w:r>
      <w:r w:rsidRPr="00FB4A40">
        <w:rPr>
          <w:rFonts w:ascii="Arial" w:hAnsi="Arial" w:cs="Arial"/>
          <w:sz w:val="20"/>
          <w:szCs w:val="20"/>
        </w:rPr>
        <w:t>.”</w:t>
      </w:r>
    </w:p>
    <w:p w14:paraId="323B66A2" w14:textId="68741B1A" w:rsidR="00BF24E8" w:rsidRDefault="00BF24E8" w:rsidP="00B72F2B">
      <w:pPr>
        <w:spacing w:before="80"/>
        <w:ind w:left="567" w:right="567"/>
        <w:jc w:val="both"/>
        <w:rPr>
          <w:rFonts w:ascii="Arial" w:hAnsi="Arial" w:cs="Arial"/>
          <w:sz w:val="20"/>
          <w:szCs w:val="20"/>
        </w:rPr>
      </w:pPr>
      <w:r>
        <w:rPr>
          <w:rFonts w:ascii="Arial" w:hAnsi="Arial" w:cs="Arial"/>
          <w:sz w:val="20"/>
          <w:szCs w:val="20"/>
        </w:rPr>
        <w:t xml:space="preserve">[27] </w:t>
      </w:r>
      <w:r w:rsidR="001C7A54">
        <w:rPr>
          <w:rFonts w:ascii="Arial" w:hAnsi="Arial" w:cs="Arial"/>
          <w:sz w:val="20"/>
          <w:szCs w:val="20"/>
        </w:rPr>
        <w:t>“</w:t>
      </w:r>
      <w:r w:rsidRPr="006461A4">
        <w:rPr>
          <w:rFonts w:ascii="Arial" w:hAnsi="Arial" w:cs="Arial"/>
          <w:sz w:val="20"/>
          <w:szCs w:val="20"/>
        </w:rPr>
        <w:t>Senior counsel for the applicant accepted that ‘the judge … was concerned that [TB] needed to have his anxiety ameliorated’. That did not justify a private meeting. Counsel submitted that the judge could have invited the complainant into the courtroom in an informal manner prior to the hearing; he could have come down off the bench; he could have talked to the complainant in the presence of counsel; and he could have removed his robes if he wanted to make the complainant feel more comfortable. But he ‘should not have met the complainant in the absence of the parties’.</w:t>
      </w:r>
      <w:r>
        <w:rPr>
          <w:rFonts w:ascii="Arial" w:hAnsi="Arial" w:cs="Arial"/>
          <w:sz w:val="20"/>
          <w:szCs w:val="20"/>
        </w:rPr>
        <w:t>”</w:t>
      </w:r>
    </w:p>
    <w:p w14:paraId="45D1B59B" w14:textId="77393B6F" w:rsidR="00BF24E8" w:rsidRDefault="00BF24E8" w:rsidP="00B72F2B">
      <w:pPr>
        <w:spacing w:before="80"/>
        <w:ind w:left="567" w:right="567"/>
        <w:jc w:val="both"/>
        <w:rPr>
          <w:rFonts w:ascii="Arial" w:hAnsi="Arial" w:cs="Arial"/>
          <w:sz w:val="20"/>
          <w:szCs w:val="20"/>
        </w:rPr>
      </w:pPr>
      <w:r>
        <w:rPr>
          <w:rFonts w:ascii="Arial" w:hAnsi="Arial" w:cs="Arial"/>
          <w:sz w:val="20"/>
          <w:szCs w:val="20"/>
        </w:rPr>
        <w:t>[28] “</w:t>
      </w:r>
      <w:r w:rsidRPr="006461A4">
        <w:rPr>
          <w:rFonts w:ascii="Arial" w:hAnsi="Arial" w:cs="Arial"/>
          <w:sz w:val="20"/>
          <w:szCs w:val="20"/>
        </w:rPr>
        <w:t>That the administration of justice must not take place behind closed doors is axiomatic. The principle of open justice requires court proceedings to be held in public; or, in cases where exceptions to that general rule are tolerated — such as in cases of alleged sexual offending — to be otherwise open to scrutiny. Self-evidently, open justice promotes the rule of law and militates against the erosion of public confidence in the administration of justice. Open justice promotes the fair conduct of curial proceedings and the impartiality of judges. When justice is administered in private, the fairness of the process, and the impartiality of the judge, are brought into question.</w:t>
      </w:r>
      <w:r>
        <w:rPr>
          <w:rFonts w:ascii="Arial" w:hAnsi="Arial" w:cs="Arial"/>
          <w:sz w:val="20"/>
          <w:szCs w:val="20"/>
        </w:rPr>
        <w:t>”</w:t>
      </w:r>
    </w:p>
    <w:p w14:paraId="223ADC2E" w14:textId="7FE5D0D8" w:rsidR="00BF24E8" w:rsidRDefault="00BF24E8" w:rsidP="00B72F2B">
      <w:pPr>
        <w:spacing w:before="80"/>
        <w:ind w:left="567" w:right="567"/>
        <w:jc w:val="both"/>
        <w:rPr>
          <w:rFonts w:ascii="Arial" w:hAnsi="Arial" w:cs="Arial"/>
          <w:sz w:val="20"/>
          <w:szCs w:val="20"/>
        </w:rPr>
      </w:pPr>
      <w:r>
        <w:rPr>
          <w:rFonts w:ascii="Arial" w:hAnsi="Arial" w:cs="Arial"/>
          <w:sz w:val="20"/>
          <w:szCs w:val="20"/>
        </w:rPr>
        <w:t xml:space="preserve">[29] </w:t>
      </w:r>
      <w:r w:rsidR="001C7A54">
        <w:rPr>
          <w:rFonts w:ascii="Arial" w:hAnsi="Arial" w:cs="Arial"/>
          <w:sz w:val="20"/>
          <w:szCs w:val="20"/>
        </w:rPr>
        <w:t>“</w:t>
      </w:r>
      <w:r w:rsidRPr="006461A4">
        <w:rPr>
          <w:rFonts w:ascii="Arial" w:hAnsi="Arial" w:cs="Arial"/>
          <w:sz w:val="20"/>
          <w:szCs w:val="20"/>
        </w:rPr>
        <w:t xml:space="preserve">As Mason J observed in </w:t>
      </w:r>
      <w:r w:rsidRPr="001C7A54">
        <w:rPr>
          <w:rFonts w:ascii="Arial" w:hAnsi="Arial" w:cs="Arial"/>
          <w:i/>
          <w:iCs/>
          <w:sz w:val="20"/>
          <w:szCs w:val="20"/>
        </w:rPr>
        <w:t xml:space="preserve">Re JRL; Ex </w:t>
      </w:r>
      <w:proofErr w:type="spellStart"/>
      <w:r w:rsidRPr="001C7A54">
        <w:rPr>
          <w:rFonts w:ascii="Arial" w:hAnsi="Arial" w:cs="Arial"/>
          <w:i/>
          <w:iCs/>
          <w:sz w:val="20"/>
          <w:szCs w:val="20"/>
        </w:rPr>
        <w:t>parte</w:t>
      </w:r>
      <w:proofErr w:type="spellEnd"/>
      <w:r w:rsidRPr="001C7A54">
        <w:rPr>
          <w:rFonts w:ascii="Arial" w:hAnsi="Arial" w:cs="Arial"/>
          <w:i/>
          <w:iCs/>
          <w:sz w:val="20"/>
          <w:szCs w:val="20"/>
        </w:rPr>
        <w:t xml:space="preserve"> CJL</w:t>
      </w:r>
      <w:r>
        <w:rPr>
          <w:rFonts w:ascii="Arial" w:hAnsi="Arial" w:cs="Arial"/>
          <w:sz w:val="20"/>
          <w:szCs w:val="20"/>
        </w:rPr>
        <w:t xml:space="preserve"> </w:t>
      </w:r>
      <w:r w:rsidR="001C7A54">
        <w:rPr>
          <w:rFonts w:ascii="Arial" w:hAnsi="Arial" w:cs="Arial"/>
          <w:sz w:val="20"/>
          <w:szCs w:val="20"/>
        </w:rPr>
        <w:t>(1986) 161 CLR 342, 350</w:t>
      </w:r>
      <w:r w:rsidRPr="006461A4">
        <w:rPr>
          <w:rFonts w:ascii="Arial" w:hAnsi="Arial" w:cs="Arial"/>
          <w:sz w:val="20"/>
          <w:szCs w:val="20"/>
        </w:rPr>
        <w:t xml:space="preserve">: </w:t>
      </w:r>
    </w:p>
    <w:p w14:paraId="5D3A57B6" w14:textId="1E3DC0A1" w:rsidR="00BF24E8" w:rsidRPr="00BF24E8" w:rsidRDefault="001C7A54" w:rsidP="00BF24E8">
      <w:pPr>
        <w:spacing w:before="60"/>
        <w:ind w:left="1021" w:right="1021"/>
        <w:jc w:val="both"/>
        <w:rPr>
          <w:rFonts w:ascii="Arial" w:hAnsi="Arial" w:cs="Arial"/>
          <w:sz w:val="18"/>
          <w:szCs w:val="22"/>
        </w:rPr>
      </w:pPr>
      <w:r>
        <w:rPr>
          <w:rFonts w:ascii="Arial" w:hAnsi="Arial" w:cs="Arial"/>
          <w:sz w:val="18"/>
          <w:szCs w:val="18"/>
        </w:rPr>
        <w:t>‘</w:t>
      </w:r>
      <w:r w:rsidR="00BF24E8" w:rsidRPr="00BF24E8">
        <w:rPr>
          <w:rFonts w:ascii="Arial" w:hAnsi="Arial" w:cs="Arial"/>
          <w:sz w:val="18"/>
          <w:szCs w:val="18"/>
        </w:rPr>
        <w:t>A central element in the system of justice administered by our courts is that it should be fair and this means that it must be open, impartial and even-handed. It is for this reason that one of the cardinal principles of the law is that a judge tries the case before him on the evidence and arguments presented before him in open court by the parties or their legal representatives and by reference to those matters alone, unless Parliament otherwise provides. It would be inconsistent with basic notions of fairness that a judge should take into account, or even receive, secret or private representations on behalf of a party or from a stranger with reference to a case which he has to decide.</w:t>
      </w:r>
      <w:r>
        <w:rPr>
          <w:rFonts w:ascii="Arial" w:hAnsi="Arial" w:cs="Arial"/>
          <w:sz w:val="18"/>
          <w:szCs w:val="18"/>
        </w:rPr>
        <w:t>’</w:t>
      </w:r>
    </w:p>
    <w:p w14:paraId="17A00972" w14:textId="2E89DEF0" w:rsidR="00BF24E8" w:rsidRDefault="00BF24E8" w:rsidP="00BF24E8">
      <w:pPr>
        <w:spacing w:before="60"/>
        <w:ind w:left="567" w:right="567"/>
        <w:jc w:val="both"/>
        <w:rPr>
          <w:rFonts w:ascii="Arial" w:hAnsi="Arial" w:cs="Arial"/>
          <w:sz w:val="20"/>
          <w:szCs w:val="20"/>
        </w:rPr>
      </w:pPr>
      <w:r>
        <w:rPr>
          <w:rFonts w:ascii="Arial" w:hAnsi="Arial" w:cs="Arial"/>
          <w:sz w:val="20"/>
          <w:szCs w:val="20"/>
        </w:rPr>
        <w:t xml:space="preserve">[30] </w:t>
      </w:r>
      <w:r w:rsidRPr="006461A4">
        <w:rPr>
          <w:rFonts w:ascii="Arial" w:hAnsi="Arial" w:cs="Arial"/>
          <w:sz w:val="20"/>
          <w:szCs w:val="20"/>
        </w:rPr>
        <w:t>Mason J also cited with approval</w:t>
      </w:r>
      <w:r w:rsidR="001C7A54">
        <w:rPr>
          <w:rFonts w:ascii="Arial" w:hAnsi="Arial" w:cs="Arial"/>
          <w:sz w:val="20"/>
          <w:szCs w:val="20"/>
        </w:rPr>
        <w:t xml:space="preserve"> at 350-1</w:t>
      </w:r>
      <w:r w:rsidRPr="006461A4">
        <w:rPr>
          <w:rFonts w:ascii="Arial" w:hAnsi="Arial" w:cs="Arial"/>
          <w:sz w:val="20"/>
          <w:szCs w:val="20"/>
        </w:rPr>
        <w:t xml:space="preserve"> the following observations of McInerney J in </w:t>
      </w:r>
      <w:r w:rsidRPr="00BF24E8">
        <w:rPr>
          <w:rFonts w:ascii="Arial" w:hAnsi="Arial" w:cs="Arial"/>
          <w:i/>
          <w:iCs/>
          <w:sz w:val="20"/>
          <w:szCs w:val="20"/>
        </w:rPr>
        <w:t xml:space="preserve">R v Magistrates’ Court at Lilydale; Ex </w:t>
      </w:r>
      <w:proofErr w:type="spellStart"/>
      <w:r w:rsidRPr="00BF24E8">
        <w:rPr>
          <w:rFonts w:ascii="Arial" w:hAnsi="Arial" w:cs="Arial"/>
          <w:i/>
          <w:iCs/>
          <w:sz w:val="20"/>
          <w:szCs w:val="20"/>
        </w:rPr>
        <w:t>parte</w:t>
      </w:r>
      <w:proofErr w:type="spellEnd"/>
      <w:r w:rsidRPr="00BF24E8">
        <w:rPr>
          <w:rFonts w:ascii="Arial" w:hAnsi="Arial" w:cs="Arial"/>
          <w:i/>
          <w:iCs/>
          <w:sz w:val="20"/>
          <w:szCs w:val="20"/>
        </w:rPr>
        <w:t xml:space="preserve"> Ciccone</w:t>
      </w:r>
      <w:r w:rsidRPr="00BF24E8">
        <w:rPr>
          <w:rFonts w:ascii="Arial" w:hAnsi="Arial" w:cs="Arial"/>
          <w:sz w:val="20"/>
          <w:szCs w:val="20"/>
        </w:rPr>
        <w:t xml:space="preserve"> </w:t>
      </w:r>
      <w:r w:rsidR="001C7A54">
        <w:rPr>
          <w:rFonts w:ascii="Arial" w:hAnsi="Arial" w:cs="Arial"/>
          <w:sz w:val="20"/>
          <w:szCs w:val="20"/>
        </w:rPr>
        <w:t>[1973] VR 122, 127</w:t>
      </w:r>
      <w:r w:rsidRPr="006461A4">
        <w:rPr>
          <w:rFonts w:ascii="Arial" w:hAnsi="Arial" w:cs="Arial"/>
          <w:sz w:val="20"/>
          <w:szCs w:val="20"/>
        </w:rPr>
        <w:t>:</w:t>
      </w:r>
    </w:p>
    <w:p w14:paraId="3970F2F1" w14:textId="30728CC7" w:rsidR="00BF24E8" w:rsidRPr="00BF24E8" w:rsidRDefault="001C7A54" w:rsidP="00BF24E8">
      <w:pPr>
        <w:spacing w:before="60"/>
        <w:ind w:left="1021" w:right="1021"/>
        <w:jc w:val="both"/>
        <w:rPr>
          <w:rFonts w:ascii="Arial" w:hAnsi="Arial" w:cs="Arial"/>
          <w:sz w:val="18"/>
          <w:szCs w:val="22"/>
        </w:rPr>
      </w:pPr>
      <w:r>
        <w:rPr>
          <w:rFonts w:ascii="Arial" w:hAnsi="Arial" w:cs="Arial"/>
          <w:sz w:val="18"/>
          <w:szCs w:val="18"/>
        </w:rPr>
        <w:t>‘</w:t>
      </w:r>
      <w:r w:rsidR="00BF24E8" w:rsidRPr="00BF24E8">
        <w:rPr>
          <w:rFonts w:ascii="Arial" w:hAnsi="Arial" w:cs="Arial"/>
          <w:sz w:val="18"/>
          <w:szCs w:val="18"/>
        </w:rPr>
        <w:t>The sound instinct of the legal profession – judges and practitioners alike – has always been that, save in the most exceptional cases, there should be no communication or association between the judge and one of the parties (or the legal advisers or witnesses of such a party), otherwise than in the presence of or with the previous knowledge and consent of the other party. Once the case is under way, or about to get under way, the judicial officer keeps aloof from the parties (and from their legal advisers and witnesses) and neither he nor they should so act as to expose the judicial officer to a suspicion of having had communications with one party behind the back of or without the previous</w:t>
      </w:r>
      <w:r>
        <w:rPr>
          <w:rFonts w:ascii="Arial" w:hAnsi="Arial" w:cs="Arial"/>
          <w:sz w:val="18"/>
          <w:szCs w:val="18"/>
        </w:rPr>
        <w:t xml:space="preserve"> knowledge and consent of the other party.  For if something is done which forms a reasonable basis for such suspicion, confidence in the impartiality of the judicial officer is undermined.’</w:t>
      </w:r>
    </w:p>
    <w:p w14:paraId="3C5E5EE2" w14:textId="133574CF" w:rsidR="001C7A54" w:rsidRDefault="001C7A54" w:rsidP="00BF24E8">
      <w:pPr>
        <w:spacing w:before="60"/>
        <w:ind w:left="567" w:right="567"/>
        <w:jc w:val="both"/>
        <w:rPr>
          <w:rFonts w:ascii="Arial" w:hAnsi="Arial" w:cs="Arial"/>
          <w:sz w:val="20"/>
          <w:szCs w:val="20"/>
        </w:rPr>
      </w:pPr>
      <w:r w:rsidRPr="006461A4">
        <w:rPr>
          <w:rFonts w:ascii="Arial" w:hAnsi="Arial" w:cs="Arial"/>
          <w:sz w:val="20"/>
          <w:szCs w:val="20"/>
        </w:rPr>
        <w:t xml:space="preserve">See also </w:t>
      </w:r>
      <w:proofErr w:type="spellStart"/>
      <w:r w:rsidRPr="00B72F2B">
        <w:rPr>
          <w:rFonts w:ascii="Arial" w:hAnsi="Arial" w:cs="Arial"/>
          <w:i/>
          <w:iCs/>
          <w:sz w:val="20"/>
          <w:szCs w:val="20"/>
        </w:rPr>
        <w:t>Charisteas</w:t>
      </w:r>
      <w:proofErr w:type="spellEnd"/>
      <w:r w:rsidRPr="00B72F2B">
        <w:rPr>
          <w:rFonts w:ascii="Arial" w:hAnsi="Arial" w:cs="Arial"/>
          <w:i/>
          <w:iCs/>
          <w:sz w:val="20"/>
          <w:szCs w:val="20"/>
        </w:rPr>
        <w:t xml:space="preserve"> v </w:t>
      </w:r>
      <w:proofErr w:type="spellStart"/>
      <w:r w:rsidRPr="00B72F2B">
        <w:rPr>
          <w:rFonts w:ascii="Arial" w:hAnsi="Arial" w:cs="Arial"/>
          <w:i/>
          <w:iCs/>
          <w:sz w:val="20"/>
          <w:szCs w:val="20"/>
        </w:rPr>
        <w:t>Charisteas</w:t>
      </w:r>
      <w:proofErr w:type="spellEnd"/>
      <w:r w:rsidRPr="006461A4">
        <w:rPr>
          <w:rFonts w:ascii="Arial" w:hAnsi="Arial" w:cs="Arial"/>
          <w:sz w:val="20"/>
          <w:szCs w:val="20"/>
        </w:rPr>
        <w:t xml:space="preserve"> (2021) 273 CLR 289, 297 [13]; </w:t>
      </w:r>
      <w:r w:rsidRPr="00B72F2B">
        <w:rPr>
          <w:rFonts w:ascii="Arial" w:hAnsi="Arial" w:cs="Arial"/>
          <w:i/>
          <w:iCs/>
          <w:sz w:val="20"/>
          <w:szCs w:val="20"/>
        </w:rPr>
        <w:t>Assistant Commissioner Condon v Pompano Pty Ltd</w:t>
      </w:r>
      <w:r w:rsidRPr="006461A4">
        <w:rPr>
          <w:rFonts w:ascii="Arial" w:hAnsi="Arial" w:cs="Arial"/>
          <w:sz w:val="20"/>
          <w:szCs w:val="20"/>
        </w:rPr>
        <w:t xml:space="preserve"> (2013) 252 CLR 38, 107 [186]</w:t>
      </w:r>
      <w:r w:rsidR="00B72F2B">
        <w:rPr>
          <w:rFonts w:ascii="Arial" w:hAnsi="Arial" w:cs="Arial"/>
          <w:sz w:val="20"/>
          <w:szCs w:val="20"/>
        </w:rPr>
        <w:t>.”</w:t>
      </w:r>
    </w:p>
    <w:p w14:paraId="2F5E18CE" w14:textId="7C1CAEB3" w:rsidR="00BF24E8" w:rsidRDefault="00BF24E8" w:rsidP="00B72F2B">
      <w:pPr>
        <w:spacing w:before="80"/>
        <w:ind w:left="567" w:right="567"/>
        <w:jc w:val="both"/>
        <w:rPr>
          <w:rFonts w:ascii="Arial" w:hAnsi="Arial" w:cs="Arial"/>
          <w:sz w:val="20"/>
          <w:szCs w:val="20"/>
        </w:rPr>
      </w:pPr>
      <w:r>
        <w:rPr>
          <w:rFonts w:ascii="Arial" w:hAnsi="Arial" w:cs="Arial"/>
          <w:sz w:val="20"/>
          <w:szCs w:val="20"/>
        </w:rPr>
        <w:t>[32] “</w:t>
      </w:r>
      <w:r w:rsidRPr="006461A4">
        <w:rPr>
          <w:rFonts w:ascii="Arial" w:hAnsi="Arial" w:cs="Arial"/>
          <w:sz w:val="20"/>
          <w:szCs w:val="20"/>
        </w:rPr>
        <w:t>There is no evidence in the present case that TB said anything to the judge that in fact had the capacity to compromise the judge’s conduct of the case. But that is not to the point. It is the suspicion of partiality which is aroused by the judge meeting privately with a witness which is important.</w:t>
      </w:r>
      <w:r>
        <w:rPr>
          <w:rFonts w:ascii="Arial" w:hAnsi="Arial" w:cs="Arial"/>
          <w:sz w:val="20"/>
          <w:szCs w:val="20"/>
        </w:rPr>
        <w:t>”</w:t>
      </w:r>
    </w:p>
    <w:p w14:paraId="736715F7" w14:textId="7E9561CE" w:rsidR="00B72F2B" w:rsidRDefault="00B72F2B" w:rsidP="00B72F2B">
      <w:pPr>
        <w:spacing w:before="80"/>
        <w:ind w:left="567" w:right="567"/>
        <w:jc w:val="both"/>
        <w:rPr>
          <w:rFonts w:ascii="Arial" w:hAnsi="Arial" w:cs="Arial"/>
          <w:sz w:val="20"/>
          <w:szCs w:val="20"/>
        </w:rPr>
      </w:pPr>
      <w:r>
        <w:rPr>
          <w:rFonts w:ascii="Arial" w:hAnsi="Arial" w:cs="Arial"/>
          <w:sz w:val="20"/>
          <w:szCs w:val="20"/>
        </w:rPr>
        <w:lastRenderedPageBreak/>
        <w:t>[33] “</w:t>
      </w:r>
      <w:r w:rsidRPr="006461A4">
        <w:rPr>
          <w:rFonts w:ascii="Arial" w:hAnsi="Arial" w:cs="Arial"/>
          <w:sz w:val="20"/>
          <w:szCs w:val="20"/>
        </w:rPr>
        <w:t>We note that some of the authorities appear to contemplate that a judge may meet privately with a party, their legal adviser or a witness ‘with the previous knowledge and consent of the other party’. There will undoubtedly be circumstances where that is so; a judge attending a function at which counsel for a party is attending, with the knowledge and consent of the other party, provides an example of such circumstances. But we do not consider that the ‘previous knowledge and consent’ of the applicant in this case is such as to mean that there is no apprehension of partiality raised by the judge meeting privately with the principal witness for the prosecution.</w:t>
      </w:r>
      <w:r>
        <w:rPr>
          <w:rFonts w:ascii="Arial" w:hAnsi="Arial" w:cs="Arial"/>
          <w:sz w:val="20"/>
          <w:szCs w:val="20"/>
        </w:rPr>
        <w:t>”</w:t>
      </w:r>
    </w:p>
    <w:p w14:paraId="1E7CC9F6" w14:textId="2757920A" w:rsidR="006461A4" w:rsidRDefault="006461A4" w:rsidP="006461A4">
      <w:pPr>
        <w:widowControl w:val="0"/>
        <w:jc w:val="both"/>
        <w:rPr>
          <w:rFonts w:ascii="Arial" w:hAnsi="Arial" w:cs="Arial"/>
          <w:sz w:val="20"/>
        </w:rPr>
      </w:pPr>
      <w:bookmarkStart w:id="435" w:name="_Hlk152332694"/>
    </w:p>
    <w:p w14:paraId="658A5F33" w14:textId="46945673" w:rsidR="00AA15AD" w:rsidRPr="00A3571D" w:rsidRDefault="00AA15AD" w:rsidP="006461A4">
      <w:pPr>
        <w:widowControl w:val="0"/>
        <w:jc w:val="both"/>
        <w:rPr>
          <w:rFonts w:ascii="Arial" w:hAnsi="Arial" w:cs="Arial"/>
          <w:sz w:val="20"/>
          <w:szCs w:val="20"/>
        </w:rPr>
      </w:pPr>
      <w:r>
        <w:rPr>
          <w:rFonts w:ascii="Arial" w:hAnsi="Arial" w:cs="Arial"/>
          <w:sz w:val="20"/>
        </w:rPr>
        <w:t xml:space="preserve">In </w:t>
      </w:r>
      <w:bookmarkStart w:id="436" w:name="_Hlk152333029"/>
      <w:r w:rsidRPr="00016A6C">
        <w:rPr>
          <w:rFonts w:ascii="Arial" w:hAnsi="Arial" w:cs="Arial"/>
          <w:b/>
          <w:bCs/>
          <w:i/>
          <w:iCs/>
          <w:sz w:val="20"/>
        </w:rPr>
        <w:t>DPP v Smith</w:t>
      </w:r>
      <w:r w:rsidRPr="00016A6C">
        <w:rPr>
          <w:rFonts w:ascii="Arial" w:hAnsi="Arial" w:cs="Arial"/>
          <w:b/>
          <w:bCs/>
          <w:sz w:val="20"/>
        </w:rPr>
        <w:t xml:space="preserve"> [2023] VSCA 293</w:t>
      </w:r>
      <w:bookmarkEnd w:id="436"/>
      <w:r>
        <w:rPr>
          <w:rFonts w:ascii="Arial" w:hAnsi="Arial" w:cs="Arial"/>
          <w:sz w:val="20"/>
        </w:rPr>
        <w:t xml:space="preserve"> the judge </w:t>
      </w:r>
      <w:r w:rsidR="006E4A3F">
        <w:rPr>
          <w:rFonts w:ascii="Arial" w:hAnsi="Arial" w:cs="Arial"/>
          <w:sz w:val="20"/>
        </w:rPr>
        <w:t xml:space="preserve">had </w:t>
      </w:r>
      <w:r>
        <w:rPr>
          <w:rFonts w:ascii="Arial" w:hAnsi="Arial" w:cs="Arial"/>
          <w:sz w:val="20"/>
        </w:rPr>
        <w:t xml:space="preserve">met privately with a child complainant in the </w:t>
      </w:r>
      <w:r w:rsidR="00A42763">
        <w:rPr>
          <w:rFonts w:ascii="Arial" w:hAnsi="Arial" w:cs="Arial"/>
          <w:sz w:val="20"/>
        </w:rPr>
        <w:t xml:space="preserve">presence of </w:t>
      </w:r>
      <w:r w:rsidR="0051799D">
        <w:rPr>
          <w:rFonts w:ascii="Arial" w:hAnsi="Arial" w:cs="Arial"/>
          <w:sz w:val="20"/>
        </w:rPr>
        <w:t>counsel for both the accused and the prosecution</w:t>
      </w:r>
      <w:r w:rsidR="00116847">
        <w:rPr>
          <w:rFonts w:ascii="Arial" w:hAnsi="Arial" w:cs="Arial"/>
          <w:sz w:val="20"/>
        </w:rPr>
        <w:t xml:space="preserve"> and </w:t>
      </w:r>
      <w:r w:rsidR="00116847" w:rsidRPr="00116847">
        <w:rPr>
          <w:rFonts w:ascii="Arial" w:hAnsi="Arial" w:cs="Arial"/>
          <w:sz w:val="20"/>
        </w:rPr>
        <w:t>an instructing solicitor for the prosecution</w:t>
      </w:r>
      <w:r w:rsidR="00116847">
        <w:rPr>
          <w:rFonts w:ascii="Arial" w:hAnsi="Arial" w:cs="Arial"/>
          <w:sz w:val="20"/>
        </w:rPr>
        <w:t xml:space="preserve">. </w:t>
      </w:r>
      <w:r>
        <w:rPr>
          <w:rFonts w:ascii="Arial" w:hAnsi="Arial" w:cs="Arial"/>
          <w:sz w:val="20"/>
        </w:rPr>
        <w:t>The</w:t>
      </w:r>
      <w:r w:rsidR="006E4A3F">
        <w:rPr>
          <w:rFonts w:ascii="Arial" w:hAnsi="Arial" w:cs="Arial"/>
          <w:sz w:val="20"/>
        </w:rPr>
        <w:t> </w:t>
      </w:r>
      <w:r>
        <w:rPr>
          <w:rFonts w:ascii="Arial" w:hAnsi="Arial" w:cs="Arial"/>
          <w:sz w:val="20"/>
        </w:rPr>
        <w:t>meeting was not recorded</w:t>
      </w:r>
      <w:r w:rsidR="002871E6">
        <w:rPr>
          <w:rFonts w:ascii="Arial" w:hAnsi="Arial" w:cs="Arial"/>
          <w:sz w:val="20"/>
        </w:rPr>
        <w:t xml:space="preserve"> and the accused was not present</w:t>
      </w:r>
      <w:r>
        <w:rPr>
          <w:rFonts w:ascii="Arial" w:hAnsi="Arial" w:cs="Arial"/>
          <w:sz w:val="20"/>
        </w:rPr>
        <w:t xml:space="preserve">.  There had been no objections from counsel to the meeting. </w:t>
      </w:r>
      <w:r w:rsidR="00D55BDF">
        <w:rPr>
          <w:rFonts w:ascii="Arial" w:hAnsi="Arial" w:cs="Arial"/>
          <w:sz w:val="20"/>
        </w:rPr>
        <w:t xml:space="preserve">Indeed, such a meeting was commonplace in County Court trials, it being approved in the “Multi-jurisdictional Court Guidelines for Ground Rules and the Intermediary Program”.  </w:t>
      </w:r>
      <w:r>
        <w:rPr>
          <w:rFonts w:ascii="Arial" w:hAnsi="Arial" w:cs="Arial"/>
          <w:sz w:val="20"/>
        </w:rPr>
        <w:t xml:space="preserve">The Court of Appeal (Emerton P, Priest &amp; Macaulay JJA) held that the meeting </w:t>
      </w:r>
      <w:r w:rsidRPr="00A3571D">
        <w:rPr>
          <w:rFonts w:ascii="Arial" w:hAnsi="Arial" w:cs="Arial"/>
          <w:sz w:val="20"/>
          <w:szCs w:val="20"/>
        </w:rPr>
        <w:t>represented a fundamental irregularity in the trial process</w:t>
      </w:r>
      <w:r w:rsidR="00A3571D" w:rsidRPr="00A3571D">
        <w:rPr>
          <w:rFonts w:ascii="Arial" w:hAnsi="Arial" w:cs="Arial"/>
          <w:sz w:val="20"/>
          <w:szCs w:val="20"/>
        </w:rPr>
        <w:t xml:space="preserve"> and that the only remedy was for the evidence of the complainant to be taken at a further special hearing conducted before a different judge</w:t>
      </w:r>
      <w:r w:rsidRPr="00A3571D">
        <w:rPr>
          <w:rFonts w:ascii="Arial" w:hAnsi="Arial" w:cs="Arial"/>
          <w:sz w:val="20"/>
          <w:szCs w:val="20"/>
        </w:rPr>
        <w:t>.</w:t>
      </w:r>
    </w:p>
    <w:p w14:paraId="655757EB" w14:textId="25532B48" w:rsidR="00AA15AD" w:rsidRDefault="00AA15AD" w:rsidP="00AA15AD">
      <w:pPr>
        <w:widowControl w:val="0"/>
        <w:spacing w:before="120"/>
        <w:jc w:val="both"/>
        <w:rPr>
          <w:rFonts w:ascii="Arial" w:hAnsi="Arial" w:cs="Arial"/>
          <w:sz w:val="20"/>
        </w:rPr>
      </w:pPr>
      <w:r>
        <w:rPr>
          <w:rFonts w:ascii="Arial" w:hAnsi="Arial" w:cs="Arial"/>
          <w:sz w:val="20"/>
        </w:rPr>
        <w:t>At [4]-[</w:t>
      </w:r>
      <w:r w:rsidR="00306354">
        <w:rPr>
          <w:rFonts w:ascii="Arial" w:hAnsi="Arial" w:cs="Arial"/>
          <w:sz w:val="20"/>
        </w:rPr>
        <w:t>7</w:t>
      </w:r>
      <w:r>
        <w:rPr>
          <w:rFonts w:ascii="Arial" w:hAnsi="Arial" w:cs="Arial"/>
          <w:sz w:val="20"/>
        </w:rPr>
        <w:t>] &amp; [10] Emerton P said:</w:t>
      </w:r>
    </w:p>
    <w:p w14:paraId="2CEFB5A3" w14:textId="2A45160B" w:rsidR="00AA15AD" w:rsidRDefault="00AA15AD" w:rsidP="00AA15AD">
      <w:pPr>
        <w:spacing w:before="80"/>
        <w:ind w:left="567" w:right="567"/>
        <w:jc w:val="both"/>
        <w:rPr>
          <w:rFonts w:ascii="Arial" w:hAnsi="Arial" w:cs="Arial"/>
          <w:sz w:val="20"/>
          <w:szCs w:val="20"/>
        </w:rPr>
      </w:pPr>
      <w:r>
        <w:rPr>
          <w:rFonts w:ascii="Arial" w:hAnsi="Arial" w:cs="Arial"/>
          <w:sz w:val="20"/>
          <w:szCs w:val="20"/>
        </w:rPr>
        <w:t xml:space="preserve">[4] “In submissions before us, there was no challenge to the Court’s reasoning in </w:t>
      </w:r>
      <w:r w:rsidRPr="006461A4">
        <w:rPr>
          <w:rFonts w:ascii="Arial" w:hAnsi="Arial" w:cs="Arial"/>
          <w:i/>
          <w:iCs/>
          <w:sz w:val="20"/>
        </w:rPr>
        <w:t>Ramsay Alec (a pseudonym) v The King</w:t>
      </w:r>
      <w:r>
        <w:rPr>
          <w:rFonts w:ascii="Arial" w:hAnsi="Arial" w:cs="Arial"/>
          <w:sz w:val="20"/>
        </w:rPr>
        <w:t xml:space="preserve"> [2023] VSCA 208</w:t>
      </w:r>
      <w:r>
        <w:rPr>
          <w:rFonts w:ascii="Arial" w:hAnsi="Arial" w:cs="Arial"/>
          <w:sz w:val="20"/>
          <w:szCs w:val="20"/>
        </w:rPr>
        <w:t xml:space="preserve">.  </w:t>
      </w:r>
      <w:r w:rsidRPr="00AA15AD">
        <w:rPr>
          <w:rFonts w:ascii="Arial" w:hAnsi="Arial" w:cs="Arial"/>
          <w:sz w:val="20"/>
          <w:szCs w:val="20"/>
        </w:rPr>
        <w:t>The question in this case is, in substance, whether the presence of counsel at the meeting with the witness makes any difference.</w:t>
      </w:r>
    </w:p>
    <w:p w14:paraId="0D1AD290" w14:textId="77777777"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r w:rsidRPr="00AA15AD">
        <w:rPr>
          <w:rFonts w:ascii="Arial" w:hAnsi="Arial" w:cs="Arial"/>
          <w:sz w:val="20"/>
          <w:szCs w:val="20"/>
        </w:rPr>
        <w:t>5</w:t>
      </w:r>
      <w:r>
        <w:rPr>
          <w:rFonts w:ascii="Arial" w:hAnsi="Arial" w:cs="Arial"/>
          <w:sz w:val="20"/>
          <w:szCs w:val="20"/>
        </w:rPr>
        <w:t>]</w:t>
      </w:r>
      <w:r w:rsidRPr="00AA15AD">
        <w:rPr>
          <w:rFonts w:ascii="Arial" w:hAnsi="Arial" w:cs="Arial"/>
          <w:sz w:val="20"/>
          <w:szCs w:val="20"/>
        </w:rPr>
        <w:t xml:space="preserve"> For the reasons given by Priest JA, I am not persuaded that the presence of counsel at the out-of-court meeting between judge and witness means that the reasoning and the principles articulated in </w:t>
      </w:r>
      <w:r w:rsidRPr="00AA15AD">
        <w:rPr>
          <w:rFonts w:ascii="Arial" w:hAnsi="Arial" w:cs="Arial"/>
          <w:i/>
          <w:iCs/>
          <w:sz w:val="20"/>
          <w:szCs w:val="20"/>
        </w:rPr>
        <w:t>Alec</w:t>
      </w:r>
      <w:r w:rsidRPr="00AA15AD">
        <w:rPr>
          <w:rFonts w:ascii="Arial" w:hAnsi="Arial" w:cs="Arial"/>
          <w:sz w:val="20"/>
          <w:szCs w:val="20"/>
        </w:rPr>
        <w:t xml:space="preserve"> do not apply.</w:t>
      </w:r>
    </w:p>
    <w:p w14:paraId="514B6875" w14:textId="3979F84B"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r w:rsidRPr="00AA15AD">
        <w:rPr>
          <w:rFonts w:ascii="Arial" w:hAnsi="Arial" w:cs="Arial"/>
          <w:sz w:val="20"/>
          <w:szCs w:val="20"/>
        </w:rPr>
        <w:t>6</w:t>
      </w:r>
      <w:r>
        <w:rPr>
          <w:rFonts w:ascii="Arial" w:hAnsi="Arial" w:cs="Arial"/>
          <w:sz w:val="20"/>
          <w:szCs w:val="20"/>
        </w:rPr>
        <w:t>]</w:t>
      </w:r>
      <w:r w:rsidRPr="00AA15AD">
        <w:rPr>
          <w:rFonts w:ascii="Arial" w:hAnsi="Arial" w:cs="Arial"/>
          <w:sz w:val="20"/>
          <w:szCs w:val="20"/>
        </w:rPr>
        <w:t xml:space="preserve"> It is a central tenet of the administration of criminal justice in this State that proceedings be conducted in open court and in the presence of the accused. The principle of open justice is reinforced by s 24(1) of the </w:t>
      </w:r>
      <w:r w:rsidRPr="00AA15AD">
        <w:rPr>
          <w:rFonts w:ascii="Arial" w:hAnsi="Arial" w:cs="Arial"/>
          <w:i/>
          <w:iCs/>
          <w:sz w:val="20"/>
          <w:szCs w:val="20"/>
        </w:rPr>
        <w:t>Charter of Human Rights and Responsibilities Act 2006</w:t>
      </w:r>
      <w:r w:rsidRPr="00AA15AD">
        <w:rPr>
          <w:rFonts w:ascii="Arial" w:hAnsi="Arial" w:cs="Arial"/>
          <w:sz w:val="20"/>
          <w:szCs w:val="20"/>
        </w:rPr>
        <w:t>, which provides that ‘[a] person charged with a criminal offence … has the right to have the charge … decided by a competent, independent and impartial court or tribunal after a fair and public hearing’.</w:t>
      </w:r>
      <w:r>
        <w:rPr>
          <w:rFonts w:ascii="Arial" w:hAnsi="Arial" w:cs="Arial"/>
          <w:sz w:val="20"/>
          <w:szCs w:val="20"/>
        </w:rPr>
        <w:t xml:space="preserve"> </w:t>
      </w:r>
      <w:r w:rsidRPr="00AA15AD">
        <w:rPr>
          <w:rFonts w:ascii="Arial" w:hAnsi="Arial" w:cs="Arial"/>
          <w:sz w:val="20"/>
          <w:szCs w:val="20"/>
        </w:rPr>
        <w:t xml:space="preserve"> The introduction of a statutory regime directed to ensuring that vulnerable witnesses are supported so as to be in a position to give their best evidence should not be taken to impinge on the principle of open justice unless a departure is permitted or endorsed by express statutory language or by clear implication from the language of the statute.</w:t>
      </w:r>
    </w:p>
    <w:p w14:paraId="17372DBD" w14:textId="6D39FAE8" w:rsidR="00306354" w:rsidRDefault="00306354" w:rsidP="00AA15AD">
      <w:pPr>
        <w:spacing w:before="80"/>
        <w:ind w:left="567" w:right="567"/>
        <w:jc w:val="both"/>
        <w:rPr>
          <w:rFonts w:ascii="Arial" w:hAnsi="Arial" w:cs="Arial"/>
          <w:sz w:val="20"/>
          <w:szCs w:val="20"/>
        </w:rPr>
      </w:pPr>
      <w:r>
        <w:rPr>
          <w:rFonts w:ascii="Arial" w:hAnsi="Arial" w:cs="Arial"/>
          <w:sz w:val="20"/>
          <w:szCs w:val="20"/>
        </w:rPr>
        <w:t xml:space="preserve">[7] </w:t>
      </w:r>
      <w:r w:rsidRPr="00306354">
        <w:rPr>
          <w:rFonts w:ascii="Arial" w:hAnsi="Arial" w:cs="Arial"/>
          <w:sz w:val="20"/>
          <w:szCs w:val="20"/>
        </w:rPr>
        <w:t xml:space="preserve">In this case, the complainant is a child, who is to be supported by an intermediary when giving evidence. There was a ‘ground rules hearing’ to enable orders to be made governing the questioning of the complainant at the special hearing which subsequently took place. The complainant had reported to the intermediary that she had ‘anxiety at a level higher than the baseline’ when thinking about giving evidence and that meeting new people was a particular trigger for increased anxiety. The judge sought to alleviate that anxiety by briefly meeting with the complainant to say ‘hello’. While the judge’s desire to ease the witness’s anxiety was understandable, and conformed with one of the measures suggested in the </w:t>
      </w:r>
      <w:r w:rsidRPr="00306354">
        <w:rPr>
          <w:rFonts w:ascii="Arial" w:hAnsi="Arial" w:cs="Arial"/>
          <w:i/>
          <w:iCs/>
          <w:sz w:val="20"/>
          <w:szCs w:val="20"/>
        </w:rPr>
        <w:t>Multi-Jurisdictional Court Guide for the Intermediary Pilot Program: Intermediaries and Ground Rules Hearing</w:t>
      </w:r>
      <w:r w:rsidRPr="00306354">
        <w:rPr>
          <w:rFonts w:ascii="Arial" w:hAnsi="Arial" w:cs="Arial"/>
          <w:sz w:val="20"/>
          <w:szCs w:val="20"/>
        </w:rPr>
        <w:t>, it was not, in my opinion, allowed. Apart from other issues — such as the lack of facilities to record what was said or done — the meeting necessarily took place in the absence of the accused. The accused had no choice but to stay away.</w:t>
      </w:r>
    </w:p>
    <w:p w14:paraId="2C77301E" w14:textId="2EB0E459"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p>
    <w:p w14:paraId="5334F09D" w14:textId="636ED549" w:rsidR="00AA15AD" w:rsidRPr="00AA15AD" w:rsidRDefault="00AA15AD" w:rsidP="00AA15AD">
      <w:pPr>
        <w:spacing w:before="80"/>
        <w:ind w:left="567" w:right="567"/>
        <w:jc w:val="both"/>
        <w:rPr>
          <w:rFonts w:ascii="Arial" w:hAnsi="Arial" w:cs="Arial"/>
          <w:sz w:val="20"/>
          <w:szCs w:val="20"/>
        </w:rPr>
      </w:pPr>
      <w:r w:rsidRPr="00AA15AD">
        <w:rPr>
          <w:rFonts w:ascii="Arial" w:hAnsi="Arial" w:cs="Arial"/>
          <w:sz w:val="20"/>
          <w:szCs w:val="20"/>
        </w:rPr>
        <w:t>[10] In my view, the CPA cannot be construed so as to permit a judge to leave the confines of the courtroom to speak privately to a witness, no matter how briefly and benignly, in the absence of the accused</w:t>
      </w:r>
      <w:r>
        <w:rPr>
          <w:rFonts w:ascii="Arial" w:hAnsi="Arial" w:cs="Arial"/>
          <w:sz w:val="20"/>
          <w:szCs w:val="20"/>
        </w:rPr>
        <w:t>.”</w:t>
      </w:r>
    </w:p>
    <w:p w14:paraId="0EA0EFAC" w14:textId="06BC7E3D" w:rsidR="00AA15AD" w:rsidRDefault="00AA15AD" w:rsidP="00AA15AD">
      <w:pPr>
        <w:widowControl w:val="0"/>
        <w:spacing w:before="120"/>
        <w:jc w:val="both"/>
        <w:rPr>
          <w:rFonts w:ascii="Arial" w:hAnsi="Arial" w:cs="Arial"/>
          <w:sz w:val="20"/>
        </w:rPr>
      </w:pPr>
      <w:r>
        <w:rPr>
          <w:rFonts w:ascii="Arial" w:hAnsi="Arial" w:cs="Arial"/>
          <w:sz w:val="20"/>
        </w:rPr>
        <w:t>At [</w:t>
      </w:r>
      <w:r w:rsidR="00866492">
        <w:rPr>
          <w:rFonts w:ascii="Arial" w:hAnsi="Arial" w:cs="Arial"/>
          <w:sz w:val="20"/>
        </w:rPr>
        <w:t>32</w:t>
      </w:r>
      <w:r>
        <w:rPr>
          <w:rFonts w:ascii="Arial" w:hAnsi="Arial" w:cs="Arial"/>
          <w:sz w:val="20"/>
        </w:rPr>
        <w:t>]</w:t>
      </w:r>
      <w:r w:rsidR="00866492">
        <w:rPr>
          <w:rFonts w:ascii="Arial" w:hAnsi="Arial" w:cs="Arial"/>
          <w:sz w:val="20"/>
        </w:rPr>
        <w:t>-[34]</w:t>
      </w:r>
      <w:r w:rsidR="009909EA">
        <w:rPr>
          <w:rFonts w:ascii="Arial" w:hAnsi="Arial" w:cs="Arial"/>
          <w:sz w:val="20"/>
        </w:rPr>
        <w:t>, [40]</w:t>
      </w:r>
      <w:r>
        <w:rPr>
          <w:rFonts w:ascii="Arial" w:hAnsi="Arial" w:cs="Arial"/>
          <w:sz w:val="20"/>
        </w:rPr>
        <w:t xml:space="preserve"> </w:t>
      </w:r>
      <w:r w:rsidR="00866492">
        <w:rPr>
          <w:rFonts w:ascii="Arial" w:hAnsi="Arial" w:cs="Arial"/>
          <w:sz w:val="20"/>
        </w:rPr>
        <w:t xml:space="preserve">&amp; [54] </w:t>
      </w:r>
      <w:r>
        <w:rPr>
          <w:rFonts w:ascii="Arial" w:hAnsi="Arial" w:cs="Arial"/>
          <w:sz w:val="20"/>
        </w:rPr>
        <w:t>Priest JA said:</w:t>
      </w:r>
    </w:p>
    <w:p w14:paraId="4E54B698" w14:textId="77777777" w:rsidR="00866492" w:rsidRDefault="00AA15AD" w:rsidP="00AA15AD">
      <w:pPr>
        <w:spacing w:before="80"/>
        <w:ind w:left="567" w:right="567"/>
        <w:jc w:val="both"/>
        <w:rPr>
          <w:rFonts w:ascii="Arial" w:hAnsi="Arial" w:cs="Arial"/>
          <w:sz w:val="20"/>
          <w:szCs w:val="20"/>
        </w:rPr>
      </w:pPr>
      <w:r>
        <w:rPr>
          <w:rFonts w:ascii="Arial" w:hAnsi="Arial" w:cs="Arial"/>
          <w:sz w:val="20"/>
          <w:szCs w:val="20"/>
        </w:rPr>
        <w:t>[</w:t>
      </w:r>
      <w:r w:rsidR="00866492">
        <w:rPr>
          <w:rFonts w:ascii="Arial" w:hAnsi="Arial" w:cs="Arial"/>
          <w:sz w:val="20"/>
          <w:szCs w:val="20"/>
        </w:rPr>
        <w:t>32</w:t>
      </w:r>
      <w:r>
        <w:rPr>
          <w:rFonts w:ascii="Arial" w:hAnsi="Arial" w:cs="Arial"/>
          <w:sz w:val="20"/>
          <w:szCs w:val="20"/>
        </w:rPr>
        <w:t>] “</w:t>
      </w:r>
      <w:r w:rsidR="00866492">
        <w:rPr>
          <w:rFonts w:ascii="Arial" w:hAnsi="Arial" w:cs="Arial"/>
          <w:sz w:val="20"/>
          <w:szCs w:val="20"/>
        </w:rPr>
        <w:t>…[O]</w:t>
      </w:r>
      <w:proofErr w:type="spellStart"/>
      <w:r w:rsidR="00866492" w:rsidRPr="00BA76DB">
        <w:rPr>
          <w:rFonts w:ascii="Arial" w:hAnsi="Arial" w:cs="Arial"/>
          <w:sz w:val="20"/>
          <w:szCs w:val="20"/>
        </w:rPr>
        <w:t>ne</w:t>
      </w:r>
      <w:proofErr w:type="spellEnd"/>
      <w:r w:rsidR="00866492" w:rsidRPr="00BA76DB">
        <w:rPr>
          <w:rFonts w:ascii="Arial" w:hAnsi="Arial" w:cs="Arial"/>
          <w:sz w:val="20"/>
          <w:szCs w:val="20"/>
        </w:rPr>
        <w:t xml:space="preserve"> of the central elements of the system of criminal justice administered by this State’s courts — that it must be open, impartial and even-handed</w:t>
      </w:r>
      <w:r w:rsidR="00866492">
        <w:rPr>
          <w:rFonts w:ascii="Arial" w:hAnsi="Arial" w:cs="Arial"/>
          <w:sz w:val="20"/>
          <w:szCs w:val="20"/>
        </w:rPr>
        <w:t xml:space="preserve"> {</w:t>
      </w:r>
      <w:r w:rsidR="00866492" w:rsidRPr="00866492">
        <w:rPr>
          <w:rFonts w:ascii="Arial" w:hAnsi="Arial" w:cs="Arial"/>
          <w:i/>
          <w:iCs/>
          <w:sz w:val="20"/>
          <w:szCs w:val="20"/>
        </w:rPr>
        <w:t xml:space="preserve">Re JRL; Ex </w:t>
      </w:r>
      <w:proofErr w:type="spellStart"/>
      <w:r w:rsidR="00866492" w:rsidRPr="00866492">
        <w:rPr>
          <w:rFonts w:ascii="Arial" w:hAnsi="Arial" w:cs="Arial"/>
          <w:i/>
          <w:iCs/>
          <w:sz w:val="20"/>
          <w:szCs w:val="20"/>
        </w:rPr>
        <w:t>parte</w:t>
      </w:r>
      <w:proofErr w:type="spellEnd"/>
      <w:r w:rsidR="00866492" w:rsidRPr="00866492">
        <w:rPr>
          <w:rFonts w:ascii="Arial" w:hAnsi="Arial" w:cs="Arial"/>
          <w:i/>
          <w:iCs/>
          <w:sz w:val="20"/>
          <w:szCs w:val="20"/>
        </w:rPr>
        <w:t xml:space="preserve"> CJL</w:t>
      </w:r>
      <w:r w:rsidR="00866492">
        <w:rPr>
          <w:rFonts w:ascii="Arial" w:hAnsi="Arial" w:cs="Arial"/>
          <w:sz w:val="20"/>
          <w:szCs w:val="20"/>
        </w:rPr>
        <w:t xml:space="preserve"> (1986) 161 CLR 342, 350; </w:t>
      </w:r>
      <w:r w:rsidR="00866492" w:rsidRPr="00866492">
        <w:rPr>
          <w:rFonts w:ascii="Arial" w:hAnsi="Arial" w:cs="Arial"/>
          <w:i/>
          <w:iCs/>
          <w:sz w:val="20"/>
          <w:szCs w:val="20"/>
        </w:rPr>
        <w:t>Alec</w:t>
      </w:r>
      <w:r w:rsidR="00866492">
        <w:rPr>
          <w:rFonts w:ascii="Arial" w:hAnsi="Arial" w:cs="Arial"/>
          <w:sz w:val="20"/>
          <w:szCs w:val="20"/>
        </w:rPr>
        <w:t xml:space="preserve"> at [29]}</w:t>
      </w:r>
      <w:r w:rsidR="00866492" w:rsidRPr="00BA76DB">
        <w:rPr>
          <w:rFonts w:ascii="Arial" w:hAnsi="Arial" w:cs="Arial"/>
          <w:sz w:val="20"/>
          <w:szCs w:val="20"/>
        </w:rPr>
        <w:t xml:space="preserve"> finds recognition in s 24(1) of the </w:t>
      </w:r>
      <w:r w:rsidR="00866492" w:rsidRPr="00866492">
        <w:rPr>
          <w:rFonts w:ascii="Arial" w:hAnsi="Arial" w:cs="Arial"/>
          <w:i/>
          <w:iCs/>
          <w:sz w:val="20"/>
          <w:szCs w:val="20"/>
        </w:rPr>
        <w:t>Charter of Human Rights and Responsibilities Act 2006</w:t>
      </w:r>
      <w:r w:rsidR="00866492" w:rsidRPr="00BA76DB">
        <w:rPr>
          <w:rFonts w:ascii="Arial" w:hAnsi="Arial" w:cs="Arial"/>
          <w:sz w:val="20"/>
          <w:szCs w:val="20"/>
        </w:rPr>
        <w:t>: ‘A</w:t>
      </w:r>
      <w:r w:rsidR="00866492">
        <w:rPr>
          <w:rFonts w:ascii="Arial" w:hAnsi="Arial" w:cs="Arial"/>
          <w:sz w:val="20"/>
          <w:szCs w:val="20"/>
        </w:rPr>
        <w:t xml:space="preserve"> </w:t>
      </w:r>
      <w:r w:rsidR="00866492" w:rsidRPr="00BA76DB">
        <w:rPr>
          <w:rFonts w:ascii="Arial" w:hAnsi="Arial" w:cs="Arial"/>
          <w:sz w:val="20"/>
          <w:szCs w:val="20"/>
        </w:rPr>
        <w:t>person charged with a criminal offence … has the right to have the charge … decided by a competent, independent and impartial court or tribunal after a fair and public hearing’.</w:t>
      </w:r>
    </w:p>
    <w:p w14:paraId="4ECE08BB" w14:textId="3ABFD395" w:rsidR="00AA15AD" w:rsidRDefault="00866492" w:rsidP="00AA15AD">
      <w:pPr>
        <w:spacing w:before="80"/>
        <w:ind w:left="567" w:right="567"/>
        <w:jc w:val="both"/>
        <w:rPr>
          <w:rFonts w:ascii="Arial" w:hAnsi="Arial" w:cs="Arial"/>
          <w:sz w:val="20"/>
          <w:szCs w:val="20"/>
        </w:rPr>
      </w:pPr>
      <w:r>
        <w:rPr>
          <w:rFonts w:ascii="Arial" w:hAnsi="Arial" w:cs="Arial"/>
          <w:sz w:val="20"/>
          <w:szCs w:val="20"/>
        </w:rPr>
        <w:lastRenderedPageBreak/>
        <w:t>[</w:t>
      </w:r>
      <w:r w:rsidRPr="00BA76DB">
        <w:rPr>
          <w:rFonts w:ascii="Arial" w:hAnsi="Arial" w:cs="Arial"/>
          <w:sz w:val="20"/>
          <w:szCs w:val="20"/>
        </w:rPr>
        <w:t>33</w:t>
      </w:r>
      <w:r>
        <w:rPr>
          <w:rFonts w:ascii="Arial" w:hAnsi="Arial" w:cs="Arial"/>
          <w:sz w:val="20"/>
          <w:szCs w:val="20"/>
        </w:rPr>
        <w:t>]</w:t>
      </w:r>
      <w:r w:rsidRPr="00BA76DB">
        <w:rPr>
          <w:rFonts w:ascii="Arial" w:hAnsi="Arial" w:cs="Arial"/>
          <w:sz w:val="20"/>
          <w:szCs w:val="20"/>
        </w:rPr>
        <w:t xml:space="preserve"> Although limited exceptions have been recognised, the principle of open justice — which requires criminal proceedings to take place in public — is an essential characteristic of criminal justice in this State. And importantly, the confined categories of cases in which the principle of open justice will succumb to modification will not lightly be extended. So</w:t>
      </w:r>
      <w:r w:rsidR="00306354">
        <w:rPr>
          <w:rFonts w:ascii="Arial" w:hAnsi="Arial" w:cs="Arial"/>
          <w:sz w:val="20"/>
          <w:szCs w:val="20"/>
        </w:rPr>
        <w:t> </w:t>
      </w:r>
      <w:r w:rsidRPr="00BA76DB">
        <w:rPr>
          <w:rFonts w:ascii="Arial" w:hAnsi="Arial" w:cs="Arial"/>
          <w:sz w:val="20"/>
          <w:szCs w:val="20"/>
        </w:rPr>
        <w:t xml:space="preserve">much was made clear by French CJ in </w:t>
      </w:r>
      <w:r w:rsidRPr="00866492">
        <w:rPr>
          <w:rFonts w:ascii="Arial" w:hAnsi="Arial" w:cs="Arial"/>
          <w:i/>
          <w:iCs/>
          <w:sz w:val="20"/>
          <w:szCs w:val="20"/>
        </w:rPr>
        <w:t>Hogan v Hinch</w:t>
      </w:r>
      <w:r>
        <w:rPr>
          <w:rFonts w:ascii="Arial" w:hAnsi="Arial" w:cs="Arial"/>
          <w:sz w:val="20"/>
          <w:szCs w:val="20"/>
        </w:rPr>
        <w:t xml:space="preserve"> (2011) 243 CLR 506, 530-2 at [</w:t>
      </w:r>
      <w:proofErr w:type="gramStart"/>
      <w:r>
        <w:rPr>
          <w:rFonts w:ascii="Arial" w:hAnsi="Arial" w:cs="Arial"/>
          <w:sz w:val="20"/>
          <w:szCs w:val="20"/>
        </w:rPr>
        <w:t>20]</w:t>
      </w:r>
      <w:r>
        <w:rPr>
          <w:rFonts w:ascii="Arial" w:hAnsi="Arial" w:cs="Arial"/>
          <w:sz w:val="20"/>
          <w:szCs w:val="20"/>
        </w:rPr>
        <w:noBreakHyphen/>
      </w:r>
      <w:proofErr w:type="gramEnd"/>
      <w:r>
        <w:rPr>
          <w:rFonts w:ascii="Arial" w:hAnsi="Arial" w:cs="Arial"/>
          <w:sz w:val="20"/>
          <w:szCs w:val="20"/>
        </w:rPr>
        <w:t xml:space="preserve">[21].  See also </w:t>
      </w:r>
      <w:r w:rsidRPr="00866492">
        <w:rPr>
          <w:rFonts w:ascii="Arial" w:hAnsi="Arial" w:cs="Arial"/>
          <w:i/>
          <w:iCs/>
          <w:sz w:val="20"/>
          <w:szCs w:val="20"/>
        </w:rPr>
        <w:t>WEQ (a pseudonym) v Medical Board of Australia</w:t>
      </w:r>
      <w:r w:rsidRPr="00866492">
        <w:rPr>
          <w:rFonts w:ascii="Arial" w:hAnsi="Arial" w:cs="Arial"/>
          <w:sz w:val="20"/>
          <w:szCs w:val="20"/>
        </w:rPr>
        <w:t xml:space="preserve"> (2021) 69 VR 1, 15 [59]; </w:t>
      </w:r>
      <w:r w:rsidRPr="00866492">
        <w:rPr>
          <w:rFonts w:ascii="Arial" w:hAnsi="Arial" w:cs="Arial"/>
          <w:i/>
          <w:iCs/>
          <w:sz w:val="20"/>
          <w:szCs w:val="20"/>
        </w:rPr>
        <w:t>John Fairfax &amp; Sons Ltd v Police Tribunal (NSW)</w:t>
      </w:r>
      <w:r w:rsidRPr="00866492">
        <w:rPr>
          <w:rFonts w:ascii="Arial" w:hAnsi="Arial" w:cs="Arial"/>
          <w:sz w:val="20"/>
          <w:szCs w:val="20"/>
        </w:rPr>
        <w:t xml:space="preserve"> (1986) 5 NSWLR 465; </w:t>
      </w:r>
      <w:r w:rsidRPr="00866492">
        <w:rPr>
          <w:rFonts w:ascii="Arial" w:hAnsi="Arial" w:cs="Arial"/>
          <w:i/>
          <w:iCs/>
          <w:sz w:val="20"/>
          <w:szCs w:val="20"/>
        </w:rPr>
        <w:t>Russell v Russell</w:t>
      </w:r>
      <w:r w:rsidRPr="00866492">
        <w:rPr>
          <w:rFonts w:ascii="Arial" w:hAnsi="Arial" w:cs="Arial"/>
          <w:sz w:val="20"/>
          <w:szCs w:val="20"/>
        </w:rPr>
        <w:t xml:space="preserve"> (1976) 134 CLR 495; </w:t>
      </w:r>
      <w:r w:rsidRPr="00866492">
        <w:rPr>
          <w:rFonts w:ascii="Arial" w:hAnsi="Arial" w:cs="Arial"/>
          <w:i/>
          <w:iCs/>
          <w:sz w:val="20"/>
          <w:szCs w:val="20"/>
        </w:rPr>
        <w:t>Dickason v Dickason</w:t>
      </w:r>
      <w:r w:rsidRPr="00866492">
        <w:rPr>
          <w:rFonts w:ascii="Arial" w:hAnsi="Arial" w:cs="Arial"/>
          <w:sz w:val="20"/>
          <w:szCs w:val="20"/>
        </w:rPr>
        <w:t xml:space="preserve"> (1913) 17 CLR 50.</w:t>
      </w:r>
    </w:p>
    <w:p w14:paraId="5ECD3BF7" w14:textId="21C13B67" w:rsidR="00866492" w:rsidRPr="00866492" w:rsidRDefault="00866492" w:rsidP="00866492">
      <w:pPr>
        <w:spacing w:before="80"/>
        <w:ind w:left="567" w:right="567"/>
        <w:jc w:val="both"/>
        <w:rPr>
          <w:rFonts w:ascii="Arial" w:hAnsi="Arial" w:cs="Arial"/>
          <w:sz w:val="16"/>
          <w:szCs w:val="16"/>
        </w:rPr>
      </w:pPr>
      <w:r>
        <w:rPr>
          <w:rFonts w:ascii="Arial" w:hAnsi="Arial" w:cs="Arial"/>
          <w:sz w:val="20"/>
          <w:szCs w:val="20"/>
        </w:rPr>
        <w:t xml:space="preserve">[34] </w:t>
      </w:r>
      <w:r w:rsidRPr="00866492">
        <w:rPr>
          <w:rFonts w:ascii="Arial" w:hAnsi="Arial" w:cs="Arial"/>
          <w:sz w:val="20"/>
          <w:szCs w:val="20"/>
        </w:rPr>
        <w:t xml:space="preserve">To a large extent, the manner in which criminal proceedings are conducted in this State is prescribed by the </w:t>
      </w:r>
      <w:r w:rsidRPr="00866492">
        <w:rPr>
          <w:rFonts w:ascii="Arial" w:hAnsi="Arial" w:cs="Arial"/>
          <w:i/>
          <w:iCs/>
          <w:sz w:val="20"/>
          <w:szCs w:val="20"/>
        </w:rPr>
        <w:t>Criminal Procedure Act 2009</w:t>
      </w:r>
      <w:r w:rsidRPr="00866492">
        <w:rPr>
          <w:rFonts w:ascii="Arial" w:hAnsi="Arial" w:cs="Arial"/>
          <w:sz w:val="20"/>
          <w:szCs w:val="20"/>
        </w:rPr>
        <w:t xml:space="preserve">. As </w:t>
      </w:r>
      <w:r w:rsidR="00306354">
        <w:rPr>
          <w:rFonts w:ascii="Arial" w:hAnsi="Arial" w:cs="Arial"/>
          <w:sz w:val="20"/>
          <w:szCs w:val="20"/>
        </w:rPr>
        <w:t xml:space="preserve">s.32 of </w:t>
      </w:r>
      <w:r w:rsidRPr="00866492">
        <w:rPr>
          <w:rFonts w:ascii="Arial" w:hAnsi="Arial" w:cs="Arial"/>
          <w:sz w:val="20"/>
          <w:szCs w:val="20"/>
        </w:rPr>
        <w:t>the Charter makes plain, so far as it is possible to do so consistently with their purpose, the provisions of the CPA must be interpreted in a way that is compatible with human rights, including the accused’s right to have the charges decided by a competent, independent and impartial court or tribunal after a fair and public hearing. Plainly, the principle of open justice is ingrained.</w:t>
      </w:r>
    </w:p>
    <w:p w14:paraId="5447E80E" w14:textId="14EE0881" w:rsidR="00866492" w:rsidRDefault="00306354" w:rsidP="00AA15AD">
      <w:pPr>
        <w:spacing w:before="80"/>
        <w:ind w:left="567" w:right="567"/>
        <w:jc w:val="both"/>
        <w:rPr>
          <w:rFonts w:ascii="Arial" w:hAnsi="Arial" w:cs="Arial"/>
          <w:sz w:val="20"/>
          <w:szCs w:val="20"/>
        </w:rPr>
      </w:pPr>
      <w:r>
        <w:rPr>
          <w:rFonts w:ascii="Arial" w:hAnsi="Arial" w:cs="Arial"/>
          <w:sz w:val="20"/>
          <w:szCs w:val="20"/>
        </w:rPr>
        <w:t>…</w:t>
      </w:r>
    </w:p>
    <w:p w14:paraId="6817688E" w14:textId="1066BE61" w:rsidR="009909EA" w:rsidRDefault="009909EA" w:rsidP="00AA15AD">
      <w:pPr>
        <w:spacing w:before="80"/>
        <w:ind w:left="567" w:right="567"/>
        <w:jc w:val="both"/>
        <w:rPr>
          <w:rFonts w:ascii="Arial" w:hAnsi="Arial" w:cs="Arial"/>
          <w:sz w:val="20"/>
          <w:szCs w:val="20"/>
        </w:rPr>
      </w:pPr>
      <w:r>
        <w:rPr>
          <w:rFonts w:ascii="Arial" w:hAnsi="Arial" w:cs="Arial"/>
          <w:sz w:val="20"/>
          <w:szCs w:val="20"/>
        </w:rPr>
        <w:t xml:space="preserve">[40] </w:t>
      </w:r>
      <w:r w:rsidRPr="009909EA">
        <w:rPr>
          <w:rFonts w:ascii="Arial" w:hAnsi="Arial" w:cs="Arial"/>
          <w:sz w:val="20"/>
          <w:szCs w:val="20"/>
        </w:rPr>
        <w:t>Nothing in s 389E, however, authorises — either directly or by necessary implication — a private meeting between a trial judge (whether or not accompanied by counsel) and a witness outside the courtroom.</w:t>
      </w:r>
    </w:p>
    <w:p w14:paraId="7AE383CA" w14:textId="1CF3FE6C" w:rsidR="009909EA" w:rsidRDefault="009909EA" w:rsidP="00AA15AD">
      <w:pPr>
        <w:spacing w:before="80"/>
        <w:ind w:left="567" w:right="567"/>
        <w:jc w:val="both"/>
        <w:rPr>
          <w:rFonts w:ascii="Arial" w:hAnsi="Arial" w:cs="Arial"/>
          <w:sz w:val="20"/>
          <w:szCs w:val="20"/>
        </w:rPr>
      </w:pPr>
      <w:r>
        <w:rPr>
          <w:rFonts w:ascii="Arial" w:hAnsi="Arial" w:cs="Arial"/>
          <w:sz w:val="20"/>
          <w:szCs w:val="20"/>
        </w:rPr>
        <w:t>…</w:t>
      </w:r>
    </w:p>
    <w:p w14:paraId="03B181D5" w14:textId="3194EDF7" w:rsidR="00306354" w:rsidRPr="00866492" w:rsidRDefault="00306354" w:rsidP="00306354">
      <w:pPr>
        <w:spacing w:before="80"/>
        <w:ind w:left="567" w:right="567"/>
        <w:jc w:val="both"/>
        <w:rPr>
          <w:rFonts w:ascii="Arial" w:hAnsi="Arial" w:cs="Arial"/>
          <w:sz w:val="16"/>
          <w:szCs w:val="16"/>
        </w:rPr>
      </w:pPr>
      <w:r>
        <w:rPr>
          <w:rFonts w:ascii="Arial" w:hAnsi="Arial" w:cs="Arial"/>
          <w:sz w:val="20"/>
          <w:szCs w:val="20"/>
        </w:rPr>
        <w:t xml:space="preserve">[54] </w:t>
      </w:r>
      <w:r w:rsidRPr="00306354">
        <w:rPr>
          <w:rFonts w:ascii="Arial" w:hAnsi="Arial" w:cs="Arial"/>
          <w:sz w:val="20"/>
          <w:szCs w:val="20"/>
        </w:rPr>
        <w:t>In my view, it is anathema to the principle of open justice that a judge could have a non</w:t>
      </w:r>
      <w:r>
        <w:rPr>
          <w:rFonts w:ascii="Arial" w:hAnsi="Arial" w:cs="Arial"/>
          <w:sz w:val="20"/>
          <w:szCs w:val="20"/>
        </w:rPr>
        <w:t>-</w:t>
      </w:r>
      <w:r w:rsidRPr="00306354">
        <w:rPr>
          <w:rFonts w:ascii="Arial" w:hAnsi="Arial" w:cs="Arial"/>
          <w:sz w:val="20"/>
          <w:szCs w:val="20"/>
        </w:rPr>
        <w:t>public communication with a witness in the course of a criminal proceeding, particularly a witness whose evidence is central to the prosecution case. Apart from recognised common law or statutory exceptions — which generally owe their existence to the necessity to secure the proper administration of justice in particular situations — no aspect of the administration of criminal justice in this State should ever take place in a private setting</w:t>
      </w:r>
      <w:r>
        <w:rPr>
          <w:rFonts w:ascii="Arial" w:hAnsi="Arial" w:cs="Arial"/>
          <w:sz w:val="20"/>
          <w:szCs w:val="20"/>
        </w:rPr>
        <w:t xml:space="preserve">: see </w:t>
      </w:r>
      <w:r w:rsidRPr="00306354">
        <w:rPr>
          <w:rFonts w:ascii="Arial" w:hAnsi="Arial" w:cs="Arial"/>
          <w:i/>
          <w:iCs/>
          <w:sz w:val="20"/>
          <w:szCs w:val="20"/>
        </w:rPr>
        <w:t>Alec</w:t>
      </w:r>
      <w:r>
        <w:rPr>
          <w:rFonts w:ascii="Arial" w:hAnsi="Arial" w:cs="Arial"/>
          <w:sz w:val="20"/>
          <w:szCs w:val="20"/>
        </w:rPr>
        <w:t xml:space="preserve"> at [32].”</w:t>
      </w:r>
    </w:p>
    <w:p w14:paraId="45FD2C52" w14:textId="34EA1E34" w:rsidR="00306354" w:rsidRPr="002F1E7F" w:rsidRDefault="00306354" w:rsidP="008F7E29">
      <w:pPr>
        <w:widowControl w:val="0"/>
        <w:tabs>
          <w:tab w:val="left" w:pos="2219"/>
        </w:tabs>
        <w:jc w:val="both"/>
        <w:rPr>
          <w:rFonts w:ascii="Arial" w:hAnsi="Arial" w:cs="Arial"/>
          <w:sz w:val="20"/>
        </w:rPr>
      </w:pPr>
      <w:bookmarkStart w:id="437" w:name="_2.7.1_Section_523"/>
      <w:bookmarkEnd w:id="437"/>
    </w:p>
    <w:p w14:paraId="1B246332" w14:textId="067351A1" w:rsidR="00351DB0" w:rsidRDefault="002F1E7F" w:rsidP="006461A4">
      <w:pPr>
        <w:widowControl w:val="0"/>
        <w:jc w:val="both"/>
        <w:rPr>
          <w:rFonts w:ascii="Arial" w:hAnsi="Arial" w:cs="Arial"/>
          <w:sz w:val="20"/>
        </w:rPr>
      </w:pPr>
      <w:r>
        <w:rPr>
          <w:rFonts w:ascii="Arial" w:hAnsi="Arial" w:cs="Arial"/>
          <w:sz w:val="20"/>
        </w:rPr>
        <w:t xml:space="preserve">The DPP was granted special leave to appeal by the High Court.  The appeal was allowed by all 5 judges and the order made by the Court of Appeal </w:t>
      </w:r>
      <w:r w:rsidR="008F7E29">
        <w:rPr>
          <w:rFonts w:ascii="Arial" w:hAnsi="Arial" w:cs="Arial"/>
          <w:sz w:val="20"/>
        </w:rPr>
        <w:t xml:space="preserve">in </w:t>
      </w:r>
      <w:r>
        <w:rPr>
          <w:rFonts w:ascii="Arial" w:hAnsi="Arial" w:cs="Arial"/>
          <w:i/>
          <w:iCs/>
          <w:sz w:val="20"/>
        </w:rPr>
        <w:t>DPP</w:t>
      </w:r>
      <w:r w:rsidRPr="006461A4">
        <w:rPr>
          <w:rFonts w:ascii="Arial" w:hAnsi="Arial" w:cs="Arial"/>
          <w:i/>
          <w:iCs/>
          <w:sz w:val="20"/>
        </w:rPr>
        <w:t xml:space="preserve"> v </w:t>
      </w:r>
      <w:r>
        <w:rPr>
          <w:rFonts w:ascii="Arial" w:hAnsi="Arial" w:cs="Arial"/>
          <w:i/>
          <w:iCs/>
          <w:sz w:val="20"/>
        </w:rPr>
        <w:t>Smith</w:t>
      </w:r>
      <w:r>
        <w:rPr>
          <w:rFonts w:ascii="Arial" w:hAnsi="Arial" w:cs="Arial"/>
          <w:sz w:val="20"/>
        </w:rPr>
        <w:t xml:space="preserve"> [2023] VSCA 293 was set aside: see </w:t>
      </w:r>
      <w:r w:rsidRPr="00016A6C">
        <w:rPr>
          <w:rFonts w:ascii="Arial" w:hAnsi="Arial" w:cs="Arial"/>
          <w:b/>
          <w:bCs/>
          <w:i/>
          <w:iCs/>
          <w:sz w:val="20"/>
        </w:rPr>
        <w:t>DPP v Smith</w:t>
      </w:r>
      <w:r w:rsidRPr="00016A6C">
        <w:rPr>
          <w:rFonts w:ascii="Arial" w:hAnsi="Arial" w:cs="Arial"/>
          <w:b/>
          <w:bCs/>
          <w:sz w:val="20"/>
        </w:rPr>
        <w:t xml:space="preserve"> [2024] HCA 32</w:t>
      </w:r>
      <w:r>
        <w:rPr>
          <w:rFonts w:ascii="Arial" w:hAnsi="Arial" w:cs="Arial"/>
          <w:sz w:val="20"/>
        </w:rPr>
        <w:t xml:space="preserve">.  </w:t>
      </w:r>
      <w:r w:rsidR="00351DB0">
        <w:rPr>
          <w:rFonts w:ascii="Arial" w:hAnsi="Arial" w:cs="Arial"/>
          <w:sz w:val="20"/>
        </w:rPr>
        <w:t>The plurality (</w:t>
      </w:r>
      <w:proofErr w:type="spellStart"/>
      <w:r w:rsidR="00351DB0">
        <w:rPr>
          <w:rFonts w:ascii="Arial" w:hAnsi="Arial" w:cs="Arial"/>
          <w:sz w:val="20"/>
        </w:rPr>
        <w:t>Gageler</w:t>
      </w:r>
      <w:proofErr w:type="spellEnd"/>
      <w:r w:rsidR="00351DB0">
        <w:rPr>
          <w:rFonts w:ascii="Arial" w:hAnsi="Arial" w:cs="Arial"/>
          <w:sz w:val="20"/>
        </w:rPr>
        <w:t xml:space="preserve"> CJ, Gleeson, </w:t>
      </w:r>
      <w:proofErr w:type="spellStart"/>
      <w:r w:rsidR="00351DB0">
        <w:rPr>
          <w:rFonts w:ascii="Arial" w:hAnsi="Arial" w:cs="Arial"/>
          <w:sz w:val="20"/>
        </w:rPr>
        <w:t>Jagot</w:t>
      </w:r>
      <w:proofErr w:type="spellEnd"/>
      <w:r w:rsidR="00351DB0">
        <w:rPr>
          <w:rFonts w:ascii="Arial" w:hAnsi="Arial" w:cs="Arial"/>
          <w:sz w:val="20"/>
        </w:rPr>
        <w:t xml:space="preserve"> &amp; Beech-Jones JJ) and Edelman J </w:t>
      </w:r>
      <w:r w:rsidR="00EA3F46">
        <w:rPr>
          <w:rFonts w:ascii="Arial" w:hAnsi="Arial" w:cs="Arial"/>
          <w:sz w:val="20"/>
        </w:rPr>
        <w:t>both concluded</w:t>
      </w:r>
      <w:r w:rsidR="00351DB0">
        <w:rPr>
          <w:rFonts w:ascii="Arial" w:hAnsi="Arial" w:cs="Arial"/>
          <w:sz w:val="20"/>
        </w:rPr>
        <w:t xml:space="preserve"> that the decision of the Court of Appeal in </w:t>
      </w:r>
      <w:r w:rsidR="00351DB0" w:rsidRPr="006461A4">
        <w:rPr>
          <w:rFonts w:ascii="Arial" w:hAnsi="Arial" w:cs="Arial"/>
          <w:i/>
          <w:iCs/>
          <w:sz w:val="20"/>
        </w:rPr>
        <w:t>Ramsay Alec (a pseudonym) v The King</w:t>
      </w:r>
      <w:r w:rsidR="00351DB0">
        <w:rPr>
          <w:rFonts w:ascii="Arial" w:hAnsi="Arial" w:cs="Arial"/>
          <w:sz w:val="20"/>
        </w:rPr>
        <w:t xml:space="preserve"> [2023] VSCA 208 was correct.  </w:t>
      </w:r>
      <w:r w:rsidR="008A0767">
        <w:rPr>
          <w:rFonts w:ascii="Arial" w:hAnsi="Arial" w:cs="Arial"/>
          <w:sz w:val="20"/>
        </w:rPr>
        <w:t>See i</w:t>
      </w:r>
      <w:r w:rsidR="00351DB0">
        <w:rPr>
          <w:rFonts w:ascii="Arial" w:hAnsi="Arial" w:cs="Arial"/>
          <w:sz w:val="20"/>
        </w:rPr>
        <w:t>n particular</w:t>
      </w:r>
      <w:r w:rsidR="008A0767">
        <w:rPr>
          <w:rFonts w:ascii="Arial" w:hAnsi="Arial" w:cs="Arial"/>
          <w:sz w:val="20"/>
        </w:rPr>
        <w:t>:</w:t>
      </w:r>
    </w:p>
    <w:p w14:paraId="66B0F091" w14:textId="31108B47" w:rsidR="008A0767" w:rsidRDefault="00EA3F46" w:rsidP="008A0767">
      <w:pPr>
        <w:pStyle w:val="ListParagraph"/>
        <w:widowControl w:val="0"/>
        <w:numPr>
          <w:ilvl w:val="0"/>
          <w:numId w:val="56"/>
        </w:numPr>
        <w:spacing w:before="60"/>
        <w:ind w:left="357" w:right="567" w:hanging="357"/>
        <w:jc w:val="both"/>
        <w:rPr>
          <w:rFonts w:ascii="Arial" w:hAnsi="Arial" w:cs="Arial"/>
          <w:sz w:val="20"/>
        </w:rPr>
      </w:pPr>
      <w:r>
        <w:rPr>
          <w:rFonts w:ascii="Arial" w:hAnsi="Arial" w:cs="Arial"/>
          <w:sz w:val="20"/>
        </w:rPr>
        <w:t xml:space="preserve">Paragraphs </w:t>
      </w:r>
      <w:r w:rsidR="008A0767">
        <w:rPr>
          <w:rFonts w:ascii="Arial" w:hAnsi="Arial" w:cs="Arial"/>
          <w:sz w:val="20"/>
        </w:rPr>
        <w:t>[75]</w:t>
      </w:r>
      <w:r>
        <w:rPr>
          <w:rFonts w:ascii="Arial" w:hAnsi="Arial" w:cs="Arial"/>
          <w:sz w:val="20"/>
        </w:rPr>
        <w:t>, [84]</w:t>
      </w:r>
      <w:r w:rsidR="008A0767">
        <w:rPr>
          <w:rFonts w:ascii="Arial" w:hAnsi="Arial" w:cs="Arial"/>
          <w:sz w:val="20"/>
        </w:rPr>
        <w:t xml:space="preserve"> &amp; [8</w:t>
      </w:r>
      <w:r>
        <w:rPr>
          <w:rFonts w:ascii="Arial" w:hAnsi="Arial" w:cs="Arial"/>
          <w:sz w:val="20"/>
        </w:rPr>
        <w:t>5</w:t>
      </w:r>
      <w:r w:rsidR="008A0767">
        <w:rPr>
          <w:rFonts w:ascii="Arial" w:hAnsi="Arial" w:cs="Arial"/>
          <w:sz w:val="20"/>
        </w:rPr>
        <w:t xml:space="preserve">] </w:t>
      </w:r>
      <w:r>
        <w:rPr>
          <w:rFonts w:ascii="Arial" w:hAnsi="Arial" w:cs="Arial"/>
          <w:sz w:val="20"/>
        </w:rPr>
        <w:t xml:space="preserve">where </w:t>
      </w:r>
      <w:r w:rsidR="008A0767">
        <w:rPr>
          <w:rFonts w:ascii="Arial" w:hAnsi="Arial" w:cs="Arial"/>
          <w:sz w:val="20"/>
        </w:rPr>
        <w:t>the plurality said:</w:t>
      </w:r>
    </w:p>
    <w:p w14:paraId="01FC6806" w14:textId="518250DD" w:rsidR="008A0767"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[75]</w:t>
      </w:r>
      <w:r w:rsidRPr="00FA5744">
        <w:rPr>
          <w:rFonts w:ascii="Arial" w:hAnsi="Arial" w:cs="Arial"/>
          <w:sz w:val="20"/>
          <w:szCs w:val="20"/>
        </w:rPr>
        <w:tab/>
      </w:r>
      <w:r w:rsidR="008A0767" w:rsidRPr="00FA5744">
        <w:rPr>
          <w:rFonts w:ascii="Arial" w:hAnsi="Arial" w:cs="Arial"/>
          <w:sz w:val="20"/>
          <w:szCs w:val="20"/>
        </w:rPr>
        <w:t xml:space="preserve">“The problem in </w:t>
      </w:r>
      <w:r w:rsidR="008A0767" w:rsidRPr="00FA5744">
        <w:rPr>
          <w:rFonts w:ascii="Arial" w:hAnsi="Arial" w:cs="Arial"/>
          <w:i/>
          <w:iCs/>
          <w:sz w:val="20"/>
          <w:szCs w:val="20"/>
        </w:rPr>
        <w:t>Alec</w:t>
      </w:r>
      <w:r w:rsidR="008A0767" w:rsidRPr="00FA5744">
        <w:rPr>
          <w:rFonts w:ascii="Arial" w:hAnsi="Arial" w:cs="Arial"/>
          <w:sz w:val="20"/>
          <w:szCs w:val="20"/>
        </w:rPr>
        <w:t xml:space="preserve"> was not a lack of power to arrange and attend such a meeting under s.389E(1) [of the </w:t>
      </w:r>
      <w:r w:rsidR="008A0767" w:rsidRPr="00FA5744">
        <w:rPr>
          <w:rFonts w:ascii="Arial" w:hAnsi="Arial" w:cs="Arial"/>
          <w:i/>
          <w:iCs/>
          <w:sz w:val="20"/>
          <w:szCs w:val="20"/>
        </w:rPr>
        <w:t>Criminal Procedure Act 2009</w:t>
      </w:r>
      <w:r w:rsidR="008A0767" w:rsidRPr="00FA5744">
        <w:rPr>
          <w:rFonts w:ascii="Arial" w:hAnsi="Arial" w:cs="Arial"/>
          <w:sz w:val="20"/>
          <w:szCs w:val="20"/>
        </w:rPr>
        <w:t>]; it was that the judge attended a meeting with the complainant privately (that is, in the presence of the intermediary but without counsel for the prosecution and the accused).”</w:t>
      </w:r>
    </w:p>
    <w:p w14:paraId="7959624A" w14:textId="4F0E7D67" w:rsidR="008A0767"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[84]</w:t>
      </w:r>
      <w:r w:rsidRPr="00FA5744">
        <w:rPr>
          <w:rFonts w:ascii="Arial" w:hAnsi="Arial" w:cs="Arial"/>
          <w:sz w:val="20"/>
          <w:szCs w:val="20"/>
        </w:rPr>
        <w:tab/>
      </w:r>
      <w:r w:rsidR="008A0767" w:rsidRPr="00FA5744">
        <w:rPr>
          <w:rFonts w:ascii="Arial" w:hAnsi="Arial" w:cs="Arial"/>
          <w:sz w:val="20"/>
          <w:szCs w:val="20"/>
        </w:rPr>
        <w:t xml:space="preserve">“The reasoning in </w:t>
      </w:r>
      <w:r w:rsidR="008A0767" w:rsidRPr="00FA5744">
        <w:rPr>
          <w:rFonts w:ascii="Arial" w:hAnsi="Arial" w:cs="Arial"/>
          <w:i/>
          <w:iCs/>
          <w:sz w:val="20"/>
          <w:szCs w:val="20"/>
        </w:rPr>
        <w:t>Alec</w:t>
      </w:r>
      <w:r w:rsidR="008A0767" w:rsidRPr="00FA5744">
        <w:rPr>
          <w:rFonts w:ascii="Arial" w:hAnsi="Arial" w:cs="Arial"/>
          <w:sz w:val="20"/>
          <w:szCs w:val="20"/>
        </w:rPr>
        <w:t xml:space="preserve"> also correctly stated the principle of open justice in the circumstances of that case.  In </w:t>
      </w:r>
      <w:r w:rsidR="008A0767" w:rsidRPr="00FA5744">
        <w:rPr>
          <w:rFonts w:ascii="Arial" w:hAnsi="Arial" w:cs="Arial"/>
          <w:i/>
          <w:iCs/>
          <w:sz w:val="20"/>
          <w:szCs w:val="20"/>
        </w:rPr>
        <w:t>Alec</w:t>
      </w:r>
      <w:r w:rsidR="008A0767" w:rsidRPr="00FA5744">
        <w:rPr>
          <w:rFonts w:ascii="Arial" w:hAnsi="Arial" w:cs="Arial"/>
          <w:sz w:val="20"/>
          <w:szCs w:val="20"/>
        </w:rPr>
        <w:t xml:space="preserve">, the Court of Appeal recognised the importance of the principle </w:t>
      </w:r>
      <w:r w:rsidR="009274E4" w:rsidRPr="00FA5744">
        <w:rPr>
          <w:rFonts w:ascii="Arial" w:hAnsi="Arial" w:cs="Arial"/>
          <w:sz w:val="20"/>
          <w:szCs w:val="20"/>
        </w:rPr>
        <w:t>to the proper administration of justice because ‘[w]hen justice is administered in private, the fairness of the process, and the impartiality of the judge are brought into question.’”</w:t>
      </w:r>
    </w:p>
    <w:p w14:paraId="4224DB84" w14:textId="2EA2623B" w:rsidR="00EA3F46"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[85]</w:t>
      </w:r>
      <w:r w:rsidRPr="00FA5744">
        <w:rPr>
          <w:rFonts w:ascii="Arial" w:hAnsi="Arial" w:cs="Arial"/>
          <w:sz w:val="20"/>
          <w:szCs w:val="20"/>
        </w:rPr>
        <w:tab/>
        <w:t xml:space="preserve">“There is no free-standing principle of open justice relied upon in </w:t>
      </w:r>
      <w:r w:rsidRPr="00FA5744">
        <w:rPr>
          <w:rFonts w:ascii="Arial" w:hAnsi="Arial" w:cs="Arial"/>
          <w:i/>
          <w:iCs/>
          <w:sz w:val="20"/>
          <w:szCs w:val="20"/>
        </w:rPr>
        <w:t>Alec</w:t>
      </w:r>
      <w:r w:rsidRPr="00FA5744">
        <w:rPr>
          <w:rFonts w:ascii="Arial" w:hAnsi="Arial" w:cs="Arial"/>
          <w:sz w:val="20"/>
          <w:szCs w:val="20"/>
        </w:rPr>
        <w:t xml:space="preserve">.  </w:t>
      </w:r>
      <w:r w:rsidRPr="00FA5744">
        <w:rPr>
          <w:rFonts w:ascii="Arial" w:hAnsi="Arial" w:cs="Arial"/>
          <w:i/>
          <w:iCs/>
          <w:sz w:val="20"/>
          <w:szCs w:val="20"/>
        </w:rPr>
        <w:t>Alec</w:t>
      </w:r>
      <w:r w:rsidRPr="00FA5744">
        <w:rPr>
          <w:rFonts w:ascii="Arial" w:hAnsi="Arial" w:cs="Arial"/>
          <w:sz w:val="20"/>
          <w:szCs w:val="20"/>
        </w:rPr>
        <w:t xml:space="preserve"> is an orthodox decision that, on the facts of the case, there was a miscarriage of justice requiring the conviction to be set aside because the meeting between the judge and the complainant in private gave rise to a reasonable apprehension of bias.”</w:t>
      </w:r>
    </w:p>
    <w:p w14:paraId="29D63BF2" w14:textId="5821F41D" w:rsidR="009274E4" w:rsidRDefault="009274E4" w:rsidP="009274E4">
      <w:pPr>
        <w:pStyle w:val="ListParagraph"/>
        <w:widowControl w:val="0"/>
        <w:numPr>
          <w:ilvl w:val="0"/>
          <w:numId w:val="56"/>
        </w:numPr>
        <w:spacing w:before="60"/>
        <w:ind w:left="357" w:right="567" w:hanging="357"/>
        <w:jc w:val="both"/>
        <w:rPr>
          <w:rFonts w:ascii="Arial" w:hAnsi="Arial" w:cs="Arial"/>
          <w:sz w:val="20"/>
        </w:rPr>
      </w:pPr>
      <w:r>
        <w:rPr>
          <w:rFonts w:ascii="Arial" w:hAnsi="Arial" w:cs="Arial"/>
          <w:sz w:val="20"/>
        </w:rPr>
        <w:t xml:space="preserve">And </w:t>
      </w:r>
      <w:r w:rsidR="00EA3F46">
        <w:rPr>
          <w:rFonts w:ascii="Arial" w:hAnsi="Arial" w:cs="Arial"/>
          <w:sz w:val="20"/>
        </w:rPr>
        <w:t>paragraph</w:t>
      </w:r>
      <w:r>
        <w:rPr>
          <w:rFonts w:ascii="Arial" w:hAnsi="Arial" w:cs="Arial"/>
          <w:sz w:val="20"/>
        </w:rPr>
        <w:t xml:space="preserve"> [104] </w:t>
      </w:r>
      <w:r w:rsidR="00EA3F46">
        <w:rPr>
          <w:rFonts w:ascii="Arial" w:hAnsi="Arial" w:cs="Arial"/>
          <w:sz w:val="20"/>
        </w:rPr>
        <w:t xml:space="preserve">where </w:t>
      </w:r>
      <w:r>
        <w:rPr>
          <w:rFonts w:ascii="Arial" w:hAnsi="Arial" w:cs="Arial"/>
          <w:sz w:val="20"/>
        </w:rPr>
        <w:t>Edelman J said:</w:t>
      </w:r>
    </w:p>
    <w:p w14:paraId="59850761" w14:textId="0B8EEE91" w:rsidR="00351DB0" w:rsidRPr="00FA5744" w:rsidRDefault="009274E4" w:rsidP="009274E4">
      <w:pPr>
        <w:spacing w:before="60"/>
        <w:ind w:left="357" w:right="357"/>
        <w:jc w:val="both"/>
        <w:rPr>
          <w:rFonts w:ascii="Arial" w:hAnsi="Arial" w:cs="Arial"/>
          <w:sz w:val="20"/>
          <w:szCs w:val="20"/>
        </w:rPr>
      </w:pPr>
      <w:r w:rsidRPr="00FA5744">
        <w:rPr>
          <w:rFonts w:ascii="Arial" w:hAnsi="Arial" w:cs="Arial"/>
          <w:sz w:val="20"/>
        </w:rPr>
        <w:t>“</w:t>
      </w:r>
      <w:r w:rsidRPr="009274E4">
        <w:rPr>
          <w:rFonts w:ascii="Arial" w:hAnsi="Arial" w:cs="Arial"/>
          <w:sz w:val="20"/>
        </w:rPr>
        <w:t xml:space="preserve">In both </w:t>
      </w:r>
      <w:r w:rsidRPr="009274E4">
        <w:rPr>
          <w:rFonts w:ascii="Arial" w:hAnsi="Arial" w:cs="Arial"/>
          <w:i/>
          <w:iCs/>
          <w:sz w:val="20"/>
        </w:rPr>
        <w:t xml:space="preserve">Alec (a pseudonym) v The King </w:t>
      </w:r>
      <w:r w:rsidRPr="009274E4">
        <w:rPr>
          <w:rFonts w:ascii="Arial" w:hAnsi="Arial" w:cs="Arial"/>
          <w:sz w:val="20"/>
        </w:rPr>
        <w:t>and this proceeding the Court of Appeal was correct that the directions to hold private meetings with the complainants were irregular, particularly as the directions were made, and the private hearings were attended, by the judges who then presided over the special hearings.</w:t>
      </w:r>
      <w:r w:rsidRPr="00FA5744">
        <w:rPr>
          <w:rFonts w:ascii="Arial" w:hAnsi="Arial" w:cs="Arial"/>
          <w:sz w:val="20"/>
        </w:rPr>
        <w:t>”</w:t>
      </w:r>
    </w:p>
    <w:p w14:paraId="7E17169F" w14:textId="77777777" w:rsidR="00351DB0" w:rsidRPr="00B13691" w:rsidRDefault="00351DB0" w:rsidP="006461A4">
      <w:pPr>
        <w:widowControl w:val="0"/>
        <w:jc w:val="both"/>
        <w:rPr>
          <w:rFonts w:ascii="Arial" w:hAnsi="Arial" w:cs="Arial"/>
          <w:sz w:val="18"/>
          <w:szCs w:val="22"/>
        </w:rPr>
      </w:pPr>
    </w:p>
    <w:p w14:paraId="4BD3B950" w14:textId="4145C3E9" w:rsidR="00EA3F46" w:rsidRPr="002F1E7F" w:rsidRDefault="00EA3F46" w:rsidP="00EA3F46">
      <w:pPr>
        <w:widowControl w:val="0"/>
        <w:jc w:val="both"/>
        <w:rPr>
          <w:rFonts w:ascii="Arial" w:hAnsi="Arial" w:cs="Arial"/>
          <w:sz w:val="20"/>
        </w:rPr>
      </w:pPr>
      <w:r>
        <w:rPr>
          <w:rFonts w:ascii="Arial" w:hAnsi="Arial" w:cs="Arial"/>
          <w:sz w:val="20"/>
        </w:rPr>
        <w:t xml:space="preserve">However, in most other respects there was significant disparity between the </w:t>
      </w:r>
      <w:r w:rsidR="00B13691">
        <w:rPr>
          <w:rFonts w:ascii="Arial" w:hAnsi="Arial" w:cs="Arial"/>
          <w:sz w:val="20"/>
        </w:rPr>
        <w:t xml:space="preserve">reasoning in the </w:t>
      </w:r>
      <w:r>
        <w:rPr>
          <w:rFonts w:ascii="Arial" w:hAnsi="Arial" w:cs="Arial"/>
          <w:sz w:val="20"/>
        </w:rPr>
        <w:t>two judgments which led to significant disparity between the answers given to the four reserved questions of law:</w:t>
      </w:r>
    </w:p>
    <w:p w14:paraId="14791ABE" w14:textId="77777777" w:rsidR="00EA3F46" w:rsidRPr="00B13691" w:rsidRDefault="00EA3F46" w:rsidP="00EA3F46">
      <w:pPr>
        <w:widowControl w:val="0"/>
        <w:jc w:val="both"/>
        <w:rPr>
          <w:rFonts w:ascii="Arial" w:hAnsi="Arial" w:cs="Arial"/>
          <w:sz w:val="18"/>
          <w:szCs w:val="22"/>
        </w:rPr>
      </w:pPr>
    </w:p>
    <w:tbl>
      <w:tblPr>
        <w:tblStyle w:val="TableGrid"/>
        <w:tblW w:w="9066" w:type="dxa"/>
        <w:tblLook w:val="04A0" w:firstRow="1" w:lastRow="0" w:firstColumn="1" w:lastColumn="0" w:noHBand="0" w:noVBand="1"/>
      </w:tblPr>
      <w:tblGrid>
        <w:gridCol w:w="2455"/>
        <w:gridCol w:w="4723"/>
        <w:gridCol w:w="1888"/>
      </w:tblGrid>
      <w:tr w:rsidR="00EA3F46" w:rsidRPr="008F7E29" w14:paraId="43B78A80" w14:textId="77777777" w:rsidTr="00B13691">
        <w:tc>
          <w:tcPr>
            <w:tcW w:w="2455" w:type="dxa"/>
            <w:tcBorders>
              <w:bottom w:val="single" w:sz="8" w:space="0" w:color="auto"/>
            </w:tcBorders>
            <w:shd w:val="clear" w:color="auto" w:fill="000000" w:themeFill="text1"/>
          </w:tcPr>
          <w:p w14:paraId="050394FD" w14:textId="77777777" w:rsidR="00EA3F46" w:rsidRPr="008F7E29" w:rsidRDefault="00EA3F46" w:rsidP="006E4A3F">
            <w:pPr>
              <w:keepNext/>
              <w:keepLines/>
              <w:jc w:val="center"/>
              <w:rPr>
                <w:rFonts w:ascii="Arial" w:hAnsi="Arial" w:cs="Arial"/>
                <w:b/>
                <w:bCs/>
                <w:sz w:val="20"/>
              </w:rPr>
            </w:pPr>
            <w:r>
              <w:rPr>
                <w:rFonts w:ascii="Arial" w:hAnsi="Arial" w:cs="Arial"/>
                <w:b/>
                <w:bCs/>
                <w:sz w:val="20"/>
              </w:rPr>
              <w:lastRenderedPageBreak/>
              <w:t>PLURALITY</w:t>
            </w:r>
          </w:p>
        </w:tc>
        <w:tc>
          <w:tcPr>
            <w:tcW w:w="4723" w:type="dxa"/>
            <w:shd w:val="clear" w:color="auto" w:fill="000000" w:themeFill="text1"/>
          </w:tcPr>
          <w:p w14:paraId="75775698" w14:textId="77777777" w:rsidR="00EA3F46" w:rsidRPr="008F7E29" w:rsidRDefault="00EA3F46" w:rsidP="006E4A3F">
            <w:pPr>
              <w:keepNext/>
              <w:keepLines/>
              <w:jc w:val="center"/>
              <w:rPr>
                <w:rFonts w:ascii="Arial" w:hAnsi="Arial" w:cs="Arial"/>
                <w:b/>
                <w:bCs/>
                <w:sz w:val="20"/>
              </w:rPr>
            </w:pPr>
            <w:r>
              <w:rPr>
                <w:rFonts w:ascii="Arial" w:hAnsi="Arial" w:cs="Arial"/>
                <w:b/>
                <w:bCs/>
                <w:sz w:val="20"/>
              </w:rPr>
              <w:t>RESERVED QUESTION</w:t>
            </w:r>
          </w:p>
        </w:tc>
        <w:tc>
          <w:tcPr>
            <w:tcW w:w="1888" w:type="dxa"/>
            <w:tcBorders>
              <w:bottom w:val="single" w:sz="8" w:space="0" w:color="auto"/>
            </w:tcBorders>
            <w:shd w:val="clear" w:color="auto" w:fill="000000" w:themeFill="text1"/>
          </w:tcPr>
          <w:p w14:paraId="7E41F742" w14:textId="77777777" w:rsidR="00EA3F46" w:rsidRPr="008F7E29" w:rsidRDefault="00EA3F46" w:rsidP="006E4A3F">
            <w:pPr>
              <w:keepNext/>
              <w:keepLines/>
              <w:jc w:val="center"/>
              <w:rPr>
                <w:rFonts w:ascii="Arial" w:hAnsi="Arial" w:cs="Arial"/>
                <w:b/>
                <w:bCs/>
                <w:sz w:val="20"/>
              </w:rPr>
            </w:pPr>
            <w:r w:rsidRPr="008F7E29">
              <w:rPr>
                <w:rFonts w:ascii="Arial" w:hAnsi="Arial" w:cs="Arial"/>
                <w:b/>
                <w:bCs/>
                <w:sz w:val="20"/>
              </w:rPr>
              <w:t>EDELMAN J</w:t>
            </w:r>
          </w:p>
        </w:tc>
      </w:tr>
      <w:tr w:rsidR="00EA3F46" w14:paraId="74F2A35A"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DDDDDD"/>
          </w:tcPr>
          <w:p w14:paraId="73491D26" w14:textId="77777777" w:rsidR="00EA3F46" w:rsidRDefault="00EA3F46" w:rsidP="006E4A3F">
            <w:pPr>
              <w:keepNext/>
              <w:keepLines/>
              <w:jc w:val="both"/>
              <w:rPr>
                <w:rFonts w:ascii="Arial" w:hAnsi="Arial" w:cs="Arial"/>
                <w:sz w:val="20"/>
              </w:rPr>
            </w:pPr>
            <w:r>
              <w:rPr>
                <w:rFonts w:ascii="Arial" w:hAnsi="Arial" w:cs="Arial"/>
                <w:sz w:val="20"/>
              </w:rPr>
              <w:t>Unnecessary to answer as the question does not arise in the proceeding.</w:t>
            </w:r>
          </w:p>
        </w:tc>
        <w:tc>
          <w:tcPr>
            <w:tcW w:w="4723" w:type="dxa"/>
            <w:tcBorders>
              <w:left w:val="single" w:sz="8" w:space="0" w:color="auto"/>
              <w:bottom w:val="single" w:sz="8" w:space="0" w:color="auto"/>
              <w:right w:val="single" w:sz="8" w:space="0" w:color="auto"/>
            </w:tcBorders>
            <w:shd w:val="clear" w:color="auto" w:fill="DDDDDD"/>
          </w:tcPr>
          <w:p w14:paraId="56F0340A" w14:textId="77777777" w:rsidR="00EA3F46" w:rsidRPr="008F7E29" w:rsidRDefault="00EA3F46" w:rsidP="006E4A3F">
            <w:pPr>
              <w:pStyle w:val="ListParagraph"/>
              <w:keepNext/>
              <w:keepLines/>
              <w:numPr>
                <w:ilvl w:val="0"/>
                <w:numId w:val="54"/>
              </w:numPr>
              <w:ind w:left="357" w:hanging="357"/>
              <w:jc w:val="both"/>
              <w:rPr>
                <w:rFonts w:ascii="Arial" w:hAnsi="Arial" w:cs="Arial"/>
                <w:sz w:val="20"/>
              </w:rPr>
            </w:pPr>
            <w:r>
              <w:rPr>
                <w:rFonts w:ascii="Arial" w:hAnsi="Arial" w:cs="Arial"/>
                <w:sz w:val="20"/>
              </w:rPr>
              <w:t xml:space="preserve">Did the meeting infringe the principles of open justice as identified in </w:t>
            </w:r>
            <w:r w:rsidRPr="008F7E29">
              <w:rPr>
                <w:rFonts w:ascii="Arial" w:hAnsi="Arial" w:cs="Arial"/>
                <w:i/>
                <w:iCs/>
                <w:sz w:val="20"/>
              </w:rPr>
              <w:t>Alec (a pseudonym) v The King</w:t>
            </w:r>
            <w:r>
              <w:rPr>
                <w:rFonts w:ascii="Arial" w:hAnsi="Arial" w:cs="Arial"/>
                <w:sz w:val="20"/>
              </w:rPr>
              <w:t xml:space="preserve"> [2023] VSCA 208?</w:t>
            </w:r>
          </w:p>
        </w:tc>
        <w:tc>
          <w:tcPr>
            <w:tcW w:w="1888" w:type="dxa"/>
            <w:tcBorders>
              <w:top w:val="single" w:sz="8" w:space="0" w:color="auto"/>
              <w:left w:val="single" w:sz="8" w:space="0" w:color="auto"/>
              <w:bottom w:val="single" w:sz="8" w:space="0" w:color="auto"/>
              <w:right w:val="single" w:sz="8" w:space="0" w:color="auto"/>
            </w:tcBorders>
            <w:shd w:val="clear" w:color="auto" w:fill="DDDDDD"/>
          </w:tcPr>
          <w:p w14:paraId="58093993" w14:textId="77777777" w:rsidR="00EA3F46" w:rsidRDefault="00EA3F46" w:rsidP="006E4A3F">
            <w:pPr>
              <w:keepNext/>
              <w:keepLines/>
              <w:jc w:val="center"/>
              <w:rPr>
                <w:rFonts w:ascii="Arial" w:hAnsi="Arial" w:cs="Arial"/>
                <w:sz w:val="20"/>
              </w:rPr>
            </w:pPr>
            <w:r>
              <w:rPr>
                <w:rFonts w:ascii="Arial" w:hAnsi="Arial" w:cs="Arial"/>
                <w:sz w:val="20"/>
              </w:rPr>
              <w:t>Yes</w:t>
            </w:r>
          </w:p>
        </w:tc>
      </w:tr>
      <w:tr w:rsidR="00EA3F46" w14:paraId="61CD8CC7"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auto"/>
          </w:tcPr>
          <w:p w14:paraId="1B71A391" w14:textId="77777777" w:rsidR="00EA3F46" w:rsidRDefault="00EA3F46" w:rsidP="004D143B">
            <w:pPr>
              <w:widowControl w:val="0"/>
              <w:jc w:val="both"/>
              <w:rPr>
                <w:rFonts w:ascii="Arial" w:hAnsi="Arial" w:cs="Arial"/>
                <w:sz w:val="20"/>
              </w:rPr>
            </w:pPr>
            <w:r>
              <w:rPr>
                <w:rFonts w:ascii="Arial" w:hAnsi="Arial" w:cs="Arial"/>
                <w:sz w:val="20"/>
              </w:rPr>
              <w:t>Unnecessary to answer as the question does not arise in the proceeding.</w:t>
            </w:r>
          </w:p>
        </w:tc>
        <w:tc>
          <w:tcPr>
            <w:tcW w:w="4723" w:type="dxa"/>
            <w:tcBorders>
              <w:top w:val="single" w:sz="8" w:space="0" w:color="auto"/>
              <w:left w:val="single" w:sz="8" w:space="0" w:color="auto"/>
              <w:bottom w:val="single" w:sz="8" w:space="0" w:color="auto"/>
              <w:right w:val="single" w:sz="8" w:space="0" w:color="auto"/>
            </w:tcBorders>
            <w:shd w:val="clear" w:color="auto" w:fill="auto"/>
          </w:tcPr>
          <w:p w14:paraId="719CAC7E" w14:textId="77777777" w:rsidR="00EA3F46" w:rsidRPr="008F7E29" w:rsidRDefault="00EA3F46" w:rsidP="004D143B">
            <w:pPr>
              <w:pStyle w:val="ListParagraph"/>
              <w:widowControl w:val="0"/>
              <w:numPr>
                <w:ilvl w:val="0"/>
                <w:numId w:val="54"/>
              </w:numPr>
              <w:ind w:left="357" w:hanging="357"/>
              <w:jc w:val="both"/>
              <w:rPr>
                <w:rFonts w:ascii="Arial" w:hAnsi="Arial" w:cs="Arial"/>
                <w:sz w:val="20"/>
              </w:rPr>
            </w:pPr>
            <w:r>
              <w:rPr>
                <w:rFonts w:ascii="Arial" w:hAnsi="Arial" w:cs="Arial"/>
                <w:sz w:val="20"/>
              </w:rPr>
              <w:t>Did the meeting bring the impartiality of the presiding judge into question?</w:t>
            </w:r>
          </w:p>
        </w:tc>
        <w:tc>
          <w:tcPr>
            <w:tcW w:w="1888" w:type="dxa"/>
            <w:tcBorders>
              <w:top w:val="single" w:sz="8" w:space="0" w:color="auto"/>
              <w:left w:val="single" w:sz="8" w:space="0" w:color="auto"/>
              <w:bottom w:val="single" w:sz="8" w:space="0" w:color="auto"/>
              <w:right w:val="single" w:sz="8" w:space="0" w:color="auto"/>
            </w:tcBorders>
            <w:shd w:val="clear" w:color="auto" w:fill="auto"/>
          </w:tcPr>
          <w:p w14:paraId="22924E2B" w14:textId="77777777" w:rsidR="00EA3F46" w:rsidRDefault="00EA3F46" w:rsidP="004D143B">
            <w:pPr>
              <w:widowControl w:val="0"/>
              <w:jc w:val="center"/>
              <w:rPr>
                <w:rFonts w:ascii="Arial" w:hAnsi="Arial" w:cs="Arial"/>
                <w:sz w:val="20"/>
              </w:rPr>
            </w:pPr>
            <w:r>
              <w:rPr>
                <w:rFonts w:ascii="Arial" w:hAnsi="Arial" w:cs="Arial"/>
                <w:sz w:val="20"/>
              </w:rPr>
              <w:t>Unnecessary to answer</w:t>
            </w:r>
          </w:p>
        </w:tc>
      </w:tr>
      <w:tr w:rsidR="00EA3F46" w:rsidRPr="00151CEA" w14:paraId="09836832"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DDDDDD"/>
          </w:tcPr>
          <w:p w14:paraId="259EA13C" w14:textId="77777777" w:rsidR="00EA3F46" w:rsidRPr="00151CEA" w:rsidRDefault="00EA3F46" w:rsidP="004D143B">
            <w:pPr>
              <w:widowControl w:val="0"/>
              <w:jc w:val="center"/>
              <w:rPr>
                <w:rFonts w:ascii="Arial" w:hAnsi="Arial" w:cs="Arial"/>
                <w:b/>
                <w:bCs/>
                <w:sz w:val="20"/>
              </w:rPr>
            </w:pPr>
            <w:r w:rsidRPr="00151CEA">
              <w:rPr>
                <w:rFonts w:ascii="Arial" w:hAnsi="Arial" w:cs="Arial"/>
                <w:b/>
                <w:bCs/>
                <w:sz w:val="20"/>
              </w:rPr>
              <w:t>No</w:t>
            </w:r>
          </w:p>
        </w:tc>
        <w:tc>
          <w:tcPr>
            <w:tcW w:w="4723" w:type="dxa"/>
            <w:tcBorders>
              <w:top w:val="single" w:sz="8" w:space="0" w:color="auto"/>
              <w:left w:val="single" w:sz="8" w:space="0" w:color="auto"/>
              <w:bottom w:val="single" w:sz="8" w:space="0" w:color="auto"/>
              <w:right w:val="single" w:sz="8" w:space="0" w:color="auto"/>
            </w:tcBorders>
            <w:shd w:val="clear" w:color="auto" w:fill="DDDDDD"/>
          </w:tcPr>
          <w:p w14:paraId="519C46B3" w14:textId="77777777" w:rsidR="00EA3F46" w:rsidRPr="00151CEA" w:rsidRDefault="00EA3F46" w:rsidP="004D143B">
            <w:pPr>
              <w:pStyle w:val="ListParagraph"/>
              <w:widowControl w:val="0"/>
              <w:numPr>
                <w:ilvl w:val="0"/>
                <w:numId w:val="54"/>
              </w:numPr>
              <w:ind w:left="357" w:hanging="357"/>
              <w:jc w:val="both"/>
              <w:rPr>
                <w:rFonts w:ascii="Arial" w:hAnsi="Arial" w:cs="Arial"/>
                <w:b/>
                <w:bCs/>
                <w:sz w:val="20"/>
              </w:rPr>
            </w:pPr>
            <w:r w:rsidRPr="00151CEA">
              <w:rPr>
                <w:rFonts w:ascii="Arial" w:hAnsi="Arial" w:cs="Arial"/>
                <w:b/>
                <w:bCs/>
                <w:sz w:val="20"/>
              </w:rPr>
              <w:t>Did the occurrence of the meeting represent a fundamental irregularity in the trial process, such as to constitute a serious departure from accepted trial processes?</w:t>
            </w:r>
          </w:p>
        </w:tc>
        <w:tc>
          <w:tcPr>
            <w:tcW w:w="1888" w:type="dxa"/>
            <w:tcBorders>
              <w:top w:val="single" w:sz="8" w:space="0" w:color="auto"/>
              <w:left w:val="single" w:sz="8" w:space="0" w:color="auto"/>
              <w:bottom w:val="single" w:sz="8" w:space="0" w:color="auto"/>
              <w:right w:val="single" w:sz="8" w:space="0" w:color="auto"/>
            </w:tcBorders>
            <w:shd w:val="clear" w:color="auto" w:fill="DDDDDD"/>
          </w:tcPr>
          <w:p w14:paraId="73511AF0" w14:textId="77777777" w:rsidR="00EA3F46" w:rsidRPr="00151CEA" w:rsidRDefault="00EA3F46" w:rsidP="004D143B">
            <w:pPr>
              <w:widowControl w:val="0"/>
              <w:jc w:val="center"/>
              <w:rPr>
                <w:rFonts w:ascii="Arial" w:hAnsi="Arial" w:cs="Arial"/>
                <w:b/>
                <w:bCs/>
                <w:sz w:val="20"/>
              </w:rPr>
            </w:pPr>
            <w:r w:rsidRPr="00151CEA">
              <w:rPr>
                <w:rFonts w:ascii="Arial" w:hAnsi="Arial" w:cs="Arial"/>
                <w:b/>
                <w:bCs/>
                <w:sz w:val="20"/>
              </w:rPr>
              <w:t>No</w:t>
            </w:r>
          </w:p>
        </w:tc>
      </w:tr>
      <w:tr w:rsidR="00016A6C" w14:paraId="148AF8EB"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auto"/>
          </w:tcPr>
          <w:p w14:paraId="7366BC60" w14:textId="77777777" w:rsidR="00B13691" w:rsidRDefault="00B13691" w:rsidP="004D143B">
            <w:pPr>
              <w:widowControl w:val="0"/>
              <w:jc w:val="both"/>
              <w:rPr>
                <w:rFonts w:ascii="Arial" w:hAnsi="Arial" w:cs="Arial"/>
                <w:sz w:val="20"/>
              </w:rPr>
            </w:pPr>
            <w:r>
              <w:rPr>
                <w:rFonts w:ascii="Arial" w:hAnsi="Arial" w:cs="Arial"/>
                <w:sz w:val="20"/>
              </w:rPr>
              <w:t>Unnecessary to answer as the question does not arise in the proceeding.</w:t>
            </w:r>
          </w:p>
        </w:tc>
        <w:tc>
          <w:tcPr>
            <w:tcW w:w="4723" w:type="dxa"/>
            <w:tcBorders>
              <w:top w:val="single" w:sz="8" w:space="0" w:color="auto"/>
              <w:left w:val="single" w:sz="8" w:space="0" w:color="auto"/>
              <w:bottom w:val="single" w:sz="8" w:space="0" w:color="auto"/>
              <w:right w:val="single" w:sz="8" w:space="0" w:color="auto"/>
            </w:tcBorders>
            <w:shd w:val="clear" w:color="auto" w:fill="auto"/>
          </w:tcPr>
          <w:p w14:paraId="4755AB55" w14:textId="77777777" w:rsidR="00B13691" w:rsidRPr="008F7E29" w:rsidRDefault="00B13691" w:rsidP="004D143B">
            <w:pPr>
              <w:pStyle w:val="ListParagraph"/>
              <w:widowControl w:val="0"/>
              <w:numPr>
                <w:ilvl w:val="0"/>
                <w:numId w:val="54"/>
              </w:numPr>
              <w:ind w:left="357" w:hanging="357"/>
              <w:jc w:val="both"/>
              <w:rPr>
                <w:rFonts w:ascii="Arial" w:hAnsi="Arial" w:cs="Arial"/>
                <w:sz w:val="20"/>
              </w:rPr>
            </w:pPr>
            <w:r>
              <w:rPr>
                <w:rFonts w:ascii="Arial" w:hAnsi="Arial" w:cs="Arial"/>
                <w:sz w:val="20"/>
              </w:rPr>
              <w:t>If the answer to questions 1, 2 and/or 3 is in the affirmative, is the only remedy for the evidence of the complainant to be taken at a further special hearing conducted before a different judge?</w:t>
            </w:r>
          </w:p>
        </w:tc>
        <w:tc>
          <w:tcPr>
            <w:tcW w:w="1888" w:type="dxa"/>
            <w:tcBorders>
              <w:top w:val="single" w:sz="8" w:space="0" w:color="auto"/>
              <w:left w:val="single" w:sz="8" w:space="0" w:color="auto"/>
              <w:bottom w:val="single" w:sz="8" w:space="0" w:color="auto"/>
              <w:right w:val="single" w:sz="8" w:space="0" w:color="auto"/>
            </w:tcBorders>
            <w:shd w:val="clear" w:color="auto" w:fill="auto"/>
          </w:tcPr>
          <w:p w14:paraId="3C9AAA7B" w14:textId="77777777" w:rsidR="00B13691" w:rsidRDefault="00B13691" w:rsidP="004D143B">
            <w:pPr>
              <w:widowControl w:val="0"/>
              <w:jc w:val="center"/>
              <w:rPr>
                <w:rFonts w:ascii="Arial" w:hAnsi="Arial" w:cs="Arial"/>
                <w:sz w:val="20"/>
              </w:rPr>
            </w:pPr>
            <w:r>
              <w:rPr>
                <w:rFonts w:ascii="Arial" w:hAnsi="Arial" w:cs="Arial"/>
                <w:sz w:val="20"/>
              </w:rPr>
              <w:t>No</w:t>
            </w:r>
          </w:p>
        </w:tc>
      </w:tr>
    </w:tbl>
    <w:p w14:paraId="016BB48A" w14:textId="77777777" w:rsidR="00B13691" w:rsidRDefault="00B13691" w:rsidP="00B13691">
      <w:pPr>
        <w:widowControl w:val="0"/>
        <w:jc w:val="both"/>
        <w:rPr>
          <w:rFonts w:ascii="Arial" w:hAnsi="Arial" w:cs="Arial"/>
          <w:sz w:val="20"/>
        </w:rPr>
      </w:pPr>
    </w:p>
    <w:p w14:paraId="1BF9D2B9" w14:textId="2F1F3E06" w:rsidR="00B13691" w:rsidRDefault="00B13691" w:rsidP="00B13691">
      <w:pPr>
        <w:widowControl w:val="0"/>
        <w:jc w:val="both"/>
        <w:rPr>
          <w:rFonts w:ascii="Arial" w:hAnsi="Arial" w:cs="Arial"/>
          <w:sz w:val="16"/>
          <w:szCs w:val="20"/>
        </w:rPr>
      </w:pPr>
      <w:r>
        <w:rPr>
          <w:rFonts w:ascii="Arial" w:hAnsi="Arial" w:cs="Arial"/>
          <w:sz w:val="20"/>
        </w:rPr>
        <w:t xml:space="preserve">The basis of the significant disparity between the reasoning in the two judgments </w:t>
      </w:r>
      <w:r w:rsidR="00016A6C">
        <w:rPr>
          <w:rFonts w:ascii="Arial" w:hAnsi="Arial" w:cs="Arial"/>
          <w:sz w:val="20"/>
        </w:rPr>
        <w:t>is their opposing</w:t>
      </w:r>
      <w:r>
        <w:rPr>
          <w:rFonts w:ascii="Arial" w:hAnsi="Arial" w:cs="Arial"/>
          <w:sz w:val="20"/>
        </w:rPr>
        <w:t xml:space="preserve"> views of the operation of s.389E(1) of the </w:t>
      </w:r>
      <w:r w:rsidRPr="0085189E">
        <w:rPr>
          <w:rFonts w:ascii="Arial" w:hAnsi="Arial" w:cs="Arial"/>
          <w:i/>
          <w:iCs/>
          <w:sz w:val="20"/>
        </w:rPr>
        <w:t>Criminal Procedure Act</w:t>
      </w:r>
      <w:r>
        <w:rPr>
          <w:rFonts w:ascii="Arial" w:hAnsi="Arial" w:cs="Arial"/>
          <w:sz w:val="20"/>
        </w:rPr>
        <w:t xml:space="preserve"> </w:t>
      </w:r>
      <w:r w:rsidRPr="00B13691">
        <w:rPr>
          <w:rFonts w:ascii="Arial" w:hAnsi="Arial" w:cs="Arial"/>
          <w:i/>
          <w:iCs/>
          <w:sz w:val="20"/>
        </w:rPr>
        <w:t>2009</w:t>
      </w:r>
      <w:r>
        <w:rPr>
          <w:rFonts w:ascii="Arial" w:hAnsi="Arial" w:cs="Arial"/>
          <w:sz w:val="20"/>
        </w:rPr>
        <w:t xml:space="preserve"> (Vic).  Under the heading “</w:t>
      </w:r>
      <w:r w:rsidRPr="0051799D">
        <w:rPr>
          <w:rFonts w:ascii="Arial" w:hAnsi="Arial" w:cs="Arial"/>
          <w:b/>
          <w:bCs/>
          <w:sz w:val="20"/>
        </w:rPr>
        <w:t>Directions which may be given at ground rules hearings</w:t>
      </w:r>
      <w:r>
        <w:rPr>
          <w:rFonts w:ascii="Arial" w:hAnsi="Arial" w:cs="Arial"/>
          <w:sz w:val="20"/>
        </w:rPr>
        <w:t>”, s.389E provides as follows:</w:t>
      </w:r>
    </w:p>
    <w:p w14:paraId="5A15CCB6" w14:textId="77777777" w:rsidR="00B13691" w:rsidRPr="0051799D" w:rsidRDefault="00B13691" w:rsidP="00B13691">
      <w:pPr>
        <w:pStyle w:val="DraftHeading2"/>
        <w:tabs>
          <w:tab w:val="right" w:pos="1247"/>
        </w:tabs>
        <w:spacing w:before="60"/>
        <w:ind w:left="908" w:right="454" w:hanging="454"/>
        <w:jc w:val="both"/>
        <w:rPr>
          <w:rFonts w:ascii="Arial" w:hAnsi="Arial" w:cs="Arial"/>
          <w:sz w:val="20"/>
          <w:szCs w:val="20"/>
        </w:rPr>
      </w:pPr>
      <w:r w:rsidRPr="0051799D">
        <w:rPr>
          <w:rFonts w:ascii="Arial" w:hAnsi="Arial" w:cs="Arial"/>
          <w:sz w:val="20"/>
          <w:szCs w:val="20"/>
        </w:rPr>
        <w:t>(1)</w:t>
      </w:r>
      <w:r w:rsidRPr="0051799D">
        <w:rPr>
          <w:rFonts w:ascii="Arial" w:hAnsi="Arial" w:cs="Arial"/>
          <w:sz w:val="20"/>
          <w:szCs w:val="20"/>
        </w:rPr>
        <w:tab/>
        <w:t>At a ground rules hearing, the court may make or vary any direction for the fair and efficient conduct of the proceeding.</w:t>
      </w:r>
    </w:p>
    <w:p w14:paraId="115B4EBB" w14:textId="77777777" w:rsidR="00B13691" w:rsidRPr="0051799D" w:rsidRDefault="00B13691" w:rsidP="00B13691">
      <w:pPr>
        <w:pStyle w:val="DraftHeading2"/>
        <w:tabs>
          <w:tab w:val="right" w:pos="1247"/>
        </w:tabs>
        <w:spacing w:before="60"/>
        <w:ind w:left="908" w:right="454" w:hanging="454"/>
        <w:jc w:val="both"/>
        <w:rPr>
          <w:rFonts w:ascii="Arial" w:hAnsi="Arial" w:cs="Arial"/>
          <w:sz w:val="20"/>
          <w:szCs w:val="20"/>
        </w:rPr>
      </w:pPr>
      <w:r w:rsidRPr="0051799D">
        <w:rPr>
          <w:rFonts w:ascii="Arial" w:hAnsi="Arial" w:cs="Arial"/>
          <w:sz w:val="20"/>
          <w:szCs w:val="20"/>
        </w:rPr>
        <w:t>(2)</w:t>
      </w:r>
      <w:r w:rsidRPr="0051799D">
        <w:rPr>
          <w:rFonts w:ascii="Arial" w:hAnsi="Arial" w:cs="Arial"/>
          <w:sz w:val="20"/>
          <w:szCs w:val="20"/>
        </w:rPr>
        <w:tab/>
        <w:t>Without limiting subsection (1), the court may give one or more of the following directions—</w:t>
      </w:r>
    </w:p>
    <w:p w14:paraId="76E8073D"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(a)</w:t>
      </w:r>
      <w:r w:rsidRPr="0051799D">
        <w:rPr>
          <w:rFonts w:ascii="Arial" w:hAnsi="Arial" w:cs="Arial"/>
          <w:sz w:val="20"/>
          <w:szCs w:val="16"/>
        </w:rPr>
        <w:tab/>
        <w:t>a direction about the manner of questioning a witness;</w:t>
      </w:r>
    </w:p>
    <w:p w14:paraId="3E6AAEEA"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(b)</w:t>
      </w:r>
      <w:r w:rsidRPr="0051799D">
        <w:rPr>
          <w:rFonts w:ascii="Arial" w:hAnsi="Arial" w:cs="Arial"/>
          <w:sz w:val="20"/>
          <w:szCs w:val="16"/>
        </w:rPr>
        <w:tab/>
        <w:t>a direction about the duration of questioning a witness;</w:t>
      </w:r>
    </w:p>
    <w:p w14:paraId="1DC5154F"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(c)</w:t>
      </w:r>
      <w:r w:rsidRPr="0051799D">
        <w:rPr>
          <w:rFonts w:ascii="Arial" w:hAnsi="Arial" w:cs="Arial"/>
          <w:sz w:val="20"/>
          <w:szCs w:val="16"/>
        </w:rPr>
        <w:tab/>
        <w:t>a direction about the questions that may or may not be put to a witness;</w:t>
      </w:r>
    </w:p>
    <w:p w14:paraId="2CCF4A6C"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(d)</w:t>
      </w:r>
      <w:r w:rsidRPr="0051799D">
        <w:rPr>
          <w:rFonts w:ascii="Arial" w:hAnsi="Arial" w:cs="Arial"/>
          <w:sz w:val="20"/>
          <w:szCs w:val="16"/>
        </w:rPr>
        <w:tab/>
        <w:t>if there is more than one accused, a direction about the allocation among the accused of the topics about which a witness may be asked;</w:t>
      </w:r>
    </w:p>
    <w:p w14:paraId="2766D918"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(e)</w:t>
      </w:r>
      <w:r w:rsidRPr="0051799D">
        <w:rPr>
          <w:rFonts w:ascii="Arial" w:hAnsi="Arial" w:cs="Arial"/>
          <w:sz w:val="20"/>
          <w:szCs w:val="16"/>
        </w:rPr>
        <w:tab/>
        <w:t>a direction about the use of models, plans, body maps or similar aids to help communicate a question or an answer;</w:t>
      </w:r>
    </w:p>
    <w:p w14:paraId="2FA3289D"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(f)</w:t>
      </w:r>
      <w:r w:rsidRPr="0051799D">
        <w:rPr>
          <w:rFonts w:ascii="Arial" w:hAnsi="Arial" w:cs="Arial"/>
          <w:sz w:val="20"/>
          <w:szCs w:val="16"/>
        </w:rPr>
        <w:tab/>
        <w:t>a direction that if a party intends to lead evidence that contradicts or challenges the evidence of a witness or that otherwise discredits a witness, the party is not obliged to put that evidence in its entirety to the witness in cross-examination.</w:t>
      </w:r>
    </w:p>
    <w:p w14:paraId="2159E009" w14:textId="77777777" w:rsidR="00B13691" w:rsidRPr="0051799D" w:rsidRDefault="00B13691" w:rsidP="00B13691">
      <w:pPr>
        <w:widowControl w:val="0"/>
        <w:jc w:val="both"/>
        <w:rPr>
          <w:rFonts w:ascii="Arial" w:hAnsi="Arial" w:cs="Arial"/>
          <w:sz w:val="20"/>
        </w:rPr>
      </w:pPr>
    </w:p>
    <w:p w14:paraId="11713AC6" w14:textId="4C7A3D3E" w:rsidR="009274E4" w:rsidRPr="009274E4" w:rsidRDefault="009909EA" w:rsidP="009274E4">
      <w:pPr>
        <w:widowControl w:val="0"/>
        <w:jc w:val="both"/>
        <w:rPr>
          <w:rFonts w:ascii="Arial" w:hAnsi="Arial" w:cs="Arial"/>
          <w:sz w:val="20"/>
        </w:rPr>
      </w:pPr>
      <w:r>
        <w:rPr>
          <w:rFonts w:ascii="Arial" w:hAnsi="Arial" w:cs="Arial"/>
          <w:sz w:val="20"/>
        </w:rPr>
        <w:t xml:space="preserve">Contrary to the reasoning at [40] of Priest JA (with whom Emerton P &amp; Macaulay JA agreed) that s.389E did not authorise </w:t>
      </w:r>
      <w:r w:rsidR="006E4A3F">
        <w:rPr>
          <w:rFonts w:ascii="Arial" w:hAnsi="Arial" w:cs="Arial"/>
          <w:sz w:val="20"/>
        </w:rPr>
        <w:t xml:space="preserve">– </w:t>
      </w:r>
      <w:r w:rsidR="00BA1E1D">
        <w:rPr>
          <w:rFonts w:ascii="Arial" w:hAnsi="Arial" w:cs="Arial"/>
          <w:sz w:val="20"/>
        </w:rPr>
        <w:t>“</w:t>
      </w:r>
      <w:r w:rsidR="006E4A3F">
        <w:rPr>
          <w:rFonts w:ascii="Arial" w:hAnsi="Arial" w:cs="Arial"/>
          <w:sz w:val="20"/>
        </w:rPr>
        <w:t xml:space="preserve">either directly or by necessary implication – a private </w:t>
      </w:r>
      <w:r>
        <w:rPr>
          <w:rFonts w:ascii="Arial" w:hAnsi="Arial" w:cs="Arial"/>
          <w:sz w:val="20"/>
        </w:rPr>
        <w:t>meeting</w:t>
      </w:r>
      <w:r w:rsidR="006E4A3F">
        <w:rPr>
          <w:rFonts w:ascii="Arial" w:hAnsi="Arial" w:cs="Arial"/>
          <w:sz w:val="20"/>
        </w:rPr>
        <w:t xml:space="preserve"> between a trial judge (whether or not accompanied by counsel) and a witness outside the courtroom</w:t>
      </w:r>
      <w:r w:rsidR="00BA1E1D">
        <w:rPr>
          <w:rFonts w:ascii="Arial" w:hAnsi="Arial" w:cs="Arial"/>
          <w:sz w:val="20"/>
        </w:rPr>
        <w:t>”, the plurality said at [2]:</w:t>
      </w:r>
    </w:p>
    <w:p w14:paraId="607E6813" w14:textId="77777777" w:rsidR="00BA1E1D" w:rsidRPr="0051799D" w:rsidRDefault="00BA1E1D" w:rsidP="00BA1E1D">
      <w:pPr>
        <w:widowControl w:val="0"/>
        <w:spacing w:before="60"/>
        <w:ind w:left="454" w:right="454"/>
        <w:jc w:val="both"/>
        <w:rPr>
          <w:rFonts w:ascii="Arial" w:hAnsi="Arial" w:cs="Arial"/>
          <w:sz w:val="20"/>
        </w:rPr>
      </w:pPr>
      <w:r>
        <w:rPr>
          <w:rFonts w:ascii="Arial" w:hAnsi="Arial" w:cs="Arial"/>
          <w:sz w:val="20"/>
        </w:rPr>
        <w:t>“</w:t>
      </w:r>
      <w:r w:rsidRPr="0051799D">
        <w:rPr>
          <w:rFonts w:ascii="Arial" w:hAnsi="Arial" w:cs="Arial"/>
          <w:sz w:val="20"/>
        </w:rPr>
        <w:t>The appeal must be allowed. As will be explained, the meeting was authorised under s</w:t>
      </w:r>
      <w:r>
        <w:rPr>
          <w:rFonts w:ascii="Arial" w:hAnsi="Arial" w:cs="Arial"/>
          <w:sz w:val="20"/>
        </w:rPr>
        <w:t> </w:t>
      </w:r>
      <w:r w:rsidRPr="0051799D">
        <w:rPr>
          <w:rFonts w:ascii="Arial" w:hAnsi="Arial" w:cs="Arial"/>
          <w:sz w:val="20"/>
        </w:rPr>
        <w:t>389</w:t>
      </w:r>
      <w:proofErr w:type="gramStart"/>
      <w:r w:rsidRPr="0051799D">
        <w:rPr>
          <w:rFonts w:ascii="Arial" w:hAnsi="Arial" w:cs="Arial"/>
          <w:sz w:val="20"/>
        </w:rPr>
        <w:t>E(</w:t>
      </w:r>
      <w:proofErr w:type="gramEnd"/>
      <w:r w:rsidRPr="0051799D">
        <w:rPr>
          <w:rFonts w:ascii="Arial" w:hAnsi="Arial" w:cs="Arial"/>
          <w:sz w:val="20"/>
        </w:rPr>
        <w:t xml:space="preserve">1) of the </w:t>
      </w:r>
      <w:r w:rsidRPr="0051799D">
        <w:rPr>
          <w:rFonts w:ascii="Arial" w:hAnsi="Arial" w:cs="Arial"/>
          <w:i/>
          <w:iCs/>
          <w:sz w:val="20"/>
        </w:rPr>
        <w:t xml:space="preserve">Criminal Procedure Act </w:t>
      </w:r>
      <w:r w:rsidRPr="0051799D">
        <w:rPr>
          <w:rFonts w:ascii="Arial" w:hAnsi="Arial" w:cs="Arial"/>
          <w:sz w:val="20"/>
        </w:rPr>
        <w:t>and did not give rise to any fundamental irregularity in the criminal proceeding. Although the meeting created a risk of an irregularity because of what could have occurred at the meeting, no such irregularity in fact occurred.</w:t>
      </w:r>
      <w:r>
        <w:rPr>
          <w:rFonts w:ascii="Arial" w:hAnsi="Arial" w:cs="Arial"/>
          <w:sz w:val="20"/>
        </w:rPr>
        <w:t>”</w:t>
      </w:r>
    </w:p>
    <w:p w14:paraId="6C6B89E0" w14:textId="77777777" w:rsidR="00BA1E1D" w:rsidRDefault="00BA1E1D" w:rsidP="00BA1E1D">
      <w:pPr>
        <w:widowControl w:val="0"/>
        <w:jc w:val="both"/>
        <w:rPr>
          <w:rFonts w:ascii="Arial" w:hAnsi="Arial" w:cs="Arial"/>
          <w:sz w:val="20"/>
        </w:rPr>
      </w:pPr>
    </w:p>
    <w:p w14:paraId="1D27BFF8" w14:textId="0D8F8C48" w:rsidR="00BA1E1D" w:rsidRDefault="00BA1E1D" w:rsidP="00BA1E1D">
      <w:pPr>
        <w:widowControl w:val="0"/>
        <w:jc w:val="both"/>
        <w:rPr>
          <w:rFonts w:ascii="Arial" w:hAnsi="Arial" w:cs="Arial"/>
          <w:sz w:val="20"/>
        </w:rPr>
      </w:pPr>
      <w:r>
        <w:rPr>
          <w:rFonts w:ascii="Arial" w:hAnsi="Arial" w:cs="Arial"/>
          <w:sz w:val="20"/>
        </w:rPr>
        <w:t xml:space="preserve">The plurality held at [59] &amp; [67]-[68] that the meeting did not contravene the relevant provisions of the </w:t>
      </w:r>
      <w:r w:rsidRPr="00BA1E1D">
        <w:rPr>
          <w:rFonts w:ascii="Arial" w:hAnsi="Arial" w:cs="Arial"/>
          <w:i/>
          <w:iCs/>
          <w:sz w:val="20"/>
        </w:rPr>
        <w:t>Charter of Human Rights and Responsibilities Act 2006</w:t>
      </w:r>
      <w:r>
        <w:rPr>
          <w:rFonts w:ascii="Arial" w:hAnsi="Arial" w:cs="Arial"/>
          <w:sz w:val="20"/>
        </w:rPr>
        <w:t xml:space="preserve"> (Vic):</w:t>
      </w:r>
    </w:p>
    <w:p w14:paraId="5AEEB3D1" w14:textId="690660A6" w:rsidR="00BA1E1D" w:rsidRDefault="00BA1E1D" w:rsidP="00BA1E1D">
      <w:pPr>
        <w:widowControl w:val="0"/>
        <w:spacing w:before="60"/>
        <w:ind w:left="454" w:right="454"/>
        <w:jc w:val="both"/>
        <w:rPr>
          <w:rFonts w:ascii="Arial" w:hAnsi="Arial" w:cs="Arial"/>
          <w:sz w:val="20"/>
        </w:rPr>
      </w:pPr>
      <w:r>
        <w:rPr>
          <w:rFonts w:ascii="Arial" w:hAnsi="Arial" w:cs="Arial"/>
          <w:sz w:val="20"/>
        </w:rPr>
        <w:t xml:space="preserve">[59] “The relevant right that a person charged with a criminal offence has under s.24(1) of the Charter is to have the charge against them </w:t>
      </w:r>
      <w:r w:rsidR="00016A6C">
        <w:rPr>
          <w:rFonts w:ascii="Arial" w:hAnsi="Arial" w:cs="Arial"/>
          <w:sz w:val="20"/>
        </w:rPr>
        <w:t>‘</w:t>
      </w:r>
      <w:r>
        <w:rPr>
          <w:rFonts w:ascii="Arial" w:hAnsi="Arial" w:cs="Arial"/>
          <w:sz w:val="20"/>
        </w:rPr>
        <w:t>decided…after a fair and public hearing</w:t>
      </w:r>
      <w:r w:rsidR="00016A6C">
        <w:rPr>
          <w:rFonts w:ascii="Arial" w:hAnsi="Arial" w:cs="Arial"/>
          <w:sz w:val="20"/>
        </w:rPr>
        <w:t>’</w:t>
      </w:r>
      <w:r>
        <w:rPr>
          <w:rFonts w:ascii="Arial" w:hAnsi="Arial" w:cs="Arial"/>
          <w:sz w:val="20"/>
        </w:rPr>
        <w:t xml:space="preserve">.  For the reasons below, the meeting between the complainant, the judge and counsel, which occurred prior to the direction made under s.389E(1) of the </w:t>
      </w:r>
      <w:r w:rsidRPr="0051799D">
        <w:rPr>
          <w:rFonts w:ascii="Arial" w:hAnsi="Arial" w:cs="Arial"/>
          <w:i/>
          <w:iCs/>
          <w:sz w:val="20"/>
        </w:rPr>
        <w:t>Criminal Procedure Ac</w:t>
      </w:r>
      <w:r>
        <w:rPr>
          <w:rFonts w:ascii="Arial" w:hAnsi="Arial" w:cs="Arial"/>
          <w:i/>
          <w:iCs/>
          <w:sz w:val="20"/>
        </w:rPr>
        <w:t>t</w:t>
      </w:r>
      <w:r w:rsidRPr="00BA1E1D">
        <w:rPr>
          <w:rFonts w:ascii="Arial" w:hAnsi="Arial" w:cs="Arial"/>
          <w:sz w:val="20"/>
        </w:rPr>
        <w:t xml:space="preserve">, was not </w:t>
      </w:r>
      <w:r>
        <w:rPr>
          <w:rFonts w:ascii="Arial" w:hAnsi="Arial" w:cs="Arial"/>
          <w:sz w:val="20"/>
        </w:rPr>
        <w:t>itself a ‘hearing’ and nothing that occurred at the meeting was required to occur in a ‘hearing’ in order to be compatible with the right protected by the Charter.”</w:t>
      </w:r>
    </w:p>
    <w:p w14:paraId="1E692DF0" w14:textId="1892A2BA" w:rsidR="00BA1E1D" w:rsidRDefault="00BA1E1D" w:rsidP="00BA1E1D">
      <w:pPr>
        <w:widowControl w:val="0"/>
        <w:spacing w:before="60"/>
        <w:ind w:left="454" w:right="454"/>
        <w:jc w:val="both"/>
        <w:rPr>
          <w:rFonts w:ascii="Arial" w:hAnsi="Arial" w:cs="Arial"/>
          <w:sz w:val="20"/>
        </w:rPr>
      </w:pPr>
      <w:r>
        <w:rPr>
          <w:rFonts w:ascii="Arial" w:hAnsi="Arial" w:cs="Arial"/>
          <w:sz w:val="20"/>
        </w:rPr>
        <w:t xml:space="preserve">[67] “In this case, the direction to hold the meeting made at the ground rules hearing was an exercise of judicial power as it determined that the meeting should be held in order to facilitate the </w:t>
      </w:r>
      <w:r w:rsidR="00752441">
        <w:rPr>
          <w:rFonts w:ascii="Arial" w:hAnsi="Arial" w:cs="Arial"/>
          <w:sz w:val="20"/>
        </w:rPr>
        <w:t>complainant giving evidence at the special hearing.  But it was not proposed that, at the meeting, any judicial power be exercised, and, in fact, no judicial power was exercised.  As such, and contrary to the submissions for the accused, the meeting itself, in contrast to the ground rules hearing, did not have ‘the hallmarks of a hearing’.  No exercise of judicial power of any kind was proposed, or sought, or occurred.  At most, the meeting was preliminary to the proposed exercise of judicial power in the special hearing to be held on the day after the meeting.”</w:t>
      </w:r>
    </w:p>
    <w:p w14:paraId="7485FF2B" w14:textId="7258D123" w:rsidR="00752441" w:rsidRPr="00752441" w:rsidRDefault="00752441" w:rsidP="00752441">
      <w:pPr>
        <w:widowControl w:val="0"/>
        <w:spacing w:before="60"/>
        <w:ind w:left="454" w:right="454"/>
        <w:jc w:val="both"/>
        <w:rPr>
          <w:rFonts w:ascii="Arial" w:hAnsi="Arial" w:cs="Arial"/>
          <w:sz w:val="20"/>
        </w:rPr>
      </w:pPr>
      <w:r>
        <w:rPr>
          <w:rFonts w:ascii="Arial" w:hAnsi="Arial" w:cs="Arial"/>
          <w:sz w:val="20"/>
        </w:rPr>
        <w:lastRenderedPageBreak/>
        <w:t xml:space="preserve">[68] “It would be wrong to construe ‘hearing’ in s.24(1) of the Charter to mean only the ‘trial’ of an accused.  But it would also be wrong to construe s.24(1) as if ‘hearing’ refers to every circumstance involving the exercise of any power, administrative or judicial, which a court might be called upon to exercise in a criminal proceeding. </w:t>
      </w:r>
      <w:r w:rsidRPr="00752441">
        <w:rPr>
          <w:rFonts w:ascii="Arial" w:hAnsi="Arial" w:cs="Arial"/>
          <w:sz w:val="20"/>
        </w:rPr>
        <w:t xml:space="preserve">In conducting (in contrast to directing the holding of) the meeting, the court was not exercising jurisdiction. It was performing a non-judicial function preliminary to the exercise of jurisdiction in holding the special hearing. Given the carefully calibrated scheme of the </w:t>
      </w:r>
      <w:r w:rsidRPr="00752441">
        <w:rPr>
          <w:rFonts w:ascii="Arial" w:hAnsi="Arial" w:cs="Arial"/>
          <w:i/>
          <w:iCs/>
          <w:sz w:val="20"/>
        </w:rPr>
        <w:t>Criminal Procedure Act</w:t>
      </w:r>
      <w:r w:rsidRPr="00752441">
        <w:rPr>
          <w:rFonts w:ascii="Arial" w:hAnsi="Arial" w:cs="Arial"/>
          <w:sz w:val="20"/>
        </w:rPr>
        <w:t>, there is no basis to construe s 389</w:t>
      </w:r>
      <w:proofErr w:type="gramStart"/>
      <w:r w:rsidRPr="00752441">
        <w:rPr>
          <w:rFonts w:ascii="Arial" w:hAnsi="Arial" w:cs="Arial"/>
          <w:sz w:val="20"/>
        </w:rPr>
        <w:t>E(</w:t>
      </w:r>
      <w:proofErr w:type="gramEnd"/>
      <w:r w:rsidRPr="00752441">
        <w:rPr>
          <w:rFonts w:ascii="Arial" w:hAnsi="Arial" w:cs="Arial"/>
          <w:sz w:val="20"/>
        </w:rPr>
        <w:t>1) more narrowly than its language permits by reason of (non-existent) incompatibility with s 24(1) of the Charter. Section 24(1) of the Charter accordingly furnishes no basis for construing s 389</w:t>
      </w:r>
      <w:proofErr w:type="gramStart"/>
      <w:r w:rsidRPr="00752441">
        <w:rPr>
          <w:rFonts w:ascii="Arial" w:hAnsi="Arial" w:cs="Arial"/>
          <w:sz w:val="20"/>
        </w:rPr>
        <w:t>E(</w:t>
      </w:r>
      <w:proofErr w:type="gramEnd"/>
      <w:r w:rsidRPr="00752441">
        <w:rPr>
          <w:rFonts w:ascii="Arial" w:hAnsi="Arial" w:cs="Arial"/>
          <w:sz w:val="20"/>
        </w:rPr>
        <w:t>1) to exclude power to direct the holding of the meeting.</w:t>
      </w:r>
      <w:r w:rsidR="00DE545C">
        <w:rPr>
          <w:rFonts w:ascii="Arial" w:hAnsi="Arial" w:cs="Arial"/>
          <w:sz w:val="20"/>
        </w:rPr>
        <w:t>”</w:t>
      </w:r>
    </w:p>
    <w:p w14:paraId="2422C63A" w14:textId="77777777" w:rsidR="00BA1E1D" w:rsidRDefault="00BA1E1D" w:rsidP="00BA1E1D">
      <w:pPr>
        <w:widowControl w:val="0"/>
        <w:jc w:val="both"/>
        <w:rPr>
          <w:rFonts w:ascii="Arial" w:hAnsi="Arial" w:cs="Arial"/>
          <w:sz w:val="20"/>
        </w:rPr>
      </w:pPr>
    </w:p>
    <w:p w14:paraId="031A058A" w14:textId="75CF06FE" w:rsidR="00116847" w:rsidRDefault="00DE545C" w:rsidP="00116847">
      <w:pPr>
        <w:widowControl w:val="0"/>
        <w:jc w:val="both"/>
        <w:rPr>
          <w:rFonts w:ascii="Arial" w:hAnsi="Arial" w:cs="Arial"/>
          <w:sz w:val="20"/>
        </w:rPr>
      </w:pPr>
      <w:r>
        <w:rPr>
          <w:rFonts w:ascii="Arial" w:hAnsi="Arial" w:cs="Arial"/>
          <w:sz w:val="20"/>
        </w:rPr>
        <w:t xml:space="preserve">The plurality also </w:t>
      </w:r>
      <w:r w:rsidR="002534D3">
        <w:rPr>
          <w:rFonts w:ascii="Arial" w:hAnsi="Arial" w:cs="Arial"/>
          <w:sz w:val="20"/>
        </w:rPr>
        <w:t>state</w:t>
      </w:r>
      <w:r>
        <w:rPr>
          <w:rFonts w:ascii="Arial" w:hAnsi="Arial" w:cs="Arial"/>
          <w:sz w:val="20"/>
        </w:rPr>
        <w:t>d at [82]-[83] &amp; [91]:</w:t>
      </w:r>
    </w:p>
    <w:p w14:paraId="1DAEB482" w14:textId="25484567" w:rsidR="00DE545C" w:rsidRDefault="00DE545C" w:rsidP="00DE545C">
      <w:pPr>
        <w:widowControl w:val="0"/>
        <w:spacing w:before="60"/>
        <w:ind w:left="454" w:right="454"/>
        <w:jc w:val="both"/>
        <w:rPr>
          <w:rFonts w:ascii="Arial" w:hAnsi="Arial" w:cs="Arial"/>
          <w:sz w:val="20"/>
        </w:rPr>
      </w:pPr>
      <w:r>
        <w:rPr>
          <w:rFonts w:ascii="Arial" w:hAnsi="Arial" w:cs="Arial"/>
          <w:sz w:val="20"/>
        </w:rPr>
        <w:t>[82] “…[N]o authority is to be understood as imposing an absolute rule that an accused must be present throughout their trial to avoid a miscarriage of justice (let alone throughout every administrative or judicial step in a criminal proceeding</w:t>
      </w:r>
      <w:r w:rsidR="004B36F9">
        <w:rPr>
          <w:rFonts w:ascii="Arial" w:hAnsi="Arial" w:cs="Arial"/>
          <w:sz w:val="20"/>
        </w:rPr>
        <w:t>)</w:t>
      </w:r>
      <w:r>
        <w:rPr>
          <w:rFonts w:ascii="Arial" w:hAnsi="Arial" w:cs="Arial"/>
          <w:sz w:val="20"/>
        </w:rPr>
        <w:t xml:space="preserve">.  Even at common law, there are exceptions to this rule: e.g. </w:t>
      </w:r>
      <w:r w:rsidRPr="00DE545C">
        <w:rPr>
          <w:rFonts w:ascii="Arial" w:hAnsi="Arial" w:cs="Arial"/>
          <w:i/>
          <w:iCs/>
          <w:sz w:val="20"/>
        </w:rPr>
        <w:t>R v Gee</w:t>
      </w:r>
      <w:r>
        <w:rPr>
          <w:rFonts w:ascii="Arial" w:hAnsi="Arial" w:cs="Arial"/>
          <w:sz w:val="20"/>
        </w:rPr>
        <w:t xml:space="preserve"> (2012) 113 SASR 372 at 388 [61]-[62]; </w:t>
      </w:r>
      <w:r w:rsidRPr="00DE545C">
        <w:rPr>
          <w:rFonts w:ascii="Arial" w:hAnsi="Arial" w:cs="Arial"/>
          <w:i/>
          <w:iCs/>
          <w:sz w:val="20"/>
        </w:rPr>
        <w:t>R v Chute [No 4]</w:t>
      </w:r>
      <w:r>
        <w:rPr>
          <w:rFonts w:ascii="Arial" w:hAnsi="Arial" w:cs="Arial"/>
          <w:sz w:val="20"/>
        </w:rPr>
        <w:t xml:space="preserve"> (2018) 337 FLR 222 at 243-244 [81]-[82] and the cases cited therein…”</w:t>
      </w:r>
    </w:p>
    <w:p w14:paraId="12ECB607" w14:textId="15714521" w:rsidR="00DE545C" w:rsidRDefault="00DE545C" w:rsidP="00DE545C">
      <w:pPr>
        <w:widowControl w:val="0"/>
        <w:spacing w:before="60"/>
        <w:ind w:left="454" w:right="454"/>
        <w:jc w:val="both"/>
        <w:rPr>
          <w:rFonts w:ascii="Arial" w:hAnsi="Arial" w:cs="Arial"/>
          <w:sz w:val="20"/>
        </w:rPr>
      </w:pPr>
      <w:r>
        <w:rPr>
          <w:rFonts w:ascii="Arial" w:hAnsi="Arial" w:cs="Arial"/>
          <w:sz w:val="20"/>
        </w:rPr>
        <w:t xml:space="preserve">[83] “…The Court of Appeal was wrong to conclude that s.389E(1) of the </w:t>
      </w:r>
      <w:r w:rsidRPr="002534D3">
        <w:rPr>
          <w:rFonts w:ascii="Arial" w:hAnsi="Arial" w:cs="Arial"/>
          <w:i/>
          <w:iCs/>
          <w:sz w:val="20"/>
        </w:rPr>
        <w:t>Criminal Procedure Act</w:t>
      </w:r>
      <w:r>
        <w:rPr>
          <w:rFonts w:ascii="Arial" w:hAnsi="Arial" w:cs="Arial"/>
          <w:sz w:val="20"/>
        </w:rPr>
        <w:t xml:space="preserve"> does not authorise the direction of ‘a private meeting between a trial judge </w:t>
      </w:r>
      <w:r w:rsidR="002534D3">
        <w:rPr>
          <w:rFonts w:ascii="Arial" w:hAnsi="Arial" w:cs="Arial"/>
          <w:sz w:val="20"/>
        </w:rPr>
        <w:t xml:space="preserve">(whether or not accompanied by counsel) and a witness outside the courtroom’.  </w:t>
      </w:r>
      <w:r w:rsidR="002534D3" w:rsidRPr="002534D3">
        <w:rPr>
          <w:rFonts w:ascii="Arial" w:hAnsi="Arial" w:cs="Arial"/>
          <w:i/>
          <w:iCs/>
          <w:sz w:val="20"/>
        </w:rPr>
        <w:t>Alec</w:t>
      </w:r>
      <w:r w:rsidR="002534D3">
        <w:rPr>
          <w:rFonts w:ascii="Arial" w:hAnsi="Arial" w:cs="Arial"/>
          <w:sz w:val="20"/>
        </w:rPr>
        <w:t xml:space="preserve"> does not support that statement.  </w:t>
      </w:r>
      <w:r w:rsidR="002534D3" w:rsidRPr="002534D3">
        <w:rPr>
          <w:rFonts w:ascii="Arial" w:hAnsi="Arial" w:cs="Arial"/>
          <w:b/>
          <w:bCs/>
          <w:sz w:val="20"/>
        </w:rPr>
        <w:t>The issue is not lack of power, but</w:t>
      </w:r>
      <w:r w:rsidR="002534D3">
        <w:rPr>
          <w:rFonts w:ascii="Arial" w:hAnsi="Arial" w:cs="Arial"/>
          <w:sz w:val="20"/>
        </w:rPr>
        <w:t xml:space="preserve"> (as the reasoning in </w:t>
      </w:r>
      <w:r w:rsidR="002534D3" w:rsidRPr="002534D3">
        <w:rPr>
          <w:rFonts w:ascii="Arial" w:hAnsi="Arial" w:cs="Arial"/>
          <w:i/>
          <w:iCs/>
          <w:sz w:val="20"/>
        </w:rPr>
        <w:t>Alec</w:t>
      </w:r>
      <w:r w:rsidR="002534D3">
        <w:rPr>
          <w:rFonts w:ascii="Arial" w:hAnsi="Arial" w:cs="Arial"/>
          <w:sz w:val="20"/>
        </w:rPr>
        <w:t xml:space="preserve"> correctly exposes at [32]-[38]) </w:t>
      </w:r>
      <w:r w:rsidR="002534D3" w:rsidRPr="002534D3">
        <w:rPr>
          <w:rFonts w:ascii="Arial" w:hAnsi="Arial" w:cs="Arial"/>
          <w:b/>
          <w:bCs/>
          <w:sz w:val="20"/>
        </w:rPr>
        <w:t>the apprehension of bias that ordinarily would arise if a judge met a witness in the absence of legal representatives for all parties.</w:t>
      </w:r>
      <w:r w:rsidR="002534D3">
        <w:rPr>
          <w:rFonts w:ascii="Arial" w:hAnsi="Arial" w:cs="Arial"/>
          <w:sz w:val="20"/>
        </w:rPr>
        <w:t>” [emphasis added]</w:t>
      </w:r>
    </w:p>
    <w:p w14:paraId="72389F65" w14:textId="419216C8" w:rsidR="002534D3" w:rsidRDefault="002534D3" w:rsidP="00DE545C">
      <w:pPr>
        <w:widowControl w:val="0"/>
        <w:spacing w:before="60"/>
        <w:ind w:left="454" w:right="454"/>
        <w:jc w:val="both"/>
        <w:rPr>
          <w:rFonts w:ascii="Arial" w:hAnsi="Arial" w:cs="Arial"/>
          <w:sz w:val="20"/>
        </w:rPr>
      </w:pPr>
      <w:r>
        <w:rPr>
          <w:rFonts w:ascii="Arial" w:hAnsi="Arial" w:cs="Arial"/>
          <w:sz w:val="20"/>
        </w:rPr>
        <w:t>[91] “Neither the occurrence of the meeting (in the unchallengeable circumstances in which and as it occurred) nor the admission into evidence at the trial of the accused of the recording of the special hearing constituted or would constitute a fundamental irregularity in the trial process.  This is because, in the circumstances in which and as the meeting occurred, it cannot be concluded that ‘a fair-minded lay observer might reasonably apprehend that the judge might not b</w:t>
      </w:r>
      <w:r w:rsidR="004B36F9">
        <w:rPr>
          <w:rFonts w:ascii="Arial" w:hAnsi="Arial" w:cs="Arial"/>
          <w:sz w:val="20"/>
        </w:rPr>
        <w:t>r</w:t>
      </w:r>
      <w:r>
        <w:rPr>
          <w:rFonts w:ascii="Arial" w:hAnsi="Arial" w:cs="Arial"/>
          <w:sz w:val="20"/>
        </w:rPr>
        <w:t xml:space="preserve">ing an impartial mind to the resolution of the question the judge is required to decide’: </w:t>
      </w:r>
      <w:proofErr w:type="spellStart"/>
      <w:r w:rsidRPr="002534D3">
        <w:rPr>
          <w:rFonts w:ascii="Arial" w:hAnsi="Arial" w:cs="Arial"/>
          <w:i/>
          <w:iCs/>
          <w:sz w:val="20"/>
        </w:rPr>
        <w:t>Charisteas</w:t>
      </w:r>
      <w:proofErr w:type="spellEnd"/>
      <w:r w:rsidRPr="002534D3">
        <w:rPr>
          <w:rFonts w:ascii="Arial" w:hAnsi="Arial" w:cs="Arial"/>
          <w:i/>
          <w:iCs/>
          <w:sz w:val="20"/>
        </w:rPr>
        <w:t xml:space="preserve"> v </w:t>
      </w:r>
      <w:proofErr w:type="spellStart"/>
      <w:r w:rsidRPr="002534D3">
        <w:rPr>
          <w:rFonts w:ascii="Arial" w:hAnsi="Arial" w:cs="Arial"/>
          <w:i/>
          <w:iCs/>
          <w:sz w:val="20"/>
        </w:rPr>
        <w:t>Charisteas</w:t>
      </w:r>
      <w:proofErr w:type="spellEnd"/>
      <w:r>
        <w:rPr>
          <w:rFonts w:ascii="Arial" w:hAnsi="Arial" w:cs="Arial"/>
          <w:sz w:val="20"/>
        </w:rPr>
        <w:t xml:space="preserve"> (2021) 273 CLR 289 at 296 [11], applying </w:t>
      </w:r>
      <w:r w:rsidRPr="002534D3">
        <w:rPr>
          <w:rFonts w:ascii="Arial" w:hAnsi="Arial" w:cs="Arial"/>
          <w:i/>
          <w:iCs/>
          <w:sz w:val="20"/>
        </w:rPr>
        <w:t>Ebner v Official Trustee in Bankruptcy</w:t>
      </w:r>
      <w:r>
        <w:rPr>
          <w:rFonts w:ascii="Arial" w:hAnsi="Arial" w:cs="Arial"/>
          <w:sz w:val="20"/>
        </w:rPr>
        <w:t xml:space="preserve"> (2000) 205 CLR 337.”</w:t>
      </w:r>
    </w:p>
    <w:p w14:paraId="63D86756" w14:textId="77777777" w:rsidR="00351DB0" w:rsidRDefault="00351DB0" w:rsidP="006461A4">
      <w:pPr>
        <w:widowControl w:val="0"/>
        <w:jc w:val="both"/>
        <w:rPr>
          <w:rFonts w:ascii="Arial" w:hAnsi="Arial" w:cs="Arial"/>
          <w:sz w:val="20"/>
        </w:rPr>
      </w:pPr>
    </w:p>
    <w:p w14:paraId="175FDE8F" w14:textId="1DF47E9B" w:rsidR="00DE545C" w:rsidRDefault="002534D3" w:rsidP="006461A4">
      <w:pPr>
        <w:widowControl w:val="0"/>
        <w:jc w:val="both"/>
        <w:rPr>
          <w:rFonts w:ascii="Arial" w:hAnsi="Arial" w:cs="Arial"/>
          <w:sz w:val="20"/>
        </w:rPr>
      </w:pPr>
      <w:r>
        <w:rPr>
          <w:rFonts w:ascii="Arial" w:hAnsi="Arial" w:cs="Arial"/>
          <w:sz w:val="20"/>
        </w:rPr>
        <w:t xml:space="preserve">By contrast, at [104]-[106] Edelman took a totally different view of the </w:t>
      </w:r>
      <w:r w:rsidR="00E25C2E">
        <w:rPr>
          <w:rFonts w:ascii="Arial" w:hAnsi="Arial" w:cs="Arial"/>
          <w:sz w:val="20"/>
        </w:rPr>
        <w:t xml:space="preserve">width of the </w:t>
      </w:r>
      <w:r>
        <w:rPr>
          <w:rFonts w:ascii="Arial" w:hAnsi="Arial" w:cs="Arial"/>
          <w:sz w:val="20"/>
        </w:rPr>
        <w:t xml:space="preserve">power conferred by s.389E(1) of the </w:t>
      </w:r>
      <w:r w:rsidRPr="002534D3">
        <w:rPr>
          <w:rFonts w:ascii="Arial" w:hAnsi="Arial" w:cs="Arial"/>
          <w:i/>
          <w:iCs/>
          <w:sz w:val="20"/>
        </w:rPr>
        <w:t>Criminal Procedure Act 2009</w:t>
      </w:r>
      <w:r>
        <w:rPr>
          <w:rFonts w:ascii="Arial" w:hAnsi="Arial" w:cs="Arial"/>
          <w:sz w:val="20"/>
        </w:rPr>
        <w:t>:</w:t>
      </w:r>
    </w:p>
    <w:p w14:paraId="6A696387" w14:textId="1A7B235E" w:rsidR="00E25C2E" w:rsidRDefault="00E25C2E" w:rsidP="00E25C2E">
      <w:pPr>
        <w:widowControl w:val="0"/>
        <w:spacing w:before="60"/>
        <w:ind w:left="454" w:right="454"/>
        <w:jc w:val="both"/>
        <w:rPr>
          <w:rFonts w:ascii="Arial" w:hAnsi="Arial" w:cs="Arial"/>
          <w:sz w:val="20"/>
        </w:rPr>
      </w:pPr>
      <w:r>
        <w:rPr>
          <w:rFonts w:ascii="Arial" w:hAnsi="Arial" w:cs="Arial"/>
          <w:sz w:val="20"/>
        </w:rPr>
        <w:t>[104] “</w:t>
      </w:r>
      <w:r w:rsidRPr="00E25C2E">
        <w:rPr>
          <w:rFonts w:ascii="Arial" w:hAnsi="Arial" w:cs="Arial"/>
          <w:sz w:val="20"/>
        </w:rPr>
        <w:t xml:space="preserve">The private meeting from which the accused was excluded was a well-intentioned attempt to address an understandable concern with the discomfort of a nervous child complainant before the difficult experience of giving evidence. But there were other ways of addressing this concern. In both </w:t>
      </w:r>
      <w:r w:rsidRPr="00E25C2E">
        <w:rPr>
          <w:rFonts w:ascii="Arial" w:hAnsi="Arial" w:cs="Arial"/>
          <w:i/>
          <w:iCs/>
          <w:sz w:val="20"/>
        </w:rPr>
        <w:t xml:space="preserve">Alec (a pseudonym) v The King </w:t>
      </w:r>
      <w:r w:rsidRPr="00E25C2E">
        <w:rPr>
          <w:rFonts w:ascii="Arial" w:hAnsi="Arial" w:cs="Arial"/>
          <w:sz w:val="20"/>
        </w:rPr>
        <w:t xml:space="preserve">and this proceeding the Court of Appeal was correct that the directions to hold private meetings with the complainants were irregular, particularly as the directions were made, and the private hearings were attended, by the judges who then presided over the special hearings. </w:t>
      </w:r>
      <w:r w:rsidRPr="00E25C2E">
        <w:rPr>
          <w:rFonts w:ascii="Arial" w:hAnsi="Arial" w:cs="Arial"/>
          <w:b/>
          <w:bCs/>
          <w:sz w:val="20"/>
        </w:rPr>
        <w:t>In neither case did the directions fall within the power under s 389</w:t>
      </w:r>
      <w:proofErr w:type="gramStart"/>
      <w:r w:rsidRPr="00E25C2E">
        <w:rPr>
          <w:rFonts w:ascii="Arial" w:hAnsi="Arial" w:cs="Arial"/>
          <w:b/>
          <w:bCs/>
          <w:sz w:val="20"/>
        </w:rPr>
        <w:t>E(</w:t>
      </w:r>
      <w:proofErr w:type="gramEnd"/>
      <w:r w:rsidRPr="00E25C2E">
        <w:rPr>
          <w:rFonts w:ascii="Arial" w:hAnsi="Arial" w:cs="Arial"/>
          <w:b/>
          <w:bCs/>
          <w:sz w:val="20"/>
        </w:rPr>
        <w:t>1) to make directions ‘for the fair and efficient conduct of the proceeding’.</w:t>
      </w:r>
      <w:r w:rsidRPr="00E25C2E">
        <w:rPr>
          <w:rFonts w:ascii="Arial" w:hAnsi="Arial" w:cs="Arial"/>
          <w:sz w:val="20"/>
        </w:rPr>
        <w:t xml:space="preserve"> To the contrary, in both cases the meetings caused inefficiency and had the potential to undermine the fairness ideals of the system of criminal justice. This conclusion is powerfully reinforced by the </w:t>
      </w:r>
      <w:r w:rsidRPr="00E25C2E">
        <w:rPr>
          <w:rFonts w:ascii="Arial" w:hAnsi="Arial" w:cs="Arial"/>
          <w:i/>
          <w:iCs/>
          <w:sz w:val="20"/>
        </w:rPr>
        <w:t xml:space="preserve">Charter of Human Rights and Responsibilities Act 2006 </w:t>
      </w:r>
      <w:r w:rsidRPr="00E25C2E">
        <w:rPr>
          <w:rFonts w:ascii="Arial" w:hAnsi="Arial" w:cs="Arial"/>
          <w:sz w:val="20"/>
        </w:rPr>
        <w:t>(Vic)</w:t>
      </w:r>
      <w:r>
        <w:rPr>
          <w:rFonts w:ascii="Arial" w:hAnsi="Arial" w:cs="Arial"/>
          <w:sz w:val="20"/>
        </w:rPr>
        <w:t>.” [emphasis added]</w:t>
      </w:r>
    </w:p>
    <w:p w14:paraId="55E9211B" w14:textId="37331F64"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[105] </w:t>
      </w:r>
      <w:r w:rsidRPr="00E25C2E">
        <w:rPr>
          <w:rFonts w:ascii="Arial" w:hAnsi="Arial" w:cs="Arial"/>
          <w:sz w:val="20"/>
        </w:rPr>
        <w:t>In the present proceeding, what would have happened if the complainant had said something at the private meeting which was relevant to a fact in issue at the trial? If the precise content of that statement were disputed by the complainant, could counsel for the accused have given evidence about it at the trial?</w:t>
      </w:r>
      <w:r>
        <w:rPr>
          <w:rFonts w:ascii="Arial" w:hAnsi="Arial" w:cs="Arial"/>
          <w:sz w:val="20"/>
        </w:rPr>
        <w:t xml:space="preserve"> See s.43 </w:t>
      </w:r>
      <w:r w:rsidRPr="00E25C2E">
        <w:rPr>
          <w:rFonts w:ascii="Arial" w:hAnsi="Arial" w:cs="Arial"/>
          <w:i/>
          <w:iCs/>
          <w:sz w:val="20"/>
        </w:rPr>
        <w:t>Evidence Act 2008</w:t>
      </w:r>
      <w:r>
        <w:rPr>
          <w:rFonts w:ascii="Arial" w:hAnsi="Arial" w:cs="Arial"/>
          <w:sz w:val="20"/>
        </w:rPr>
        <w:t xml:space="preserve"> (Vic). </w:t>
      </w:r>
      <w:r w:rsidRPr="00E25C2E">
        <w:rPr>
          <w:rFonts w:ascii="Arial" w:hAnsi="Arial" w:cs="Arial"/>
          <w:sz w:val="20"/>
        </w:rPr>
        <w:t>Would the accused then have been required to obtain new counsel? Could the judge have referred to their recollection of the statement? What would have happened if comments or conduct by the judge at the private meeting were considered by counsel for the accused as demonstrating an apprehension of bias? Who could have given evidence and been cross-examined on the appeal if the judge refused an</w:t>
      </w:r>
      <w:r>
        <w:rPr>
          <w:rFonts w:ascii="Arial" w:hAnsi="Arial" w:cs="Arial"/>
          <w:sz w:val="20"/>
        </w:rPr>
        <w:t xml:space="preserve"> application for recusal but the judge’s factual account of the comments or conduct at the private meeting was disputed or said to be incomplete?</w:t>
      </w:r>
    </w:p>
    <w:p w14:paraId="48A77E93" w14:textId="0CAC8699"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[106] </w:t>
      </w:r>
      <w:r w:rsidRPr="00E25C2E">
        <w:rPr>
          <w:rFonts w:ascii="Arial" w:hAnsi="Arial" w:cs="Arial"/>
          <w:sz w:val="20"/>
        </w:rPr>
        <w:t xml:space="preserve">Ultimately, however, in the circumstances of this case, the private meeting, whilst irregular, did not amount to a fundamental irregularity. For the reasons below, the Court of Appeal was correct to answer the questions reserved to the effect that the private meeting was irregular but was not correct to conclude that the private meeting was a fundamental </w:t>
      </w:r>
      <w:r w:rsidRPr="00E25C2E">
        <w:rPr>
          <w:rFonts w:ascii="Arial" w:hAnsi="Arial" w:cs="Arial"/>
          <w:sz w:val="20"/>
        </w:rPr>
        <w:lastRenderedPageBreak/>
        <w:t>irregularity which required the evidence of the complainant to be retaken at another special hearing before a different judge. Although my conclusion differs from the Court of Appeal in part, my conclusion is heavily dependent upon the limited facts before this Court; I</w:t>
      </w:r>
      <w:r>
        <w:rPr>
          <w:rFonts w:ascii="Arial" w:hAnsi="Arial" w:cs="Arial"/>
          <w:sz w:val="20"/>
        </w:rPr>
        <w:t> </w:t>
      </w:r>
      <w:r w:rsidRPr="00E25C2E">
        <w:rPr>
          <w:rFonts w:ascii="Arial" w:hAnsi="Arial" w:cs="Arial"/>
          <w:sz w:val="20"/>
        </w:rPr>
        <w:t>acknowledge the real force in the reasoning of the Court of Appeal and the grave dangers of private meetings in advance of trial that are attended by a judge and a prosecution witness.</w:t>
      </w:r>
      <w:r>
        <w:rPr>
          <w:rFonts w:ascii="Arial" w:hAnsi="Arial" w:cs="Arial"/>
          <w:sz w:val="20"/>
        </w:rPr>
        <w:t>”</w:t>
      </w:r>
    </w:p>
    <w:p w14:paraId="4D1B40AC" w14:textId="77777777" w:rsidR="00DE545C" w:rsidRDefault="00DE545C" w:rsidP="006461A4">
      <w:pPr>
        <w:widowControl w:val="0"/>
        <w:jc w:val="both"/>
        <w:rPr>
          <w:rFonts w:ascii="Arial" w:hAnsi="Arial" w:cs="Arial"/>
          <w:sz w:val="20"/>
        </w:rPr>
      </w:pPr>
    </w:p>
    <w:p w14:paraId="25FCCE00" w14:textId="48C15C89" w:rsidR="0085189E" w:rsidRDefault="00E25C2E" w:rsidP="0085189E">
      <w:pPr>
        <w:widowControl w:val="0"/>
        <w:jc w:val="both"/>
        <w:rPr>
          <w:rFonts w:ascii="Arial" w:hAnsi="Arial" w:cs="Arial"/>
          <w:sz w:val="20"/>
        </w:rPr>
      </w:pPr>
      <w:r>
        <w:rPr>
          <w:rFonts w:ascii="Arial" w:hAnsi="Arial" w:cs="Arial"/>
          <w:sz w:val="20"/>
        </w:rPr>
        <w:t>Ultimately, in his concluding paragraph Edelman J summarised the essential disparity between the two High Court judgments as follows:</w:t>
      </w:r>
    </w:p>
    <w:p w14:paraId="08F86CCA" w14:textId="60129CBD"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[167] </w:t>
      </w:r>
      <w:r w:rsidR="008B3398">
        <w:rPr>
          <w:rFonts w:ascii="Arial" w:hAnsi="Arial" w:cs="Arial"/>
          <w:sz w:val="20"/>
        </w:rPr>
        <w:t>“</w:t>
      </w:r>
      <w:r w:rsidRPr="0085189E">
        <w:rPr>
          <w:rFonts w:ascii="Arial" w:hAnsi="Arial" w:cs="Arial"/>
          <w:sz w:val="20"/>
        </w:rPr>
        <w:t>The most crucial point of difference in my reasoning from that of the majority is that I</w:t>
      </w:r>
      <w:r w:rsidR="008B3398">
        <w:rPr>
          <w:rFonts w:ascii="Arial" w:hAnsi="Arial" w:cs="Arial"/>
          <w:sz w:val="20"/>
        </w:rPr>
        <w:t> </w:t>
      </w:r>
      <w:r w:rsidRPr="0085189E">
        <w:rPr>
          <w:rFonts w:ascii="Arial" w:hAnsi="Arial" w:cs="Arial"/>
          <w:sz w:val="20"/>
        </w:rPr>
        <w:t>do not accept that s 389</w:t>
      </w:r>
      <w:proofErr w:type="gramStart"/>
      <w:r w:rsidRPr="0085189E">
        <w:rPr>
          <w:rFonts w:ascii="Arial" w:hAnsi="Arial" w:cs="Arial"/>
          <w:sz w:val="20"/>
        </w:rPr>
        <w:t>E(</w:t>
      </w:r>
      <w:proofErr w:type="gramEnd"/>
      <w:r w:rsidRPr="0085189E">
        <w:rPr>
          <w:rFonts w:ascii="Arial" w:hAnsi="Arial" w:cs="Arial"/>
          <w:sz w:val="20"/>
        </w:rPr>
        <w:t xml:space="preserve">1) of the </w:t>
      </w:r>
      <w:r w:rsidRPr="0085189E">
        <w:rPr>
          <w:rFonts w:ascii="Arial" w:hAnsi="Arial" w:cs="Arial"/>
          <w:i/>
          <w:iCs/>
          <w:sz w:val="20"/>
        </w:rPr>
        <w:t xml:space="preserve">Criminal Procedure Act </w:t>
      </w:r>
      <w:r w:rsidRPr="0085189E">
        <w:rPr>
          <w:rFonts w:ascii="Arial" w:hAnsi="Arial" w:cs="Arial"/>
          <w:sz w:val="20"/>
        </w:rPr>
        <w:t>empowered the court to direct that a private meeting take place between the judge, counsel and a witness, in the absence of the accused. The reasoning of the majority has the effect that, unless and until it is amended, s</w:t>
      </w:r>
      <w:r w:rsidR="008B3398">
        <w:rPr>
          <w:rFonts w:ascii="Arial" w:hAnsi="Arial" w:cs="Arial"/>
          <w:sz w:val="20"/>
        </w:rPr>
        <w:t> </w:t>
      </w:r>
      <w:r w:rsidRPr="0085189E">
        <w:rPr>
          <w:rFonts w:ascii="Arial" w:hAnsi="Arial" w:cs="Arial"/>
          <w:sz w:val="20"/>
        </w:rPr>
        <w:t>389</w:t>
      </w:r>
      <w:proofErr w:type="gramStart"/>
      <w:r w:rsidRPr="0085189E">
        <w:rPr>
          <w:rFonts w:ascii="Arial" w:hAnsi="Arial" w:cs="Arial"/>
          <w:sz w:val="20"/>
        </w:rPr>
        <w:t>E(</w:t>
      </w:r>
      <w:proofErr w:type="gramEnd"/>
      <w:r w:rsidRPr="0085189E">
        <w:rPr>
          <w:rFonts w:ascii="Arial" w:hAnsi="Arial" w:cs="Arial"/>
          <w:sz w:val="20"/>
        </w:rPr>
        <w:t xml:space="preserve">1) of the </w:t>
      </w:r>
      <w:r w:rsidRPr="0085189E">
        <w:rPr>
          <w:rFonts w:ascii="Arial" w:hAnsi="Arial" w:cs="Arial"/>
          <w:i/>
          <w:iCs/>
          <w:sz w:val="20"/>
        </w:rPr>
        <w:t xml:space="preserve">Criminal Procedure Act </w:t>
      </w:r>
      <w:r w:rsidRPr="0085189E">
        <w:rPr>
          <w:rFonts w:ascii="Arial" w:hAnsi="Arial" w:cs="Arial"/>
          <w:sz w:val="20"/>
        </w:rPr>
        <w:t>will confer a discretion upon the Victorian judiciary to give directions for private meetings between a judge and a witness but excluding the accused, at least where those private meetings are also attended by counsel. Whether it would be wise for such directions to be given is another question.</w:t>
      </w:r>
      <w:r w:rsidR="008B3398">
        <w:rPr>
          <w:rFonts w:ascii="Arial" w:hAnsi="Arial" w:cs="Arial"/>
          <w:sz w:val="20"/>
        </w:rPr>
        <w:t>”</w:t>
      </w:r>
    </w:p>
    <w:p w14:paraId="5CC648DC" w14:textId="77777777" w:rsidR="0085189E" w:rsidRPr="002F1E7F" w:rsidRDefault="0085189E" w:rsidP="006461A4">
      <w:pPr>
        <w:widowControl w:val="0"/>
        <w:jc w:val="both"/>
        <w:rPr>
          <w:rFonts w:ascii="Arial" w:hAnsi="Arial" w:cs="Arial"/>
          <w:sz w:val="20"/>
        </w:rPr>
      </w:pPr>
    </w:p>
    <w:p w14:paraId="7C27D093" w14:textId="27565338" w:rsidR="005619BF" w:rsidRDefault="005619BF" w:rsidP="005619BF">
      <w:pPr>
        <w:pStyle w:val="Heading3"/>
        <w:keepNext/>
        <w:keepLines/>
        <w:spacing w:after="120" w:line="240" w:lineRule="auto"/>
        <w:rPr>
          <w:rFonts w:ascii="Arial" w:hAnsi="Arial" w:cs="Arial"/>
          <w:b/>
          <w:bCs/>
          <w:sz w:val="20"/>
        </w:rPr>
      </w:pPr>
      <w:bookmarkStart w:id="438" w:name="_2.7.1_Section_523_1"/>
      <w:bookmarkEnd w:id="435"/>
      <w:bookmarkEnd w:id="438"/>
      <w:r>
        <w:rPr>
          <w:rFonts w:ascii="Arial" w:hAnsi="Arial" w:cs="Arial"/>
          <w:b/>
          <w:bCs/>
          <w:sz w:val="20"/>
        </w:rPr>
        <w:t>2.7.1</w:t>
      </w:r>
      <w:r>
        <w:rPr>
          <w:rFonts w:ascii="Arial" w:hAnsi="Arial" w:cs="Arial"/>
          <w:b/>
          <w:bCs/>
          <w:sz w:val="20"/>
        </w:rPr>
        <w:tab/>
      </w:r>
      <w:bookmarkStart w:id="439" w:name="_Hlk147328009"/>
      <w:r>
        <w:rPr>
          <w:rFonts w:ascii="Arial" w:hAnsi="Arial" w:cs="Arial"/>
          <w:b/>
          <w:bCs/>
          <w:sz w:val="20"/>
        </w:rPr>
        <w:t>Section 523 of the CYFA</w:t>
      </w:r>
      <w:r w:rsidR="00455703">
        <w:rPr>
          <w:rFonts w:ascii="Arial" w:hAnsi="Arial" w:cs="Arial"/>
          <w:b/>
          <w:bCs/>
          <w:sz w:val="20"/>
        </w:rPr>
        <w:t xml:space="preserve"> and sections 8A &amp; 8B of the </w:t>
      </w:r>
      <w:r w:rsidR="00455703" w:rsidRPr="005161F3">
        <w:rPr>
          <w:rFonts w:ascii="Arial" w:hAnsi="Arial" w:cs="Arial"/>
          <w:b/>
          <w:bCs/>
          <w:i/>
          <w:iCs/>
          <w:sz w:val="20"/>
        </w:rPr>
        <w:t>Open Courts Act 2013</w:t>
      </w:r>
      <w:bookmarkEnd w:id="439"/>
    </w:p>
    <w:p w14:paraId="1E799D3A" w14:textId="2C8C8372" w:rsidR="006545C9" w:rsidRDefault="00277B85" w:rsidP="00E54921">
      <w:pPr>
        <w:jc w:val="both"/>
        <w:rPr>
          <w:rFonts w:ascii="Arial" w:hAnsi="Arial" w:cs="Arial"/>
          <w:sz w:val="20"/>
        </w:rPr>
      </w:pPr>
      <w:r>
        <w:rPr>
          <w:rFonts w:ascii="Arial" w:hAnsi="Arial" w:cs="Arial"/>
          <w:sz w:val="20"/>
        </w:rPr>
        <w:t xml:space="preserve">Prior to the commencement of the </w:t>
      </w:r>
      <w:r w:rsidRPr="005161F3">
        <w:rPr>
          <w:rFonts w:ascii="Arial" w:hAnsi="Arial" w:cs="Arial"/>
          <w:i/>
          <w:iCs/>
          <w:sz w:val="20"/>
        </w:rPr>
        <w:t>Children and Young Persons Act 1989</w:t>
      </w:r>
      <w:r w:rsidR="006027E2">
        <w:rPr>
          <w:rFonts w:ascii="Arial" w:hAnsi="Arial" w:cs="Arial"/>
          <w:sz w:val="20"/>
        </w:rPr>
        <w:t xml:space="preserve"> </w:t>
      </w:r>
      <w:r w:rsidR="006027E2">
        <w:rPr>
          <w:rFonts w:ascii="Arial" w:hAnsi="Arial" w:cs="Arial"/>
          <w:color w:val="000000"/>
          <w:sz w:val="20"/>
        </w:rPr>
        <w:t>['CYPA']</w:t>
      </w:r>
      <w:r>
        <w:rPr>
          <w:rFonts w:ascii="Arial" w:hAnsi="Arial" w:cs="Arial"/>
          <w:sz w:val="20"/>
        </w:rPr>
        <w:t xml:space="preserve">, proceedings in the Children's Court were closed to the public.  Without leave of the Court, the only persons who could attend were the child, a parent or guardian of the child, the child's legal representative and representatives of various service providers.  That was changed </w:t>
      </w:r>
      <w:r w:rsidR="00DA0C37">
        <w:rPr>
          <w:rFonts w:ascii="Arial" w:hAnsi="Arial" w:cs="Arial"/>
          <w:sz w:val="20"/>
        </w:rPr>
        <w:t xml:space="preserve">in 1991 </w:t>
      </w:r>
      <w:r>
        <w:rPr>
          <w:rFonts w:ascii="Arial" w:hAnsi="Arial" w:cs="Arial"/>
          <w:sz w:val="20"/>
        </w:rPr>
        <w:t xml:space="preserve">by s.19 of the </w:t>
      </w:r>
      <w:r w:rsidR="006027E2">
        <w:rPr>
          <w:rFonts w:ascii="Arial" w:hAnsi="Arial" w:cs="Arial"/>
          <w:sz w:val="20"/>
        </w:rPr>
        <w:t>CYPA</w:t>
      </w:r>
      <w:r w:rsidR="00D52216">
        <w:rPr>
          <w:rFonts w:ascii="Arial" w:hAnsi="Arial" w:cs="Arial"/>
          <w:sz w:val="20"/>
        </w:rPr>
        <w:t xml:space="preserve"> and the change has been continued by </w:t>
      </w:r>
      <w:r w:rsidR="00DA0C37">
        <w:rPr>
          <w:rFonts w:ascii="Arial" w:hAnsi="Arial" w:cs="Arial"/>
          <w:sz w:val="20"/>
        </w:rPr>
        <w:t>s</w:t>
      </w:r>
      <w:r w:rsidR="00D52216">
        <w:rPr>
          <w:rFonts w:ascii="Arial" w:hAnsi="Arial" w:cs="Arial"/>
          <w:sz w:val="20"/>
        </w:rPr>
        <w:t>.</w:t>
      </w:r>
      <w:r w:rsidR="00DA0C37">
        <w:rPr>
          <w:rFonts w:ascii="Arial" w:hAnsi="Arial" w:cs="Arial"/>
          <w:sz w:val="20"/>
        </w:rPr>
        <w:t>523</w:t>
      </w:r>
      <w:r w:rsidR="00D52216">
        <w:rPr>
          <w:rFonts w:ascii="Arial" w:hAnsi="Arial" w:cs="Arial"/>
          <w:sz w:val="20"/>
        </w:rPr>
        <w:t xml:space="preserve"> of the CYFA</w:t>
      </w:r>
      <w:r w:rsidR="006545C9">
        <w:rPr>
          <w:rFonts w:ascii="Arial" w:hAnsi="Arial" w:cs="Arial"/>
          <w:sz w:val="20"/>
        </w:rPr>
        <w:t>.  However, this section is subject to s.527A which makes evidence of anything said or done in a judicial resolution conference inadmissible unless the Court otherwise orders, having regard to the interests of justice and fairness.</w:t>
      </w:r>
    </w:p>
    <w:p w14:paraId="3A917D6E" w14:textId="77777777" w:rsidR="006545C9" w:rsidRDefault="006545C9" w:rsidP="00E54921">
      <w:pPr>
        <w:jc w:val="both"/>
        <w:rPr>
          <w:rFonts w:ascii="Arial" w:hAnsi="Arial" w:cs="Arial"/>
          <w:sz w:val="20"/>
        </w:rPr>
      </w:pPr>
    </w:p>
    <w:p w14:paraId="7A85CA1C" w14:textId="77777777" w:rsidR="00E26721" w:rsidRDefault="00ED4465" w:rsidP="00E54921">
      <w:pPr>
        <w:jc w:val="both"/>
        <w:rPr>
          <w:rFonts w:ascii="Arial" w:hAnsi="Arial" w:cs="Arial"/>
          <w:sz w:val="20"/>
        </w:rPr>
      </w:pPr>
      <w:r>
        <w:rPr>
          <w:rFonts w:ascii="Arial" w:hAnsi="Arial" w:cs="Arial"/>
          <w:sz w:val="20"/>
        </w:rPr>
        <w:t>Underpinned by</w:t>
      </w:r>
      <w:r w:rsidR="00E54921">
        <w:rPr>
          <w:rFonts w:ascii="Arial" w:hAnsi="Arial" w:cs="Arial"/>
          <w:sz w:val="20"/>
        </w:rPr>
        <w:t xml:space="preserve"> the same sorts of reasons as led to the opening of Family Courts, </w:t>
      </w:r>
      <w:r>
        <w:rPr>
          <w:rFonts w:ascii="Arial" w:hAnsi="Arial" w:cs="Arial"/>
          <w:sz w:val="20"/>
        </w:rPr>
        <w:t xml:space="preserve">ss.523(1) &amp; 523(2) of the CYFA require </w:t>
      </w:r>
      <w:r w:rsidR="00E54921">
        <w:rPr>
          <w:rFonts w:ascii="Arial" w:hAnsi="Arial" w:cs="Arial"/>
          <w:sz w:val="20"/>
        </w:rPr>
        <w:t>all proceedings in the Children's Court t</w:t>
      </w:r>
      <w:r>
        <w:rPr>
          <w:rFonts w:ascii="Arial" w:hAnsi="Arial" w:cs="Arial"/>
          <w:sz w:val="20"/>
        </w:rPr>
        <w:t>o</w:t>
      </w:r>
      <w:r w:rsidR="00E54921">
        <w:rPr>
          <w:rFonts w:ascii="Arial" w:hAnsi="Arial" w:cs="Arial"/>
          <w:sz w:val="20"/>
        </w:rPr>
        <w:t xml:space="preserve"> b</w:t>
      </w:r>
      <w:r w:rsidR="00CD5BD3">
        <w:rPr>
          <w:rFonts w:ascii="Arial" w:hAnsi="Arial" w:cs="Arial"/>
          <w:sz w:val="20"/>
        </w:rPr>
        <w:t xml:space="preserve">e </w:t>
      </w:r>
      <w:r w:rsidR="00E54921">
        <w:rPr>
          <w:rFonts w:ascii="Arial" w:hAnsi="Arial" w:cs="Arial"/>
          <w:sz w:val="20"/>
        </w:rPr>
        <w:t>conducted in open court unless the Court</w:t>
      </w:r>
      <w:r w:rsidR="00E26721">
        <w:rPr>
          <w:rFonts w:ascii="Arial" w:hAnsi="Arial" w:cs="Arial"/>
          <w:sz w:val="20"/>
        </w:rPr>
        <w:t xml:space="preserve">, on the application of a party or of any </w:t>
      </w:r>
      <w:r w:rsidR="00061E5B">
        <w:rPr>
          <w:rFonts w:ascii="Arial" w:hAnsi="Arial" w:cs="Arial"/>
          <w:sz w:val="20"/>
        </w:rPr>
        <w:t xml:space="preserve">other </w:t>
      </w:r>
      <w:r w:rsidR="00E26721">
        <w:rPr>
          <w:rFonts w:ascii="Arial" w:hAnsi="Arial" w:cs="Arial"/>
          <w:sz w:val="20"/>
        </w:rPr>
        <w:t>person who has a direct interest in the proceeding or without any such application, orders that-</w:t>
      </w:r>
    </w:p>
    <w:p w14:paraId="79A79C9D" w14:textId="77777777" w:rsidR="00E54921" w:rsidRDefault="00E54921" w:rsidP="0073729A">
      <w:pPr>
        <w:numPr>
          <w:ilvl w:val="0"/>
          <w:numId w:val="10"/>
        </w:numPr>
        <w:tabs>
          <w:tab w:val="clear" w:pos="717"/>
        </w:tabs>
        <w:ind w:left="357" w:hanging="357"/>
        <w:jc w:val="both"/>
        <w:rPr>
          <w:rFonts w:ascii="Arial" w:hAnsi="Arial" w:cs="Arial"/>
          <w:sz w:val="20"/>
        </w:rPr>
      </w:pPr>
      <w:r>
        <w:rPr>
          <w:rFonts w:ascii="Arial" w:hAnsi="Arial" w:cs="Arial"/>
          <w:sz w:val="20"/>
        </w:rPr>
        <w:t>the whole or any part of a proceeding be heard in closed court; or</w:t>
      </w:r>
    </w:p>
    <w:p w14:paraId="2E302A66" w14:textId="77777777" w:rsidR="00E54921" w:rsidRDefault="00E54921" w:rsidP="0073729A">
      <w:pPr>
        <w:numPr>
          <w:ilvl w:val="0"/>
          <w:numId w:val="10"/>
        </w:numPr>
        <w:tabs>
          <w:tab w:val="clear" w:pos="717"/>
        </w:tabs>
        <w:ind w:left="357" w:hanging="357"/>
        <w:jc w:val="both"/>
        <w:rPr>
          <w:rFonts w:ascii="Arial" w:hAnsi="Arial" w:cs="Arial"/>
          <w:sz w:val="20"/>
        </w:rPr>
      </w:pPr>
      <w:r>
        <w:rPr>
          <w:rFonts w:ascii="Arial" w:hAnsi="Arial" w:cs="Arial"/>
          <w:sz w:val="20"/>
        </w:rPr>
        <w:t>only persons or classes of persons specified by it may be present during the whole or any part of a proceeding.</w:t>
      </w:r>
    </w:p>
    <w:p w14:paraId="08D74C2C" w14:textId="2882C09F" w:rsidR="00E54921" w:rsidRDefault="00100D3D" w:rsidP="00E54921">
      <w:pPr>
        <w:jc w:val="both"/>
        <w:rPr>
          <w:rFonts w:ascii="Arial" w:hAnsi="Arial" w:cs="Arial"/>
          <w:sz w:val="20"/>
        </w:rPr>
      </w:pPr>
      <w:r>
        <w:rPr>
          <w:rFonts w:ascii="Arial" w:hAnsi="Arial" w:cs="Arial"/>
          <w:sz w:val="20"/>
        </w:rPr>
        <w:t xml:space="preserve">See also </w:t>
      </w:r>
      <w:r w:rsidR="00E54921">
        <w:rPr>
          <w:rFonts w:ascii="Arial" w:hAnsi="Arial" w:cs="Arial"/>
          <w:sz w:val="20"/>
        </w:rPr>
        <w:t xml:space="preserve">s.125(1) </w:t>
      </w:r>
      <w:r>
        <w:rPr>
          <w:rFonts w:ascii="Arial" w:hAnsi="Arial" w:cs="Arial"/>
          <w:sz w:val="20"/>
        </w:rPr>
        <w:t xml:space="preserve">of the </w:t>
      </w:r>
      <w:r w:rsidR="00E54921" w:rsidRPr="005161F3">
        <w:rPr>
          <w:rFonts w:ascii="Arial" w:hAnsi="Arial" w:cs="Arial"/>
          <w:i/>
          <w:iCs/>
          <w:sz w:val="20"/>
        </w:rPr>
        <w:t>Magistrates’ Court Act 1989</w:t>
      </w:r>
      <w:r w:rsidR="00E54921">
        <w:rPr>
          <w:rFonts w:ascii="Arial" w:hAnsi="Arial" w:cs="Arial"/>
          <w:sz w:val="20"/>
        </w:rPr>
        <w:t xml:space="preserve">.  </w:t>
      </w:r>
      <w:smartTag w:uri="urn:schemas-microsoft-com:office:smarttags" w:element="place">
        <w:smartTag w:uri="urn:schemas-microsoft-com:office:smarttags" w:element="State">
          <w:r w:rsidR="00E54921">
            <w:rPr>
              <w:rFonts w:ascii="Arial" w:hAnsi="Arial" w:cs="Arial"/>
              <w:sz w:val="20"/>
            </w:rPr>
            <w:t>Victoria</w:t>
          </w:r>
        </w:smartTag>
      </w:smartTag>
      <w:r w:rsidR="00E54921">
        <w:rPr>
          <w:rFonts w:ascii="Arial" w:hAnsi="Arial" w:cs="Arial"/>
          <w:sz w:val="20"/>
        </w:rPr>
        <w:t xml:space="preserve"> is comparatively unusual in this respect.  In many other jurisdictions, including </w:t>
      </w:r>
      <w:smartTag w:uri="urn:schemas-microsoft-com:office:smarttags" w:element="country-region">
        <w:r w:rsidR="00E54921">
          <w:rPr>
            <w:rFonts w:ascii="Arial" w:hAnsi="Arial" w:cs="Arial"/>
            <w:sz w:val="20"/>
          </w:rPr>
          <w:t>China</w:t>
        </w:r>
      </w:smartTag>
      <w:r w:rsidR="00E54921">
        <w:rPr>
          <w:rFonts w:ascii="Arial" w:hAnsi="Arial" w:cs="Arial"/>
          <w:sz w:val="20"/>
        </w:rPr>
        <w:t xml:space="preserve"> </w:t>
      </w:r>
      <w:r w:rsidR="00C6041D">
        <w:rPr>
          <w:rFonts w:ascii="Arial" w:hAnsi="Arial" w:cs="Arial"/>
          <w:sz w:val="20"/>
        </w:rPr>
        <w:t>and</w:t>
      </w:r>
      <w:r w:rsidR="00E54921">
        <w:rPr>
          <w:rFonts w:ascii="Arial" w:hAnsi="Arial" w:cs="Arial"/>
          <w:sz w:val="20"/>
        </w:rPr>
        <w:t xml:space="preserve"> </w:t>
      </w:r>
      <w:smartTag w:uri="urn:schemas-microsoft-com:office:smarttags" w:element="place">
        <w:smartTag w:uri="urn:schemas-microsoft-com:office:smarttags" w:element="country-region">
          <w:r w:rsidR="00E54921">
            <w:rPr>
              <w:rFonts w:ascii="Arial" w:hAnsi="Arial" w:cs="Arial"/>
              <w:sz w:val="20"/>
            </w:rPr>
            <w:t>England</w:t>
          </w:r>
        </w:smartTag>
      </w:smartTag>
      <w:r w:rsidR="00E54921">
        <w:rPr>
          <w:rFonts w:ascii="Arial" w:hAnsi="Arial" w:cs="Arial"/>
          <w:sz w:val="20"/>
        </w:rPr>
        <w:t>, children's court proceedings are closed to the public.</w:t>
      </w:r>
    </w:p>
    <w:p w14:paraId="4691E18A" w14:textId="2FFE3B30" w:rsidR="0020769F" w:rsidRDefault="0020769F" w:rsidP="00E54921">
      <w:pPr>
        <w:jc w:val="both"/>
        <w:rPr>
          <w:rFonts w:ascii="Arial" w:hAnsi="Arial" w:cs="Arial"/>
          <w:sz w:val="20"/>
        </w:rPr>
      </w:pPr>
    </w:p>
    <w:p w14:paraId="36DF4838" w14:textId="5C78A6EB" w:rsidR="00123E94" w:rsidRPr="00455703" w:rsidRDefault="00123E94" w:rsidP="00123E94">
      <w:pPr>
        <w:jc w:val="both"/>
        <w:rPr>
          <w:rFonts w:ascii="Arial" w:hAnsi="Arial" w:cs="Arial"/>
          <w:sz w:val="20"/>
        </w:rPr>
      </w:pPr>
      <w:r>
        <w:rPr>
          <w:rFonts w:ascii="Arial" w:hAnsi="Arial" w:cs="Arial"/>
          <w:sz w:val="20"/>
        </w:rPr>
        <w:t xml:space="preserve">Although s.523 of the CYFA remains </w:t>
      </w:r>
      <w:r w:rsidR="00CE2851">
        <w:rPr>
          <w:rFonts w:ascii="Arial" w:hAnsi="Arial" w:cs="Arial"/>
          <w:sz w:val="20"/>
        </w:rPr>
        <w:t>a</w:t>
      </w:r>
      <w:r>
        <w:rPr>
          <w:rFonts w:ascii="Arial" w:hAnsi="Arial" w:cs="Arial"/>
          <w:sz w:val="20"/>
        </w:rPr>
        <w:t xml:space="preserve"> source of power to make a closed court order, </w:t>
      </w:r>
      <w:r w:rsidRPr="00381395">
        <w:rPr>
          <w:rFonts w:ascii="Arial" w:hAnsi="Arial" w:cs="Arial"/>
          <w:color w:val="000000"/>
          <w:sz w:val="20"/>
        </w:rPr>
        <w:t xml:space="preserve">the writer </w:t>
      </w:r>
      <w:r>
        <w:rPr>
          <w:rFonts w:ascii="Arial" w:hAnsi="Arial" w:cs="Arial"/>
          <w:color w:val="000000"/>
          <w:sz w:val="20"/>
        </w:rPr>
        <w:t xml:space="preserve">considers </w:t>
      </w:r>
      <w:r w:rsidRPr="00381395">
        <w:rPr>
          <w:rFonts w:ascii="Arial" w:hAnsi="Arial" w:cs="Arial"/>
          <w:color w:val="000000"/>
          <w:sz w:val="20"/>
        </w:rPr>
        <w:t xml:space="preserve">that s.528(1) of the CYFA makes the provisions of the </w:t>
      </w:r>
      <w:r w:rsidRPr="00455703">
        <w:rPr>
          <w:rFonts w:ascii="Arial" w:hAnsi="Arial" w:cs="Arial"/>
          <w:i/>
          <w:iCs/>
          <w:sz w:val="20"/>
        </w:rPr>
        <w:t>Open Courts Act 2013</w:t>
      </w:r>
      <w:r>
        <w:rPr>
          <w:rFonts w:ascii="Arial" w:hAnsi="Arial" w:cs="Arial"/>
          <w:sz w:val="20"/>
        </w:rPr>
        <w:t xml:space="preserve"> </w:t>
      </w:r>
      <w:r w:rsidR="00CE2851">
        <w:rPr>
          <w:rFonts w:ascii="Arial" w:hAnsi="Arial" w:cs="Arial"/>
          <w:sz w:val="20"/>
        </w:rPr>
        <w:t>(‘</w:t>
      </w:r>
      <w:r>
        <w:rPr>
          <w:rFonts w:ascii="Arial" w:hAnsi="Arial" w:cs="Arial"/>
          <w:sz w:val="20"/>
        </w:rPr>
        <w:t>OCA</w:t>
      </w:r>
      <w:r w:rsidR="00CE2851">
        <w:rPr>
          <w:rFonts w:ascii="Arial" w:hAnsi="Arial" w:cs="Arial"/>
          <w:sz w:val="20"/>
        </w:rPr>
        <w:t>’)</w:t>
      </w:r>
      <w:r w:rsidRPr="00381395">
        <w:rPr>
          <w:rFonts w:ascii="Arial" w:hAnsi="Arial" w:cs="Arial"/>
          <w:color w:val="000000"/>
          <w:sz w:val="20"/>
        </w:rPr>
        <w:t xml:space="preserve"> which invest jurisdiction on the Magistrates’ Court applicable to the Children’s Court</w:t>
      </w:r>
      <w:r>
        <w:rPr>
          <w:rFonts w:ascii="Arial" w:hAnsi="Arial" w:cs="Arial"/>
          <w:color w:val="000000"/>
          <w:sz w:val="20"/>
        </w:rPr>
        <w:t xml:space="preserve"> to the extent that they are not inconsistent with s.523</w:t>
      </w:r>
      <w:r w:rsidRPr="00381395">
        <w:rPr>
          <w:rFonts w:ascii="Arial" w:hAnsi="Arial" w:cs="Arial"/>
          <w:color w:val="000000"/>
          <w:sz w:val="20"/>
        </w:rPr>
        <w:t xml:space="preserve">.  </w:t>
      </w:r>
      <w:r w:rsidR="00CE2851">
        <w:rPr>
          <w:rFonts w:ascii="Arial" w:hAnsi="Arial" w:cs="Arial"/>
          <w:color w:val="000000"/>
          <w:sz w:val="20"/>
        </w:rPr>
        <w:t xml:space="preserve">Although the </w:t>
      </w:r>
      <w:r w:rsidR="00CE2851" w:rsidRPr="00FA1BDE">
        <w:rPr>
          <w:rFonts w:ascii="Arial" w:hAnsi="Arial" w:cs="Arial"/>
          <w:sz w:val="20"/>
        </w:rPr>
        <w:t>OCA</w:t>
      </w:r>
      <w:r w:rsidR="00CE2851">
        <w:rPr>
          <w:rFonts w:ascii="Arial" w:hAnsi="Arial" w:cs="Arial"/>
          <w:sz w:val="20"/>
        </w:rPr>
        <w:t xml:space="preserve"> does not expressly refer to the Children’s Court in its definition of “court or tribunal” in s.3, a</w:t>
      </w:r>
      <w:r>
        <w:rPr>
          <w:rFonts w:ascii="Arial" w:hAnsi="Arial" w:cs="Arial"/>
          <w:color w:val="000000"/>
          <w:sz w:val="20"/>
        </w:rPr>
        <w:t xml:space="preserve"> </w:t>
      </w:r>
      <w:r w:rsidRPr="00381395">
        <w:rPr>
          <w:rFonts w:ascii="Arial" w:hAnsi="Arial" w:cs="Arial"/>
          <w:color w:val="000000"/>
          <w:sz w:val="20"/>
        </w:rPr>
        <w:t xml:space="preserve">Director of Criminal Law Policy of the Department of Justice </w:t>
      </w:r>
      <w:r>
        <w:rPr>
          <w:rFonts w:ascii="Arial" w:hAnsi="Arial" w:cs="Arial"/>
          <w:color w:val="000000"/>
          <w:sz w:val="20"/>
        </w:rPr>
        <w:t xml:space="preserve">and Community Safety </w:t>
      </w:r>
      <w:r w:rsidRPr="00381395">
        <w:rPr>
          <w:rFonts w:ascii="Arial" w:hAnsi="Arial" w:cs="Arial"/>
          <w:color w:val="000000"/>
          <w:sz w:val="20"/>
        </w:rPr>
        <w:t>has advised the Principal Registrar of the Children’s Court that</w:t>
      </w:r>
      <w:r w:rsidR="00CE2851">
        <w:rPr>
          <w:rFonts w:ascii="Arial" w:hAnsi="Arial" w:cs="Arial"/>
          <w:color w:val="000000"/>
          <w:sz w:val="20"/>
        </w:rPr>
        <w:t>–</w:t>
      </w:r>
    </w:p>
    <w:p w14:paraId="2EE26788" w14:textId="77777777" w:rsidR="00123E94" w:rsidRPr="00381395" w:rsidRDefault="00123E94" w:rsidP="00123E94">
      <w:pPr>
        <w:spacing w:before="60"/>
        <w:ind w:left="567" w:right="567"/>
        <w:jc w:val="both"/>
        <w:rPr>
          <w:rFonts w:ascii="Arial" w:hAnsi="Arial" w:cs="Arial"/>
          <w:color w:val="000000"/>
          <w:sz w:val="20"/>
        </w:rPr>
      </w:pPr>
      <w:r w:rsidRPr="00381395">
        <w:rPr>
          <w:rFonts w:ascii="Arial" w:hAnsi="Arial" w:cs="Arial"/>
          <w:color w:val="000000"/>
          <w:sz w:val="20"/>
        </w:rPr>
        <w:t>“</w:t>
      </w:r>
      <w:r w:rsidRPr="00381395">
        <w:rPr>
          <w:rFonts w:ascii="Helv" w:hAnsi="Helv" w:cs="Helv"/>
          <w:color w:val="000000"/>
          <w:sz w:val="20"/>
          <w:szCs w:val="20"/>
          <w:lang w:eastAsia="en-AU"/>
        </w:rPr>
        <w:t>The Children's Court was considered as the [OCA] was drafted…[I]n so far as the Children's Court can exercise the powers of the Magistrates' Court under s.528(1), it retains the power to make any order that the Magistrates Court can make.  There was certainly no intention for the OCA to be interpreted as narrowing s.528(1) of the CYFA.</w:t>
      </w:r>
      <w:r w:rsidRPr="00381395">
        <w:rPr>
          <w:rFonts w:ascii="Arial" w:hAnsi="Arial" w:cs="Arial"/>
          <w:color w:val="000000"/>
          <w:sz w:val="20"/>
        </w:rPr>
        <w:t>”</w:t>
      </w:r>
    </w:p>
    <w:p w14:paraId="07388A73" w14:textId="77777777" w:rsidR="006478B8" w:rsidRDefault="006478B8" w:rsidP="006478B8">
      <w:pPr>
        <w:jc w:val="both"/>
        <w:rPr>
          <w:rFonts w:ascii="Arial" w:hAnsi="Arial" w:cs="Arial"/>
          <w:sz w:val="20"/>
        </w:rPr>
      </w:pPr>
    </w:p>
    <w:p w14:paraId="327222BA" w14:textId="4A35A645" w:rsidR="00455703" w:rsidRPr="00241DE8" w:rsidRDefault="00CD5BD3" w:rsidP="006478B8">
      <w:pPr>
        <w:jc w:val="both"/>
        <w:rPr>
          <w:rFonts w:ascii="Arial" w:hAnsi="Arial" w:cs="Arial"/>
          <w:sz w:val="20"/>
        </w:rPr>
      </w:pPr>
      <w:r>
        <w:rPr>
          <w:rFonts w:ascii="Arial" w:hAnsi="Arial" w:cs="Arial"/>
          <w:sz w:val="20"/>
        </w:rPr>
        <w:t xml:space="preserve">However, </w:t>
      </w:r>
      <w:r w:rsidR="00061E5B">
        <w:rPr>
          <w:rFonts w:ascii="Arial" w:hAnsi="Arial" w:cs="Arial"/>
          <w:sz w:val="20"/>
        </w:rPr>
        <w:t>s.523 of the CYFA has effect</w:t>
      </w:r>
      <w:r w:rsidR="00455703">
        <w:rPr>
          <w:rFonts w:ascii="Arial" w:hAnsi="Arial" w:cs="Arial"/>
          <w:sz w:val="20"/>
        </w:rPr>
        <w:t>ively</w:t>
      </w:r>
      <w:r w:rsidR="00061E5B">
        <w:rPr>
          <w:rFonts w:ascii="Arial" w:hAnsi="Arial" w:cs="Arial"/>
          <w:sz w:val="20"/>
        </w:rPr>
        <w:t xml:space="preserve"> been modified by </w:t>
      </w:r>
      <w:r w:rsidR="00DD00B7">
        <w:rPr>
          <w:rFonts w:ascii="Arial" w:hAnsi="Arial" w:cs="Arial"/>
          <w:sz w:val="20"/>
        </w:rPr>
        <w:t xml:space="preserve">COVID and post-COVID </w:t>
      </w:r>
      <w:r w:rsidR="00061E5B">
        <w:rPr>
          <w:rFonts w:ascii="Arial" w:hAnsi="Arial" w:cs="Arial"/>
          <w:sz w:val="20"/>
        </w:rPr>
        <w:t>amendments</w:t>
      </w:r>
      <w:r w:rsidR="00455703">
        <w:rPr>
          <w:rFonts w:ascii="Arial" w:hAnsi="Arial" w:cs="Arial"/>
          <w:sz w:val="20"/>
        </w:rPr>
        <w:t xml:space="preserve"> to the OCA.  </w:t>
      </w:r>
      <w:r w:rsidR="00241DE8">
        <w:rPr>
          <w:rFonts w:ascii="Arial" w:hAnsi="Arial" w:cs="Arial"/>
          <w:sz w:val="20"/>
        </w:rPr>
        <w:t>The relevant amendments involve the insertion of s</w:t>
      </w:r>
      <w:r w:rsidR="00F3742D">
        <w:rPr>
          <w:rFonts w:ascii="Arial" w:hAnsi="Arial" w:cs="Arial"/>
          <w:sz w:val="20"/>
        </w:rPr>
        <w:t>.</w:t>
      </w:r>
      <w:r w:rsidR="00241DE8">
        <w:rPr>
          <w:rFonts w:ascii="Arial" w:hAnsi="Arial" w:cs="Arial"/>
          <w:sz w:val="20"/>
        </w:rPr>
        <w:t>8A &amp; s.8B into the</w:t>
      </w:r>
      <w:r w:rsidR="006478B8">
        <w:rPr>
          <w:rFonts w:ascii="Arial" w:hAnsi="Arial" w:cs="Arial"/>
          <w:sz w:val="20"/>
        </w:rPr>
        <w:t xml:space="preserve"> OCA</w:t>
      </w:r>
      <w:r w:rsidR="00241DE8">
        <w:rPr>
          <w:rFonts w:ascii="Arial" w:hAnsi="Arial" w:cs="Arial"/>
          <w:i/>
          <w:iCs/>
          <w:sz w:val="20"/>
        </w:rPr>
        <w:t xml:space="preserve"> </w:t>
      </w:r>
      <w:r w:rsidR="00241DE8" w:rsidRPr="00241DE8">
        <w:rPr>
          <w:rFonts w:ascii="Arial" w:hAnsi="Arial" w:cs="Arial"/>
          <w:sz w:val="20"/>
        </w:rPr>
        <w:t>and the subsequent amendment of s.8B.  So far as is relevant to the Children’s Court these sections provide:</w:t>
      </w:r>
    </w:p>
    <w:p w14:paraId="40D5C665" w14:textId="5F5330EE" w:rsidR="00241DE8" w:rsidRPr="00437452" w:rsidRDefault="0019667E" w:rsidP="00241DE8">
      <w:pPr>
        <w:pStyle w:val="DraftHeading2"/>
        <w:tabs>
          <w:tab w:val="right" w:pos="1247"/>
        </w:tabs>
        <w:spacing w:before="60"/>
        <w:ind w:left="1021" w:right="567" w:hanging="454"/>
        <w:jc w:val="both"/>
        <w:rPr>
          <w:rFonts w:ascii="Arial" w:hAnsi="Arial" w:cs="Arial"/>
          <w:b/>
          <w:bCs/>
          <w:sz w:val="20"/>
          <w:szCs w:val="16"/>
        </w:rPr>
      </w:pPr>
      <w:r>
        <w:rPr>
          <w:rFonts w:ascii="Arial" w:hAnsi="Arial" w:cs="Arial"/>
          <w:b/>
          <w:bCs/>
          <w:sz w:val="20"/>
          <w:szCs w:val="16"/>
        </w:rPr>
        <w:t>“</w:t>
      </w:r>
      <w:r w:rsidR="00241DE8">
        <w:rPr>
          <w:rFonts w:ascii="Arial" w:hAnsi="Arial" w:cs="Arial"/>
          <w:b/>
          <w:bCs/>
          <w:sz w:val="20"/>
          <w:szCs w:val="16"/>
        </w:rPr>
        <w:t>8A</w:t>
      </w:r>
      <w:r w:rsidR="00241DE8" w:rsidRPr="001C508D">
        <w:rPr>
          <w:rFonts w:ascii="Arial" w:hAnsi="Arial" w:cs="Arial"/>
          <w:b/>
          <w:bCs/>
          <w:sz w:val="20"/>
          <w:szCs w:val="16"/>
        </w:rPr>
        <w:tab/>
      </w:r>
      <w:r w:rsidR="00241DE8">
        <w:rPr>
          <w:rFonts w:ascii="Arial" w:hAnsi="Arial" w:cs="Arial"/>
          <w:b/>
          <w:bCs/>
          <w:sz w:val="20"/>
        </w:rPr>
        <w:t>Handing down and delivering judgments by electronic communication does not contravene rules of law relating to open justice</w:t>
      </w:r>
    </w:p>
    <w:p w14:paraId="6428DCAB" w14:textId="1BAAD356" w:rsidR="00241DE8" w:rsidRDefault="00241DE8" w:rsidP="00DB526A">
      <w:pPr>
        <w:pStyle w:val="DraftHeading2"/>
        <w:numPr>
          <w:ilvl w:val="5"/>
          <w:numId w:val="42"/>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szCs w:val="16"/>
        </w:rPr>
        <w:t>A court or tribunal does not contravene any rule of law relating to open justice if, instead of handing down or delivering judgment in a court room or hearing room that is open to the public, the court or tribunal</w:t>
      </w:r>
      <w:r w:rsidRPr="00237AC3">
        <w:rPr>
          <w:rFonts w:ascii="Arial" w:hAnsi="Arial" w:cs="Arial"/>
          <w:sz w:val="20"/>
          <w:szCs w:val="16"/>
        </w:rPr>
        <w:t>—</w:t>
      </w:r>
    </w:p>
    <w:p w14:paraId="1135B659" w14:textId="3650C9CC" w:rsidR="00FD5E9E" w:rsidRPr="00483341" w:rsidRDefault="00FD5E9E" w:rsidP="00FD5E9E">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(a)</w:t>
      </w:r>
      <w:r w:rsidRPr="00483341">
        <w:rPr>
          <w:rFonts w:ascii="Arial" w:hAnsi="Arial" w:cs="Arial"/>
          <w:sz w:val="20"/>
          <w:szCs w:val="16"/>
        </w:rPr>
        <w:tab/>
      </w:r>
      <w:r>
        <w:rPr>
          <w:rFonts w:ascii="Arial" w:hAnsi="Arial" w:cs="Arial"/>
          <w:sz w:val="20"/>
          <w:szCs w:val="16"/>
        </w:rPr>
        <w:t>gives the parties notice that the judgment is to be handed down or delivered as described in paragraphs (b) and (c); and</w:t>
      </w:r>
    </w:p>
    <w:p w14:paraId="490AF613" w14:textId="41BE20D7" w:rsidR="00FD5E9E" w:rsidRPr="00483341" w:rsidRDefault="00FD5E9E" w:rsidP="00FD5E9E">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Pr>
          <w:rFonts w:ascii="Arial" w:hAnsi="Arial" w:cs="Arial"/>
          <w:sz w:val="20"/>
          <w:szCs w:val="16"/>
        </w:rPr>
        <w:t>sends the judgment to the parties by electronic communication; and</w:t>
      </w:r>
    </w:p>
    <w:p w14:paraId="40A18DC3" w14:textId="0B56F617"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(c)</w:t>
      </w:r>
      <w:r>
        <w:rPr>
          <w:rFonts w:ascii="Arial" w:hAnsi="Arial" w:cs="Arial"/>
          <w:sz w:val="20"/>
          <w:szCs w:val="16"/>
        </w:rPr>
        <w:tab/>
        <w:t>makes the judgment available to</w:t>
      </w:r>
      <w:r w:rsidRPr="00237AC3">
        <w:rPr>
          <w:rFonts w:ascii="Arial" w:hAnsi="Arial" w:cs="Arial"/>
          <w:sz w:val="20"/>
          <w:szCs w:val="16"/>
        </w:rPr>
        <w:t>—</w:t>
      </w:r>
    </w:p>
    <w:p w14:paraId="3B7F2FAB" w14:textId="4540998F" w:rsidR="00FD5E9E" w:rsidRDefault="00FD5E9E" w:rsidP="00FD5E9E">
      <w:pPr>
        <w:pStyle w:val="ListParagraph"/>
        <w:numPr>
          <w:ilvl w:val="4"/>
          <w:numId w:val="43"/>
        </w:numPr>
        <w:ind w:left="1928" w:hanging="454"/>
        <w:jc w:val="both"/>
        <w:rPr>
          <w:rFonts w:ascii="Arial" w:hAnsi="Arial" w:cs="Arial"/>
          <w:sz w:val="20"/>
        </w:rPr>
      </w:pPr>
      <w:r>
        <w:rPr>
          <w:rFonts w:ascii="Arial" w:hAnsi="Arial" w:cs="Arial"/>
          <w:sz w:val="20"/>
        </w:rPr>
        <w:t>the public generally; or</w:t>
      </w:r>
    </w:p>
    <w:p w14:paraId="468AEF66" w14:textId="46819037" w:rsidR="00FD5E9E" w:rsidRDefault="00FD5E9E" w:rsidP="00FD5E9E">
      <w:pPr>
        <w:pStyle w:val="ListParagraph"/>
        <w:numPr>
          <w:ilvl w:val="4"/>
          <w:numId w:val="43"/>
        </w:numPr>
        <w:ind w:left="1928" w:hanging="454"/>
        <w:jc w:val="both"/>
        <w:rPr>
          <w:rFonts w:ascii="Arial" w:hAnsi="Arial" w:cs="Arial"/>
          <w:sz w:val="20"/>
        </w:rPr>
      </w:pPr>
      <w:r>
        <w:rPr>
          <w:rFonts w:ascii="Arial" w:hAnsi="Arial" w:cs="Arial"/>
          <w:sz w:val="20"/>
        </w:rPr>
        <w:lastRenderedPageBreak/>
        <w:t>a member of the public on request.</w:t>
      </w:r>
    </w:p>
    <w:p w14:paraId="0EA66D02" w14:textId="7F70258F" w:rsidR="00241DE8" w:rsidRPr="001C508D" w:rsidRDefault="00241DE8" w:rsidP="00241DE8">
      <w:pPr>
        <w:pStyle w:val="ListParagraph"/>
        <w:numPr>
          <w:ilvl w:val="5"/>
          <w:numId w:val="42"/>
        </w:numPr>
        <w:spacing w:before="60"/>
        <w:ind w:left="1015" w:right="567" w:hanging="448"/>
        <w:jc w:val="both"/>
        <w:rPr>
          <w:rFonts w:ascii="Arial" w:hAnsi="Arial" w:cs="Arial"/>
          <w:sz w:val="20"/>
        </w:rPr>
      </w:pPr>
      <w:r>
        <w:rPr>
          <w:rFonts w:ascii="Arial" w:hAnsi="Arial" w:cs="Arial"/>
          <w:sz w:val="20"/>
        </w:rPr>
        <w:t>Nothing in subsection (1) permits the publication of information in connection with a proceeding if the publication is contrary to a prohibition or restriction imposed by or under this Act or any other Act.</w:t>
      </w:r>
    </w:p>
    <w:p w14:paraId="21B093E2" w14:textId="66976FD9" w:rsidR="00241DE8" w:rsidRPr="001C508D" w:rsidRDefault="00241DE8" w:rsidP="00306354">
      <w:pPr>
        <w:pStyle w:val="ListParagraph"/>
        <w:numPr>
          <w:ilvl w:val="5"/>
          <w:numId w:val="42"/>
        </w:numPr>
        <w:spacing w:before="60"/>
        <w:ind w:left="1015" w:right="567" w:hanging="448"/>
        <w:jc w:val="both"/>
        <w:rPr>
          <w:rFonts w:ascii="Arial" w:hAnsi="Arial" w:cs="Arial"/>
          <w:sz w:val="20"/>
        </w:rPr>
      </w:pPr>
      <w:r>
        <w:rPr>
          <w:rFonts w:ascii="Arial" w:hAnsi="Arial" w:cs="Arial"/>
          <w:sz w:val="20"/>
        </w:rPr>
        <w:t>In this section</w:t>
      </w:r>
      <w:r w:rsidRPr="00483341">
        <w:rPr>
          <w:rFonts w:ascii="Arial" w:hAnsi="Arial" w:cs="Arial"/>
          <w:sz w:val="20"/>
          <w:szCs w:val="16"/>
        </w:rPr>
        <w:t>—</w:t>
      </w:r>
    </w:p>
    <w:p w14:paraId="645D2366" w14:textId="26848999" w:rsidR="00241DE8" w:rsidRDefault="00241DE8" w:rsidP="00AA15AD">
      <w:pPr>
        <w:pStyle w:val="DraftHeading3"/>
        <w:tabs>
          <w:tab w:val="right" w:pos="1758"/>
        </w:tabs>
        <w:spacing w:before="0"/>
        <w:ind w:left="1475" w:right="567" w:hanging="454"/>
        <w:jc w:val="both"/>
        <w:rPr>
          <w:rFonts w:ascii="Arial" w:hAnsi="Arial" w:cs="Arial"/>
          <w:sz w:val="20"/>
          <w:szCs w:val="16"/>
        </w:rPr>
      </w:pPr>
      <w:r w:rsidRPr="00241DE8">
        <w:rPr>
          <w:rFonts w:ascii="Arial" w:hAnsi="Arial" w:cs="Arial"/>
          <w:b/>
          <w:bCs/>
          <w:i/>
          <w:iCs/>
          <w:sz w:val="20"/>
          <w:szCs w:val="16"/>
        </w:rPr>
        <w:t>judgment</w:t>
      </w:r>
      <w:r>
        <w:rPr>
          <w:rFonts w:ascii="Arial" w:hAnsi="Arial" w:cs="Arial"/>
          <w:sz w:val="20"/>
          <w:szCs w:val="16"/>
        </w:rPr>
        <w:t xml:space="preserve"> includes the following</w:t>
      </w:r>
      <w:r w:rsidRPr="00483341">
        <w:rPr>
          <w:rFonts w:ascii="Arial" w:hAnsi="Arial" w:cs="Arial"/>
          <w:sz w:val="20"/>
          <w:szCs w:val="16"/>
        </w:rPr>
        <w:t>—</w:t>
      </w:r>
    </w:p>
    <w:p w14:paraId="0E261ABF" w14:textId="7D5DA007" w:rsidR="00241DE8" w:rsidRPr="00483341" w:rsidRDefault="00241DE8" w:rsidP="00241DE8">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(a)</w:t>
      </w:r>
      <w:r w:rsidRPr="00483341">
        <w:rPr>
          <w:rFonts w:ascii="Arial" w:hAnsi="Arial" w:cs="Arial"/>
          <w:sz w:val="20"/>
          <w:szCs w:val="16"/>
        </w:rPr>
        <w:tab/>
      </w:r>
      <w:r w:rsidR="00FD5E9E">
        <w:rPr>
          <w:rFonts w:ascii="Arial" w:hAnsi="Arial" w:cs="Arial"/>
          <w:sz w:val="20"/>
          <w:szCs w:val="16"/>
        </w:rPr>
        <w:t>reasons;</w:t>
      </w:r>
    </w:p>
    <w:p w14:paraId="66DCDC76" w14:textId="42D3867B" w:rsidR="00241DE8" w:rsidRDefault="00241DE8" w:rsidP="00241DE8">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sidR="00FD5E9E">
        <w:rPr>
          <w:rFonts w:ascii="Arial" w:hAnsi="Arial" w:cs="Arial"/>
          <w:sz w:val="20"/>
          <w:szCs w:val="16"/>
        </w:rPr>
        <w:t>an order (including a final order);</w:t>
      </w:r>
    </w:p>
    <w:p w14:paraId="02C0BC1A" w14:textId="65AE7D58"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(c)</w:t>
      </w:r>
      <w:r>
        <w:rPr>
          <w:rFonts w:ascii="Arial" w:hAnsi="Arial" w:cs="Arial"/>
          <w:sz w:val="20"/>
          <w:szCs w:val="16"/>
        </w:rPr>
        <w:tab/>
        <w:t>a ruling;</w:t>
      </w:r>
    </w:p>
    <w:p w14:paraId="4B24EB2F" w14:textId="16689079"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(d)</w:t>
      </w:r>
      <w:r>
        <w:rPr>
          <w:rFonts w:ascii="Arial" w:hAnsi="Arial" w:cs="Arial"/>
          <w:sz w:val="20"/>
          <w:szCs w:val="16"/>
        </w:rPr>
        <w:tab/>
        <w:t>a finding;</w:t>
      </w:r>
    </w:p>
    <w:p w14:paraId="737AB404" w14:textId="36145309"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(e)</w:t>
      </w:r>
      <w:r>
        <w:rPr>
          <w:rFonts w:ascii="Arial" w:hAnsi="Arial" w:cs="Arial"/>
          <w:sz w:val="20"/>
          <w:szCs w:val="16"/>
        </w:rPr>
        <w:tab/>
        <w:t>a decision;</w:t>
      </w:r>
    </w:p>
    <w:p w14:paraId="4558F15E" w14:textId="217903CA"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(f)</w:t>
      </w:r>
      <w:r>
        <w:rPr>
          <w:rFonts w:ascii="Arial" w:hAnsi="Arial" w:cs="Arial"/>
          <w:sz w:val="20"/>
          <w:szCs w:val="16"/>
        </w:rPr>
        <w:tab/>
        <w:t>a determination.</w:t>
      </w:r>
    </w:p>
    <w:p w14:paraId="1394E6A6" w14:textId="293A2DA0" w:rsidR="005D6A31" w:rsidRPr="00437452" w:rsidRDefault="005D6A31" w:rsidP="005D6A31">
      <w:pPr>
        <w:pStyle w:val="DraftHeading2"/>
        <w:tabs>
          <w:tab w:val="right" w:pos="1247"/>
        </w:tabs>
        <w:spacing w:before="60"/>
        <w:ind w:left="1021" w:right="567" w:hanging="454"/>
        <w:jc w:val="both"/>
        <w:rPr>
          <w:rFonts w:ascii="Arial" w:hAnsi="Arial" w:cs="Arial"/>
          <w:b/>
          <w:bCs/>
          <w:sz w:val="20"/>
          <w:szCs w:val="16"/>
        </w:rPr>
      </w:pPr>
      <w:r>
        <w:rPr>
          <w:rFonts w:ascii="Arial" w:hAnsi="Arial" w:cs="Arial"/>
          <w:b/>
          <w:bCs/>
          <w:sz w:val="20"/>
          <w:szCs w:val="16"/>
        </w:rPr>
        <w:t>8B</w:t>
      </w:r>
      <w:r w:rsidRPr="001C508D">
        <w:rPr>
          <w:rFonts w:ascii="Arial" w:hAnsi="Arial" w:cs="Arial"/>
          <w:b/>
          <w:bCs/>
          <w:sz w:val="20"/>
          <w:szCs w:val="16"/>
        </w:rPr>
        <w:tab/>
      </w:r>
      <w:r>
        <w:rPr>
          <w:rFonts w:ascii="Arial" w:hAnsi="Arial" w:cs="Arial"/>
          <w:b/>
          <w:bCs/>
          <w:sz w:val="20"/>
          <w:szCs w:val="16"/>
        </w:rPr>
        <w:t xml:space="preserve">Certain measures in relation to proceeding or hearing do </w:t>
      </w:r>
      <w:r>
        <w:rPr>
          <w:rFonts w:ascii="Arial" w:hAnsi="Arial" w:cs="Arial"/>
          <w:b/>
          <w:bCs/>
          <w:sz w:val="20"/>
        </w:rPr>
        <w:t>not contravene rules of law relating to open justice</w:t>
      </w:r>
    </w:p>
    <w:p w14:paraId="52612201" w14:textId="14586503" w:rsidR="005D6A31" w:rsidRDefault="005D6A31"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szCs w:val="16"/>
        </w:rPr>
        <w:t>A court or tribunal does not contravene any rule of law relating to open justice if, instead of holding a proceeding or hearing in a court room or hearing room that is physically open to the public, the court or tribunal</w:t>
      </w:r>
      <w:r w:rsidR="00DB526A">
        <w:rPr>
          <w:rFonts w:ascii="Arial" w:hAnsi="Arial" w:cs="Arial"/>
          <w:sz w:val="20"/>
          <w:szCs w:val="16"/>
        </w:rPr>
        <w:t xml:space="preserve"> does whichever of the following things the court or tribunal is satisfied it is in the interests of justice to do</w:t>
      </w:r>
      <w:r w:rsidRPr="00237AC3">
        <w:rPr>
          <w:rFonts w:ascii="Arial" w:hAnsi="Arial" w:cs="Arial"/>
          <w:sz w:val="20"/>
          <w:szCs w:val="16"/>
        </w:rPr>
        <w:t>—</w:t>
      </w:r>
    </w:p>
    <w:p w14:paraId="25C69CD1" w14:textId="417F5869" w:rsidR="00DB526A" w:rsidRDefault="00DB526A" w:rsidP="00DB526A">
      <w:pPr>
        <w:pStyle w:val="DraftHeading3"/>
        <w:numPr>
          <w:ilvl w:val="6"/>
          <w:numId w:val="43"/>
        </w:numPr>
        <w:tabs>
          <w:tab w:val="right" w:pos="1758"/>
        </w:tabs>
        <w:spacing w:before="0"/>
        <w:ind w:left="1480" w:right="567" w:hanging="459"/>
        <w:jc w:val="both"/>
        <w:rPr>
          <w:rFonts w:ascii="Arial" w:hAnsi="Arial" w:cs="Arial"/>
          <w:sz w:val="20"/>
          <w:szCs w:val="16"/>
        </w:rPr>
      </w:pPr>
      <w:r>
        <w:rPr>
          <w:rFonts w:ascii="Arial" w:hAnsi="Arial" w:cs="Arial"/>
          <w:sz w:val="20"/>
          <w:szCs w:val="16"/>
        </w:rPr>
        <w:t>arranging or providing a contemporaneous audio or audio visual broadcast of the proceeding or hearing to</w:t>
      </w:r>
      <w:r w:rsidRPr="00237AC3">
        <w:rPr>
          <w:rFonts w:ascii="Arial" w:hAnsi="Arial" w:cs="Arial"/>
          <w:sz w:val="20"/>
          <w:szCs w:val="16"/>
        </w:rPr>
        <w:t>—</w:t>
      </w:r>
    </w:p>
    <w:p w14:paraId="3E074C31" w14:textId="77777777" w:rsidR="00DB526A" w:rsidRDefault="00DB526A" w:rsidP="00DB526A">
      <w:pPr>
        <w:pStyle w:val="ListParagraph"/>
        <w:numPr>
          <w:ilvl w:val="0"/>
          <w:numId w:val="44"/>
        </w:numPr>
        <w:ind w:left="1928" w:hanging="454"/>
        <w:jc w:val="both"/>
        <w:rPr>
          <w:rFonts w:ascii="Arial" w:hAnsi="Arial" w:cs="Arial"/>
          <w:sz w:val="20"/>
        </w:rPr>
      </w:pPr>
      <w:r w:rsidRPr="00DB526A">
        <w:rPr>
          <w:rFonts w:ascii="Arial" w:hAnsi="Arial" w:cs="Arial"/>
          <w:sz w:val="20"/>
        </w:rPr>
        <w:t>the public generally; or</w:t>
      </w:r>
    </w:p>
    <w:p w14:paraId="3902CC5E" w14:textId="77777777" w:rsidR="00DB526A" w:rsidRPr="00DB526A" w:rsidRDefault="00DB526A" w:rsidP="00DB526A">
      <w:pPr>
        <w:pStyle w:val="ListParagraph"/>
        <w:numPr>
          <w:ilvl w:val="0"/>
          <w:numId w:val="44"/>
        </w:numPr>
        <w:ind w:left="1928" w:hanging="454"/>
        <w:jc w:val="both"/>
        <w:rPr>
          <w:rFonts w:ascii="Arial" w:hAnsi="Arial" w:cs="Arial"/>
          <w:sz w:val="20"/>
        </w:rPr>
      </w:pPr>
      <w:r>
        <w:rPr>
          <w:rFonts w:ascii="Arial" w:hAnsi="Arial" w:cs="Arial"/>
          <w:sz w:val="20"/>
        </w:rPr>
        <w:t>a member of the public on request.</w:t>
      </w:r>
    </w:p>
    <w:p w14:paraId="2113F894" w14:textId="0A9F9928" w:rsidR="005D6A31" w:rsidRPr="00483341" w:rsidRDefault="005D6A31" w:rsidP="005D6A31">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sidR="00DB526A">
        <w:rPr>
          <w:rFonts w:ascii="Arial" w:hAnsi="Arial" w:cs="Arial"/>
          <w:sz w:val="20"/>
          <w:szCs w:val="16"/>
        </w:rPr>
        <w:t>arranging or providing an audio or audio visual recording of the proceeding within a reasonable time after the conclusion of the proceeding or hearing to</w:t>
      </w:r>
      <w:r w:rsidR="00DB526A" w:rsidRPr="00237AC3">
        <w:rPr>
          <w:rFonts w:ascii="Arial" w:hAnsi="Arial" w:cs="Arial"/>
          <w:sz w:val="20"/>
          <w:szCs w:val="16"/>
        </w:rPr>
        <w:t>—</w:t>
      </w:r>
    </w:p>
    <w:p w14:paraId="671AE116" w14:textId="177AC911" w:rsidR="005D6A31" w:rsidRPr="00DB526A" w:rsidRDefault="005D6A31" w:rsidP="00DB526A">
      <w:pPr>
        <w:pStyle w:val="ListParagraph"/>
        <w:numPr>
          <w:ilvl w:val="0"/>
          <w:numId w:val="45"/>
        </w:numPr>
        <w:ind w:left="1928" w:hanging="454"/>
        <w:jc w:val="both"/>
        <w:rPr>
          <w:rFonts w:ascii="Arial" w:hAnsi="Arial" w:cs="Arial"/>
          <w:sz w:val="20"/>
        </w:rPr>
      </w:pPr>
      <w:r w:rsidRPr="00DB526A">
        <w:rPr>
          <w:rFonts w:ascii="Arial" w:hAnsi="Arial" w:cs="Arial"/>
          <w:sz w:val="20"/>
        </w:rPr>
        <w:t>the public generally; or</w:t>
      </w:r>
    </w:p>
    <w:p w14:paraId="487952D1" w14:textId="6E2660A6" w:rsidR="00DB526A" w:rsidRPr="00DB526A" w:rsidRDefault="00DB526A" w:rsidP="00DB526A">
      <w:pPr>
        <w:pStyle w:val="ListParagraph"/>
        <w:numPr>
          <w:ilvl w:val="0"/>
          <w:numId w:val="45"/>
        </w:numPr>
        <w:ind w:left="1928" w:hanging="454"/>
        <w:jc w:val="both"/>
        <w:rPr>
          <w:rFonts w:ascii="Arial" w:hAnsi="Arial" w:cs="Arial"/>
          <w:sz w:val="20"/>
        </w:rPr>
      </w:pPr>
      <w:r>
        <w:rPr>
          <w:rFonts w:ascii="Arial" w:hAnsi="Arial" w:cs="Arial"/>
          <w:sz w:val="20"/>
        </w:rPr>
        <w:t>a member of the public on request.</w:t>
      </w:r>
    </w:p>
    <w:p w14:paraId="75EC40A4" w14:textId="4721DB15" w:rsidR="00DB526A" w:rsidRPr="00DB526A" w:rsidRDefault="00DB526A"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rPr>
        <w:t>A court or tribunal may determine what means or access or combination of means of access under subsection (1) is or are more appropriate in all the circumstances.</w:t>
      </w:r>
    </w:p>
    <w:p w14:paraId="78DE9D86" w14:textId="5D524D85" w:rsidR="00DB526A" w:rsidRDefault="00DB526A"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rPr>
        <w:t xml:space="preserve">No fee </w:t>
      </w:r>
      <w:r w:rsidR="0019667E">
        <w:rPr>
          <w:rFonts w:ascii="Arial" w:hAnsi="Arial" w:cs="Arial"/>
          <w:sz w:val="20"/>
        </w:rPr>
        <w:t>is payable for a contemporaneous audio or audio visual broadcast under subsection (1)(a) [or] an audio or audio visual recording of a proceeding or hearing under subsection (1)(</w:t>
      </w:r>
      <w:proofErr w:type="gramStart"/>
      <w:r w:rsidR="0019667E">
        <w:rPr>
          <w:rFonts w:ascii="Arial" w:hAnsi="Arial" w:cs="Arial"/>
          <w:sz w:val="20"/>
        </w:rPr>
        <w:t>b)…</w:t>
      </w:r>
      <w:proofErr w:type="gramEnd"/>
      <w:r w:rsidR="0019667E">
        <w:rPr>
          <w:rFonts w:ascii="Arial" w:hAnsi="Arial" w:cs="Arial"/>
          <w:sz w:val="20"/>
        </w:rPr>
        <w:t>by a person to whom it is provided.</w:t>
      </w:r>
    </w:p>
    <w:p w14:paraId="6283B194" w14:textId="79309357" w:rsidR="005D6A31" w:rsidRPr="001C508D" w:rsidRDefault="0019667E" w:rsidP="005D6A31">
      <w:pPr>
        <w:pStyle w:val="ListParagraph"/>
        <w:numPr>
          <w:ilvl w:val="5"/>
          <w:numId w:val="42"/>
        </w:numPr>
        <w:spacing w:before="60"/>
        <w:ind w:left="1015" w:right="567" w:hanging="448"/>
        <w:jc w:val="both"/>
        <w:rPr>
          <w:rFonts w:ascii="Arial" w:hAnsi="Arial" w:cs="Arial"/>
          <w:sz w:val="20"/>
        </w:rPr>
      </w:pPr>
      <w:r>
        <w:rPr>
          <w:rFonts w:ascii="Arial" w:hAnsi="Arial" w:cs="Arial"/>
          <w:sz w:val="20"/>
        </w:rPr>
        <w:t xml:space="preserve">Subsection (3) applies despite any Act (other than the </w:t>
      </w:r>
      <w:r w:rsidRPr="0019667E">
        <w:rPr>
          <w:rFonts w:ascii="Arial" w:hAnsi="Arial" w:cs="Arial"/>
          <w:i/>
          <w:iCs/>
          <w:sz w:val="20"/>
        </w:rPr>
        <w:t>Charter of Human Rights and Responsibilities Act 2006</w:t>
      </w:r>
      <w:r>
        <w:rPr>
          <w:rFonts w:ascii="Arial" w:hAnsi="Arial" w:cs="Arial"/>
          <w:sz w:val="20"/>
        </w:rPr>
        <w:t>) or any regulation which fixes a fee for the provision of any broadcast [or] recording…”</w:t>
      </w:r>
    </w:p>
    <w:p w14:paraId="49121F95" w14:textId="77777777" w:rsidR="00CD5BD3" w:rsidRDefault="00CD5BD3" w:rsidP="00E54921">
      <w:pPr>
        <w:jc w:val="both"/>
        <w:rPr>
          <w:rFonts w:ascii="Arial" w:hAnsi="Arial" w:cs="Arial"/>
          <w:sz w:val="20"/>
        </w:rPr>
      </w:pPr>
    </w:p>
    <w:p w14:paraId="57528054" w14:textId="1D252614" w:rsidR="0020769F" w:rsidRDefault="0020769F" w:rsidP="0020769F">
      <w:pPr>
        <w:jc w:val="both"/>
        <w:rPr>
          <w:rFonts w:ascii="Arial" w:hAnsi="Arial" w:cs="Arial"/>
          <w:color w:val="000000"/>
          <w:sz w:val="20"/>
        </w:rPr>
      </w:pPr>
      <w:r>
        <w:rPr>
          <w:rFonts w:ascii="Arial" w:hAnsi="Arial" w:cs="Arial"/>
          <w:sz w:val="20"/>
        </w:rPr>
        <w:t xml:space="preserve">So far as the presence in Court of an accused is concerned, the Court of Appeal in </w:t>
      </w:r>
      <w:proofErr w:type="spellStart"/>
      <w:r w:rsidRPr="0020769F">
        <w:rPr>
          <w:rFonts w:ascii="Arial" w:hAnsi="Arial" w:cs="Arial"/>
          <w:i/>
          <w:iCs/>
          <w:color w:val="000000"/>
          <w:sz w:val="20"/>
          <w:szCs w:val="20"/>
        </w:rPr>
        <w:t>Mareangareu</w:t>
      </w:r>
      <w:proofErr w:type="spellEnd"/>
      <w:r w:rsidRPr="0020769F">
        <w:rPr>
          <w:rFonts w:ascii="Arial" w:hAnsi="Arial" w:cs="Arial"/>
          <w:i/>
          <w:iCs/>
          <w:color w:val="000000"/>
          <w:sz w:val="20"/>
          <w:szCs w:val="20"/>
        </w:rPr>
        <w:t xml:space="preserve"> v The Queen</w:t>
      </w:r>
      <w:r w:rsidRPr="0020769F">
        <w:rPr>
          <w:rFonts w:ascii="Arial" w:hAnsi="Arial" w:cs="Arial"/>
          <w:color w:val="000000"/>
          <w:sz w:val="20"/>
          <w:szCs w:val="20"/>
        </w:rPr>
        <w:t xml:space="preserve"> [2019] VSCA 101 </w:t>
      </w:r>
      <w:r>
        <w:rPr>
          <w:rFonts w:ascii="Arial" w:hAnsi="Arial" w:cs="Arial"/>
          <w:color w:val="000000"/>
          <w:sz w:val="20"/>
          <w:szCs w:val="20"/>
        </w:rPr>
        <w:t xml:space="preserve">said </w:t>
      </w:r>
      <w:r w:rsidRPr="0020769F">
        <w:rPr>
          <w:rFonts w:ascii="Arial" w:hAnsi="Arial" w:cs="Arial"/>
          <w:color w:val="000000"/>
          <w:sz w:val="20"/>
          <w:szCs w:val="20"/>
        </w:rPr>
        <w:t>at [59]</w:t>
      </w:r>
      <w:r>
        <w:rPr>
          <w:rFonts w:ascii="Arial" w:hAnsi="Arial" w:cs="Arial"/>
          <w:color w:val="000000"/>
          <w:sz w:val="20"/>
          <w:szCs w:val="20"/>
        </w:rPr>
        <w:t>: “</w:t>
      </w:r>
      <w:r w:rsidRPr="0020769F">
        <w:rPr>
          <w:rFonts w:ascii="Arial" w:hAnsi="Arial" w:cs="Arial"/>
          <w:sz w:val="20"/>
        </w:rPr>
        <w:t xml:space="preserve">It is a fundamental principle that, unless there is some disentitling conduct or waiver, all aspects of a trial for an indictable offence must be conducted in the presence of the accused.  See </w:t>
      </w:r>
      <w:r w:rsidRPr="0020769F">
        <w:rPr>
          <w:rFonts w:ascii="Arial" w:hAnsi="Arial" w:cs="Arial"/>
          <w:i/>
          <w:iCs/>
          <w:sz w:val="20"/>
        </w:rPr>
        <w:t>Lawrence v The King</w:t>
      </w:r>
      <w:r w:rsidRPr="0020769F">
        <w:rPr>
          <w:rFonts w:ascii="Arial" w:hAnsi="Arial" w:cs="Arial"/>
          <w:sz w:val="20"/>
        </w:rPr>
        <w:t xml:space="preserve"> [1933] AC 699, 708; </w:t>
      </w:r>
      <w:r w:rsidRPr="0020769F">
        <w:rPr>
          <w:rFonts w:ascii="Arial" w:hAnsi="Arial" w:cs="Arial"/>
          <w:i/>
          <w:iCs/>
          <w:sz w:val="20"/>
        </w:rPr>
        <w:t>R v Abrahams</w:t>
      </w:r>
      <w:r w:rsidRPr="0020769F">
        <w:rPr>
          <w:rFonts w:ascii="Arial" w:hAnsi="Arial" w:cs="Arial"/>
          <w:sz w:val="20"/>
        </w:rPr>
        <w:t xml:space="preserve"> (1895) 21 VLR 343, 347</w:t>
      </w:r>
      <w:r w:rsidR="000843B5">
        <w:rPr>
          <w:rFonts w:ascii="Arial" w:hAnsi="Arial" w:cs="Arial"/>
          <w:sz w:val="20"/>
        </w:rPr>
        <w:noBreakHyphen/>
      </w:r>
      <w:r w:rsidRPr="0020769F">
        <w:rPr>
          <w:rFonts w:ascii="Arial" w:hAnsi="Arial" w:cs="Arial"/>
          <w:sz w:val="20"/>
        </w:rPr>
        <w:t xml:space="preserve">8; </w:t>
      </w:r>
      <w:r w:rsidRPr="0020769F">
        <w:rPr>
          <w:rFonts w:ascii="Arial" w:hAnsi="Arial" w:cs="Arial"/>
          <w:i/>
          <w:iCs/>
          <w:sz w:val="20"/>
        </w:rPr>
        <w:t>R v Vernell</w:t>
      </w:r>
      <w:r w:rsidRPr="0020769F">
        <w:rPr>
          <w:rFonts w:ascii="Arial" w:hAnsi="Arial" w:cs="Arial"/>
          <w:sz w:val="20"/>
        </w:rPr>
        <w:t xml:space="preserve"> [1953] VLR 590, 596; </w:t>
      </w:r>
      <w:r w:rsidRPr="0020769F">
        <w:rPr>
          <w:rFonts w:ascii="Arial" w:hAnsi="Arial" w:cs="Arial"/>
          <w:i/>
          <w:iCs/>
          <w:sz w:val="20"/>
        </w:rPr>
        <w:t>R v Jones</w:t>
      </w:r>
      <w:r w:rsidRPr="0020769F">
        <w:rPr>
          <w:rFonts w:ascii="Arial" w:hAnsi="Arial" w:cs="Arial"/>
          <w:sz w:val="20"/>
        </w:rPr>
        <w:t xml:space="preserve"> (1998) 72 SASR 281, 294–5.</w:t>
      </w:r>
      <w:r>
        <w:rPr>
          <w:rFonts w:ascii="Arial" w:hAnsi="Arial" w:cs="Arial"/>
          <w:sz w:val="20"/>
        </w:rPr>
        <w:t>”</w:t>
      </w:r>
      <w:r w:rsidR="00301518">
        <w:rPr>
          <w:rFonts w:ascii="Arial" w:hAnsi="Arial" w:cs="Arial"/>
          <w:sz w:val="20"/>
        </w:rPr>
        <w:t xml:space="preserve">  </w:t>
      </w:r>
      <w:r w:rsidR="00301518" w:rsidRPr="00381395">
        <w:rPr>
          <w:rFonts w:ascii="Arial" w:hAnsi="Arial" w:cs="Arial"/>
          <w:color w:val="000000"/>
          <w:sz w:val="20"/>
        </w:rPr>
        <w:t xml:space="preserve">However, the accused may be present </w:t>
      </w:r>
      <w:r w:rsidR="009C3E12" w:rsidRPr="00381395">
        <w:rPr>
          <w:rFonts w:ascii="Arial" w:hAnsi="Arial" w:cs="Arial"/>
          <w:color w:val="000000"/>
          <w:sz w:val="20"/>
        </w:rPr>
        <w:t xml:space="preserve">in Court </w:t>
      </w:r>
      <w:r w:rsidR="00301518" w:rsidRPr="00381395">
        <w:rPr>
          <w:rFonts w:ascii="Arial" w:hAnsi="Arial" w:cs="Arial"/>
          <w:color w:val="000000"/>
          <w:sz w:val="20"/>
        </w:rPr>
        <w:t xml:space="preserve">by audio visual link or audio link in circumstances falling within </w:t>
      </w:r>
      <w:r w:rsidR="00DB7436" w:rsidRPr="00381395">
        <w:rPr>
          <w:rFonts w:ascii="Arial" w:hAnsi="Arial" w:cs="Arial"/>
          <w:color w:val="000000"/>
          <w:sz w:val="20"/>
        </w:rPr>
        <w:t>Division 3 of Part IIA</w:t>
      </w:r>
      <w:r w:rsidR="00301518" w:rsidRPr="00381395">
        <w:rPr>
          <w:rFonts w:ascii="Arial" w:hAnsi="Arial" w:cs="Arial"/>
          <w:color w:val="000000"/>
          <w:sz w:val="20"/>
        </w:rPr>
        <w:t xml:space="preserve"> of the </w:t>
      </w:r>
      <w:r w:rsidR="00301518" w:rsidRPr="005161F3">
        <w:rPr>
          <w:rFonts w:ascii="Arial" w:hAnsi="Arial" w:cs="Arial"/>
          <w:i/>
          <w:iCs/>
          <w:color w:val="000000"/>
          <w:sz w:val="20"/>
        </w:rPr>
        <w:t>Evidence (Miscellaneous Provisions) Act 1958</w:t>
      </w:r>
      <w:r w:rsidR="00301518" w:rsidRPr="00381395">
        <w:rPr>
          <w:rFonts w:ascii="Arial" w:hAnsi="Arial" w:cs="Arial"/>
          <w:color w:val="000000"/>
          <w:sz w:val="20"/>
        </w:rPr>
        <w:t>.</w:t>
      </w:r>
      <w:r w:rsidR="00B27B6D">
        <w:rPr>
          <w:rFonts w:ascii="Arial" w:hAnsi="Arial" w:cs="Arial"/>
          <w:color w:val="000000"/>
          <w:sz w:val="20"/>
        </w:rPr>
        <w:t xml:space="preserve">  In </w:t>
      </w:r>
      <w:r w:rsidR="00B27B6D" w:rsidRPr="00B27B6D">
        <w:rPr>
          <w:rFonts w:ascii="Arial" w:hAnsi="Arial" w:cs="Arial"/>
          <w:i/>
          <w:iCs/>
          <w:color w:val="000000"/>
          <w:sz w:val="20"/>
        </w:rPr>
        <w:t>Caulfield (a pseudonym) v The King</w:t>
      </w:r>
      <w:r w:rsidR="00B27B6D">
        <w:rPr>
          <w:rFonts w:ascii="Arial" w:hAnsi="Arial" w:cs="Arial"/>
          <w:color w:val="000000"/>
          <w:sz w:val="20"/>
        </w:rPr>
        <w:t xml:space="preserve"> [2023] VSCA 76 the accused was in prison but connected to the courtroom by an audio visual link.  As the judge was reading her sentencing reasons, the connection with the prison was lost.  Rather than immediately adjourning the Court to allow the connection to be re-established, the judge took the opportunity to speak directly to persons in court who had provided victim impact statements.  At [36]</w:t>
      </w:r>
      <w:r w:rsidR="00B27B6D">
        <w:rPr>
          <w:rFonts w:ascii="Arial" w:hAnsi="Arial" w:cs="Arial"/>
          <w:color w:val="000000"/>
          <w:sz w:val="20"/>
        </w:rPr>
        <w:noBreakHyphen/>
        <w:t xml:space="preserve">[42] the Court of Appeal (Beach, Niall &amp; Kaye JJA) held that </w:t>
      </w:r>
      <w:r w:rsidR="00C203EB">
        <w:rPr>
          <w:rFonts w:ascii="Arial" w:hAnsi="Arial" w:cs="Arial"/>
          <w:color w:val="000000"/>
          <w:sz w:val="20"/>
        </w:rPr>
        <w:t>“</w:t>
      </w:r>
      <w:r w:rsidR="00B27B6D">
        <w:rPr>
          <w:rFonts w:ascii="Arial" w:hAnsi="Arial" w:cs="Arial"/>
          <w:color w:val="000000"/>
          <w:sz w:val="20"/>
        </w:rPr>
        <w:t>the remarks</w:t>
      </w:r>
      <w:r w:rsidR="00C203EB">
        <w:rPr>
          <w:rFonts w:ascii="Arial" w:hAnsi="Arial" w:cs="Arial"/>
          <w:color w:val="000000"/>
          <w:sz w:val="20"/>
        </w:rPr>
        <w:t xml:space="preserve"> made by the judge in the absence of the applicant should not have been made” and enunciated some cardinal principles as to why.  However, although leave to appeal was granted, the appeal was ultimately dismissed on the basis that no lesser sentence was appropriate.</w:t>
      </w:r>
    </w:p>
    <w:p w14:paraId="1311F142" w14:textId="77777777" w:rsidR="00E54921" w:rsidRDefault="00E54921" w:rsidP="00E54921">
      <w:pPr>
        <w:jc w:val="both"/>
        <w:rPr>
          <w:rFonts w:ascii="Arial" w:hAnsi="Arial" w:cs="Arial"/>
          <w:sz w:val="20"/>
        </w:rPr>
      </w:pPr>
    </w:p>
    <w:p w14:paraId="3261232E" w14:textId="493FEB93" w:rsidR="00FA0D0B" w:rsidRDefault="00FA0D0B" w:rsidP="00FA0D0B">
      <w:pPr>
        <w:pStyle w:val="Heading3"/>
        <w:keepNext/>
        <w:keepLines/>
        <w:spacing w:after="120" w:line="240" w:lineRule="auto"/>
        <w:rPr>
          <w:rFonts w:ascii="Arial" w:hAnsi="Arial" w:cs="Arial"/>
          <w:b/>
          <w:bCs/>
          <w:sz w:val="20"/>
        </w:rPr>
      </w:pPr>
      <w:bookmarkStart w:id="440" w:name="_2.7.2_Sections_28"/>
      <w:bookmarkEnd w:id="440"/>
      <w:r>
        <w:rPr>
          <w:rFonts w:ascii="Arial" w:hAnsi="Arial" w:cs="Arial"/>
          <w:b/>
          <w:bCs/>
          <w:sz w:val="20"/>
        </w:rPr>
        <w:t>2.7.2</w:t>
      </w:r>
      <w:r>
        <w:rPr>
          <w:rFonts w:ascii="Arial" w:hAnsi="Arial" w:cs="Arial"/>
          <w:b/>
          <w:bCs/>
          <w:sz w:val="20"/>
        </w:rPr>
        <w:tab/>
      </w:r>
      <w:r w:rsidR="00755FF0">
        <w:rPr>
          <w:rFonts w:ascii="Arial" w:hAnsi="Arial" w:cs="Arial"/>
          <w:b/>
          <w:bCs/>
          <w:sz w:val="20"/>
        </w:rPr>
        <w:t xml:space="preserve">Sections 28 </w:t>
      </w:r>
      <w:r w:rsidR="00FA1BDE">
        <w:rPr>
          <w:rFonts w:ascii="Arial" w:hAnsi="Arial" w:cs="Arial"/>
          <w:b/>
          <w:bCs/>
          <w:sz w:val="20"/>
        </w:rPr>
        <w:t>to</w:t>
      </w:r>
      <w:r w:rsidR="00755FF0">
        <w:rPr>
          <w:rFonts w:ascii="Arial" w:hAnsi="Arial" w:cs="Arial"/>
          <w:b/>
          <w:bCs/>
          <w:sz w:val="20"/>
        </w:rPr>
        <w:t xml:space="preserve"> 30 of t</w:t>
      </w:r>
      <w:r>
        <w:rPr>
          <w:rFonts w:ascii="Arial" w:hAnsi="Arial" w:cs="Arial"/>
          <w:b/>
          <w:bCs/>
          <w:sz w:val="20"/>
        </w:rPr>
        <w:t xml:space="preserve">he </w:t>
      </w:r>
      <w:r w:rsidRPr="005161F3">
        <w:rPr>
          <w:rFonts w:ascii="Arial" w:hAnsi="Arial" w:cs="Arial"/>
          <w:b/>
          <w:bCs/>
          <w:i/>
          <w:iCs/>
          <w:sz w:val="20"/>
        </w:rPr>
        <w:t>Open Courts Act 2013</w:t>
      </w:r>
    </w:p>
    <w:p w14:paraId="5960A088" w14:textId="0AE7FE21" w:rsidR="00FA1BDE" w:rsidRPr="00FA1BDE" w:rsidRDefault="00D620A8" w:rsidP="00DB7436">
      <w:pPr>
        <w:jc w:val="both"/>
        <w:rPr>
          <w:rFonts w:ascii="Arial" w:hAnsi="Arial" w:cs="Arial"/>
          <w:sz w:val="20"/>
        </w:rPr>
      </w:pPr>
      <w:r w:rsidRPr="00FA1BDE">
        <w:rPr>
          <w:rFonts w:ascii="Arial" w:hAnsi="Arial" w:cs="Arial"/>
          <w:sz w:val="20"/>
        </w:rPr>
        <w:t xml:space="preserve">In order “to strengthen and promote the principle of open justice”, </w:t>
      </w:r>
      <w:r w:rsidR="00DA3C4D">
        <w:rPr>
          <w:rFonts w:ascii="Arial" w:hAnsi="Arial" w:cs="Arial"/>
          <w:sz w:val="20"/>
        </w:rPr>
        <w:t xml:space="preserve">the OCA </w:t>
      </w:r>
      <w:r w:rsidR="000F3B10">
        <w:rPr>
          <w:rFonts w:ascii="Arial" w:hAnsi="Arial" w:cs="Arial"/>
          <w:sz w:val="20"/>
        </w:rPr>
        <w:t xml:space="preserve">originally </w:t>
      </w:r>
      <w:r w:rsidR="00EC151A" w:rsidRPr="00FA1BDE">
        <w:rPr>
          <w:rFonts w:ascii="Arial" w:hAnsi="Arial" w:cs="Arial"/>
          <w:sz w:val="20"/>
        </w:rPr>
        <w:t>provide</w:t>
      </w:r>
      <w:r w:rsidR="00FA1BDE" w:rsidRPr="00FA1BDE">
        <w:rPr>
          <w:rFonts w:ascii="Arial" w:hAnsi="Arial" w:cs="Arial"/>
          <w:sz w:val="20"/>
        </w:rPr>
        <w:t>d</w:t>
      </w:r>
      <w:r w:rsidR="00EC151A" w:rsidRPr="00FA1BDE">
        <w:rPr>
          <w:rFonts w:ascii="Arial" w:hAnsi="Arial" w:cs="Arial"/>
          <w:sz w:val="20"/>
        </w:rPr>
        <w:t xml:space="preserve"> in s.28 a presumption in favour of hearing a proceeding in open court.  </w:t>
      </w:r>
      <w:r w:rsidR="00FA1BDE" w:rsidRPr="00FA1BDE">
        <w:rPr>
          <w:rFonts w:ascii="Arial" w:hAnsi="Arial" w:cs="Arial"/>
          <w:color w:val="000000"/>
          <w:sz w:val="20"/>
          <w:szCs w:val="20"/>
          <w:lang w:eastAsia="en-AU"/>
        </w:rPr>
        <w:t>The</w:t>
      </w:r>
      <w:r w:rsidR="00B257F5">
        <w:rPr>
          <w:rFonts w:ascii="Arial" w:hAnsi="Arial" w:cs="Arial"/>
          <w:color w:val="000000"/>
          <w:sz w:val="20"/>
          <w:szCs w:val="20"/>
          <w:lang w:eastAsia="en-AU"/>
        </w:rPr>
        <w:t xml:space="preserve"> </w:t>
      </w:r>
      <w:r w:rsidR="00FA1BDE" w:rsidRPr="00FA1BDE">
        <w:rPr>
          <w:rFonts w:ascii="Arial" w:hAnsi="Arial" w:cs="Arial"/>
          <w:i/>
          <w:iCs/>
          <w:color w:val="000000"/>
          <w:sz w:val="20"/>
          <w:szCs w:val="20"/>
          <w:lang w:eastAsia="en-AU"/>
        </w:rPr>
        <w:t>Open Courts and Other Acts Amendment Act 2019</w:t>
      </w:r>
      <w:r w:rsidR="00FA1BDE">
        <w:rPr>
          <w:rFonts w:ascii="Arial" w:hAnsi="Arial" w:cs="Arial"/>
          <w:color w:val="000000"/>
          <w:sz w:val="20"/>
          <w:szCs w:val="20"/>
          <w:lang w:eastAsia="en-AU"/>
        </w:rPr>
        <w:t xml:space="preserve"> </w:t>
      </w:r>
      <w:r w:rsidR="00FA1BDE" w:rsidRPr="00FA1BDE">
        <w:rPr>
          <w:rFonts w:ascii="Arial" w:hAnsi="Arial" w:cs="Arial"/>
          <w:color w:val="000000"/>
          <w:sz w:val="20"/>
          <w:szCs w:val="20"/>
          <w:lang w:eastAsia="en-AU"/>
        </w:rPr>
        <w:t>replaced the presumption in favour of open courts with an obligation to consider the primacy of the open justice principle, free communication and disclosure of information, and to not make a</w:t>
      </w:r>
      <w:r w:rsidR="00DA3C4D">
        <w:rPr>
          <w:rFonts w:ascii="Arial" w:hAnsi="Arial" w:cs="Arial"/>
          <w:color w:val="000000"/>
          <w:sz w:val="20"/>
          <w:szCs w:val="20"/>
          <w:lang w:eastAsia="en-AU"/>
        </w:rPr>
        <w:t xml:space="preserve"> closed court</w:t>
      </w:r>
      <w:r w:rsidR="00FA1BDE">
        <w:rPr>
          <w:rFonts w:ascii="Arial" w:hAnsi="Arial" w:cs="Arial"/>
          <w:color w:val="000000"/>
          <w:sz w:val="20"/>
          <w:szCs w:val="20"/>
          <w:lang w:eastAsia="en-AU"/>
        </w:rPr>
        <w:t xml:space="preserve"> </w:t>
      </w:r>
      <w:r w:rsidR="00FA1BDE" w:rsidRPr="00FA1BDE">
        <w:rPr>
          <w:rFonts w:ascii="Arial" w:hAnsi="Arial" w:cs="Arial"/>
          <w:color w:val="000000"/>
          <w:sz w:val="20"/>
          <w:szCs w:val="20"/>
          <w:lang w:eastAsia="en-AU"/>
        </w:rPr>
        <w:t>order unless necessary to override that principle. This obligation effectively applies to any closure of the</w:t>
      </w:r>
      <w:r w:rsidR="00DA3C4D">
        <w:rPr>
          <w:rFonts w:ascii="Arial" w:hAnsi="Arial" w:cs="Arial"/>
          <w:color w:val="000000"/>
          <w:sz w:val="20"/>
          <w:szCs w:val="20"/>
          <w:lang w:eastAsia="en-AU"/>
        </w:rPr>
        <w:t xml:space="preserve"> court</w:t>
      </w:r>
      <w:r w:rsidR="00FA1BDE" w:rsidRPr="00FA1BDE">
        <w:rPr>
          <w:rFonts w:ascii="Arial" w:hAnsi="Arial" w:cs="Arial"/>
          <w:color w:val="000000"/>
          <w:sz w:val="20"/>
          <w:szCs w:val="20"/>
          <w:lang w:eastAsia="en-AU"/>
        </w:rPr>
        <w:t>, whether made under the</w:t>
      </w:r>
      <w:r w:rsidR="00B257F5">
        <w:rPr>
          <w:rFonts w:ascii="Arial" w:hAnsi="Arial" w:cs="Arial"/>
          <w:color w:val="000000"/>
          <w:sz w:val="20"/>
          <w:szCs w:val="20"/>
          <w:lang w:eastAsia="en-AU"/>
        </w:rPr>
        <w:t xml:space="preserve"> </w:t>
      </w:r>
      <w:r w:rsidR="00FA1BDE" w:rsidRPr="00FA1BDE">
        <w:rPr>
          <w:rFonts w:ascii="Arial" w:hAnsi="Arial" w:cs="Arial"/>
          <w:i/>
          <w:iCs/>
          <w:color w:val="000000"/>
          <w:sz w:val="20"/>
          <w:szCs w:val="20"/>
          <w:lang w:eastAsia="en-AU"/>
        </w:rPr>
        <w:t>Open Courts Act</w:t>
      </w:r>
      <w:r w:rsidR="00FA1BDE" w:rsidRPr="00FA1BDE">
        <w:rPr>
          <w:rFonts w:ascii="Arial" w:hAnsi="Arial" w:cs="Arial"/>
          <w:color w:val="000000"/>
          <w:sz w:val="20"/>
          <w:szCs w:val="20"/>
          <w:lang w:eastAsia="en-AU"/>
        </w:rPr>
        <w:t>, other legislation, or at common law.</w:t>
      </w:r>
      <w:r w:rsidR="000425F8">
        <w:rPr>
          <w:rFonts w:ascii="Arial" w:hAnsi="Arial" w:cs="Arial"/>
          <w:color w:val="000000"/>
          <w:sz w:val="20"/>
          <w:szCs w:val="20"/>
          <w:lang w:eastAsia="en-AU"/>
        </w:rPr>
        <w:t xml:space="preserve">  Section 29 of the OCA provides that the common law powers to make closed court orders remain unaffected by the OCA.</w:t>
      </w:r>
    </w:p>
    <w:p w14:paraId="47641782" w14:textId="77777777" w:rsidR="00FA1BDE" w:rsidRDefault="00FA1BDE" w:rsidP="00DB7436">
      <w:pPr>
        <w:jc w:val="both"/>
        <w:rPr>
          <w:rFonts w:ascii="Arial" w:hAnsi="Arial" w:cs="Arial"/>
          <w:sz w:val="20"/>
        </w:rPr>
      </w:pPr>
    </w:p>
    <w:p w14:paraId="0F1F7022" w14:textId="77777777" w:rsidR="005619BF" w:rsidRDefault="00DB7436" w:rsidP="00E54921">
      <w:pPr>
        <w:jc w:val="both"/>
        <w:rPr>
          <w:rFonts w:ascii="Arial" w:hAnsi="Arial" w:cs="Arial"/>
          <w:sz w:val="20"/>
        </w:rPr>
      </w:pPr>
      <w:r>
        <w:rPr>
          <w:rFonts w:ascii="Arial" w:hAnsi="Arial" w:cs="Arial"/>
          <w:sz w:val="20"/>
        </w:rPr>
        <w:t>Hence</w:t>
      </w:r>
      <w:r w:rsidR="00EC151A">
        <w:rPr>
          <w:rFonts w:ascii="Arial" w:hAnsi="Arial" w:cs="Arial"/>
          <w:sz w:val="20"/>
        </w:rPr>
        <w:t>, in deciding whether or not a Children’s Court hearing should be closed in whole or part under s.523 of the CYFA</w:t>
      </w:r>
      <w:r w:rsidR="00D620A8">
        <w:rPr>
          <w:rFonts w:ascii="Arial" w:hAnsi="Arial" w:cs="Arial"/>
          <w:sz w:val="20"/>
        </w:rPr>
        <w:t xml:space="preserve">, the </w:t>
      </w:r>
      <w:r w:rsidR="00C71C2E">
        <w:rPr>
          <w:rFonts w:ascii="Arial" w:hAnsi="Arial" w:cs="Arial"/>
          <w:sz w:val="20"/>
        </w:rPr>
        <w:t xml:space="preserve">provisions of </w:t>
      </w:r>
      <w:r w:rsidR="00D620A8">
        <w:rPr>
          <w:rFonts w:ascii="Arial" w:hAnsi="Arial" w:cs="Arial"/>
          <w:sz w:val="20"/>
        </w:rPr>
        <w:t xml:space="preserve">s.30(2) of the </w:t>
      </w:r>
      <w:r w:rsidR="00B467EC">
        <w:rPr>
          <w:rFonts w:ascii="Arial" w:hAnsi="Arial" w:cs="Arial"/>
          <w:sz w:val="20"/>
        </w:rPr>
        <w:t>OCA</w:t>
      </w:r>
      <w:r w:rsidR="00D620A8">
        <w:rPr>
          <w:rFonts w:ascii="Arial" w:hAnsi="Arial" w:cs="Arial"/>
          <w:sz w:val="20"/>
        </w:rPr>
        <w:t xml:space="preserve"> </w:t>
      </w:r>
      <w:r w:rsidR="00480F1C">
        <w:rPr>
          <w:rFonts w:ascii="Arial" w:hAnsi="Arial" w:cs="Arial"/>
          <w:sz w:val="20"/>
        </w:rPr>
        <w:t xml:space="preserve">[replacing s.126(1) of the </w:t>
      </w:r>
      <w:r w:rsidR="00480F1C" w:rsidRPr="005161F3">
        <w:rPr>
          <w:rFonts w:ascii="Arial" w:hAnsi="Arial" w:cs="Arial"/>
          <w:i/>
          <w:iCs/>
          <w:sz w:val="20"/>
        </w:rPr>
        <w:t>Magistrates’ Court Act 1989</w:t>
      </w:r>
      <w:r w:rsidR="00480F1C">
        <w:rPr>
          <w:rFonts w:ascii="Arial" w:hAnsi="Arial" w:cs="Arial"/>
          <w:sz w:val="20"/>
        </w:rPr>
        <w:t xml:space="preserve">] </w:t>
      </w:r>
      <w:r>
        <w:rPr>
          <w:rFonts w:ascii="Arial" w:hAnsi="Arial" w:cs="Arial"/>
          <w:sz w:val="20"/>
        </w:rPr>
        <w:t xml:space="preserve">are relevant </w:t>
      </w:r>
      <w:r w:rsidR="00480F1C">
        <w:rPr>
          <w:rFonts w:ascii="Arial" w:hAnsi="Arial" w:cs="Arial"/>
          <w:sz w:val="20"/>
        </w:rPr>
        <w:t xml:space="preserve">by </w:t>
      </w:r>
      <w:r w:rsidR="00245E02">
        <w:rPr>
          <w:rFonts w:ascii="Arial" w:hAnsi="Arial" w:cs="Arial"/>
          <w:sz w:val="20"/>
        </w:rPr>
        <w:t xml:space="preserve">virtue of s.528(1) </w:t>
      </w:r>
      <w:r w:rsidR="00480F1C">
        <w:rPr>
          <w:rFonts w:ascii="Arial" w:hAnsi="Arial" w:cs="Arial"/>
          <w:sz w:val="20"/>
        </w:rPr>
        <w:t xml:space="preserve">of the CYFA.  </w:t>
      </w:r>
      <w:r w:rsidR="00D620A8">
        <w:rPr>
          <w:rFonts w:ascii="Arial" w:hAnsi="Arial" w:cs="Arial"/>
          <w:sz w:val="20"/>
        </w:rPr>
        <w:t xml:space="preserve">Insofar as it is relevant, s.30(2) </w:t>
      </w:r>
      <w:r w:rsidR="00480F1C">
        <w:rPr>
          <w:rFonts w:ascii="Arial" w:hAnsi="Arial" w:cs="Arial"/>
          <w:sz w:val="20"/>
        </w:rPr>
        <w:t xml:space="preserve">of the </w:t>
      </w:r>
      <w:r w:rsidR="00B467EC">
        <w:rPr>
          <w:rFonts w:ascii="Arial" w:hAnsi="Arial" w:cs="Arial"/>
          <w:sz w:val="20"/>
        </w:rPr>
        <w:t xml:space="preserve">OCA </w:t>
      </w:r>
      <w:r w:rsidR="00D620A8">
        <w:rPr>
          <w:rFonts w:ascii="Arial" w:hAnsi="Arial" w:cs="Arial"/>
          <w:sz w:val="20"/>
        </w:rPr>
        <w:t>provides:</w:t>
      </w:r>
    </w:p>
    <w:p w14:paraId="441D7323" w14:textId="77777777" w:rsidR="00D620A8" w:rsidRDefault="00D620A8" w:rsidP="00D620A8">
      <w:pPr>
        <w:tabs>
          <w:tab w:val="left" w:pos="567"/>
        </w:tabs>
        <w:spacing w:before="60"/>
        <w:ind w:left="567" w:right="567"/>
        <w:jc w:val="both"/>
        <w:rPr>
          <w:rFonts w:ascii="Arial" w:hAnsi="Arial" w:cs="Arial"/>
          <w:sz w:val="20"/>
        </w:rPr>
      </w:pPr>
      <w:r>
        <w:rPr>
          <w:rFonts w:ascii="Arial" w:hAnsi="Arial" w:cs="Arial"/>
          <w:sz w:val="20"/>
        </w:rPr>
        <w:t>“A court…may make a closed court order if satisfied as to one or more of the following grounds-</w:t>
      </w:r>
    </w:p>
    <w:p w14:paraId="38D6D4B1" w14:textId="77777777" w:rsidR="005619BF"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prevent a real and substantial risk of prejudice to the proper administration of justice that cannot be prevented by other reasonably available means;</w:t>
      </w:r>
    </w:p>
    <w:p w14:paraId="24AA4F03"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prevent prejudice to the interests of the Commonwealth or a State or Territory in relation to national or international security;</w:t>
      </w:r>
    </w:p>
    <w:p w14:paraId="34A5EF39"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protect the safety of any person;</w:t>
      </w:r>
    </w:p>
    <w:p w14:paraId="5CD71BF9"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avoid causing undue distress or embarrassment to a complainant or witness in any criminal proceeding involving a sexual offence or a family violence offence;</w:t>
      </w:r>
    </w:p>
    <w:p w14:paraId="4358F720"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avoid causing undue distress or embarrassment to a child who is a witness in any criminal proceeding…”</w:t>
      </w:r>
    </w:p>
    <w:p w14:paraId="470D4E08" w14:textId="77777777" w:rsidR="00711205" w:rsidRDefault="00480F1C" w:rsidP="00143EF9">
      <w:pPr>
        <w:spacing w:before="80"/>
        <w:jc w:val="both"/>
        <w:rPr>
          <w:rFonts w:ascii="Arial" w:hAnsi="Arial" w:cs="Arial"/>
          <w:sz w:val="20"/>
        </w:rPr>
      </w:pPr>
      <w:r>
        <w:rPr>
          <w:rFonts w:ascii="Arial" w:hAnsi="Arial" w:cs="Arial"/>
          <w:sz w:val="20"/>
        </w:rPr>
        <w:t xml:space="preserve">However, in the writer’s view these five circumstances do not comprise a complete list </w:t>
      </w:r>
      <w:r w:rsidR="00C65F2C">
        <w:rPr>
          <w:rFonts w:ascii="Arial" w:hAnsi="Arial" w:cs="Arial"/>
          <w:sz w:val="20"/>
        </w:rPr>
        <w:t>of</w:t>
      </w:r>
      <w:r w:rsidR="006112FE">
        <w:rPr>
          <w:rFonts w:ascii="Arial" w:hAnsi="Arial" w:cs="Arial"/>
          <w:sz w:val="20"/>
        </w:rPr>
        <w:t xml:space="preserve"> </w:t>
      </w:r>
      <w:r w:rsidR="00C65F2C">
        <w:rPr>
          <w:rFonts w:ascii="Arial" w:hAnsi="Arial" w:cs="Arial"/>
          <w:sz w:val="20"/>
        </w:rPr>
        <w:t>pre</w:t>
      </w:r>
      <w:r w:rsidR="00245E02">
        <w:rPr>
          <w:rFonts w:ascii="Arial" w:hAnsi="Arial" w:cs="Arial"/>
          <w:sz w:val="20"/>
        </w:rPr>
        <w:noBreakHyphen/>
      </w:r>
      <w:r w:rsidR="00C65F2C">
        <w:rPr>
          <w:rFonts w:ascii="Arial" w:hAnsi="Arial" w:cs="Arial"/>
          <w:sz w:val="20"/>
        </w:rPr>
        <w:t xml:space="preserve">conditions to the making of </w:t>
      </w:r>
      <w:r>
        <w:rPr>
          <w:rFonts w:ascii="Arial" w:hAnsi="Arial" w:cs="Arial"/>
          <w:sz w:val="20"/>
        </w:rPr>
        <w:t>a Chil</w:t>
      </w:r>
      <w:r w:rsidR="00245E02">
        <w:rPr>
          <w:rFonts w:ascii="Arial" w:hAnsi="Arial" w:cs="Arial"/>
          <w:sz w:val="20"/>
        </w:rPr>
        <w:t>dren’s Court closed court order under s.523 of the CYFA.</w:t>
      </w:r>
    </w:p>
    <w:p w14:paraId="647766B7" w14:textId="1702F3DD" w:rsidR="00FE6808" w:rsidRDefault="00FE6808" w:rsidP="00255605">
      <w:pPr>
        <w:jc w:val="both"/>
        <w:rPr>
          <w:rFonts w:ascii="Arial" w:hAnsi="Arial" w:cs="Arial"/>
          <w:sz w:val="20"/>
        </w:rPr>
      </w:pPr>
    </w:p>
    <w:p w14:paraId="67522A97" w14:textId="608348BC" w:rsidR="00FA1BDE" w:rsidRDefault="000425F8" w:rsidP="00C203EB">
      <w:pPr>
        <w:jc w:val="both"/>
        <w:rPr>
          <w:rFonts w:ascii="Arial" w:hAnsi="Arial" w:cs="Arial"/>
          <w:sz w:val="20"/>
        </w:rPr>
      </w:pPr>
      <w:r>
        <w:rPr>
          <w:rFonts w:ascii="Arial" w:hAnsi="Arial" w:cs="Arial"/>
          <w:sz w:val="20"/>
        </w:rPr>
        <w:t>It is important to note that closed court orders-</w:t>
      </w:r>
    </w:p>
    <w:p w14:paraId="33B0D8FD" w14:textId="1C3B10C6" w:rsidR="000425F8" w:rsidRDefault="000425F8" w:rsidP="000425F8">
      <w:pPr>
        <w:numPr>
          <w:ilvl w:val="0"/>
          <w:numId w:val="1"/>
        </w:numPr>
        <w:tabs>
          <w:tab w:val="num" w:pos="723"/>
        </w:tabs>
        <w:jc w:val="both"/>
        <w:rPr>
          <w:rFonts w:ascii="Arial" w:hAnsi="Arial" w:cs="Arial"/>
          <w:sz w:val="20"/>
        </w:rPr>
      </w:pPr>
      <w:r>
        <w:rPr>
          <w:rFonts w:ascii="Arial" w:hAnsi="Arial" w:cs="Arial"/>
          <w:sz w:val="20"/>
        </w:rPr>
        <w:t>are not suppression orders; they do not directly suppress material or fall within the definition of ‘suppression order’ in s.3 of the OCA and hence are not subject to the general provisions applicable to suppression orders in Part 2 of the OCA;</w:t>
      </w:r>
    </w:p>
    <w:p w14:paraId="6CE65FD0" w14:textId="77777777" w:rsidR="005E2B86" w:rsidRPr="005E2B86" w:rsidRDefault="000425F8" w:rsidP="000425F8">
      <w:pPr>
        <w:numPr>
          <w:ilvl w:val="0"/>
          <w:numId w:val="1"/>
        </w:numPr>
        <w:tabs>
          <w:tab w:val="num" w:pos="723"/>
        </w:tabs>
        <w:jc w:val="both"/>
        <w:rPr>
          <w:rFonts w:ascii="Arial" w:hAnsi="Arial" w:cs="Arial"/>
          <w:sz w:val="20"/>
        </w:rPr>
      </w:pPr>
      <w:r>
        <w:rPr>
          <w:rFonts w:ascii="Arial" w:hAnsi="Arial" w:cs="Arial"/>
          <w:sz w:val="20"/>
        </w:rPr>
        <w:t xml:space="preserve">are one of the most </w:t>
      </w:r>
      <w:r w:rsidRPr="000425F8">
        <w:rPr>
          <w:rFonts w:ascii="Arial" w:hAnsi="Arial" w:cs="Arial"/>
          <w:color w:val="000000"/>
          <w:sz w:val="20"/>
          <w:szCs w:val="20"/>
          <w:lang w:eastAsia="en-AU"/>
        </w:rPr>
        <w:t>severe encroachments on the open justice principle</w:t>
      </w:r>
      <w:r>
        <w:rPr>
          <w:rFonts w:ascii="Arial" w:hAnsi="Arial" w:cs="Arial"/>
          <w:color w:val="000000"/>
          <w:sz w:val="20"/>
          <w:szCs w:val="20"/>
          <w:lang w:eastAsia="en-AU"/>
        </w:rPr>
        <w:t>, involving as they do a prohibition on the attendance of the public or certain members thereof against the general rule that justice must be administered in open court</w:t>
      </w:r>
      <w:r w:rsidR="005E2B86">
        <w:rPr>
          <w:rFonts w:ascii="Arial" w:hAnsi="Arial" w:cs="Arial"/>
          <w:color w:val="000000"/>
          <w:sz w:val="20"/>
          <w:szCs w:val="20"/>
          <w:lang w:eastAsia="en-AU"/>
        </w:rPr>
        <w:t>;</w:t>
      </w:r>
    </w:p>
    <w:p w14:paraId="38647DC8" w14:textId="6873F725" w:rsidR="005E2B86" w:rsidRPr="005E2B86" w:rsidRDefault="005E2B86" w:rsidP="000425F8">
      <w:pPr>
        <w:numPr>
          <w:ilvl w:val="0"/>
          <w:numId w:val="1"/>
        </w:numPr>
        <w:tabs>
          <w:tab w:val="num" w:pos="723"/>
        </w:tabs>
        <w:jc w:val="both"/>
        <w:rPr>
          <w:rFonts w:ascii="Arial" w:hAnsi="Arial" w:cs="Arial"/>
          <w:sz w:val="20"/>
        </w:rPr>
      </w:pPr>
      <w:r>
        <w:rPr>
          <w:rFonts w:ascii="Arial" w:hAnsi="Arial" w:cs="Arial"/>
          <w:color w:val="000000"/>
          <w:sz w:val="20"/>
          <w:szCs w:val="20"/>
          <w:lang w:eastAsia="en-AU"/>
        </w:rPr>
        <w:t xml:space="preserve">are </w:t>
      </w:r>
      <w:r w:rsidRPr="005E2B86">
        <w:rPr>
          <w:rFonts w:ascii="Arial" w:hAnsi="Arial" w:cs="Arial"/>
          <w:color w:val="000000"/>
          <w:sz w:val="20"/>
          <w:szCs w:val="20"/>
          <w:lang w:eastAsia="en-AU"/>
        </w:rPr>
        <w:t>not a bar to the publication of reports on the proceedings and do not justify withholding publication of the</w:t>
      </w:r>
      <w:r>
        <w:rPr>
          <w:rFonts w:ascii="Arial" w:hAnsi="Arial" w:cs="Arial"/>
          <w:color w:val="000000"/>
          <w:sz w:val="20"/>
          <w:szCs w:val="20"/>
          <w:lang w:eastAsia="en-AU"/>
        </w:rPr>
        <w:t xml:space="preserve"> court</w:t>
      </w:r>
      <w:r w:rsidRPr="005E2B86">
        <w:rPr>
          <w:rFonts w:ascii="Arial" w:hAnsi="Arial" w:cs="Arial"/>
          <w:color w:val="000000"/>
          <w:sz w:val="20"/>
          <w:szCs w:val="20"/>
          <w:lang w:eastAsia="en-AU"/>
        </w:rPr>
        <w:t>’s judgment and orders</w:t>
      </w:r>
      <w:r>
        <w:rPr>
          <w:rFonts w:ascii="Arial" w:hAnsi="Arial" w:cs="Arial"/>
          <w:color w:val="000000"/>
          <w:sz w:val="20"/>
          <w:szCs w:val="20"/>
          <w:lang w:eastAsia="en-AU"/>
        </w:rPr>
        <w:t>; courts and tribunals should always seek to publish an a</w:t>
      </w:r>
      <w:r w:rsidRPr="005E2B86">
        <w:rPr>
          <w:rFonts w:ascii="Arial" w:hAnsi="Arial" w:cs="Arial"/>
          <w:color w:val="000000"/>
          <w:sz w:val="20"/>
          <w:szCs w:val="20"/>
          <w:lang w:eastAsia="en-AU"/>
        </w:rPr>
        <w:t>ppropriately formulated statement of reasons, conveying an adequate account of the litigation and the reasons underlying its orders:</w:t>
      </w:r>
      <w:r>
        <w:rPr>
          <w:rFonts w:ascii="Arial" w:hAnsi="Arial" w:cs="Arial"/>
          <w:color w:val="000000"/>
          <w:sz w:val="20"/>
          <w:szCs w:val="20"/>
          <w:lang w:eastAsia="en-AU"/>
        </w:rPr>
        <w:t xml:space="preserve"> </w:t>
      </w:r>
      <w:r w:rsidRPr="005E2B86">
        <w:rPr>
          <w:rFonts w:ascii="Arial" w:hAnsi="Arial" w:cs="Arial"/>
          <w:i/>
          <w:iCs/>
          <w:color w:val="000000"/>
          <w:sz w:val="20"/>
          <w:szCs w:val="20"/>
          <w:lang w:eastAsia="en-AU"/>
        </w:rPr>
        <w:t>David Syme &amp; Co Ltd v General Motors-Holden’s Ltd </w:t>
      </w:r>
      <w:r w:rsidRPr="005E2B86">
        <w:rPr>
          <w:rFonts w:ascii="Arial" w:hAnsi="Arial" w:cs="Arial"/>
          <w:color w:val="000000"/>
          <w:sz w:val="20"/>
          <w:szCs w:val="20"/>
          <w:lang w:eastAsia="en-AU"/>
        </w:rPr>
        <w:t>[1984] 2 NSWLR 294</w:t>
      </w:r>
      <w:r>
        <w:rPr>
          <w:rFonts w:ascii="Arial" w:hAnsi="Arial" w:cs="Arial"/>
          <w:color w:val="000000"/>
          <w:sz w:val="20"/>
          <w:szCs w:val="20"/>
          <w:lang w:eastAsia="en-AU"/>
        </w:rPr>
        <w:t xml:space="preserve">; </w:t>
      </w:r>
      <w:r>
        <w:rPr>
          <w:rFonts w:ascii="Tahoma" w:hAnsi="Tahoma" w:cs="Tahoma"/>
          <w:color w:val="000000"/>
          <w:sz w:val="20"/>
          <w:szCs w:val="20"/>
          <w:lang w:eastAsia="en-AU"/>
        </w:rPr>
        <w:t>redaction of reports of proceedings may allow the judgment and orders to be published without causing prejudice where a court has been closed.</w:t>
      </w:r>
    </w:p>
    <w:p w14:paraId="5F8566F5" w14:textId="4D1DF8FE" w:rsidR="00FA1BDE" w:rsidRDefault="00FA1BDE" w:rsidP="00255605">
      <w:pPr>
        <w:jc w:val="both"/>
        <w:rPr>
          <w:rFonts w:ascii="Arial" w:hAnsi="Arial" w:cs="Arial"/>
          <w:sz w:val="20"/>
        </w:rPr>
      </w:pPr>
    </w:p>
    <w:p w14:paraId="11E6142C" w14:textId="10C3FA0A" w:rsidR="003F4BE5" w:rsidRDefault="003F4BE5" w:rsidP="00255605">
      <w:pPr>
        <w:jc w:val="both"/>
        <w:rPr>
          <w:rFonts w:ascii="Arial" w:hAnsi="Arial" w:cs="Arial"/>
          <w:color w:val="000000"/>
          <w:sz w:val="20"/>
          <w:szCs w:val="20"/>
          <w:lang w:eastAsia="en-AU"/>
        </w:rPr>
      </w:pPr>
      <w:r>
        <w:rPr>
          <w:rFonts w:ascii="Arial" w:hAnsi="Arial" w:cs="Arial"/>
          <w:sz w:val="20"/>
        </w:rPr>
        <w:t xml:space="preserve">Closed court orders are often seen as an order of last resort.  Section 30(2)(a) of the OCA provides that a closed court order must be necessary to </w:t>
      </w:r>
      <w:r w:rsidRPr="000425F8">
        <w:rPr>
          <w:rFonts w:ascii="Arial" w:hAnsi="Arial" w:cs="Arial"/>
          <w:color w:val="000000"/>
          <w:sz w:val="20"/>
          <w:szCs w:val="20"/>
          <w:lang w:eastAsia="en-AU"/>
        </w:rPr>
        <w:t xml:space="preserve">prevent a real and substantial risk of prejudice to the administration of justice </w:t>
      </w:r>
      <w:r>
        <w:rPr>
          <w:rFonts w:ascii="Arial" w:hAnsi="Arial" w:cs="Arial"/>
          <w:color w:val="000000"/>
          <w:sz w:val="20"/>
          <w:szCs w:val="20"/>
          <w:lang w:eastAsia="en-AU"/>
        </w:rPr>
        <w:t>“</w:t>
      </w:r>
      <w:r w:rsidRPr="000425F8">
        <w:rPr>
          <w:rFonts w:ascii="Arial" w:hAnsi="Arial" w:cs="Arial"/>
          <w:color w:val="000000"/>
          <w:sz w:val="20"/>
          <w:szCs w:val="20"/>
          <w:lang w:eastAsia="en-AU"/>
        </w:rPr>
        <w:t>that cannot be prevented by other reasonably available means</w:t>
      </w:r>
      <w:r>
        <w:rPr>
          <w:rFonts w:ascii="Arial" w:hAnsi="Arial" w:cs="Arial"/>
          <w:color w:val="000000"/>
          <w:sz w:val="20"/>
          <w:szCs w:val="20"/>
          <w:lang w:eastAsia="en-AU"/>
        </w:rPr>
        <w:t>”</w:t>
      </w:r>
      <w:r w:rsidRPr="000425F8">
        <w:rPr>
          <w:rFonts w:ascii="Arial" w:hAnsi="Arial" w:cs="Arial"/>
          <w:color w:val="000000"/>
          <w:sz w:val="20"/>
          <w:szCs w:val="20"/>
          <w:lang w:eastAsia="en-AU"/>
        </w:rPr>
        <w:t xml:space="preserve">, such as </w:t>
      </w:r>
      <w:r>
        <w:rPr>
          <w:rFonts w:ascii="Arial" w:hAnsi="Arial" w:cs="Arial"/>
          <w:color w:val="000000"/>
          <w:sz w:val="20"/>
          <w:szCs w:val="20"/>
          <w:lang w:eastAsia="en-AU"/>
        </w:rPr>
        <w:t>“</w:t>
      </w:r>
      <w:r w:rsidRPr="000425F8">
        <w:rPr>
          <w:rFonts w:ascii="Arial" w:hAnsi="Arial" w:cs="Arial"/>
          <w:color w:val="000000"/>
          <w:sz w:val="20"/>
          <w:szCs w:val="20"/>
          <w:lang w:eastAsia="en-AU"/>
        </w:rPr>
        <w:t>making a proceeding suppression order</w:t>
      </w:r>
      <w:r>
        <w:rPr>
          <w:rFonts w:ascii="Arial" w:hAnsi="Arial" w:cs="Arial"/>
          <w:color w:val="000000"/>
          <w:sz w:val="20"/>
          <w:szCs w:val="20"/>
          <w:lang w:eastAsia="en-AU"/>
        </w:rPr>
        <w:t>”</w:t>
      </w:r>
      <w:r w:rsidRPr="000425F8">
        <w:rPr>
          <w:rFonts w:ascii="Arial" w:hAnsi="Arial" w:cs="Arial"/>
          <w:color w:val="000000"/>
          <w:sz w:val="20"/>
          <w:szCs w:val="20"/>
          <w:lang w:eastAsia="en-AU"/>
        </w:rPr>
        <w:t>. The implication is that proceeding suppression orders impinge less significantly on the open justice principle.</w:t>
      </w:r>
    </w:p>
    <w:p w14:paraId="1A1C7635" w14:textId="50EF7F22" w:rsidR="003F4BE5" w:rsidRDefault="003F4BE5" w:rsidP="00255605">
      <w:pPr>
        <w:jc w:val="both"/>
        <w:rPr>
          <w:rFonts w:ascii="Arial" w:hAnsi="Arial" w:cs="Arial"/>
          <w:color w:val="000000"/>
          <w:sz w:val="20"/>
          <w:szCs w:val="20"/>
          <w:lang w:eastAsia="en-AU"/>
        </w:rPr>
      </w:pPr>
    </w:p>
    <w:p w14:paraId="0EED17D1" w14:textId="4B20D612" w:rsidR="003F4BE5" w:rsidRDefault="003F4BE5" w:rsidP="00255605">
      <w:pPr>
        <w:jc w:val="both"/>
        <w:rPr>
          <w:rFonts w:ascii="Arial" w:hAnsi="Arial" w:cs="Arial"/>
          <w:color w:val="000000"/>
          <w:sz w:val="20"/>
          <w:szCs w:val="20"/>
          <w:lang w:eastAsia="en-AU"/>
        </w:rPr>
      </w:pPr>
      <w:r>
        <w:rPr>
          <w:rFonts w:ascii="Arial" w:hAnsi="Arial" w:cs="Arial"/>
          <w:color w:val="000000"/>
          <w:sz w:val="20"/>
          <w:szCs w:val="20"/>
          <w:lang w:eastAsia="en-AU"/>
        </w:rPr>
        <w:t>Courts have confirmed the desirability of addressing the relevant concern without issuing a closed court order.  For example:</w:t>
      </w:r>
    </w:p>
    <w:p w14:paraId="45C15C70" w14:textId="29D9F85D" w:rsidR="003F4BE5" w:rsidRPr="003F4BE5" w:rsidRDefault="003F4BE5" w:rsidP="00255605">
      <w:pPr>
        <w:jc w:val="both"/>
        <w:rPr>
          <w:rFonts w:ascii="Arial" w:hAnsi="Arial" w:cs="Arial"/>
          <w:sz w:val="12"/>
          <w:szCs w:val="16"/>
        </w:rPr>
      </w:pPr>
    </w:p>
    <w:p w14:paraId="3B202043" w14:textId="583819EF" w:rsidR="003F4BE5" w:rsidRDefault="003F4BE5" w:rsidP="003F4BE5">
      <w:pPr>
        <w:numPr>
          <w:ilvl w:val="0"/>
          <w:numId w:val="1"/>
        </w:numPr>
        <w:tabs>
          <w:tab w:val="num" w:pos="723"/>
        </w:tabs>
        <w:jc w:val="both"/>
        <w:rPr>
          <w:rFonts w:ascii="Arial" w:hAnsi="Arial" w:cs="Arial"/>
          <w:sz w:val="20"/>
        </w:rPr>
      </w:pPr>
      <w:r>
        <w:rPr>
          <w:rFonts w:ascii="Arial" w:hAnsi="Arial" w:cs="Arial"/>
          <w:sz w:val="20"/>
        </w:rPr>
        <w:t xml:space="preserve">In </w:t>
      </w:r>
      <w:r w:rsidRPr="003F4BE5">
        <w:rPr>
          <w:rFonts w:ascii="Arial" w:hAnsi="Arial" w:cs="Arial"/>
          <w:i/>
          <w:iCs/>
          <w:sz w:val="20"/>
        </w:rPr>
        <w:t>ABC v D1</w:t>
      </w:r>
      <w:r>
        <w:rPr>
          <w:rFonts w:ascii="Arial" w:hAnsi="Arial" w:cs="Arial"/>
          <w:sz w:val="20"/>
        </w:rPr>
        <w:t xml:space="preserve"> [2007] VSC 480 J Forrest J noted at [36]:</w:t>
      </w:r>
    </w:p>
    <w:p w14:paraId="2A19CED2" w14:textId="2CAC9F53" w:rsidR="003F4BE5" w:rsidRDefault="003F4BE5" w:rsidP="003F4BE5">
      <w:pPr>
        <w:spacing w:before="60"/>
        <w:ind w:left="720" w:right="567"/>
        <w:jc w:val="both"/>
        <w:rPr>
          <w:rFonts w:ascii="Arial" w:hAnsi="Arial" w:cs="Arial"/>
          <w:sz w:val="20"/>
        </w:rPr>
      </w:pPr>
      <w:r>
        <w:rPr>
          <w:rFonts w:ascii="Arial" w:hAnsi="Arial" w:cs="Arial"/>
          <w:color w:val="000000"/>
          <w:sz w:val="20"/>
          <w:szCs w:val="20"/>
          <w:lang w:eastAsia="en-AU"/>
        </w:rPr>
        <w:t>“</w:t>
      </w:r>
      <w:r w:rsidRPr="000425F8">
        <w:rPr>
          <w:rFonts w:ascii="Arial" w:hAnsi="Arial" w:cs="Arial"/>
          <w:color w:val="000000"/>
          <w:sz w:val="20"/>
          <w:szCs w:val="20"/>
          <w:lang w:eastAsia="en-AU"/>
        </w:rPr>
        <w:t>The nature of the order which is sought to be made is germane to the ultimate disposition of a suppression application. The closing of the </w:t>
      </w:r>
      <w:r>
        <w:rPr>
          <w:rFonts w:ascii="Arial" w:hAnsi="Arial" w:cs="Arial"/>
          <w:color w:val="000000"/>
          <w:sz w:val="20"/>
          <w:szCs w:val="20"/>
          <w:lang w:eastAsia="en-AU"/>
        </w:rPr>
        <w:t>Court</w:t>
      </w:r>
      <w:r w:rsidRPr="000425F8">
        <w:rPr>
          <w:rFonts w:ascii="Arial" w:hAnsi="Arial" w:cs="Arial"/>
          <w:color w:val="000000"/>
          <w:sz w:val="20"/>
          <w:szCs w:val="20"/>
          <w:lang w:eastAsia="en-AU"/>
        </w:rPr>
        <w:t> for the whole of a proceeding is a serious matter indeed; on the other hand, suppressing the names of certain witnesses but permitting the evidence at the hearing to be reported will require different considerations.</w:t>
      </w:r>
      <w:r>
        <w:rPr>
          <w:rFonts w:ascii="Arial" w:hAnsi="Arial" w:cs="Arial"/>
          <w:color w:val="000000"/>
          <w:sz w:val="20"/>
          <w:szCs w:val="20"/>
          <w:lang w:eastAsia="en-AU"/>
        </w:rPr>
        <w:t>”</w:t>
      </w:r>
    </w:p>
    <w:p w14:paraId="47370CB0" w14:textId="762885B5" w:rsidR="003F4BE5" w:rsidRDefault="003F4BE5" w:rsidP="003F4BE5">
      <w:pPr>
        <w:jc w:val="both"/>
        <w:rPr>
          <w:rFonts w:ascii="Arial" w:hAnsi="Arial" w:cs="Arial"/>
          <w:sz w:val="12"/>
          <w:szCs w:val="16"/>
        </w:rPr>
      </w:pPr>
    </w:p>
    <w:p w14:paraId="43C6BEED" w14:textId="2A6996E2" w:rsidR="003F4BE5" w:rsidRPr="003F4BE5" w:rsidRDefault="003F4BE5" w:rsidP="003F4BE5">
      <w:pPr>
        <w:numPr>
          <w:ilvl w:val="0"/>
          <w:numId w:val="1"/>
        </w:numPr>
        <w:tabs>
          <w:tab w:val="num" w:pos="723"/>
        </w:tabs>
        <w:jc w:val="both"/>
        <w:rPr>
          <w:rFonts w:ascii="Arial" w:hAnsi="Arial" w:cs="Arial"/>
          <w:i/>
          <w:iCs/>
          <w:sz w:val="20"/>
        </w:rPr>
      </w:pPr>
      <w:r w:rsidRPr="000425F8">
        <w:rPr>
          <w:rFonts w:ascii="Arial" w:hAnsi="Arial" w:cs="Arial"/>
          <w:color w:val="000000"/>
          <w:sz w:val="20"/>
          <w:szCs w:val="20"/>
          <w:lang w:eastAsia="en-AU"/>
        </w:rPr>
        <w:t>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XY v Board of Examiners </w:t>
      </w:r>
      <w:r w:rsidRPr="000425F8">
        <w:rPr>
          <w:rFonts w:ascii="Arial" w:hAnsi="Arial" w:cs="Arial"/>
          <w:color w:val="000000"/>
          <w:sz w:val="20"/>
          <w:szCs w:val="20"/>
          <w:lang w:eastAsia="en-AU"/>
        </w:rPr>
        <w:t xml:space="preserve">[2003] VSC 196 Cummins J </w:t>
      </w:r>
      <w:r>
        <w:rPr>
          <w:rFonts w:ascii="Arial" w:hAnsi="Arial" w:cs="Arial"/>
          <w:color w:val="000000"/>
          <w:sz w:val="20"/>
          <w:szCs w:val="20"/>
          <w:lang w:eastAsia="en-AU"/>
        </w:rPr>
        <w:t>said</w:t>
      </w:r>
      <w:r w:rsidRPr="000425F8">
        <w:rPr>
          <w:rFonts w:ascii="Arial" w:hAnsi="Arial" w:cs="Arial"/>
          <w:color w:val="000000"/>
          <w:sz w:val="20"/>
          <w:szCs w:val="20"/>
          <w:lang w:eastAsia="en-AU"/>
        </w:rPr>
        <w:t xml:space="preserve"> at [11] that </w:t>
      </w:r>
      <w:r>
        <w:rPr>
          <w:rFonts w:ascii="Arial" w:hAnsi="Arial" w:cs="Arial"/>
          <w:color w:val="000000"/>
          <w:sz w:val="20"/>
          <w:szCs w:val="20"/>
          <w:lang w:eastAsia="en-AU"/>
        </w:rPr>
        <w:t>“</w:t>
      </w:r>
      <w:r w:rsidRPr="000425F8">
        <w:rPr>
          <w:rFonts w:ascii="Arial" w:hAnsi="Arial" w:cs="Arial"/>
          <w:color w:val="000000"/>
          <w:sz w:val="20"/>
          <w:szCs w:val="20"/>
          <w:lang w:eastAsia="en-AU"/>
        </w:rPr>
        <w:t>there are a number of steps short of closure of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or prohibition of the whole of the proceedings which can meet a number of [the applicant’s] concerns, including use of pseudonyms, prohibition of publication of names and other matters of sensitivity</w:t>
      </w:r>
      <w:r>
        <w:rPr>
          <w:rFonts w:ascii="Arial" w:hAnsi="Arial" w:cs="Arial"/>
          <w:color w:val="000000"/>
          <w:sz w:val="20"/>
          <w:szCs w:val="20"/>
          <w:lang w:eastAsia="en-AU"/>
        </w:rPr>
        <w:t>”</w:t>
      </w:r>
      <w:r w:rsidRPr="000425F8">
        <w:rPr>
          <w:rFonts w:ascii="Arial" w:hAnsi="Arial" w:cs="Arial"/>
          <w:color w:val="000000"/>
          <w:sz w:val="20"/>
          <w:szCs w:val="20"/>
          <w:lang w:eastAsia="en-AU"/>
        </w:rPr>
        <w:t>.</w:t>
      </w:r>
    </w:p>
    <w:p w14:paraId="0B9E6AAA" w14:textId="7514E458" w:rsidR="003F4BE5" w:rsidRDefault="003F4BE5" w:rsidP="005E2B86">
      <w:pPr>
        <w:tabs>
          <w:tab w:val="left" w:pos="5198"/>
        </w:tabs>
        <w:rPr>
          <w:rFonts w:ascii="Arial" w:hAnsi="Arial" w:cs="Arial"/>
          <w:sz w:val="12"/>
          <w:szCs w:val="16"/>
        </w:rPr>
      </w:pPr>
    </w:p>
    <w:p w14:paraId="2AC0CA3A" w14:textId="7D51A187" w:rsidR="003F4BE5" w:rsidRPr="003F4BE5" w:rsidRDefault="003F4BE5" w:rsidP="005E2B86">
      <w:pPr>
        <w:numPr>
          <w:ilvl w:val="0"/>
          <w:numId w:val="1"/>
        </w:numPr>
        <w:tabs>
          <w:tab w:val="num" w:pos="723"/>
        </w:tabs>
        <w:jc w:val="both"/>
        <w:rPr>
          <w:rFonts w:ascii="Arial" w:hAnsi="Arial" w:cs="Arial"/>
          <w:i/>
          <w:iCs/>
          <w:sz w:val="20"/>
        </w:rPr>
      </w:pPr>
      <w:r w:rsidRPr="000425F8">
        <w:rPr>
          <w:rFonts w:ascii="Arial" w:hAnsi="Arial" w:cs="Arial"/>
          <w:color w:val="000000"/>
          <w:sz w:val="20"/>
          <w:szCs w:val="20"/>
          <w:lang w:eastAsia="en-AU"/>
        </w:rPr>
        <w:t>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Ami Australia Holdings Pty Ltd v Fairfax Media Publications Pty Ltd</w:t>
      </w:r>
      <w:r w:rsidRPr="000425F8">
        <w:rPr>
          <w:rFonts w:ascii="Arial" w:hAnsi="Arial" w:cs="Arial"/>
          <w:color w:val="000000"/>
          <w:sz w:val="20"/>
          <w:szCs w:val="20"/>
          <w:lang w:eastAsia="en-AU"/>
        </w:rPr>
        <w:t> [2009] NSWSC 1290, Brereton J hesitantly</w:t>
      </w:r>
      <w:r>
        <w:rPr>
          <w:rFonts w:ascii="Arial" w:hAnsi="Arial" w:cs="Arial"/>
          <w:color w:val="000000"/>
          <w:sz w:val="20"/>
          <w:szCs w:val="20"/>
          <w:lang w:eastAsia="en-AU"/>
        </w:rPr>
        <w:t xml:space="preserve"> closed </w:t>
      </w:r>
      <w:r w:rsidRPr="000425F8">
        <w:rPr>
          <w:rFonts w:ascii="Arial" w:hAnsi="Arial" w:cs="Arial"/>
          <w:color w:val="000000"/>
          <w:sz w:val="20"/>
          <w:szCs w:val="20"/>
          <w:lang w:eastAsia="en-AU"/>
        </w:rPr>
        <w:t>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after anxious consideration of other options at [6]-[7]:</w:t>
      </w:r>
    </w:p>
    <w:p w14:paraId="37E370B7" w14:textId="0E34B29F" w:rsidR="003F4BE5" w:rsidRDefault="003F4BE5" w:rsidP="003F4BE5">
      <w:pPr>
        <w:spacing w:before="60"/>
        <w:ind w:left="720" w:right="567"/>
        <w:jc w:val="both"/>
        <w:rPr>
          <w:rFonts w:ascii="Arial" w:hAnsi="Arial" w:cs="Arial"/>
          <w:color w:val="000000"/>
          <w:sz w:val="20"/>
          <w:szCs w:val="20"/>
          <w:lang w:eastAsia="en-AU"/>
        </w:rPr>
      </w:pPr>
      <w:r>
        <w:rPr>
          <w:rFonts w:ascii="Arial" w:hAnsi="Arial" w:cs="Arial"/>
          <w:sz w:val="20"/>
        </w:rPr>
        <w:t>“</w:t>
      </w:r>
      <w:r w:rsidRPr="000425F8">
        <w:rPr>
          <w:rFonts w:ascii="Arial" w:hAnsi="Arial" w:cs="Arial"/>
          <w:color w:val="000000"/>
          <w:sz w:val="20"/>
          <w:szCs w:val="20"/>
          <w:lang w:eastAsia="en-AU"/>
        </w:rPr>
        <w:t>I have considered whether, short of conducting proceedings in</w:t>
      </w:r>
      <w:r w:rsidR="005E2B86">
        <w:rPr>
          <w:rFonts w:ascii="Arial" w:hAnsi="Arial" w:cs="Arial"/>
          <w:color w:val="000000"/>
          <w:sz w:val="20"/>
          <w:szCs w:val="20"/>
          <w:lang w:eastAsia="en-AU"/>
        </w:rPr>
        <w:t xml:space="preserve"> closed court</w:t>
      </w:r>
      <w:r w:rsidRPr="000425F8">
        <w:rPr>
          <w:rFonts w:ascii="Arial" w:hAnsi="Arial" w:cs="Arial"/>
          <w:color w:val="000000"/>
          <w:sz w:val="20"/>
          <w:szCs w:val="20"/>
          <w:lang w:eastAsia="en-AU"/>
        </w:rPr>
        <w:t>, some other mechanism — such as a non-publication order could be put in place — which might permit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to remain open while at the same time preventing or prohibiting publication of the imputations. But it seems to me that, given that if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were open it would be open to all, and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 xml:space="preserve">would not be in a position to be able to identify and </w:t>
      </w:r>
      <w:r w:rsidRPr="000425F8">
        <w:rPr>
          <w:rFonts w:ascii="Arial" w:hAnsi="Arial" w:cs="Arial"/>
          <w:color w:val="000000"/>
          <w:sz w:val="20"/>
          <w:szCs w:val="20"/>
          <w:lang w:eastAsia="en-AU"/>
        </w:rPr>
        <w:lastRenderedPageBreak/>
        <w:t>control who might enter and who might have notice of any non-publication order, that would not be a satisfactory solution. It also seems to me that requiring counsel, witnesses and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to use veiled speech during the hearing would not be in the interests of justice. In effect, such a course would still seek to conceal from the public what was at the heart of the proceedings, while going through the pretence of conducting them in open </w:t>
      </w:r>
      <w:r>
        <w:rPr>
          <w:rFonts w:ascii="Arial" w:hAnsi="Arial" w:cs="Arial"/>
          <w:color w:val="000000"/>
          <w:sz w:val="20"/>
          <w:szCs w:val="20"/>
          <w:lang w:eastAsia="en-AU"/>
        </w:rPr>
        <w:t>court</w:t>
      </w:r>
      <w:r w:rsidRPr="000425F8">
        <w:rPr>
          <w:rFonts w:ascii="Arial" w:hAnsi="Arial" w:cs="Arial"/>
          <w:color w:val="000000"/>
          <w:sz w:val="20"/>
          <w:szCs w:val="20"/>
          <w:lang w:eastAsia="en-AU"/>
        </w:rPr>
        <w:t>, while at the same time imposing additional difficulties on the conduct of the proceedings.</w:t>
      </w:r>
    </w:p>
    <w:p w14:paraId="16B54120" w14:textId="597B48E6" w:rsidR="005E2B86" w:rsidRDefault="005E2B86" w:rsidP="003F4BE5">
      <w:pPr>
        <w:spacing w:before="60"/>
        <w:ind w:left="720" w:right="567"/>
        <w:jc w:val="both"/>
        <w:rPr>
          <w:rFonts w:ascii="Arial" w:hAnsi="Arial" w:cs="Arial"/>
          <w:sz w:val="20"/>
        </w:rPr>
      </w:pPr>
      <w:r w:rsidRPr="000425F8">
        <w:rPr>
          <w:rFonts w:ascii="Arial" w:hAnsi="Arial" w:cs="Arial"/>
          <w:color w:val="000000"/>
          <w:sz w:val="20"/>
          <w:szCs w:val="20"/>
          <w:lang w:eastAsia="en-AU"/>
        </w:rPr>
        <w:t>As grave a step as it is — and it is one that I embark upon with considerable hesitation — it seems to me that the fundamental point is that the relief sought in the proceedings would be rendered futile if the proceedings were not conducted in a</w:t>
      </w:r>
      <w:r>
        <w:rPr>
          <w:rFonts w:ascii="Arial" w:hAnsi="Arial" w:cs="Arial"/>
          <w:color w:val="000000"/>
          <w:sz w:val="20"/>
          <w:szCs w:val="20"/>
          <w:lang w:eastAsia="en-AU"/>
        </w:rPr>
        <w:t xml:space="preserve"> closed court</w:t>
      </w:r>
      <w:r w:rsidRPr="000425F8">
        <w:rPr>
          <w:rFonts w:ascii="Arial" w:hAnsi="Arial" w:cs="Arial"/>
          <w:color w:val="000000"/>
          <w:sz w:val="20"/>
          <w:szCs w:val="20"/>
          <w:lang w:eastAsia="en-AU"/>
        </w:rPr>
        <w:t>…</w:t>
      </w:r>
      <w:r>
        <w:rPr>
          <w:rFonts w:ascii="Arial" w:hAnsi="Arial" w:cs="Arial"/>
          <w:color w:val="000000"/>
          <w:sz w:val="20"/>
          <w:szCs w:val="20"/>
          <w:lang w:eastAsia="en-AU"/>
        </w:rPr>
        <w:t>”</w:t>
      </w:r>
    </w:p>
    <w:p w14:paraId="0B467C79" w14:textId="55483707" w:rsidR="00FA1BDE" w:rsidRDefault="00FA1BDE" w:rsidP="005E2B86">
      <w:pPr>
        <w:shd w:val="clear" w:color="auto" w:fill="FFFFFF"/>
        <w:textAlignment w:val="baseline"/>
        <w:rPr>
          <w:rFonts w:ascii="Arial" w:hAnsi="Arial" w:cs="Arial"/>
          <w:color w:val="000000"/>
          <w:sz w:val="20"/>
          <w:szCs w:val="20"/>
          <w:lang w:eastAsia="en-AU"/>
        </w:rPr>
      </w:pPr>
    </w:p>
    <w:p w14:paraId="2A21DF1D" w14:textId="7E8AA889" w:rsidR="00FA1BDE" w:rsidRDefault="00FA1BDE" w:rsidP="005E2B86">
      <w:pPr>
        <w:shd w:val="clear" w:color="auto" w:fill="FFFFFF"/>
        <w:jc w:val="both"/>
        <w:textAlignment w:val="baseline"/>
        <w:rPr>
          <w:rFonts w:ascii="Arial" w:hAnsi="Arial" w:cs="Arial"/>
          <w:color w:val="000000"/>
          <w:sz w:val="20"/>
          <w:szCs w:val="20"/>
          <w:lang w:eastAsia="en-AU"/>
        </w:rPr>
      </w:pPr>
      <w:r w:rsidRPr="000425F8">
        <w:rPr>
          <w:rFonts w:ascii="Arial" w:hAnsi="Arial" w:cs="Arial"/>
          <w:color w:val="000000"/>
          <w:sz w:val="20"/>
          <w:szCs w:val="20"/>
          <w:lang w:eastAsia="en-AU"/>
        </w:rPr>
        <w:t>Nevertheless, a</w:t>
      </w:r>
      <w:r w:rsidR="005E2B86">
        <w:rPr>
          <w:rFonts w:ascii="Arial" w:hAnsi="Arial" w:cs="Arial"/>
          <w:color w:val="000000"/>
          <w:sz w:val="20"/>
          <w:szCs w:val="20"/>
          <w:lang w:eastAsia="en-AU"/>
        </w:rPr>
        <w:t xml:space="preserve"> closed court </w:t>
      </w:r>
      <w:r w:rsidRPr="000425F8">
        <w:rPr>
          <w:rFonts w:ascii="Arial" w:hAnsi="Arial" w:cs="Arial"/>
          <w:color w:val="000000"/>
          <w:sz w:val="20"/>
          <w:szCs w:val="20"/>
          <w:lang w:eastAsia="en-AU"/>
        </w:rPr>
        <w:t>order may be preferable in proceedings where an open</w:t>
      </w:r>
      <w:r w:rsidR="005E2B86">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would create an unacceptable risk that sensitive or confidential information would be disclosed. 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R v Lodhi</w:t>
      </w:r>
      <w:r w:rsidR="00CD02A3">
        <w:rPr>
          <w:rFonts w:ascii="Arial" w:hAnsi="Arial" w:cs="Arial"/>
          <w:color w:val="000000"/>
          <w:sz w:val="20"/>
          <w:szCs w:val="20"/>
          <w:lang w:eastAsia="en-AU"/>
        </w:rPr>
        <w:t xml:space="preserve"> </w:t>
      </w:r>
      <w:r w:rsidRPr="000425F8">
        <w:rPr>
          <w:rFonts w:ascii="Arial" w:hAnsi="Arial" w:cs="Arial"/>
          <w:color w:val="000000"/>
          <w:sz w:val="20"/>
          <w:szCs w:val="20"/>
          <w:lang w:eastAsia="en-AU"/>
        </w:rPr>
        <w:t xml:space="preserve">(2006) 199 FLR 270, Whealy J thought at [31] that non-publication orders could be made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as such problems emerge</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 xml:space="preserve">, but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that would be to run the real risk that the damage would have been done</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 xml:space="preserve"> which would be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plainly so if the inadvertence were to occur in open</w:t>
      </w:r>
      <w:r w:rsidR="005E2B86">
        <w:rPr>
          <w:rFonts w:ascii="Arial" w:hAnsi="Arial" w:cs="Arial"/>
          <w:color w:val="000000"/>
          <w:sz w:val="20"/>
          <w:szCs w:val="20"/>
          <w:lang w:eastAsia="en-AU"/>
        </w:rPr>
        <w:t xml:space="preserve"> court</w:t>
      </w:r>
      <w:r w:rsidR="00C203EB">
        <w:rPr>
          <w:rFonts w:ascii="Arial" w:hAnsi="Arial" w:cs="Arial"/>
          <w:color w:val="000000"/>
          <w:sz w:val="20"/>
          <w:szCs w:val="20"/>
          <w:lang w:eastAsia="en-AU"/>
        </w:rPr>
        <w:t>”</w:t>
      </w:r>
      <w:r w:rsidR="005E2B86">
        <w:rPr>
          <w:rFonts w:ascii="Arial" w:hAnsi="Arial" w:cs="Arial"/>
          <w:color w:val="000000"/>
          <w:sz w:val="20"/>
          <w:szCs w:val="20"/>
          <w:lang w:eastAsia="en-AU"/>
        </w:rPr>
        <w:t>.</w:t>
      </w:r>
    </w:p>
    <w:p w14:paraId="6CAFDE85" w14:textId="31F8775F" w:rsidR="005E2B86" w:rsidRDefault="005E2B86" w:rsidP="005E2B86">
      <w:pPr>
        <w:shd w:val="clear" w:color="auto" w:fill="FFFFFF"/>
        <w:jc w:val="both"/>
        <w:textAlignment w:val="baseline"/>
        <w:rPr>
          <w:rFonts w:ascii="Arial" w:hAnsi="Arial" w:cs="Arial"/>
          <w:color w:val="000000"/>
          <w:sz w:val="20"/>
          <w:szCs w:val="20"/>
          <w:lang w:eastAsia="en-AU"/>
        </w:rPr>
      </w:pPr>
    </w:p>
    <w:p w14:paraId="53AC6434" w14:textId="77777777" w:rsidR="00FE6808" w:rsidRPr="007C64AE" w:rsidRDefault="00FE6808" w:rsidP="00FE6808">
      <w:pPr>
        <w:pStyle w:val="Heading3"/>
        <w:keepNext/>
        <w:keepLines/>
        <w:spacing w:after="120" w:line="240" w:lineRule="auto"/>
        <w:rPr>
          <w:rFonts w:ascii="Arial" w:hAnsi="Arial" w:cs="Arial"/>
          <w:b/>
          <w:bCs/>
          <w:color w:val="000000"/>
          <w:sz w:val="20"/>
        </w:rPr>
      </w:pPr>
      <w:bookmarkStart w:id="441" w:name="_2.7.3_Pseudonym_orders"/>
      <w:bookmarkEnd w:id="441"/>
      <w:r w:rsidRPr="007C64AE">
        <w:rPr>
          <w:rFonts w:ascii="Arial" w:hAnsi="Arial" w:cs="Arial"/>
          <w:b/>
          <w:bCs/>
          <w:color w:val="000000"/>
          <w:sz w:val="20"/>
        </w:rPr>
        <w:t>2.7.3</w:t>
      </w:r>
      <w:r w:rsidRPr="007C64AE">
        <w:rPr>
          <w:rFonts w:ascii="Arial" w:hAnsi="Arial" w:cs="Arial"/>
          <w:b/>
          <w:bCs/>
          <w:color w:val="000000"/>
          <w:sz w:val="20"/>
        </w:rPr>
        <w:tab/>
        <w:t>Pseudonym orders</w:t>
      </w:r>
    </w:p>
    <w:p w14:paraId="178D040C" w14:textId="77777777" w:rsidR="00FE6808" w:rsidRPr="007C64AE" w:rsidRDefault="00FE6808" w:rsidP="00542042">
      <w:pPr>
        <w:pStyle w:val="BodySectionSub"/>
        <w:ind w:left="0"/>
        <w:jc w:val="both"/>
        <w:rPr>
          <w:rFonts w:ascii="Arial" w:hAnsi="Arial" w:cs="Arial"/>
          <w:color w:val="000000"/>
          <w:sz w:val="20"/>
        </w:rPr>
      </w:pPr>
      <w:r w:rsidRPr="007C64AE">
        <w:rPr>
          <w:rFonts w:ascii="Arial" w:hAnsi="Arial" w:cs="Arial"/>
          <w:color w:val="000000"/>
          <w:sz w:val="20"/>
        </w:rPr>
        <w:t xml:space="preserve">Section 7(d) of the </w:t>
      </w:r>
      <w:r w:rsidRPr="005161F3">
        <w:rPr>
          <w:rFonts w:ascii="Arial" w:hAnsi="Arial" w:cs="Arial"/>
          <w:i/>
          <w:iCs/>
          <w:color w:val="000000"/>
          <w:sz w:val="20"/>
        </w:rPr>
        <w:t>Open Courts Act 2013</w:t>
      </w:r>
      <w:r w:rsidRPr="007C64AE">
        <w:rPr>
          <w:rFonts w:ascii="Arial" w:hAnsi="Arial" w:cs="Arial"/>
          <w:color w:val="000000"/>
          <w:sz w:val="20"/>
        </w:rPr>
        <w:t xml:space="preserve"> provides that that Act does not limit or otherwise affect</w:t>
      </w:r>
      <w:r w:rsidR="00542042" w:rsidRPr="007C64AE">
        <w:rPr>
          <w:rFonts w:ascii="Arial" w:hAnsi="Arial" w:cs="Arial"/>
          <w:color w:val="000000"/>
          <w:sz w:val="20"/>
        </w:rPr>
        <w:t xml:space="preserve"> the making of an order or decision by a court or tribunal that</w:t>
      </w:r>
      <w:r w:rsidRPr="007C64AE">
        <w:rPr>
          <w:rFonts w:ascii="Arial" w:hAnsi="Arial" w:cs="Arial"/>
          <w:color w:val="000000"/>
          <w:sz w:val="20"/>
        </w:rPr>
        <w:t>—</w:t>
      </w:r>
    </w:p>
    <w:p w14:paraId="17E0FC14"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conceals the identity of a person by restricting the way the person is referred to in open court;</w:t>
      </w:r>
    </w:p>
    <w:p w14:paraId="2D335C31"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restricts the way an event or thing may be referred to in open court;</w:t>
      </w:r>
    </w:p>
    <w:p w14:paraId="26647DDF"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prohibits or restricts access to a court or tribunal file.</w:t>
      </w:r>
    </w:p>
    <w:p w14:paraId="783DA515" w14:textId="77777777" w:rsidR="00480F1C" w:rsidRPr="007C64AE" w:rsidRDefault="00480F1C" w:rsidP="00E41D05">
      <w:pPr>
        <w:jc w:val="both"/>
        <w:rPr>
          <w:rFonts w:ascii="Arial" w:hAnsi="Arial" w:cs="Arial"/>
          <w:color w:val="000000"/>
          <w:sz w:val="20"/>
        </w:rPr>
      </w:pPr>
    </w:p>
    <w:p w14:paraId="6FF304FF" w14:textId="1B8356D7" w:rsidR="00542042" w:rsidRPr="007C64AE" w:rsidRDefault="006E0E0C" w:rsidP="00E41D05">
      <w:pPr>
        <w:jc w:val="both"/>
        <w:rPr>
          <w:rFonts w:ascii="Arial" w:hAnsi="Arial" w:cs="Arial"/>
          <w:color w:val="000000"/>
          <w:sz w:val="20"/>
        </w:rPr>
      </w:pPr>
      <w:r w:rsidRPr="007C64AE">
        <w:rPr>
          <w:rFonts w:ascii="Arial" w:hAnsi="Arial" w:cs="Arial"/>
          <w:color w:val="000000"/>
          <w:sz w:val="20"/>
        </w:rPr>
        <w:t xml:space="preserve">As Dixon J noted in </w:t>
      </w:r>
      <w:r w:rsidRPr="007C64AE">
        <w:rPr>
          <w:rFonts w:ascii="Arial" w:hAnsi="Arial" w:cs="Arial"/>
          <w:i/>
          <w:color w:val="000000"/>
          <w:sz w:val="20"/>
        </w:rPr>
        <w:t>AS v Minister for Immigration and Border Protection</w:t>
      </w:r>
      <w:r w:rsidRPr="007C64AE">
        <w:rPr>
          <w:rFonts w:ascii="Arial" w:hAnsi="Arial" w:cs="Arial"/>
          <w:color w:val="000000"/>
          <w:sz w:val="20"/>
        </w:rPr>
        <w:t xml:space="preserve"> [2014] VSC 486 at [3], s</w:t>
      </w:r>
      <w:r w:rsidR="00542042" w:rsidRPr="007C64AE">
        <w:rPr>
          <w:rFonts w:ascii="Arial" w:hAnsi="Arial" w:cs="Arial"/>
          <w:color w:val="000000"/>
          <w:sz w:val="20"/>
        </w:rPr>
        <w:t xml:space="preserve">uch orders – known as pseudonym orders – differ from other restrictions </w:t>
      </w:r>
      <w:r w:rsidRPr="007C64AE">
        <w:rPr>
          <w:rFonts w:ascii="Arial" w:hAnsi="Arial" w:cs="Arial"/>
          <w:color w:val="000000"/>
          <w:sz w:val="20"/>
        </w:rPr>
        <w:t xml:space="preserve">on open justice, such as suppression orders and closed court orders.  In </w:t>
      </w:r>
      <w:r w:rsidR="00ED6BFF" w:rsidRPr="007C64AE">
        <w:rPr>
          <w:rFonts w:ascii="Arial" w:hAnsi="Arial" w:cs="Arial"/>
          <w:color w:val="000000"/>
          <w:sz w:val="20"/>
        </w:rPr>
        <w:t xml:space="preserve">that case the litigation guardian for a 6 year old asylum seeker living in detention in </w:t>
      </w:r>
      <w:smartTag w:uri="urn:schemas-microsoft-com:office:smarttags" w:element="place">
        <w:r w:rsidR="00ED6BFF" w:rsidRPr="007C64AE">
          <w:rPr>
            <w:rFonts w:ascii="Arial" w:hAnsi="Arial" w:cs="Arial"/>
            <w:color w:val="000000"/>
            <w:sz w:val="20"/>
          </w:rPr>
          <w:t>Christmas Island</w:t>
        </w:r>
      </w:smartTag>
      <w:r w:rsidR="00ED6BFF" w:rsidRPr="007C64AE">
        <w:rPr>
          <w:rFonts w:ascii="Arial" w:hAnsi="Arial" w:cs="Arial"/>
          <w:color w:val="000000"/>
          <w:sz w:val="20"/>
        </w:rPr>
        <w:t xml:space="preserve"> </w:t>
      </w:r>
      <w:r w:rsidR="009762E3" w:rsidRPr="007C64AE">
        <w:rPr>
          <w:rFonts w:ascii="Arial" w:hAnsi="Arial" w:cs="Arial"/>
          <w:color w:val="000000"/>
          <w:sz w:val="20"/>
        </w:rPr>
        <w:t xml:space="preserve">and proposing to issue proceedings on behalf of AS for damages for psychological harm </w:t>
      </w:r>
      <w:r w:rsidR="00ED6BFF" w:rsidRPr="007C64AE">
        <w:rPr>
          <w:rFonts w:ascii="Arial" w:hAnsi="Arial" w:cs="Arial"/>
          <w:color w:val="000000"/>
          <w:sz w:val="20"/>
        </w:rPr>
        <w:t xml:space="preserve">had sought a suppression order.  Dixon J did not make a proceeding suppression order but made a pseudonym order that the plaintiff only be referred to by the pseudonym AS and that all documents filed in the proceeding only refer to the plaintiff as </w:t>
      </w:r>
      <w:proofErr w:type="spellStart"/>
      <w:r w:rsidR="00ED6BFF" w:rsidRPr="007C64AE">
        <w:rPr>
          <w:rFonts w:ascii="Arial" w:hAnsi="Arial" w:cs="Arial"/>
          <w:color w:val="000000"/>
          <w:sz w:val="20"/>
        </w:rPr>
        <w:t>AS</w:t>
      </w:r>
      <w:proofErr w:type="spellEnd"/>
      <w:r w:rsidR="00ED6BFF" w:rsidRPr="007C64AE">
        <w:rPr>
          <w:rFonts w:ascii="Arial" w:hAnsi="Arial" w:cs="Arial"/>
          <w:color w:val="000000"/>
          <w:sz w:val="20"/>
        </w:rPr>
        <w:t xml:space="preserve">.  At [7] his Honour referred to and applied the </w:t>
      </w:r>
      <w:r w:rsidR="003C46A1" w:rsidRPr="007C64AE">
        <w:rPr>
          <w:rFonts w:ascii="Arial" w:hAnsi="Arial" w:cs="Arial"/>
          <w:color w:val="000000"/>
          <w:sz w:val="20"/>
        </w:rPr>
        <w:t xml:space="preserve">following </w:t>
      </w:r>
      <w:r w:rsidR="00ED6BFF" w:rsidRPr="007C64AE">
        <w:rPr>
          <w:rFonts w:ascii="Arial" w:hAnsi="Arial" w:cs="Arial"/>
          <w:color w:val="000000"/>
          <w:sz w:val="20"/>
        </w:rPr>
        <w:t xml:space="preserve">principles </w:t>
      </w:r>
      <w:r w:rsidR="003C46A1" w:rsidRPr="007C64AE">
        <w:rPr>
          <w:rFonts w:ascii="Arial" w:hAnsi="Arial" w:cs="Arial"/>
          <w:color w:val="000000"/>
          <w:sz w:val="20"/>
        </w:rPr>
        <w:t>applicable</w:t>
      </w:r>
      <w:r w:rsidR="00ED6BFF" w:rsidRPr="007C64AE">
        <w:rPr>
          <w:rFonts w:ascii="Arial" w:hAnsi="Arial" w:cs="Arial"/>
          <w:color w:val="000000"/>
          <w:sz w:val="20"/>
        </w:rPr>
        <w:t xml:space="preserve"> in making ps</w:t>
      </w:r>
      <w:r w:rsidR="007412B0">
        <w:rPr>
          <w:rFonts w:ascii="Arial" w:hAnsi="Arial" w:cs="Arial"/>
          <w:color w:val="000000"/>
          <w:sz w:val="20"/>
        </w:rPr>
        <w:t>eu</w:t>
      </w:r>
      <w:r w:rsidR="00ED6BFF" w:rsidRPr="007C64AE">
        <w:rPr>
          <w:rFonts w:ascii="Arial" w:hAnsi="Arial" w:cs="Arial"/>
          <w:color w:val="000000"/>
          <w:sz w:val="20"/>
        </w:rPr>
        <w:t xml:space="preserve">donym orders </w:t>
      </w:r>
      <w:r w:rsidR="003C46A1" w:rsidRPr="007C64AE">
        <w:rPr>
          <w:rFonts w:ascii="Arial" w:hAnsi="Arial" w:cs="Arial"/>
          <w:color w:val="000000"/>
          <w:sz w:val="20"/>
        </w:rPr>
        <w:t>as distill</w:t>
      </w:r>
      <w:r w:rsidR="003C46A1" w:rsidRPr="007C64AE">
        <w:rPr>
          <w:rFonts w:ascii="Arial" w:hAnsi="Arial" w:cs="Arial"/>
          <w:color w:val="000000"/>
          <w:sz w:val="20"/>
          <w:szCs w:val="20"/>
        </w:rPr>
        <w:t xml:space="preserve">ed by </w:t>
      </w:r>
      <w:r w:rsidR="00C23119">
        <w:rPr>
          <w:rFonts w:ascii="Arial" w:hAnsi="Arial" w:cs="Arial"/>
          <w:color w:val="000000"/>
          <w:sz w:val="20"/>
          <w:szCs w:val="20"/>
        </w:rPr>
        <w:t>J</w:t>
      </w:r>
      <w:r w:rsidR="005F6151">
        <w:rPr>
          <w:rFonts w:ascii="Arial" w:hAnsi="Arial" w:cs="Arial"/>
          <w:color w:val="000000"/>
          <w:sz w:val="20"/>
          <w:szCs w:val="20"/>
        </w:rPr>
        <w:t> </w:t>
      </w:r>
      <w:r w:rsidR="003C46A1" w:rsidRPr="007C64AE">
        <w:rPr>
          <w:rFonts w:ascii="Arial" w:hAnsi="Arial" w:cs="Arial"/>
          <w:color w:val="000000"/>
          <w:sz w:val="20"/>
          <w:szCs w:val="20"/>
        </w:rPr>
        <w:t xml:space="preserve">Forrest J in </w:t>
      </w:r>
      <w:r w:rsidR="003C46A1" w:rsidRPr="007C64AE">
        <w:rPr>
          <w:rFonts w:ascii="Arial" w:hAnsi="Arial" w:cs="Arial"/>
          <w:i/>
          <w:color w:val="000000"/>
          <w:sz w:val="20"/>
          <w:szCs w:val="20"/>
        </w:rPr>
        <w:t xml:space="preserve">ABC v D1 and Others; Ex </w:t>
      </w:r>
      <w:proofErr w:type="spellStart"/>
      <w:r w:rsidR="003C46A1" w:rsidRPr="007C64AE">
        <w:rPr>
          <w:rFonts w:ascii="Arial" w:hAnsi="Arial" w:cs="Arial"/>
          <w:i/>
          <w:color w:val="000000"/>
          <w:sz w:val="20"/>
          <w:szCs w:val="20"/>
        </w:rPr>
        <w:t>Parte</w:t>
      </w:r>
      <w:proofErr w:type="spellEnd"/>
      <w:r w:rsidR="003C46A1" w:rsidRPr="007C64AE">
        <w:rPr>
          <w:rFonts w:ascii="Arial" w:hAnsi="Arial" w:cs="Arial"/>
          <w:i/>
          <w:color w:val="000000"/>
          <w:sz w:val="20"/>
          <w:szCs w:val="20"/>
        </w:rPr>
        <w:t xml:space="preserve"> The Herald Sun &amp; Weekly Times Limited</w:t>
      </w:r>
      <w:r w:rsidR="006177B4">
        <w:rPr>
          <w:rFonts w:ascii="Arial" w:hAnsi="Arial" w:cs="Arial"/>
          <w:color w:val="000000"/>
          <w:sz w:val="20"/>
        </w:rPr>
        <w:t xml:space="preserve"> </w:t>
      </w:r>
      <w:r w:rsidR="003C46A1" w:rsidRPr="007C64AE">
        <w:rPr>
          <w:rFonts w:ascii="Arial" w:hAnsi="Arial" w:cs="Arial"/>
          <w:color w:val="000000"/>
          <w:sz w:val="20"/>
        </w:rPr>
        <w:t>[2007] VSC 480</w:t>
      </w:r>
      <w:r w:rsidR="005601AA">
        <w:rPr>
          <w:rFonts w:ascii="Arial" w:hAnsi="Arial" w:cs="Arial"/>
          <w:color w:val="000000"/>
          <w:sz w:val="20"/>
        </w:rPr>
        <w:t xml:space="preserve"> at</w:t>
      </w:r>
      <w:r w:rsidR="00492279">
        <w:rPr>
          <w:rFonts w:ascii="Arial" w:hAnsi="Arial" w:cs="Arial"/>
          <w:color w:val="000000"/>
          <w:sz w:val="20"/>
        </w:rPr>
        <w:t xml:space="preserve"> [64]-[71]</w:t>
      </w:r>
      <w:r w:rsidR="003C46A1" w:rsidRPr="007C64AE">
        <w:rPr>
          <w:rFonts w:ascii="Arial" w:hAnsi="Arial" w:cs="Arial"/>
          <w:color w:val="000000"/>
          <w:sz w:val="20"/>
        </w:rPr>
        <w:t>:</w:t>
      </w:r>
    </w:p>
    <w:p w14:paraId="591399E7" w14:textId="77777777" w:rsidR="003C46A1" w:rsidRPr="007C64AE" w:rsidRDefault="003C46A1" w:rsidP="00CA061D">
      <w:pPr>
        <w:spacing w:before="80"/>
        <w:ind w:left="567" w:right="567"/>
        <w:jc w:val="both"/>
        <w:rPr>
          <w:rFonts w:ascii="Arial" w:hAnsi="Arial" w:cs="Arial"/>
          <w:color w:val="000000"/>
          <w:sz w:val="20"/>
        </w:rPr>
      </w:pPr>
      <w:r w:rsidRPr="007C64AE">
        <w:rPr>
          <w:rFonts w:ascii="Arial" w:hAnsi="Arial" w:cs="Arial"/>
          <w:color w:val="000000"/>
          <w:sz w:val="20"/>
        </w:rPr>
        <w:t>“</w:t>
      </w:r>
      <w:r w:rsidRPr="00492279">
        <w:rPr>
          <w:rFonts w:ascii="Arial" w:hAnsi="Arial" w:cs="Arial"/>
          <w:color w:val="000000"/>
          <w:sz w:val="20"/>
          <w:u w:val="single"/>
        </w:rPr>
        <w:t>First</w:t>
      </w:r>
      <w:r w:rsidR="00492279">
        <w:rPr>
          <w:rFonts w:ascii="Arial" w:hAnsi="Arial" w:cs="Arial"/>
          <w:color w:val="000000"/>
          <w:sz w:val="20"/>
        </w:rPr>
        <w:t xml:space="preserve">, </w:t>
      </w:r>
      <w:r w:rsidRPr="007C64AE">
        <w:rPr>
          <w:rFonts w:ascii="Arial" w:hAnsi="Arial" w:cs="Arial"/>
          <w:color w:val="000000"/>
          <w:sz w:val="20"/>
        </w:rPr>
        <w:t>that the principal rule is that judicial hearings should take place in open court</w:t>
      </w:r>
      <w:r w:rsidR="00492279">
        <w:rPr>
          <w:rFonts w:ascii="Arial" w:hAnsi="Arial" w:cs="Arial"/>
          <w:color w:val="000000"/>
          <w:sz w:val="20"/>
        </w:rPr>
        <w:t>:</w:t>
      </w:r>
      <w:r w:rsidRPr="007C64AE">
        <w:rPr>
          <w:rFonts w:ascii="Arial" w:hAnsi="Arial" w:cs="Arial"/>
          <w:color w:val="000000"/>
          <w:sz w:val="20"/>
        </w:rPr>
        <w:t xml:space="preserve"> publicly and in open view, with no restriction on reporting.  This is a fundamental precept underpinning the administration of justice.</w:t>
      </w:r>
    </w:p>
    <w:p w14:paraId="60042914"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Second</w:t>
      </w:r>
      <w:r w:rsidRPr="007C64AE">
        <w:rPr>
          <w:rFonts w:ascii="Arial" w:hAnsi="Arial" w:cs="Arial"/>
          <w:color w:val="000000"/>
          <w:sz w:val="20"/>
        </w:rPr>
        <w:t>, that in certain circumstances the administration of justice requires a qualification of the general rule.  There will be circumstances where modifications of the general rule are necessarily made to ensure that the administration of justice is not frustrated.  These exceptions are many and varied and cannot be prescriptively identified.</w:t>
      </w:r>
    </w:p>
    <w:p w14:paraId="1AA8CF44"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Third</w:t>
      </w:r>
      <w:r w:rsidRPr="007C64AE">
        <w:rPr>
          <w:rFonts w:ascii="Arial" w:hAnsi="Arial" w:cs="Arial"/>
          <w:color w:val="000000"/>
          <w:sz w:val="20"/>
        </w:rPr>
        <w:t>, that the test to be applied by the court in making the pseudonym order is, to use the words of the statute, where it is necessary to do so in order not to prejudice the administration of justice.</w:t>
      </w:r>
    </w:p>
    <w:p w14:paraId="592425DD"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Fourth</w:t>
      </w:r>
      <w:r w:rsidRPr="007C64AE">
        <w:rPr>
          <w:rFonts w:ascii="Arial" w:hAnsi="Arial" w:cs="Arial"/>
          <w:color w:val="000000"/>
          <w:sz w:val="20"/>
        </w:rPr>
        <w:t>, that a court, in determining whether to make a pseudonym order, is entitled to take into account the individual considerations affecting the person seeking the order</w:t>
      </w:r>
      <w:r w:rsidR="00492279">
        <w:rPr>
          <w:rFonts w:ascii="Arial" w:hAnsi="Arial" w:cs="Arial"/>
          <w:color w:val="000000"/>
          <w:sz w:val="20"/>
        </w:rPr>
        <w:t xml:space="preserve"> and </w:t>
      </w:r>
      <w:r w:rsidRPr="007C64AE">
        <w:rPr>
          <w:rFonts w:ascii="Arial" w:hAnsi="Arial" w:cs="Arial"/>
          <w:color w:val="000000"/>
          <w:sz w:val="20"/>
        </w:rPr>
        <w:t>balance those against the principal rule of open justice in determining whether the administration of justice warrants the making of the order.  Relevant to these individual considerations is whether there is a real risk of the party or witness suffering psychological harm as a result of publication of his or her name or the names of other parties.  Also relevant is the real risk of a party not proceeding with an action in the event that he or she or another person is identified.</w:t>
      </w:r>
    </w:p>
    <w:p w14:paraId="5ACD7809"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Fifth</w:t>
      </w:r>
      <w:r w:rsidRPr="007C64AE">
        <w:rPr>
          <w:rFonts w:ascii="Arial" w:hAnsi="Arial" w:cs="Arial"/>
          <w:color w:val="000000"/>
          <w:sz w:val="20"/>
        </w:rPr>
        <w:t>, that in certain circumstances, particularly those involving sexual assaults, it may be appropriate not only to suppress the name of the plaintiff but also to suppress the name of the defendant or defendants.</w:t>
      </w:r>
    </w:p>
    <w:p w14:paraId="1782C890"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Sixth</w:t>
      </w:r>
      <w:r w:rsidRPr="007C64AE">
        <w:rPr>
          <w:rFonts w:ascii="Arial" w:hAnsi="Arial" w:cs="Arial"/>
          <w:color w:val="000000"/>
          <w:sz w:val="20"/>
        </w:rPr>
        <w:t>, that in determining whether to make such an order, a court is entitled to take into account the fact that there will still be a reporting of the proceeding and that the hearing itself will be conducted in open court, subject to the restrictions imposed by the pseudonym order.</w:t>
      </w:r>
    </w:p>
    <w:p w14:paraId="0F55073E"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lastRenderedPageBreak/>
        <w:t>Seventh</w:t>
      </w:r>
      <w:r w:rsidRPr="007C64AE">
        <w:rPr>
          <w:rFonts w:ascii="Arial" w:hAnsi="Arial" w:cs="Arial"/>
          <w:color w:val="000000"/>
          <w:sz w:val="20"/>
        </w:rPr>
        <w:t>, in determining whether it is necessary to make such an order, usually the proofs must be cogent and will not be satisfied by mere belief on the part of a party that the order is necessary.  However, in certain cases a court can</w:t>
      </w:r>
      <w:r w:rsidR="00492279">
        <w:rPr>
          <w:rFonts w:ascii="Arial" w:hAnsi="Arial" w:cs="Arial"/>
          <w:color w:val="000000"/>
          <w:sz w:val="20"/>
        </w:rPr>
        <w:t>,</w:t>
      </w:r>
      <w:r w:rsidRPr="007C64AE">
        <w:rPr>
          <w:rFonts w:ascii="Arial" w:hAnsi="Arial" w:cs="Arial"/>
          <w:color w:val="000000"/>
          <w:sz w:val="20"/>
        </w:rPr>
        <w:t xml:space="preserve"> in a practical sense, act on its own experience and draw appropriate inferences.”</w:t>
      </w:r>
    </w:p>
    <w:p w14:paraId="4C03A193" w14:textId="77777777" w:rsidR="003C46A1" w:rsidRPr="007C64AE" w:rsidRDefault="003C46A1" w:rsidP="003C46A1">
      <w:pPr>
        <w:jc w:val="both"/>
        <w:rPr>
          <w:rFonts w:ascii="Arial" w:hAnsi="Arial" w:cs="Arial"/>
          <w:color w:val="000000"/>
          <w:sz w:val="20"/>
        </w:rPr>
      </w:pPr>
    </w:p>
    <w:p w14:paraId="425A6C41" w14:textId="5A3DBA1D" w:rsidR="00C23119" w:rsidRDefault="003C46A1" w:rsidP="003C46A1">
      <w:pPr>
        <w:jc w:val="both"/>
        <w:rPr>
          <w:rFonts w:ascii="Arial" w:hAnsi="Arial" w:cs="Arial"/>
          <w:color w:val="000000"/>
          <w:sz w:val="20"/>
        </w:rPr>
      </w:pPr>
      <w:r w:rsidRPr="007C64AE">
        <w:rPr>
          <w:rFonts w:ascii="Arial" w:hAnsi="Arial" w:cs="Arial"/>
          <w:color w:val="000000"/>
          <w:sz w:val="20"/>
        </w:rPr>
        <w:t>As Dixon J also noted at [9], the fourth point identified by For</w:t>
      </w:r>
      <w:r w:rsidR="005A6305">
        <w:rPr>
          <w:rFonts w:ascii="Arial" w:hAnsi="Arial" w:cs="Arial"/>
          <w:color w:val="000000"/>
          <w:sz w:val="20"/>
        </w:rPr>
        <w:t>r</w:t>
      </w:r>
      <w:r w:rsidRPr="007C64AE">
        <w:rPr>
          <w:rFonts w:ascii="Arial" w:hAnsi="Arial" w:cs="Arial"/>
          <w:color w:val="000000"/>
          <w:sz w:val="20"/>
        </w:rPr>
        <w:t>est J</w:t>
      </w:r>
      <w:r w:rsidR="005A6305">
        <w:rPr>
          <w:rFonts w:ascii="Arial" w:hAnsi="Arial" w:cs="Arial"/>
          <w:color w:val="000000"/>
          <w:sz w:val="20"/>
        </w:rPr>
        <w:t xml:space="preserve"> – </w:t>
      </w:r>
      <w:r w:rsidRPr="007C64AE">
        <w:rPr>
          <w:rFonts w:ascii="Arial" w:hAnsi="Arial" w:cs="Arial"/>
          <w:color w:val="000000"/>
          <w:sz w:val="20"/>
        </w:rPr>
        <w:t>that</w:t>
      </w:r>
      <w:r w:rsidR="005A6305">
        <w:rPr>
          <w:rFonts w:ascii="Arial" w:hAnsi="Arial" w:cs="Arial"/>
          <w:color w:val="000000"/>
          <w:sz w:val="20"/>
        </w:rPr>
        <w:t xml:space="preserve"> </w:t>
      </w:r>
      <w:r w:rsidRPr="007C64AE">
        <w:rPr>
          <w:rFonts w:ascii="Arial" w:hAnsi="Arial" w:cs="Arial"/>
          <w:color w:val="000000"/>
          <w:sz w:val="20"/>
        </w:rPr>
        <w:t xml:space="preserve">genuinely held fears of psychological harm upon disclosure of identity will be a relevant factor for the court’s consideration </w:t>
      </w:r>
      <w:r w:rsidR="005A6305">
        <w:rPr>
          <w:rFonts w:ascii="Arial" w:hAnsi="Arial" w:cs="Arial"/>
          <w:color w:val="000000"/>
          <w:sz w:val="20"/>
        </w:rPr>
        <w:t xml:space="preserve">– </w:t>
      </w:r>
      <w:r w:rsidRPr="007C64AE">
        <w:rPr>
          <w:rFonts w:ascii="Arial" w:hAnsi="Arial" w:cs="Arial"/>
          <w:color w:val="000000"/>
          <w:sz w:val="20"/>
        </w:rPr>
        <w:t>is</w:t>
      </w:r>
      <w:r w:rsidR="005A6305">
        <w:rPr>
          <w:rFonts w:ascii="Arial" w:hAnsi="Arial" w:cs="Arial"/>
          <w:color w:val="000000"/>
          <w:sz w:val="20"/>
        </w:rPr>
        <w:t xml:space="preserve"> </w:t>
      </w:r>
      <w:r w:rsidRPr="007C64AE">
        <w:rPr>
          <w:rFonts w:ascii="Arial" w:hAnsi="Arial" w:cs="Arial"/>
          <w:color w:val="000000"/>
          <w:sz w:val="20"/>
        </w:rPr>
        <w:t xml:space="preserve">illustrated by </w:t>
      </w:r>
      <w:r w:rsidRPr="007C64AE">
        <w:rPr>
          <w:rFonts w:ascii="Arial" w:hAnsi="Arial" w:cs="Arial"/>
          <w:i/>
          <w:color w:val="000000"/>
          <w:sz w:val="20"/>
        </w:rPr>
        <w:t>TTT &amp; JJJ v The State of Victoria</w:t>
      </w:r>
      <w:r w:rsidR="00C23119">
        <w:rPr>
          <w:rFonts w:ascii="Arial" w:hAnsi="Arial" w:cs="Arial"/>
          <w:color w:val="000000"/>
          <w:sz w:val="20"/>
        </w:rPr>
        <w:t xml:space="preserve"> [2013] VSC 162 at [18] per </w:t>
      </w:r>
      <w:proofErr w:type="spellStart"/>
      <w:r w:rsidR="00C23119">
        <w:rPr>
          <w:rFonts w:ascii="Arial" w:hAnsi="Arial" w:cs="Arial"/>
          <w:color w:val="000000"/>
          <w:sz w:val="20"/>
        </w:rPr>
        <w:t>Cavanough</w:t>
      </w:r>
      <w:proofErr w:type="spellEnd"/>
      <w:r w:rsidR="00C23119">
        <w:rPr>
          <w:rFonts w:ascii="Arial" w:hAnsi="Arial" w:cs="Arial"/>
          <w:color w:val="000000"/>
          <w:sz w:val="20"/>
        </w:rPr>
        <w:t xml:space="preserve"> J</w:t>
      </w:r>
      <w:r w:rsidR="005C2F21">
        <w:rPr>
          <w:rFonts w:ascii="Arial" w:hAnsi="Arial" w:cs="Arial"/>
          <w:color w:val="000000"/>
          <w:sz w:val="20"/>
        </w:rPr>
        <w:t xml:space="preserve"> and </w:t>
      </w:r>
      <w:r w:rsidR="005C2F21" w:rsidRPr="00C373E8">
        <w:rPr>
          <w:rFonts w:ascii="Arial" w:hAnsi="Arial" w:cs="Arial"/>
          <w:i/>
          <w:iCs/>
          <w:sz w:val="20"/>
        </w:rPr>
        <w:t>Director of Public Prosecutions v EN</w:t>
      </w:r>
      <w:r w:rsidR="005C2F21">
        <w:rPr>
          <w:rFonts w:ascii="Arial" w:hAnsi="Arial" w:cs="Arial"/>
          <w:sz w:val="20"/>
        </w:rPr>
        <w:t xml:space="preserve"> [2023] VSC 724 at [50] per Elliott J.</w:t>
      </w:r>
    </w:p>
    <w:p w14:paraId="21F7CA03" w14:textId="77777777" w:rsidR="00C23119" w:rsidRDefault="00C23119" w:rsidP="003C46A1">
      <w:pPr>
        <w:jc w:val="both"/>
        <w:rPr>
          <w:rFonts w:ascii="Arial" w:hAnsi="Arial" w:cs="Arial"/>
          <w:color w:val="000000"/>
          <w:sz w:val="20"/>
        </w:rPr>
      </w:pPr>
    </w:p>
    <w:p w14:paraId="3A0DAB1C" w14:textId="26B0EFBC" w:rsidR="00C23119" w:rsidRDefault="00C23119" w:rsidP="00CD02A3">
      <w:pPr>
        <w:jc w:val="both"/>
        <w:rPr>
          <w:rFonts w:ascii="Arial" w:hAnsi="Arial" w:cs="Arial"/>
          <w:color w:val="000000"/>
          <w:sz w:val="20"/>
        </w:rPr>
      </w:pPr>
      <w:r>
        <w:rPr>
          <w:rFonts w:ascii="Arial" w:hAnsi="Arial" w:cs="Arial"/>
          <w:color w:val="000000"/>
          <w:sz w:val="20"/>
        </w:rPr>
        <w:t xml:space="preserve">In making a pseudonym order in </w:t>
      </w:r>
      <w:r w:rsidRPr="00C23119">
        <w:rPr>
          <w:rFonts w:ascii="Arial" w:hAnsi="Arial" w:cs="Arial"/>
          <w:i/>
          <w:color w:val="000000"/>
          <w:sz w:val="20"/>
        </w:rPr>
        <w:t>XYZ v State of Victoria &amp; Anor</w:t>
      </w:r>
      <w:r>
        <w:rPr>
          <w:rFonts w:ascii="Arial" w:hAnsi="Arial" w:cs="Arial"/>
          <w:color w:val="000000"/>
          <w:sz w:val="20"/>
        </w:rPr>
        <w:t xml:space="preserve"> [2016] VSC 339, T Forrest J approved and applied the principles espoused by J Forrest J in </w:t>
      </w:r>
      <w:r w:rsidRPr="007C64AE">
        <w:rPr>
          <w:rFonts w:ascii="Arial" w:hAnsi="Arial" w:cs="Arial"/>
          <w:i/>
          <w:color w:val="000000"/>
          <w:sz w:val="20"/>
          <w:szCs w:val="20"/>
        </w:rPr>
        <w:t xml:space="preserve">ABC v D1 and Others; Ex </w:t>
      </w:r>
      <w:proofErr w:type="spellStart"/>
      <w:r w:rsidRPr="007C64AE">
        <w:rPr>
          <w:rFonts w:ascii="Arial" w:hAnsi="Arial" w:cs="Arial"/>
          <w:i/>
          <w:color w:val="000000"/>
          <w:sz w:val="20"/>
          <w:szCs w:val="20"/>
        </w:rPr>
        <w:t>Parte</w:t>
      </w:r>
      <w:proofErr w:type="spellEnd"/>
      <w:r w:rsidRPr="007C64AE">
        <w:rPr>
          <w:rFonts w:ascii="Arial" w:hAnsi="Arial" w:cs="Arial"/>
          <w:i/>
          <w:color w:val="000000"/>
          <w:sz w:val="20"/>
          <w:szCs w:val="20"/>
        </w:rPr>
        <w:t xml:space="preserve"> The Herald Sun &amp; Weekly Times Limited</w:t>
      </w:r>
      <w:r>
        <w:rPr>
          <w:rFonts w:ascii="Arial" w:hAnsi="Arial" w:cs="Arial"/>
          <w:color w:val="000000"/>
          <w:sz w:val="20"/>
        </w:rPr>
        <w:t xml:space="preserve"> [2007] VSC 480 and by </w:t>
      </w:r>
      <w:proofErr w:type="spellStart"/>
      <w:r>
        <w:rPr>
          <w:rFonts w:ascii="Arial" w:hAnsi="Arial" w:cs="Arial"/>
          <w:color w:val="000000"/>
          <w:sz w:val="20"/>
        </w:rPr>
        <w:t>Cavanough</w:t>
      </w:r>
      <w:proofErr w:type="spellEnd"/>
      <w:r>
        <w:rPr>
          <w:rFonts w:ascii="Arial" w:hAnsi="Arial" w:cs="Arial"/>
          <w:color w:val="000000"/>
          <w:sz w:val="20"/>
        </w:rPr>
        <w:t xml:space="preserve"> J in </w:t>
      </w:r>
      <w:r w:rsidRPr="007C64AE">
        <w:rPr>
          <w:rFonts w:ascii="Arial" w:hAnsi="Arial" w:cs="Arial"/>
          <w:i/>
          <w:color w:val="000000"/>
          <w:sz w:val="20"/>
        </w:rPr>
        <w:t>TTT &amp; JJJ v The State of Victoria</w:t>
      </w:r>
      <w:r>
        <w:rPr>
          <w:rFonts w:ascii="Arial" w:hAnsi="Arial" w:cs="Arial"/>
          <w:color w:val="000000"/>
          <w:sz w:val="20"/>
        </w:rPr>
        <w:t xml:space="preserve"> [2013] VSC 162 and added at [17]</w:t>
      </w:r>
      <w:r w:rsidR="00C4650B">
        <w:rPr>
          <w:rFonts w:ascii="Arial" w:hAnsi="Arial" w:cs="Arial"/>
          <w:color w:val="000000"/>
          <w:sz w:val="20"/>
        </w:rPr>
        <w:t>-</w:t>
      </w:r>
      <w:r w:rsidR="00D057EA">
        <w:rPr>
          <w:rFonts w:ascii="Arial" w:hAnsi="Arial" w:cs="Arial"/>
          <w:color w:val="000000"/>
          <w:sz w:val="20"/>
        </w:rPr>
        <w:t xml:space="preserve">[19] </w:t>
      </w:r>
      <w:r w:rsidR="007F5545">
        <w:rPr>
          <w:rFonts w:ascii="Arial" w:hAnsi="Arial" w:cs="Arial"/>
          <w:color w:val="000000"/>
          <w:sz w:val="20"/>
        </w:rPr>
        <w:t>(emphasis mine)</w:t>
      </w:r>
      <w:r>
        <w:rPr>
          <w:rFonts w:ascii="Arial" w:hAnsi="Arial" w:cs="Arial"/>
          <w:color w:val="000000"/>
          <w:sz w:val="20"/>
        </w:rPr>
        <w:t>:</w:t>
      </w:r>
    </w:p>
    <w:p w14:paraId="07EEF224" w14:textId="77777777" w:rsidR="00340322" w:rsidRDefault="00D057EA" w:rsidP="00D057EA">
      <w:pPr>
        <w:spacing w:before="80"/>
        <w:ind w:left="567" w:right="567"/>
        <w:jc w:val="both"/>
        <w:rPr>
          <w:rFonts w:ascii="Arial" w:hAnsi="Arial" w:cs="Arial"/>
          <w:color w:val="000000"/>
          <w:sz w:val="20"/>
        </w:rPr>
      </w:pPr>
      <w:r>
        <w:rPr>
          <w:rFonts w:ascii="Arial" w:hAnsi="Arial" w:cs="Arial"/>
          <w:color w:val="000000"/>
          <w:sz w:val="20"/>
        </w:rPr>
        <w:t xml:space="preserve">[17] </w:t>
      </w:r>
      <w:r w:rsidR="00C23119">
        <w:rPr>
          <w:rFonts w:ascii="Arial" w:hAnsi="Arial" w:cs="Arial"/>
          <w:color w:val="000000"/>
          <w:sz w:val="20"/>
        </w:rPr>
        <w:t xml:space="preserve">“The </w:t>
      </w:r>
      <w:r w:rsidR="00C23119" w:rsidRPr="00C23119">
        <w:rPr>
          <w:rFonts w:ascii="Arial" w:hAnsi="Arial" w:cs="Arial"/>
          <w:i/>
          <w:color w:val="000000"/>
          <w:sz w:val="20"/>
        </w:rPr>
        <w:t>Open Courts Act</w:t>
      </w:r>
      <w:r w:rsidR="00C23119">
        <w:rPr>
          <w:rFonts w:ascii="Arial" w:hAnsi="Arial" w:cs="Arial"/>
          <w:color w:val="000000"/>
          <w:sz w:val="20"/>
        </w:rPr>
        <w:t xml:space="preserve"> recognises that a pseudonym order differs from other restrictions on open justice, such as suppression orders and closed court orders.  When a proceeding suppression order is made under s.17 of the </w:t>
      </w:r>
      <w:r w:rsidR="00C23119" w:rsidRPr="00C23119">
        <w:rPr>
          <w:rFonts w:ascii="Arial" w:hAnsi="Arial" w:cs="Arial"/>
          <w:i/>
          <w:color w:val="000000"/>
          <w:sz w:val="20"/>
        </w:rPr>
        <w:t>Open Courts Act</w:t>
      </w:r>
      <w:r w:rsidR="00C23119">
        <w:rPr>
          <w:rFonts w:ascii="Arial" w:hAnsi="Arial" w:cs="Arial"/>
          <w:color w:val="000000"/>
          <w:sz w:val="20"/>
        </w:rPr>
        <w:t xml:space="preserve">, it is necessary to comply with Part 3 of that Act.  The order I propose to make will not constitute a proceeding suppression order.  There will be no effect on the public nature of the proceedings and the ability of the media to fully report on proceedings will only be restricted on the issue of the identity of the proposed plaintiff and other individuals involved: see the comments in </w:t>
      </w:r>
      <w:r w:rsidR="00C23119" w:rsidRPr="007F5545">
        <w:rPr>
          <w:rFonts w:ascii="Arial" w:hAnsi="Arial" w:cs="Arial"/>
          <w:i/>
          <w:color w:val="000000"/>
          <w:sz w:val="20"/>
        </w:rPr>
        <w:t>X v Sydney Children’s Hospitals Special</w:t>
      </w:r>
      <w:r w:rsidR="007F5545" w:rsidRPr="007F5545">
        <w:rPr>
          <w:rFonts w:ascii="Arial" w:hAnsi="Arial" w:cs="Arial"/>
          <w:i/>
          <w:color w:val="000000"/>
          <w:sz w:val="20"/>
        </w:rPr>
        <w:t>i</w:t>
      </w:r>
      <w:r w:rsidR="00C23119" w:rsidRPr="007F5545">
        <w:rPr>
          <w:rFonts w:ascii="Arial" w:hAnsi="Arial" w:cs="Arial"/>
          <w:i/>
          <w:color w:val="000000"/>
          <w:sz w:val="20"/>
        </w:rPr>
        <w:t>ty Network</w:t>
      </w:r>
      <w:r w:rsidR="00C23119">
        <w:rPr>
          <w:rFonts w:ascii="Arial" w:hAnsi="Arial" w:cs="Arial"/>
          <w:color w:val="000000"/>
          <w:sz w:val="20"/>
        </w:rPr>
        <w:t xml:space="preserve"> </w:t>
      </w:r>
      <w:r w:rsidR="007F5545">
        <w:rPr>
          <w:rFonts w:ascii="Arial" w:hAnsi="Arial" w:cs="Arial"/>
          <w:color w:val="000000"/>
          <w:sz w:val="20"/>
        </w:rPr>
        <w:t xml:space="preserve">[2011] NSWSC 1272 [15] and </w:t>
      </w:r>
      <w:r w:rsidR="007F5545" w:rsidRPr="007F5545">
        <w:rPr>
          <w:rFonts w:ascii="Arial" w:hAnsi="Arial" w:cs="Arial"/>
          <w:i/>
          <w:color w:val="000000"/>
          <w:sz w:val="20"/>
        </w:rPr>
        <w:t>Witness v Marsden &amp; Anor</w:t>
      </w:r>
      <w:r w:rsidR="007F5545">
        <w:rPr>
          <w:rFonts w:ascii="Arial" w:hAnsi="Arial" w:cs="Arial"/>
          <w:color w:val="000000"/>
          <w:sz w:val="20"/>
        </w:rPr>
        <w:t xml:space="preserve"> (2000) 49 NSWLR 429.</w:t>
      </w:r>
      <w:r w:rsidR="00B3128C">
        <w:rPr>
          <w:rFonts w:ascii="Arial" w:hAnsi="Arial" w:cs="Arial"/>
          <w:color w:val="000000"/>
          <w:sz w:val="20"/>
        </w:rPr>
        <w:t xml:space="preserve">  The </w:t>
      </w:r>
      <w:r w:rsidR="007F5545">
        <w:rPr>
          <w:rFonts w:ascii="Arial" w:hAnsi="Arial" w:cs="Arial"/>
          <w:color w:val="000000"/>
          <w:sz w:val="20"/>
        </w:rPr>
        <w:t>order will not directly restrain conduct by publication, although a potential liability in contempt may arise on breach of the order [</w:t>
      </w:r>
      <w:r w:rsidR="007F5545" w:rsidRPr="007F5545">
        <w:rPr>
          <w:rFonts w:ascii="Arial" w:hAnsi="Arial" w:cs="Arial"/>
          <w:i/>
          <w:color w:val="000000"/>
          <w:sz w:val="20"/>
        </w:rPr>
        <w:t>AAA v BBB</w:t>
      </w:r>
      <w:r w:rsidR="007F5545">
        <w:rPr>
          <w:rFonts w:ascii="Arial" w:hAnsi="Arial" w:cs="Arial"/>
          <w:color w:val="000000"/>
          <w:sz w:val="20"/>
        </w:rPr>
        <w:t xml:space="preserve"> (unreported, Supreme Court of Victoria, Ashley J, 26/08/1994, 6</w:t>
      </w:r>
      <w:r w:rsidR="00B3128C">
        <w:rPr>
          <w:rFonts w:ascii="Arial" w:hAnsi="Arial" w:cs="Arial"/>
          <w:color w:val="000000"/>
          <w:sz w:val="20"/>
        </w:rPr>
        <w:noBreakHyphen/>
      </w:r>
      <w:r w:rsidR="007F5545">
        <w:rPr>
          <w:rFonts w:ascii="Arial" w:hAnsi="Arial" w:cs="Arial"/>
          <w:color w:val="000000"/>
          <w:sz w:val="20"/>
        </w:rPr>
        <w:t xml:space="preserve">7; </w:t>
      </w:r>
      <w:r w:rsidR="005601AA" w:rsidRPr="005601AA">
        <w:rPr>
          <w:rFonts w:ascii="Arial" w:hAnsi="Arial" w:cs="Arial"/>
          <w:i/>
          <w:color w:val="000000"/>
          <w:sz w:val="20"/>
        </w:rPr>
        <w:t>R v Savvas, Stevens &amp; Peisley</w:t>
      </w:r>
      <w:r w:rsidR="005601AA">
        <w:rPr>
          <w:rFonts w:ascii="Arial" w:hAnsi="Arial" w:cs="Arial"/>
          <w:color w:val="000000"/>
          <w:sz w:val="20"/>
        </w:rPr>
        <w:t xml:space="preserve"> (1989) 43 A Crim R 331; </w:t>
      </w:r>
      <w:r w:rsidR="005601AA" w:rsidRPr="005601AA">
        <w:rPr>
          <w:rFonts w:ascii="Arial" w:hAnsi="Arial" w:cs="Arial"/>
          <w:i/>
          <w:color w:val="000000"/>
          <w:sz w:val="20"/>
        </w:rPr>
        <w:t>Attorney-General for NSW v Mayas Pty Ltd</w:t>
      </w:r>
      <w:r w:rsidR="005601AA">
        <w:rPr>
          <w:rFonts w:ascii="Arial" w:hAnsi="Arial" w:cs="Arial"/>
          <w:color w:val="000000"/>
          <w:sz w:val="20"/>
        </w:rPr>
        <w:t xml:space="preserve"> (1988) 14 NSWLR 342,355</w:t>
      </w:r>
      <w:r w:rsidR="007F5545">
        <w:rPr>
          <w:rFonts w:ascii="Arial" w:hAnsi="Arial" w:cs="Arial"/>
          <w:color w:val="000000"/>
          <w:sz w:val="20"/>
        </w:rPr>
        <w:t xml:space="preserve">], but </w:t>
      </w:r>
      <w:r w:rsidR="007F5545" w:rsidRPr="007F5545">
        <w:rPr>
          <w:rFonts w:ascii="Arial" w:hAnsi="Arial" w:cs="Arial"/>
          <w:b/>
          <w:color w:val="000000"/>
          <w:sz w:val="20"/>
        </w:rPr>
        <w:t>no need arises for media proprietors to be heard in respect of either the making or the revocation of the order.</w:t>
      </w:r>
      <w:r w:rsidR="007F5545">
        <w:rPr>
          <w:rFonts w:ascii="Arial" w:hAnsi="Arial" w:cs="Arial"/>
          <w:color w:val="000000"/>
          <w:sz w:val="20"/>
        </w:rPr>
        <w:t xml:space="preserve">  My order will be subject to any further order.</w:t>
      </w:r>
    </w:p>
    <w:p w14:paraId="2E726B9E" w14:textId="492EFCBA" w:rsidR="00802BEB" w:rsidRDefault="00340322" w:rsidP="00D057EA">
      <w:pPr>
        <w:spacing w:before="80"/>
        <w:ind w:left="567" w:right="567"/>
        <w:jc w:val="both"/>
        <w:rPr>
          <w:rFonts w:ascii="Arial" w:hAnsi="Arial" w:cs="Arial"/>
          <w:sz w:val="20"/>
          <w:szCs w:val="20"/>
        </w:rPr>
      </w:pPr>
      <w:r w:rsidRPr="00205731">
        <w:rPr>
          <w:rFonts w:ascii="Arial" w:hAnsi="Arial" w:cs="Arial"/>
          <w:color w:val="000000"/>
          <w:sz w:val="20"/>
          <w:szCs w:val="20"/>
        </w:rPr>
        <w:t xml:space="preserve">[18] At common law, the power to make pseudonym orders is well established: </w:t>
      </w:r>
      <w:r w:rsidR="00205731" w:rsidRPr="00205731">
        <w:rPr>
          <w:rFonts w:ascii="Arial" w:eastAsia="Book Antiqua" w:hAnsi="Arial" w:cs="Arial"/>
          <w:i/>
          <w:sz w:val="20"/>
          <w:szCs w:val="20"/>
        </w:rPr>
        <w:t>Witness v Marsden &amp; Anor</w:t>
      </w:r>
      <w:r w:rsidR="00205731" w:rsidRPr="00205731">
        <w:rPr>
          <w:rFonts w:ascii="Arial" w:hAnsi="Arial" w:cs="Arial"/>
          <w:sz w:val="20"/>
          <w:szCs w:val="20"/>
        </w:rPr>
        <w:t xml:space="preserve"> (2000) 49 NSWLR 429; </w:t>
      </w:r>
      <w:r w:rsidR="00205731" w:rsidRPr="00205731">
        <w:rPr>
          <w:rFonts w:ascii="Arial" w:eastAsia="Book Antiqua" w:hAnsi="Arial" w:cs="Arial"/>
          <w:i/>
          <w:sz w:val="20"/>
          <w:szCs w:val="20"/>
        </w:rPr>
        <w:t xml:space="preserve">R v Smith </w:t>
      </w:r>
      <w:r w:rsidR="00205731" w:rsidRPr="00205731">
        <w:rPr>
          <w:rFonts w:ascii="Arial" w:hAnsi="Arial" w:cs="Arial"/>
          <w:sz w:val="20"/>
          <w:szCs w:val="20"/>
        </w:rPr>
        <w:t xml:space="preserve">(1996) 86 A Crim R 308; </w:t>
      </w:r>
      <w:proofErr w:type="spellStart"/>
      <w:r w:rsidR="00205731" w:rsidRPr="00205731">
        <w:rPr>
          <w:rFonts w:ascii="Arial" w:eastAsia="Book Antiqua" w:hAnsi="Arial" w:cs="Arial"/>
          <w:i/>
          <w:sz w:val="20"/>
          <w:szCs w:val="20"/>
        </w:rPr>
        <w:t>Raybos</w:t>
      </w:r>
      <w:proofErr w:type="spellEnd"/>
      <w:r w:rsidR="00205731" w:rsidRPr="00205731">
        <w:rPr>
          <w:rFonts w:ascii="Arial" w:eastAsia="Book Antiqua" w:hAnsi="Arial" w:cs="Arial"/>
          <w:i/>
          <w:sz w:val="20"/>
          <w:szCs w:val="20"/>
        </w:rPr>
        <w:t xml:space="preserve"> Australia Pty Ltd v Jones</w:t>
      </w:r>
      <w:r w:rsidR="00205731" w:rsidRPr="00205731">
        <w:rPr>
          <w:rFonts w:ascii="Arial" w:hAnsi="Arial" w:cs="Arial"/>
          <w:sz w:val="20"/>
          <w:szCs w:val="20"/>
        </w:rPr>
        <w:t xml:space="preserve"> (1985) 2 NSWLR 47; </w:t>
      </w:r>
      <w:r w:rsidR="00205731" w:rsidRPr="00205731">
        <w:rPr>
          <w:rFonts w:ascii="Arial" w:eastAsia="Book Antiqua" w:hAnsi="Arial" w:cs="Arial"/>
          <w:i/>
          <w:sz w:val="20"/>
          <w:szCs w:val="20"/>
        </w:rPr>
        <w:t xml:space="preserve">John Fairfax Group Pty Ltd (receivers and managers </w:t>
      </w:r>
      <w:proofErr w:type="spellStart"/>
      <w:r w:rsidR="00205731" w:rsidRPr="00205731">
        <w:rPr>
          <w:rFonts w:ascii="Arial" w:eastAsia="Book Antiqua" w:hAnsi="Arial" w:cs="Arial"/>
          <w:i/>
          <w:sz w:val="20"/>
          <w:szCs w:val="20"/>
        </w:rPr>
        <w:t>apptd</w:t>
      </w:r>
      <w:proofErr w:type="spellEnd"/>
      <w:r w:rsidR="00205731" w:rsidRPr="00205731">
        <w:rPr>
          <w:rFonts w:ascii="Arial" w:eastAsia="Book Antiqua" w:hAnsi="Arial" w:cs="Arial"/>
          <w:i/>
          <w:sz w:val="20"/>
          <w:szCs w:val="20"/>
        </w:rPr>
        <w:t xml:space="preserve">) &amp; Anor v Local Court of NSW &amp; </w:t>
      </w:r>
      <w:proofErr w:type="spellStart"/>
      <w:r w:rsidR="00205731" w:rsidRPr="00205731">
        <w:rPr>
          <w:rFonts w:ascii="Arial" w:eastAsia="Book Antiqua" w:hAnsi="Arial" w:cs="Arial"/>
          <w:i/>
          <w:sz w:val="20"/>
          <w:szCs w:val="20"/>
        </w:rPr>
        <w:t>Ors</w:t>
      </w:r>
      <w:proofErr w:type="spellEnd"/>
      <w:r w:rsidR="00205731" w:rsidRPr="00205731">
        <w:rPr>
          <w:rFonts w:ascii="Arial" w:hAnsi="Arial" w:cs="Arial"/>
          <w:sz w:val="20"/>
          <w:szCs w:val="20"/>
        </w:rPr>
        <w:t xml:space="preserve"> (1991) 26 NSWLR 131.</w:t>
      </w:r>
      <w:r w:rsidR="00205731">
        <w:rPr>
          <w:rFonts w:ascii="Arial" w:hAnsi="Arial" w:cs="Arial"/>
          <w:sz w:val="20"/>
          <w:szCs w:val="20"/>
        </w:rPr>
        <w:t xml:space="preserve">  One category of case</w:t>
      </w:r>
      <w:r w:rsidR="00BF4B80">
        <w:rPr>
          <w:rFonts w:ascii="Arial" w:hAnsi="Arial" w:cs="Arial"/>
          <w:sz w:val="20"/>
          <w:szCs w:val="20"/>
        </w:rPr>
        <w:t xml:space="preserve"> in which suppression, closed court and pseudonym orders are generally made to pr</w:t>
      </w:r>
      <w:r w:rsidR="00070668">
        <w:rPr>
          <w:rFonts w:ascii="Arial" w:hAnsi="Arial" w:cs="Arial"/>
          <w:sz w:val="20"/>
          <w:szCs w:val="20"/>
        </w:rPr>
        <w:t xml:space="preserve">event prejudice to the administration of justice are those where it is desirable </w:t>
      </w:r>
      <w:r w:rsidR="00977BB2">
        <w:rPr>
          <w:rFonts w:ascii="Arial" w:hAnsi="Arial" w:cs="Arial"/>
          <w:sz w:val="20"/>
          <w:szCs w:val="20"/>
        </w:rPr>
        <w:t xml:space="preserve">to protect </w:t>
      </w:r>
      <w:r w:rsidR="00977BB2" w:rsidRPr="00C2530F">
        <w:rPr>
          <w:rFonts w:ascii="Arial" w:hAnsi="Arial" w:cs="Arial"/>
          <w:sz w:val="20"/>
          <w:szCs w:val="20"/>
        </w:rPr>
        <w:t xml:space="preserve">the safety of persons who are to be litigants or witnesses in those proceedings: </w:t>
      </w:r>
      <w:r w:rsidR="00C2530F" w:rsidRPr="00C2530F">
        <w:rPr>
          <w:rFonts w:ascii="Arial" w:eastAsia="Book Antiqua" w:hAnsi="Arial" w:cs="Arial"/>
          <w:i/>
          <w:sz w:val="20"/>
          <w:szCs w:val="20"/>
        </w:rPr>
        <w:t xml:space="preserve">XG v Medical Practitioners Board of Victoria </w:t>
      </w:r>
      <w:r w:rsidR="00C2530F" w:rsidRPr="00C2530F">
        <w:rPr>
          <w:rFonts w:ascii="Arial" w:hAnsi="Arial" w:cs="Arial"/>
          <w:sz w:val="20"/>
          <w:szCs w:val="20"/>
        </w:rPr>
        <w:t xml:space="preserve">[2010] VSC 79; </w:t>
      </w:r>
      <w:r w:rsidR="00C2530F" w:rsidRPr="00C2530F">
        <w:rPr>
          <w:rFonts w:ascii="Arial" w:eastAsia="Book Antiqua" w:hAnsi="Arial" w:cs="Arial"/>
          <w:i/>
          <w:sz w:val="20"/>
          <w:szCs w:val="20"/>
        </w:rPr>
        <w:t xml:space="preserve">The Age Co Ltd &amp; </w:t>
      </w:r>
      <w:proofErr w:type="spellStart"/>
      <w:r w:rsidR="00C2530F" w:rsidRPr="00C2530F">
        <w:rPr>
          <w:rFonts w:ascii="Arial" w:eastAsia="Book Antiqua" w:hAnsi="Arial" w:cs="Arial"/>
          <w:i/>
          <w:sz w:val="20"/>
          <w:szCs w:val="20"/>
        </w:rPr>
        <w:t>Ors</w:t>
      </w:r>
      <w:proofErr w:type="spellEnd"/>
      <w:r w:rsidR="00C2530F" w:rsidRPr="00C2530F">
        <w:rPr>
          <w:rFonts w:ascii="Arial" w:eastAsia="Book Antiqua" w:hAnsi="Arial" w:cs="Arial"/>
          <w:i/>
          <w:sz w:val="20"/>
          <w:szCs w:val="20"/>
        </w:rPr>
        <w:t xml:space="preserve"> v Magistrates’ Court of Victoria &amp; </w:t>
      </w:r>
      <w:proofErr w:type="spellStart"/>
      <w:r w:rsidR="00C2530F" w:rsidRPr="00C2530F">
        <w:rPr>
          <w:rFonts w:ascii="Arial" w:eastAsia="Book Antiqua" w:hAnsi="Arial" w:cs="Arial"/>
          <w:i/>
          <w:sz w:val="20"/>
          <w:szCs w:val="20"/>
        </w:rPr>
        <w:t>Ors</w:t>
      </w:r>
      <w:proofErr w:type="spellEnd"/>
      <w:r w:rsidR="00C2530F" w:rsidRPr="00C2530F">
        <w:rPr>
          <w:rFonts w:ascii="Arial" w:eastAsia="Book Antiqua" w:hAnsi="Arial" w:cs="Arial"/>
          <w:i/>
          <w:sz w:val="20"/>
          <w:szCs w:val="20"/>
        </w:rPr>
        <w:t xml:space="preserve"> </w:t>
      </w:r>
      <w:r w:rsidR="00C2530F" w:rsidRPr="00C2530F">
        <w:rPr>
          <w:rFonts w:ascii="Arial" w:hAnsi="Arial" w:cs="Arial"/>
          <w:sz w:val="20"/>
          <w:szCs w:val="20"/>
        </w:rPr>
        <w:t>[2004] VSC 10;</w:t>
      </w:r>
      <w:r w:rsidR="00C2530F" w:rsidRPr="00C2530F">
        <w:rPr>
          <w:rFonts w:ascii="Arial" w:eastAsia="Book Antiqua" w:hAnsi="Arial" w:cs="Arial"/>
          <w:i/>
          <w:sz w:val="20"/>
          <w:szCs w:val="20"/>
        </w:rPr>
        <w:t xml:space="preserve"> Victorian Lawyers RPA Ltd v ‘X’ </w:t>
      </w:r>
      <w:r w:rsidR="00C2530F" w:rsidRPr="00C2530F">
        <w:rPr>
          <w:rFonts w:ascii="Arial" w:hAnsi="Arial" w:cs="Arial"/>
          <w:sz w:val="20"/>
          <w:szCs w:val="20"/>
        </w:rPr>
        <w:t xml:space="preserve">[2001] VSC 432; </w:t>
      </w:r>
      <w:r w:rsidR="00C2530F" w:rsidRPr="00C2530F">
        <w:rPr>
          <w:rFonts w:ascii="Arial" w:eastAsia="Book Antiqua" w:hAnsi="Arial" w:cs="Arial"/>
          <w:i/>
          <w:sz w:val="20"/>
          <w:szCs w:val="20"/>
        </w:rPr>
        <w:t>Witness v Marsden &amp; Anor</w:t>
      </w:r>
      <w:r w:rsidR="00C2530F" w:rsidRPr="00C2530F">
        <w:rPr>
          <w:rFonts w:ascii="Arial" w:hAnsi="Arial" w:cs="Arial"/>
          <w:sz w:val="20"/>
          <w:szCs w:val="20"/>
        </w:rPr>
        <w:t xml:space="preserve"> (2000) 49 NSWLR 429; </w:t>
      </w:r>
      <w:r w:rsidR="00C2530F" w:rsidRPr="00C2530F">
        <w:rPr>
          <w:rFonts w:ascii="Arial" w:eastAsia="Book Antiqua" w:hAnsi="Arial" w:cs="Arial"/>
          <w:i/>
          <w:sz w:val="20"/>
          <w:szCs w:val="20"/>
        </w:rPr>
        <w:t>R v Savvas, Stevens &amp; Peisley</w:t>
      </w:r>
      <w:r w:rsidR="00C2530F" w:rsidRPr="00C2530F">
        <w:rPr>
          <w:rFonts w:ascii="Arial" w:hAnsi="Arial" w:cs="Arial"/>
          <w:sz w:val="20"/>
          <w:szCs w:val="20"/>
        </w:rPr>
        <w:t xml:space="preserve"> (1989) 43 A Crim R 331.</w:t>
      </w:r>
      <w:r w:rsidR="0060767C">
        <w:rPr>
          <w:rFonts w:ascii="Arial" w:hAnsi="Arial" w:cs="Arial"/>
          <w:sz w:val="20"/>
          <w:szCs w:val="20"/>
        </w:rPr>
        <w:t xml:space="preserve">  In </w:t>
      </w:r>
      <w:r w:rsidR="0060767C" w:rsidRPr="0048396A">
        <w:rPr>
          <w:rFonts w:ascii="Arial" w:hAnsi="Arial" w:cs="Arial"/>
          <w:i/>
          <w:iCs/>
          <w:sz w:val="20"/>
          <w:szCs w:val="20"/>
        </w:rPr>
        <w:t>BK v ADB</w:t>
      </w:r>
      <w:r w:rsidR="0060767C">
        <w:rPr>
          <w:rFonts w:ascii="Arial" w:hAnsi="Arial" w:cs="Arial"/>
          <w:sz w:val="20"/>
          <w:szCs w:val="20"/>
        </w:rPr>
        <w:t xml:space="preserve"> [2003] VSC 129 at [10] Nettle J accepted that pseudonym orders may be made in</w:t>
      </w:r>
      <w:r w:rsidR="001477AD">
        <w:rPr>
          <w:rFonts w:ascii="Arial" w:hAnsi="Arial" w:cs="Arial"/>
          <w:color w:val="000000"/>
          <w:sz w:val="20"/>
        </w:rPr>
        <w:t>–</w:t>
      </w:r>
    </w:p>
    <w:p w14:paraId="00995A00" w14:textId="5F5E1743" w:rsidR="00442FB5" w:rsidRPr="0048396A" w:rsidRDefault="001477AD" w:rsidP="00442FB5">
      <w:pPr>
        <w:spacing w:before="80"/>
        <w:ind w:left="1021" w:right="1021"/>
        <w:jc w:val="both"/>
        <w:rPr>
          <w:rFonts w:ascii="Arial" w:hAnsi="Arial" w:cs="Arial"/>
          <w:sz w:val="18"/>
          <w:szCs w:val="18"/>
        </w:rPr>
      </w:pPr>
      <w:r w:rsidRPr="0048396A">
        <w:rPr>
          <w:rFonts w:ascii="Arial" w:hAnsi="Arial" w:cs="Arial"/>
          <w:sz w:val="18"/>
          <w:szCs w:val="18"/>
        </w:rPr>
        <w:t xml:space="preserve">a case where disclosure of the identity </w:t>
      </w:r>
      <w:r w:rsidR="0048396A">
        <w:rPr>
          <w:rFonts w:ascii="Arial" w:hAnsi="Arial" w:cs="Arial"/>
          <w:sz w:val="18"/>
          <w:szCs w:val="18"/>
        </w:rPr>
        <w:t>of the plaintiffs might be sufficient to deflect the plaintiffs from prosecuting their case; which is to say they might</w:t>
      </w:r>
      <w:r w:rsidR="00522070">
        <w:rPr>
          <w:rFonts w:ascii="Arial" w:hAnsi="Arial" w:cs="Arial"/>
          <w:sz w:val="18"/>
          <w:szCs w:val="18"/>
        </w:rPr>
        <w:t xml:space="preserve"> reasonably be deterred from bringing proceedings unless public disclosure of their identities could be prevented.</w:t>
      </w:r>
    </w:p>
    <w:p w14:paraId="1D2DF9D1" w14:textId="77777777" w:rsidR="00B72EE4" w:rsidRDefault="00802BEB" w:rsidP="00D057EA">
      <w:pPr>
        <w:spacing w:before="80"/>
        <w:ind w:left="567" w:right="567"/>
        <w:jc w:val="both"/>
        <w:rPr>
          <w:rFonts w:ascii="Arial" w:hAnsi="Arial" w:cs="Arial"/>
          <w:color w:val="000000"/>
          <w:sz w:val="20"/>
        </w:rPr>
      </w:pPr>
      <w:r>
        <w:rPr>
          <w:rFonts w:ascii="Arial" w:hAnsi="Arial" w:cs="Arial"/>
          <w:color w:val="000000"/>
          <w:sz w:val="20"/>
        </w:rPr>
        <w:t>[19] At common law, pseudonym orders in particu</w:t>
      </w:r>
      <w:r w:rsidR="00B72EE4">
        <w:rPr>
          <w:rFonts w:ascii="Arial" w:hAnsi="Arial" w:cs="Arial"/>
          <w:color w:val="000000"/>
          <w:sz w:val="20"/>
        </w:rPr>
        <w:t>lar have been made in the following categories of cases:</w:t>
      </w:r>
    </w:p>
    <w:p w14:paraId="357DB645" w14:textId="6C74A8BD" w:rsidR="00920460" w:rsidRPr="00FC26ED" w:rsidRDefault="00B72EE4" w:rsidP="00920460">
      <w:pPr>
        <w:ind w:left="924" w:right="567" w:hanging="357"/>
        <w:jc w:val="both"/>
        <w:rPr>
          <w:rFonts w:ascii="Arial" w:hAnsi="Arial" w:cs="Arial"/>
          <w:color w:val="000000"/>
          <w:sz w:val="20"/>
          <w:szCs w:val="20"/>
        </w:rPr>
      </w:pPr>
      <w:r w:rsidRPr="00FC26ED">
        <w:rPr>
          <w:rFonts w:ascii="Arial" w:hAnsi="Arial" w:cs="Arial"/>
          <w:color w:val="000000"/>
          <w:sz w:val="20"/>
          <w:szCs w:val="20"/>
        </w:rPr>
        <w:t>(a)</w:t>
      </w:r>
      <w:r w:rsidRPr="00FC26ED">
        <w:rPr>
          <w:rFonts w:ascii="Arial" w:hAnsi="Arial" w:cs="Arial"/>
          <w:color w:val="000000"/>
          <w:sz w:val="20"/>
          <w:szCs w:val="20"/>
        </w:rPr>
        <w:tab/>
      </w:r>
      <w:r w:rsidR="00920460" w:rsidRPr="00FC26ED">
        <w:rPr>
          <w:rFonts w:ascii="Arial" w:hAnsi="Arial" w:cs="Arial"/>
          <w:color w:val="000000"/>
          <w:sz w:val="20"/>
          <w:szCs w:val="20"/>
        </w:rPr>
        <w:t xml:space="preserve">when the plaintiff would reasonably be deterred from bringing proceedings without a pseudonym order: see </w:t>
      </w:r>
      <w:r w:rsidR="00FC26ED" w:rsidRPr="00FC26ED">
        <w:rPr>
          <w:rFonts w:ascii="Arial" w:hAnsi="Arial" w:cs="Arial"/>
          <w:color w:val="000000"/>
          <w:sz w:val="20"/>
          <w:szCs w:val="20"/>
        </w:rPr>
        <w:t xml:space="preserve">also </w:t>
      </w:r>
      <w:r w:rsidR="00FC26ED" w:rsidRPr="00FC26ED">
        <w:rPr>
          <w:rFonts w:ascii="Arial" w:eastAsia="Book Antiqua" w:hAnsi="Arial" w:cs="Arial"/>
          <w:i/>
          <w:sz w:val="20"/>
          <w:szCs w:val="20"/>
        </w:rPr>
        <w:t>ANN v ABC &amp; XYZ (No 1)</w:t>
      </w:r>
      <w:r w:rsidR="00FC26ED" w:rsidRPr="00FC26ED">
        <w:rPr>
          <w:rFonts w:ascii="Arial" w:hAnsi="Arial" w:cs="Arial"/>
          <w:sz w:val="20"/>
          <w:szCs w:val="20"/>
        </w:rPr>
        <w:t xml:space="preserve"> [2006] VSC 348; </w:t>
      </w:r>
      <w:r w:rsidR="00FC26ED" w:rsidRPr="00FC26ED">
        <w:rPr>
          <w:rFonts w:ascii="Arial" w:eastAsia="Book Antiqua" w:hAnsi="Arial" w:cs="Arial"/>
          <w:i/>
          <w:sz w:val="20"/>
          <w:szCs w:val="20"/>
        </w:rPr>
        <w:t>A v Peters</w:t>
      </w:r>
      <w:r w:rsidR="00FC26ED" w:rsidRPr="00FC26ED">
        <w:rPr>
          <w:rFonts w:ascii="Arial" w:hAnsi="Arial" w:cs="Arial"/>
          <w:sz w:val="20"/>
          <w:szCs w:val="20"/>
        </w:rPr>
        <w:t xml:space="preserve"> [2011] VSC 478; </w:t>
      </w:r>
      <w:r w:rsidR="00FC26ED" w:rsidRPr="00FC26ED">
        <w:rPr>
          <w:rFonts w:ascii="Arial" w:eastAsia="Book Antiqua" w:hAnsi="Arial" w:cs="Arial"/>
          <w:i/>
          <w:sz w:val="20"/>
          <w:szCs w:val="20"/>
        </w:rPr>
        <w:t>National Australia Bank Ltd v KRDV</w:t>
      </w:r>
      <w:r w:rsidR="00FC26ED" w:rsidRPr="00FC26ED">
        <w:rPr>
          <w:rFonts w:ascii="Arial" w:hAnsi="Arial" w:cs="Arial"/>
          <w:sz w:val="20"/>
          <w:szCs w:val="20"/>
        </w:rPr>
        <w:t xml:space="preserve"> (2012) 292 ALR 639; </w:t>
      </w:r>
      <w:r w:rsidR="00FC26ED" w:rsidRPr="00FC26ED">
        <w:rPr>
          <w:rFonts w:ascii="Arial" w:eastAsia="Book Antiqua" w:hAnsi="Arial" w:cs="Arial"/>
          <w:i/>
          <w:sz w:val="20"/>
          <w:szCs w:val="20"/>
        </w:rPr>
        <w:t>ABB (by her litigation guardian ABC) v D1</w:t>
      </w:r>
      <w:r w:rsidR="00FC26ED" w:rsidRPr="00FC26ED">
        <w:rPr>
          <w:rFonts w:ascii="Arial" w:hAnsi="Arial" w:cs="Arial"/>
          <w:sz w:val="20"/>
          <w:szCs w:val="20"/>
        </w:rPr>
        <w:t xml:space="preserve"> [2013] VSC 81; </w:t>
      </w:r>
      <w:r w:rsidR="00FC26ED" w:rsidRPr="00FC26ED">
        <w:rPr>
          <w:rFonts w:ascii="Arial" w:eastAsia="Book Antiqua" w:hAnsi="Arial" w:cs="Arial"/>
          <w:i/>
          <w:sz w:val="20"/>
          <w:szCs w:val="20"/>
        </w:rPr>
        <w:t xml:space="preserve">TTT &amp; JJJ </w:t>
      </w:r>
      <w:r w:rsidR="00FC26ED" w:rsidRPr="00FC26ED">
        <w:rPr>
          <w:rFonts w:ascii="Arial" w:hAnsi="Arial" w:cs="Arial"/>
          <w:sz w:val="20"/>
          <w:szCs w:val="20"/>
        </w:rPr>
        <w:t xml:space="preserve">v </w:t>
      </w:r>
      <w:r w:rsidR="00FC26ED" w:rsidRPr="00FC26ED">
        <w:rPr>
          <w:rFonts w:ascii="Arial" w:eastAsia="Book Antiqua" w:hAnsi="Arial" w:cs="Arial"/>
          <w:i/>
          <w:sz w:val="20"/>
          <w:szCs w:val="20"/>
        </w:rPr>
        <w:t>State of Victoria</w:t>
      </w:r>
      <w:r w:rsidR="00FC26ED" w:rsidRPr="00FC26ED">
        <w:rPr>
          <w:rFonts w:ascii="Arial" w:hAnsi="Arial" w:cs="Arial"/>
          <w:sz w:val="20"/>
          <w:szCs w:val="20"/>
        </w:rPr>
        <w:t xml:space="preserve"> [2013] VSC 162</w:t>
      </w:r>
      <w:r w:rsidR="008D06DB">
        <w:rPr>
          <w:rFonts w:ascii="Arial" w:hAnsi="Arial" w:cs="Arial"/>
          <w:sz w:val="20"/>
          <w:szCs w:val="20"/>
        </w:rPr>
        <w:t>;</w:t>
      </w:r>
    </w:p>
    <w:p w14:paraId="36438351" w14:textId="1796544E" w:rsidR="007F5545" w:rsidRDefault="00920460" w:rsidP="00920460">
      <w:pPr>
        <w:ind w:left="924" w:right="567" w:hanging="35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r>
      <w:r w:rsidR="006E4458">
        <w:rPr>
          <w:rFonts w:ascii="Arial" w:hAnsi="Arial" w:cs="Arial"/>
          <w:color w:val="000000"/>
          <w:sz w:val="20"/>
        </w:rPr>
        <w:t>when the defendant would reasonably be deterred from defending proceedings without a pseudonym order</w:t>
      </w:r>
      <w:r w:rsidR="00960F57">
        <w:rPr>
          <w:rFonts w:ascii="Arial" w:hAnsi="Arial" w:cs="Arial"/>
          <w:color w:val="000000"/>
          <w:sz w:val="20"/>
        </w:rPr>
        <w:t>;</w:t>
      </w:r>
    </w:p>
    <w:p w14:paraId="1A5059EB" w14:textId="0A4C45F4" w:rsidR="00960F57" w:rsidRDefault="00960F57" w:rsidP="00920460">
      <w:pPr>
        <w:ind w:left="924" w:right="567" w:hanging="35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cases involving sexual offences; and</w:t>
      </w:r>
    </w:p>
    <w:p w14:paraId="2DE4BA6C" w14:textId="0E6FCDA0" w:rsidR="00960F57" w:rsidRPr="007C64AE" w:rsidRDefault="00960F57" w:rsidP="00920460">
      <w:pPr>
        <w:ind w:left="924" w:right="567" w:hanging="35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cases involving children.”</w:t>
      </w:r>
    </w:p>
    <w:p w14:paraId="57119BE8" w14:textId="2F8A2D49" w:rsidR="00CA061D" w:rsidRDefault="00CA061D" w:rsidP="00061E5B">
      <w:pPr>
        <w:jc w:val="both"/>
        <w:rPr>
          <w:rFonts w:ascii="Arial" w:hAnsi="Arial" w:cs="Arial"/>
          <w:sz w:val="20"/>
        </w:rPr>
      </w:pPr>
    </w:p>
    <w:p w14:paraId="62F818B8" w14:textId="28452976" w:rsidR="00747E35" w:rsidRDefault="00747E35" w:rsidP="00061E5B">
      <w:pPr>
        <w:jc w:val="both"/>
        <w:rPr>
          <w:rFonts w:ascii="Arial" w:hAnsi="Arial" w:cs="Arial"/>
          <w:sz w:val="20"/>
        </w:rPr>
      </w:pPr>
      <w:r>
        <w:rPr>
          <w:rFonts w:ascii="Arial" w:hAnsi="Arial" w:cs="Arial"/>
          <w:sz w:val="20"/>
        </w:rPr>
        <w:t xml:space="preserve">In </w:t>
      </w:r>
      <w:r w:rsidRPr="00EB4495">
        <w:rPr>
          <w:rFonts w:ascii="Arial" w:hAnsi="Arial" w:cs="Arial"/>
          <w:i/>
          <w:iCs/>
          <w:sz w:val="20"/>
          <w:szCs w:val="20"/>
        </w:rPr>
        <w:t>Mokbel v The King</w:t>
      </w:r>
      <w:r>
        <w:rPr>
          <w:rFonts w:ascii="Arial" w:hAnsi="Arial" w:cs="Arial"/>
          <w:sz w:val="20"/>
          <w:szCs w:val="20"/>
        </w:rPr>
        <w:t xml:space="preserve"> [2023] VSCA 114 the Chief Commissioner of Police sought that 8 of 11 individuals be allocated fresh pseudonyms differing from those used in the Royal Commission into the Management of Police Informants</w:t>
      </w:r>
      <w:r w:rsidR="005A6305">
        <w:rPr>
          <w:rFonts w:ascii="Arial" w:hAnsi="Arial" w:cs="Arial"/>
          <w:sz w:val="20"/>
          <w:szCs w:val="20"/>
        </w:rPr>
        <w:t>.</w:t>
      </w:r>
      <w:r>
        <w:rPr>
          <w:rFonts w:ascii="Arial" w:hAnsi="Arial" w:cs="Arial"/>
          <w:sz w:val="20"/>
          <w:szCs w:val="20"/>
        </w:rPr>
        <w:t xml:space="preserve">  In refusing that application McCann JR discussed at [11]-[12] the </w:t>
      </w:r>
      <w:r w:rsidR="00C3300E">
        <w:rPr>
          <w:rFonts w:ascii="Arial" w:hAnsi="Arial" w:cs="Arial"/>
          <w:sz w:val="20"/>
          <w:szCs w:val="20"/>
        </w:rPr>
        <w:t>relevant law in relation to the making of pseudonym orders:</w:t>
      </w:r>
    </w:p>
    <w:p w14:paraId="5204E04F" w14:textId="00546731" w:rsidR="00C3300E" w:rsidRDefault="00C3300E" w:rsidP="00C3300E">
      <w:pPr>
        <w:spacing w:before="80"/>
        <w:ind w:left="567" w:right="567"/>
        <w:jc w:val="both"/>
        <w:rPr>
          <w:rFonts w:ascii="Arial" w:hAnsi="Arial" w:cs="Arial"/>
          <w:sz w:val="20"/>
          <w:szCs w:val="20"/>
        </w:rPr>
      </w:pPr>
      <w:r>
        <w:rPr>
          <w:rFonts w:ascii="Arial" w:hAnsi="Arial" w:cs="Arial"/>
          <w:color w:val="000000"/>
          <w:sz w:val="20"/>
        </w:rPr>
        <w:lastRenderedPageBreak/>
        <w:t>“Section 7(d) of t</w:t>
      </w:r>
      <w:r w:rsidRPr="00C3300E">
        <w:rPr>
          <w:rFonts w:ascii="Arial" w:hAnsi="Arial" w:cs="Arial"/>
          <w:sz w:val="20"/>
          <w:szCs w:val="20"/>
        </w:rPr>
        <w:t>he Open Courts Act 2013 does not limit or otherwise affect the making of an order concealing the identity of a person.</w:t>
      </w:r>
      <w:r>
        <w:rPr>
          <w:rFonts w:ascii="Arial" w:hAnsi="Arial" w:cs="Arial"/>
          <w:sz w:val="20"/>
          <w:szCs w:val="20"/>
        </w:rPr>
        <w:t xml:space="preserve">  </w:t>
      </w:r>
      <w:r w:rsidRPr="00C3300E">
        <w:rPr>
          <w:rFonts w:ascii="Arial" w:hAnsi="Arial" w:cs="Arial"/>
          <w:sz w:val="20"/>
          <w:szCs w:val="20"/>
        </w:rPr>
        <w:t xml:space="preserve">The power to make a pseudonym order is in the Court’s inherent jurisdiction. </w:t>
      </w:r>
      <w:r w:rsidR="005A6305">
        <w:rPr>
          <w:rFonts w:ascii="Arial" w:hAnsi="Arial" w:cs="Arial"/>
          <w:sz w:val="20"/>
          <w:szCs w:val="20"/>
        </w:rPr>
        <w:t xml:space="preserve"> </w:t>
      </w:r>
      <w:r w:rsidRPr="00C3300E">
        <w:rPr>
          <w:rFonts w:ascii="Arial" w:hAnsi="Arial" w:cs="Arial"/>
          <w:sz w:val="20"/>
          <w:szCs w:val="20"/>
        </w:rPr>
        <w:t>Before the Court will make such an order it needs to be satisfied that there is ‘a proper foundation which establishes that if the orders are not made, the administration of justice will be prejudiced’</w:t>
      </w:r>
      <w:r w:rsidR="00A751BE">
        <w:rPr>
          <w:rFonts w:ascii="Arial" w:hAnsi="Arial" w:cs="Arial"/>
          <w:sz w:val="20"/>
          <w:szCs w:val="20"/>
        </w:rPr>
        <w:t xml:space="preserve">: see </w:t>
      </w:r>
      <w:r w:rsidR="00A751BE" w:rsidRPr="00A751BE">
        <w:rPr>
          <w:rFonts w:ascii="Arial" w:hAnsi="Arial" w:cs="Arial"/>
          <w:i/>
          <w:iCs/>
          <w:sz w:val="20"/>
          <w:szCs w:val="20"/>
        </w:rPr>
        <w:t>Secretary Department of Justice and Regulation v Zhong (No 2)</w:t>
      </w:r>
      <w:r w:rsidR="00A751BE" w:rsidRPr="00C3300E">
        <w:rPr>
          <w:rFonts w:ascii="Arial" w:hAnsi="Arial" w:cs="Arial"/>
          <w:sz w:val="20"/>
          <w:szCs w:val="20"/>
        </w:rPr>
        <w:t xml:space="preserve"> [2017] VSCA 19</w:t>
      </w:r>
      <w:r w:rsidR="00A751BE">
        <w:rPr>
          <w:rFonts w:ascii="Arial" w:hAnsi="Arial" w:cs="Arial"/>
          <w:sz w:val="20"/>
          <w:szCs w:val="20"/>
        </w:rPr>
        <w:t xml:space="preserve"> at</w:t>
      </w:r>
      <w:r w:rsidR="00A751BE" w:rsidRPr="00C3300E">
        <w:rPr>
          <w:rFonts w:ascii="Arial" w:hAnsi="Arial" w:cs="Arial"/>
          <w:sz w:val="20"/>
          <w:szCs w:val="20"/>
        </w:rPr>
        <w:t xml:space="preserve"> [8].</w:t>
      </w:r>
      <w:r w:rsidR="00A751BE">
        <w:rPr>
          <w:rFonts w:ascii="Arial" w:hAnsi="Arial" w:cs="Arial"/>
          <w:sz w:val="20"/>
          <w:szCs w:val="20"/>
        </w:rPr>
        <w:t xml:space="preserve">  </w:t>
      </w:r>
      <w:r w:rsidR="00A751BE" w:rsidRPr="00C3300E">
        <w:rPr>
          <w:rFonts w:ascii="Arial" w:hAnsi="Arial" w:cs="Arial"/>
          <w:sz w:val="20"/>
          <w:szCs w:val="20"/>
        </w:rPr>
        <w:t>There must be ‘a demonstrable justification’ based on cogent evidence not merely an assertion based on expressed belief or opinion</w:t>
      </w:r>
      <w:r w:rsidR="00A751BE">
        <w:rPr>
          <w:rFonts w:ascii="Arial" w:hAnsi="Arial" w:cs="Arial"/>
          <w:sz w:val="20"/>
          <w:szCs w:val="20"/>
        </w:rPr>
        <w:t xml:space="preserve">: see </w:t>
      </w:r>
      <w:r w:rsidR="00A751BE" w:rsidRPr="00A751BE">
        <w:rPr>
          <w:rFonts w:ascii="Arial" w:hAnsi="Arial" w:cs="Arial"/>
          <w:i/>
          <w:iCs/>
          <w:sz w:val="20"/>
          <w:szCs w:val="20"/>
        </w:rPr>
        <w:t>PQR v Secretary, Department of Justice and Regulation (No 1)</w:t>
      </w:r>
      <w:r w:rsidR="00A751BE" w:rsidRPr="00C3300E">
        <w:rPr>
          <w:rFonts w:ascii="Arial" w:hAnsi="Arial" w:cs="Arial"/>
          <w:sz w:val="20"/>
          <w:szCs w:val="20"/>
        </w:rPr>
        <w:t xml:space="preserve"> [2017] VSCA 513 </w:t>
      </w:r>
      <w:r w:rsidR="00A751BE">
        <w:rPr>
          <w:rFonts w:ascii="Arial" w:hAnsi="Arial" w:cs="Arial"/>
          <w:sz w:val="20"/>
          <w:szCs w:val="20"/>
        </w:rPr>
        <w:t xml:space="preserve">at </w:t>
      </w:r>
      <w:r w:rsidR="00A751BE" w:rsidRPr="00C3300E">
        <w:rPr>
          <w:rFonts w:ascii="Arial" w:hAnsi="Arial" w:cs="Arial"/>
          <w:sz w:val="20"/>
          <w:szCs w:val="20"/>
        </w:rPr>
        <w:t xml:space="preserve">[73]; </w:t>
      </w:r>
      <w:r w:rsidR="00A751BE" w:rsidRPr="00A751BE">
        <w:rPr>
          <w:rFonts w:ascii="Arial" w:hAnsi="Arial" w:cs="Arial"/>
          <w:i/>
          <w:iCs/>
          <w:sz w:val="20"/>
          <w:szCs w:val="20"/>
        </w:rPr>
        <w:t>Zhong (No 2)</w:t>
      </w:r>
      <w:r w:rsidR="00A751BE" w:rsidRPr="00C3300E">
        <w:rPr>
          <w:rFonts w:ascii="Arial" w:hAnsi="Arial" w:cs="Arial"/>
          <w:sz w:val="20"/>
          <w:szCs w:val="20"/>
        </w:rPr>
        <w:t xml:space="preserve"> [2017] VSCA 19 </w:t>
      </w:r>
      <w:r w:rsidR="00A751BE">
        <w:rPr>
          <w:rFonts w:ascii="Arial" w:hAnsi="Arial" w:cs="Arial"/>
          <w:sz w:val="20"/>
          <w:szCs w:val="20"/>
        </w:rPr>
        <w:t xml:space="preserve">at </w:t>
      </w:r>
      <w:r w:rsidR="00A751BE" w:rsidRPr="00C3300E">
        <w:rPr>
          <w:rFonts w:ascii="Arial" w:hAnsi="Arial" w:cs="Arial"/>
          <w:sz w:val="20"/>
          <w:szCs w:val="20"/>
        </w:rPr>
        <w:t xml:space="preserve">[4] quoting </w:t>
      </w:r>
      <w:r w:rsidR="00A751BE" w:rsidRPr="00A751BE">
        <w:rPr>
          <w:rFonts w:ascii="Arial" w:hAnsi="Arial" w:cs="Arial"/>
          <w:i/>
          <w:iCs/>
          <w:sz w:val="20"/>
          <w:szCs w:val="20"/>
        </w:rPr>
        <w:t xml:space="preserve">ABC v D1; Ex </w:t>
      </w:r>
      <w:proofErr w:type="spellStart"/>
      <w:r w:rsidR="00A751BE" w:rsidRPr="00A751BE">
        <w:rPr>
          <w:rFonts w:ascii="Arial" w:hAnsi="Arial" w:cs="Arial"/>
          <w:i/>
          <w:iCs/>
          <w:sz w:val="20"/>
          <w:szCs w:val="20"/>
        </w:rPr>
        <w:t>parte</w:t>
      </w:r>
      <w:proofErr w:type="spellEnd"/>
      <w:r w:rsidR="00A751BE" w:rsidRPr="00A751BE">
        <w:rPr>
          <w:rFonts w:ascii="Arial" w:hAnsi="Arial" w:cs="Arial"/>
          <w:i/>
          <w:iCs/>
          <w:sz w:val="20"/>
          <w:szCs w:val="20"/>
        </w:rPr>
        <w:t xml:space="preserve"> The Herald &amp; Weekly Times Limited</w:t>
      </w:r>
      <w:r w:rsidR="00A751BE" w:rsidRPr="00C3300E">
        <w:rPr>
          <w:rFonts w:ascii="Arial" w:hAnsi="Arial" w:cs="Arial"/>
          <w:sz w:val="20"/>
          <w:szCs w:val="20"/>
        </w:rPr>
        <w:t xml:space="preserve"> [2007] VSC 480 </w:t>
      </w:r>
      <w:r w:rsidR="00A751BE">
        <w:rPr>
          <w:rFonts w:ascii="Arial" w:hAnsi="Arial" w:cs="Arial"/>
          <w:sz w:val="20"/>
          <w:szCs w:val="20"/>
        </w:rPr>
        <w:t xml:space="preserve">at </w:t>
      </w:r>
      <w:r w:rsidR="00A751BE" w:rsidRPr="00C3300E">
        <w:rPr>
          <w:rFonts w:ascii="Arial" w:hAnsi="Arial" w:cs="Arial"/>
          <w:sz w:val="20"/>
          <w:szCs w:val="20"/>
        </w:rPr>
        <w:t>[65]–[71].</w:t>
      </w:r>
    </w:p>
    <w:p w14:paraId="294F2B82" w14:textId="410775AD" w:rsidR="00A751BE" w:rsidRDefault="00A751BE" w:rsidP="00C3300E">
      <w:pPr>
        <w:spacing w:before="80"/>
        <w:ind w:left="567" w:right="567"/>
        <w:jc w:val="both"/>
        <w:rPr>
          <w:rFonts w:ascii="Arial" w:hAnsi="Arial" w:cs="Arial"/>
          <w:color w:val="000000"/>
          <w:sz w:val="20"/>
        </w:rPr>
      </w:pPr>
      <w:r w:rsidRPr="00C3300E">
        <w:rPr>
          <w:rFonts w:ascii="Arial" w:hAnsi="Arial" w:cs="Arial"/>
          <w:sz w:val="20"/>
          <w:szCs w:val="20"/>
        </w:rPr>
        <w:t>The categories of risk are not closed. The exceptions to the principle of open justice are many and varied and cannot be prescriptively identified</w:t>
      </w:r>
      <w:r>
        <w:rPr>
          <w:rFonts w:ascii="Arial" w:hAnsi="Arial" w:cs="Arial"/>
          <w:sz w:val="20"/>
          <w:szCs w:val="20"/>
        </w:rPr>
        <w:t xml:space="preserve">: </w:t>
      </w:r>
      <w:r w:rsidRPr="00A751BE">
        <w:rPr>
          <w:rFonts w:ascii="Arial" w:hAnsi="Arial" w:cs="Arial"/>
          <w:i/>
          <w:iCs/>
          <w:sz w:val="20"/>
          <w:szCs w:val="20"/>
        </w:rPr>
        <w:t>Zhong (No 2)</w:t>
      </w:r>
      <w:r w:rsidRPr="00C3300E">
        <w:rPr>
          <w:rFonts w:ascii="Arial" w:hAnsi="Arial" w:cs="Arial"/>
          <w:sz w:val="20"/>
          <w:szCs w:val="20"/>
        </w:rPr>
        <w:t xml:space="preserve"> </w:t>
      </w:r>
      <w:r>
        <w:rPr>
          <w:rFonts w:ascii="Arial" w:hAnsi="Arial" w:cs="Arial"/>
          <w:sz w:val="20"/>
          <w:szCs w:val="20"/>
        </w:rPr>
        <w:t xml:space="preserve">at </w:t>
      </w:r>
      <w:r w:rsidRPr="00C3300E">
        <w:rPr>
          <w:rFonts w:ascii="Arial" w:hAnsi="Arial" w:cs="Arial"/>
          <w:sz w:val="20"/>
          <w:szCs w:val="20"/>
        </w:rPr>
        <w:t>[4]. The test is whether it is necessary to make an order to prevent the frustration of the administration of justice</w:t>
      </w:r>
      <w:r>
        <w:rPr>
          <w:rFonts w:ascii="Arial" w:hAnsi="Arial" w:cs="Arial"/>
          <w:sz w:val="20"/>
          <w:szCs w:val="20"/>
        </w:rPr>
        <w:t xml:space="preserve">: see e.g. </w:t>
      </w:r>
      <w:r w:rsidRPr="00A751BE">
        <w:rPr>
          <w:rFonts w:ascii="Arial" w:hAnsi="Arial" w:cs="Arial"/>
          <w:i/>
          <w:iCs/>
          <w:sz w:val="20"/>
          <w:szCs w:val="20"/>
        </w:rPr>
        <w:t>ESB v Victoria</w:t>
      </w:r>
      <w:r w:rsidRPr="00C3300E">
        <w:rPr>
          <w:rFonts w:ascii="Arial" w:hAnsi="Arial" w:cs="Arial"/>
          <w:sz w:val="20"/>
          <w:szCs w:val="20"/>
        </w:rPr>
        <w:t xml:space="preserve"> [2010] VSC 479 </w:t>
      </w:r>
      <w:r>
        <w:rPr>
          <w:rFonts w:ascii="Arial" w:hAnsi="Arial" w:cs="Arial"/>
          <w:sz w:val="20"/>
          <w:szCs w:val="20"/>
        </w:rPr>
        <w:t xml:space="preserve">at </w:t>
      </w:r>
      <w:r w:rsidRPr="00C3300E">
        <w:rPr>
          <w:rFonts w:ascii="Arial" w:hAnsi="Arial" w:cs="Arial"/>
          <w:sz w:val="20"/>
          <w:szCs w:val="20"/>
        </w:rPr>
        <w:t xml:space="preserve">[12]; </w:t>
      </w:r>
      <w:r w:rsidRPr="00A751BE">
        <w:rPr>
          <w:rFonts w:ascii="Arial" w:hAnsi="Arial" w:cs="Arial"/>
          <w:i/>
          <w:iCs/>
          <w:sz w:val="20"/>
          <w:szCs w:val="20"/>
        </w:rPr>
        <w:t>AX &amp; Anor v Stern &amp; Anor</w:t>
      </w:r>
      <w:r w:rsidRPr="00C3300E">
        <w:rPr>
          <w:rFonts w:ascii="Arial" w:hAnsi="Arial" w:cs="Arial"/>
          <w:sz w:val="20"/>
          <w:szCs w:val="20"/>
        </w:rPr>
        <w:t xml:space="preserve"> [2008] VSC 400 at [12]; </w:t>
      </w:r>
      <w:r w:rsidRPr="00A751BE">
        <w:rPr>
          <w:rFonts w:ascii="Arial" w:hAnsi="Arial" w:cs="Arial"/>
          <w:i/>
          <w:iCs/>
          <w:sz w:val="20"/>
          <w:szCs w:val="20"/>
        </w:rPr>
        <w:t>ABC v D1</w:t>
      </w:r>
      <w:r w:rsidRPr="00C3300E">
        <w:rPr>
          <w:rFonts w:ascii="Arial" w:hAnsi="Arial" w:cs="Arial"/>
          <w:sz w:val="20"/>
          <w:szCs w:val="20"/>
        </w:rPr>
        <w:t xml:space="preserve"> [2007] VSC 480 </w:t>
      </w:r>
      <w:r>
        <w:rPr>
          <w:rFonts w:ascii="Arial" w:hAnsi="Arial" w:cs="Arial"/>
          <w:sz w:val="20"/>
          <w:szCs w:val="20"/>
        </w:rPr>
        <w:t xml:space="preserve">at </w:t>
      </w:r>
      <w:r w:rsidRPr="00C3300E">
        <w:rPr>
          <w:rFonts w:ascii="Arial" w:hAnsi="Arial" w:cs="Arial"/>
          <w:sz w:val="20"/>
          <w:szCs w:val="20"/>
        </w:rPr>
        <w:t>[42]–[60]. It follows that the issues for consideration are what is the risk and is the order is necessary.</w:t>
      </w:r>
      <w:r>
        <w:rPr>
          <w:rFonts w:ascii="Arial" w:hAnsi="Arial" w:cs="Arial"/>
          <w:sz w:val="20"/>
          <w:szCs w:val="20"/>
        </w:rPr>
        <w:t>”</w:t>
      </w:r>
    </w:p>
    <w:p w14:paraId="35FCDC60" w14:textId="1E316948" w:rsidR="00747E35" w:rsidRPr="005A6305" w:rsidRDefault="005A6305" w:rsidP="00A751BE">
      <w:pPr>
        <w:spacing w:before="80"/>
        <w:jc w:val="both"/>
        <w:rPr>
          <w:rFonts w:ascii="Arial" w:hAnsi="Arial" w:cs="Arial"/>
          <w:sz w:val="20"/>
          <w:szCs w:val="20"/>
        </w:rPr>
      </w:pPr>
      <w:r>
        <w:rPr>
          <w:rFonts w:ascii="Arial" w:hAnsi="Arial" w:cs="Arial"/>
          <w:sz w:val="20"/>
          <w:szCs w:val="20"/>
        </w:rPr>
        <w:t>Based on this legal analysis, h</w:t>
      </w:r>
      <w:r w:rsidR="00A751BE" w:rsidRPr="005A6305">
        <w:rPr>
          <w:rFonts w:ascii="Arial" w:hAnsi="Arial" w:cs="Arial"/>
          <w:sz w:val="20"/>
          <w:szCs w:val="20"/>
        </w:rPr>
        <w:t xml:space="preserve">er Honour concluded at </w:t>
      </w:r>
      <w:r w:rsidRPr="005A6305">
        <w:rPr>
          <w:rFonts w:ascii="Arial" w:hAnsi="Arial" w:cs="Arial"/>
          <w:sz w:val="20"/>
          <w:szCs w:val="20"/>
        </w:rPr>
        <w:t>[19]</w:t>
      </w:r>
      <w:r>
        <w:rPr>
          <w:rFonts w:ascii="Arial" w:hAnsi="Arial" w:cs="Arial"/>
          <w:sz w:val="20"/>
          <w:szCs w:val="20"/>
        </w:rPr>
        <w:t xml:space="preserve"> that risk will not be materially increased by using the already allocated pseudonyms and that orders for fresh </w:t>
      </w:r>
      <w:r w:rsidRPr="005A6305">
        <w:rPr>
          <w:rFonts w:ascii="Arial" w:hAnsi="Arial" w:cs="Arial"/>
          <w:sz w:val="20"/>
          <w:szCs w:val="20"/>
        </w:rPr>
        <w:t>pseudonyms are not necessary.</w:t>
      </w:r>
    </w:p>
    <w:p w14:paraId="32C1DEFC" w14:textId="41C45559" w:rsidR="00747E35" w:rsidRDefault="00747E35" w:rsidP="00061E5B">
      <w:pPr>
        <w:jc w:val="both"/>
        <w:rPr>
          <w:rFonts w:ascii="Arial" w:hAnsi="Arial" w:cs="Arial"/>
          <w:sz w:val="20"/>
        </w:rPr>
      </w:pPr>
    </w:p>
    <w:p w14:paraId="49FD0D22" w14:textId="5FD1CE3D" w:rsidR="005C2F21" w:rsidRPr="005C2F21" w:rsidRDefault="00E11477" w:rsidP="005C2F21">
      <w:pPr>
        <w:jc w:val="both"/>
        <w:rPr>
          <w:rFonts w:ascii="Arial" w:hAnsi="Arial" w:cs="Arial"/>
          <w:sz w:val="20"/>
          <w:szCs w:val="20"/>
        </w:rPr>
      </w:pPr>
      <w:r w:rsidRPr="007412B0">
        <w:rPr>
          <w:rFonts w:ascii="Arial" w:hAnsi="Arial" w:cs="Arial"/>
          <w:sz w:val="20"/>
          <w:szCs w:val="20"/>
        </w:rPr>
        <w:t xml:space="preserve">See also </w:t>
      </w:r>
      <w:r w:rsidR="00635F5B" w:rsidRPr="00635F5B">
        <w:rPr>
          <w:rFonts w:ascii="Arial" w:hAnsi="Arial" w:cs="Arial"/>
          <w:i/>
          <w:iCs/>
          <w:sz w:val="20"/>
          <w:szCs w:val="20"/>
        </w:rPr>
        <w:t>ABC-1 &amp; ABC-2 v Ring &amp; Ring</w:t>
      </w:r>
      <w:r w:rsidR="00635F5B">
        <w:rPr>
          <w:rFonts w:ascii="Arial" w:hAnsi="Arial" w:cs="Arial"/>
          <w:sz w:val="20"/>
          <w:szCs w:val="20"/>
        </w:rPr>
        <w:t xml:space="preserve"> [2014] VSC 5; </w:t>
      </w:r>
      <w:proofErr w:type="spellStart"/>
      <w:r w:rsidRPr="007412B0">
        <w:rPr>
          <w:rFonts w:ascii="Arial" w:hAnsi="Arial" w:cs="Arial"/>
          <w:i/>
          <w:sz w:val="20"/>
          <w:szCs w:val="20"/>
        </w:rPr>
        <w:t>Giurina</w:t>
      </w:r>
      <w:proofErr w:type="spellEnd"/>
      <w:r w:rsidRPr="007412B0">
        <w:rPr>
          <w:rFonts w:ascii="Arial" w:hAnsi="Arial" w:cs="Arial"/>
          <w:i/>
          <w:sz w:val="20"/>
          <w:szCs w:val="20"/>
        </w:rPr>
        <w:t xml:space="preserve"> v </w:t>
      </w:r>
      <w:proofErr w:type="spellStart"/>
      <w:r w:rsidRPr="007412B0">
        <w:rPr>
          <w:rFonts w:ascii="Arial" w:hAnsi="Arial" w:cs="Arial"/>
          <w:i/>
          <w:sz w:val="20"/>
          <w:szCs w:val="20"/>
        </w:rPr>
        <w:t>Giurina</w:t>
      </w:r>
      <w:proofErr w:type="spellEnd"/>
      <w:r w:rsidRPr="007412B0">
        <w:rPr>
          <w:rFonts w:ascii="Arial" w:hAnsi="Arial" w:cs="Arial"/>
          <w:sz w:val="20"/>
          <w:szCs w:val="20"/>
        </w:rPr>
        <w:t xml:space="preserve"> [2018] VSC 599 at [24]-[32]</w:t>
      </w:r>
      <w:r w:rsidR="00FD01FF" w:rsidRPr="007412B0">
        <w:rPr>
          <w:rFonts w:ascii="Arial" w:hAnsi="Arial" w:cs="Arial"/>
          <w:sz w:val="20"/>
          <w:szCs w:val="20"/>
        </w:rPr>
        <w:t xml:space="preserve">; </w:t>
      </w:r>
      <w:r w:rsidR="00FD01FF" w:rsidRPr="007412B0">
        <w:rPr>
          <w:rFonts w:ascii="Arial" w:hAnsi="Arial" w:cs="Arial"/>
          <w:i/>
          <w:sz w:val="20"/>
          <w:szCs w:val="20"/>
        </w:rPr>
        <w:t xml:space="preserve">XBA (ex </w:t>
      </w:r>
      <w:proofErr w:type="spellStart"/>
      <w:r w:rsidR="00FD01FF" w:rsidRPr="007412B0">
        <w:rPr>
          <w:rFonts w:ascii="Arial" w:hAnsi="Arial" w:cs="Arial"/>
          <w:i/>
          <w:sz w:val="20"/>
          <w:szCs w:val="20"/>
        </w:rPr>
        <w:t>parte</w:t>
      </w:r>
      <w:proofErr w:type="spellEnd"/>
      <w:r w:rsidR="00FD01FF" w:rsidRPr="007412B0">
        <w:rPr>
          <w:rFonts w:ascii="Arial" w:hAnsi="Arial" w:cs="Arial"/>
          <w:i/>
          <w:sz w:val="20"/>
          <w:szCs w:val="20"/>
        </w:rPr>
        <w:t>)</w:t>
      </w:r>
      <w:r w:rsidR="00FD01FF" w:rsidRPr="007412B0">
        <w:rPr>
          <w:rFonts w:ascii="Arial" w:hAnsi="Arial" w:cs="Arial"/>
          <w:sz w:val="20"/>
          <w:szCs w:val="20"/>
        </w:rPr>
        <w:t xml:space="preserve"> [2019] VSC 49 at [4]-[17]</w:t>
      </w:r>
      <w:r w:rsidR="00B1319F" w:rsidRPr="007412B0">
        <w:rPr>
          <w:rFonts w:ascii="Arial" w:hAnsi="Arial" w:cs="Arial"/>
          <w:sz w:val="20"/>
          <w:szCs w:val="20"/>
        </w:rPr>
        <w:t xml:space="preserve">; </w:t>
      </w:r>
      <w:r w:rsidR="00B1319F" w:rsidRPr="007412B0">
        <w:rPr>
          <w:rFonts w:ascii="Arial" w:hAnsi="Arial" w:cs="Arial"/>
          <w:i/>
          <w:color w:val="000000"/>
          <w:sz w:val="20"/>
          <w:szCs w:val="20"/>
        </w:rPr>
        <w:t>GHJ v Secretary to the Department of Justice and Community Safety</w:t>
      </w:r>
      <w:r w:rsidR="00B1319F" w:rsidRPr="007412B0">
        <w:rPr>
          <w:rFonts w:ascii="Arial" w:hAnsi="Arial" w:cs="Arial"/>
          <w:color w:val="000000"/>
          <w:sz w:val="20"/>
          <w:szCs w:val="20"/>
        </w:rPr>
        <w:t xml:space="preserve"> [2019] VSC 89</w:t>
      </w:r>
      <w:r w:rsidR="007412B0" w:rsidRPr="007412B0">
        <w:rPr>
          <w:rFonts w:ascii="Arial" w:hAnsi="Arial" w:cs="Arial"/>
          <w:color w:val="000000"/>
          <w:sz w:val="20"/>
          <w:szCs w:val="20"/>
        </w:rPr>
        <w:t xml:space="preserve">; </w:t>
      </w:r>
      <w:r w:rsidR="007412B0" w:rsidRPr="007412B0">
        <w:rPr>
          <w:rFonts w:ascii="Arial" w:hAnsi="Arial" w:cs="Arial"/>
          <w:i/>
          <w:iCs/>
          <w:color w:val="000000"/>
          <w:sz w:val="20"/>
          <w:szCs w:val="20"/>
        </w:rPr>
        <w:t>Jane Doe v XYZ</w:t>
      </w:r>
      <w:r w:rsidR="007412B0">
        <w:rPr>
          <w:rFonts w:ascii="Arial" w:hAnsi="Arial" w:cs="Arial"/>
          <w:color w:val="000000"/>
          <w:sz w:val="20"/>
          <w:szCs w:val="20"/>
        </w:rPr>
        <w:t xml:space="preserve"> [2019] VSC 176 at [9]; </w:t>
      </w:r>
      <w:r w:rsidR="007412B0" w:rsidRPr="007412B0">
        <w:rPr>
          <w:rFonts w:ascii="Arial" w:hAnsi="Arial" w:cs="Arial"/>
          <w:i/>
          <w:iCs/>
          <w:sz w:val="20"/>
          <w:szCs w:val="20"/>
        </w:rPr>
        <w:t>IJW v Swinburne University of Technology</w:t>
      </w:r>
      <w:r w:rsidR="007412B0" w:rsidRPr="007412B0">
        <w:rPr>
          <w:rFonts w:ascii="Arial" w:hAnsi="Arial" w:cs="Arial"/>
          <w:sz w:val="20"/>
          <w:szCs w:val="20"/>
        </w:rPr>
        <w:t xml:space="preserve"> [2021] VSC 846</w:t>
      </w:r>
      <w:r w:rsidR="007412B0">
        <w:rPr>
          <w:rFonts w:ascii="Arial" w:hAnsi="Arial" w:cs="Arial"/>
          <w:sz w:val="20"/>
          <w:szCs w:val="20"/>
        </w:rPr>
        <w:t xml:space="preserve"> at [31]-[42]</w:t>
      </w:r>
      <w:r w:rsidR="00E93486">
        <w:rPr>
          <w:rFonts w:ascii="Arial" w:hAnsi="Arial" w:cs="Arial"/>
          <w:sz w:val="20"/>
          <w:szCs w:val="20"/>
        </w:rPr>
        <w:t xml:space="preserve">; </w:t>
      </w:r>
      <w:r w:rsidR="00E93486" w:rsidRPr="00E93486">
        <w:rPr>
          <w:rFonts w:ascii="Arial" w:hAnsi="Arial" w:cs="Arial"/>
          <w:i/>
          <w:iCs/>
          <w:sz w:val="20"/>
          <w:szCs w:val="20"/>
        </w:rPr>
        <w:t>Karam v The Queen (Ruling No.2)</w:t>
      </w:r>
      <w:r w:rsidR="00E93486">
        <w:rPr>
          <w:rFonts w:ascii="Arial" w:hAnsi="Arial" w:cs="Arial"/>
          <w:sz w:val="20"/>
          <w:szCs w:val="20"/>
        </w:rPr>
        <w:t xml:space="preserve"> [2022] VSC 168</w:t>
      </w:r>
      <w:r w:rsidR="00EB4495">
        <w:rPr>
          <w:rFonts w:ascii="Arial" w:hAnsi="Arial" w:cs="Arial"/>
          <w:sz w:val="20"/>
          <w:szCs w:val="20"/>
        </w:rPr>
        <w:t>;</w:t>
      </w:r>
      <w:bookmarkStart w:id="442" w:name="_Hlk135822849"/>
      <w:r w:rsidR="00747E35">
        <w:rPr>
          <w:rFonts w:ascii="Arial" w:hAnsi="Arial" w:cs="Arial"/>
          <w:sz w:val="20"/>
          <w:szCs w:val="20"/>
        </w:rPr>
        <w:t>, esp. at [10]-[11]</w:t>
      </w:r>
      <w:r w:rsidR="009A1773">
        <w:rPr>
          <w:rFonts w:ascii="Arial" w:hAnsi="Arial" w:cs="Arial"/>
          <w:sz w:val="20"/>
          <w:szCs w:val="20"/>
        </w:rPr>
        <w:t xml:space="preserve">; </w:t>
      </w:r>
      <w:r w:rsidR="009A1773" w:rsidRPr="009A1773">
        <w:rPr>
          <w:rFonts w:ascii="Arial" w:hAnsi="Arial" w:cs="Arial"/>
          <w:i/>
          <w:iCs/>
          <w:sz w:val="20"/>
          <w:szCs w:val="20"/>
        </w:rPr>
        <w:t>Taylor v State of Victoria</w:t>
      </w:r>
      <w:r w:rsidR="009A1773">
        <w:rPr>
          <w:rFonts w:ascii="Arial" w:hAnsi="Arial" w:cs="Arial"/>
          <w:sz w:val="20"/>
          <w:szCs w:val="20"/>
        </w:rPr>
        <w:t xml:space="preserve"> [2023] VSC 320 at [9]-[27]</w:t>
      </w:r>
      <w:bookmarkEnd w:id="442"/>
      <w:r w:rsidR="009521F6">
        <w:rPr>
          <w:rFonts w:ascii="Arial" w:hAnsi="Arial" w:cs="Arial"/>
          <w:sz w:val="20"/>
          <w:szCs w:val="20"/>
        </w:rPr>
        <w:t xml:space="preserve">; </w:t>
      </w:r>
      <w:r w:rsidR="009521F6" w:rsidRPr="009521F6">
        <w:rPr>
          <w:rFonts w:ascii="Arial" w:hAnsi="Arial" w:cs="Arial"/>
          <w:i/>
          <w:iCs/>
          <w:sz w:val="20"/>
          <w:szCs w:val="20"/>
        </w:rPr>
        <w:t>Legal Services Commissioner v JXL</w:t>
      </w:r>
      <w:r w:rsidR="009521F6">
        <w:rPr>
          <w:rFonts w:ascii="Arial" w:hAnsi="Arial" w:cs="Arial"/>
          <w:sz w:val="20"/>
          <w:szCs w:val="20"/>
        </w:rPr>
        <w:t xml:space="preserve"> [2023] QSC 283 at [33]-[3</w:t>
      </w:r>
      <w:r w:rsidR="00491B07">
        <w:rPr>
          <w:rFonts w:ascii="Arial" w:hAnsi="Arial" w:cs="Arial"/>
          <w:sz w:val="20"/>
          <w:szCs w:val="20"/>
        </w:rPr>
        <w:t>6</w:t>
      </w:r>
      <w:r w:rsidR="009521F6">
        <w:rPr>
          <w:rFonts w:ascii="Arial" w:hAnsi="Arial" w:cs="Arial"/>
          <w:sz w:val="20"/>
          <w:szCs w:val="20"/>
        </w:rPr>
        <w:t>], [41]-[43] &amp; [54]-[66]</w:t>
      </w:r>
      <w:r w:rsidR="002275C3">
        <w:rPr>
          <w:rFonts w:ascii="Arial" w:hAnsi="Arial" w:cs="Arial"/>
          <w:sz w:val="20"/>
          <w:szCs w:val="20"/>
        </w:rPr>
        <w:t xml:space="preserve">; </w:t>
      </w:r>
      <w:bookmarkStart w:id="443" w:name="_Hlk158617881"/>
      <w:r w:rsidR="002275C3" w:rsidRPr="002275C3">
        <w:rPr>
          <w:rFonts w:ascii="Arial" w:hAnsi="Arial" w:cs="Arial"/>
          <w:i/>
          <w:iCs/>
          <w:sz w:val="20"/>
          <w:szCs w:val="20"/>
        </w:rPr>
        <w:t>Re Mokbel (Ruling No 1)</w:t>
      </w:r>
      <w:r w:rsidR="002275C3">
        <w:rPr>
          <w:rFonts w:ascii="Arial" w:hAnsi="Arial" w:cs="Arial"/>
          <w:sz w:val="20"/>
          <w:szCs w:val="20"/>
        </w:rPr>
        <w:t xml:space="preserve"> [2024] VSC 26 at [36]-[42]</w:t>
      </w:r>
      <w:r w:rsidR="004F293B">
        <w:rPr>
          <w:rFonts w:ascii="Arial" w:hAnsi="Arial" w:cs="Arial"/>
          <w:sz w:val="20"/>
          <w:szCs w:val="20"/>
        </w:rPr>
        <w:t xml:space="preserve">; </w:t>
      </w:r>
      <w:r w:rsidR="004F293B" w:rsidRPr="002559FB">
        <w:rPr>
          <w:rFonts w:ascii="Arial" w:hAnsi="Arial" w:cs="Arial"/>
          <w:i/>
          <w:iCs/>
          <w:sz w:val="20"/>
          <w:szCs w:val="20"/>
        </w:rPr>
        <w:t>Attorney-General v Temssah</w:t>
      </w:r>
      <w:r w:rsidR="004F293B" w:rsidRPr="002559FB">
        <w:rPr>
          <w:rFonts w:ascii="Arial" w:hAnsi="Arial" w:cs="Arial"/>
          <w:sz w:val="20"/>
          <w:szCs w:val="20"/>
        </w:rPr>
        <w:t xml:space="preserve"> [2024] VSC 172 at [</w:t>
      </w:r>
      <w:r w:rsidR="004F293B">
        <w:rPr>
          <w:rFonts w:ascii="Arial" w:hAnsi="Arial" w:cs="Arial"/>
          <w:sz w:val="20"/>
          <w:szCs w:val="20"/>
        </w:rPr>
        <w:t>33</w:t>
      </w:r>
      <w:r w:rsidR="004F293B" w:rsidRPr="002559FB">
        <w:rPr>
          <w:rFonts w:ascii="Arial" w:hAnsi="Arial" w:cs="Arial"/>
          <w:sz w:val="20"/>
          <w:szCs w:val="20"/>
        </w:rPr>
        <w:t>]-[</w:t>
      </w:r>
      <w:r w:rsidR="004F293B">
        <w:rPr>
          <w:rFonts w:ascii="Arial" w:hAnsi="Arial" w:cs="Arial"/>
          <w:sz w:val="20"/>
          <w:szCs w:val="20"/>
        </w:rPr>
        <w:t>34</w:t>
      </w:r>
      <w:r w:rsidR="004F293B" w:rsidRPr="002559FB">
        <w:rPr>
          <w:rFonts w:ascii="Arial" w:hAnsi="Arial" w:cs="Arial"/>
          <w:sz w:val="20"/>
          <w:szCs w:val="20"/>
        </w:rPr>
        <w:t>]</w:t>
      </w:r>
      <w:r w:rsidR="007910C0">
        <w:rPr>
          <w:rFonts w:ascii="Arial" w:hAnsi="Arial" w:cs="Arial"/>
          <w:sz w:val="20"/>
          <w:szCs w:val="20"/>
        </w:rPr>
        <w:t xml:space="preserve">; </w:t>
      </w:r>
      <w:r w:rsidR="007910C0" w:rsidRPr="00274B54">
        <w:rPr>
          <w:rFonts w:ascii="Arial" w:hAnsi="Arial" w:cs="Arial"/>
          <w:i/>
          <w:iCs/>
          <w:color w:val="000000"/>
          <w:sz w:val="20"/>
          <w:szCs w:val="20"/>
        </w:rPr>
        <w:t>Re Cardwell</w:t>
      </w:r>
      <w:r w:rsidR="007910C0">
        <w:rPr>
          <w:rFonts w:ascii="Arial" w:hAnsi="Arial" w:cs="Arial"/>
          <w:color w:val="000000"/>
          <w:sz w:val="20"/>
          <w:szCs w:val="20"/>
        </w:rPr>
        <w:t xml:space="preserve"> [2024] VSC 263 at [48]-[50].</w:t>
      </w:r>
      <w:bookmarkEnd w:id="443"/>
    </w:p>
    <w:p w14:paraId="7E2CC3F7" w14:textId="35068F3D" w:rsidR="00EB4495" w:rsidRDefault="00EB4495" w:rsidP="00CE404E">
      <w:pPr>
        <w:jc w:val="both"/>
        <w:rPr>
          <w:rFonts w:ascii="Arial" w:hAnsi="Arial" w:cs="Arial"/>
          <w:sz w:val="20"/>
          <w:szCs w:val="20"/>
        </w:rPr>
      </w:pPr>
    </w:p>
    <w:p w14:paraId="79CE359B" w14:textId="77777777" w:rsidR="00CA061D" w:rsidRDefault="00CA061D" w:rsidP="00CA061D">
      <w:pPr>
        <w:pStyle w:val="Heading3"/>
        <w:keepNext/>
        <w:keepLines/>
        <w:spacing w:after="120" w:line="240" w:lineRule="auto"/>
        <w:rPr>
          <w:rFonts w:ascii="Arial" w:hAnsi="Arial" w:cs="Arial"/>
          <w:b/>
          <w:bCs/>
          <w:sz w:val="20"/>
        </w:rPr>
      </w:pPr>
      <w:bookmarkStart w:id="444" w:name="_2.7.4_Media_applications"/>
      <w:bookmarkEnd w:id="444"/>
      <w:r>
        <w:rPr>
          <w:rFonts w:ascii="Arial" w:hAnsi="Arial" w:cs="Arial"/>
          <w:b/>
          <w:bCs/>
          <w:sz w:val="20"/>
        </w:rPr>
        <w:t>2.7.4</w:t>
      </w:r>
      <w:r>
        <w:rPr>
          <w:rFonts w:ascii="Arial" w:hAnsi="Arial" w:cs="Arial"/>
          <w:b/>
          <w:bCs/>
          <w:sz w:val="20"/>
        </w:rPr>
        <w:tab/>
        <w:t>Media applications for copies of court documents</w:t>
      </w:r>
      <w:r w:rsidR="00F97751">
        <w:rPr>
          <w:rFonts w:ascii="Arial" w:hAnsi="Arial" w:cs="Arial"/>
          <w:b/>
          <w:bCs/>
          <w:sz w:val="20"/>
        </w:rPr>
        <w:t xml:space="preserve"> in Criminal Division cases</w:t>
      </w:r>
    </w:p>
    <w:p w14:paraId="76EB85D9" w14:textId="69B7F41F" w:rsidR="0099635D" w:rsidRDefault="0099635D" w:rsidP="0099635D">
      <w:pPr>
        <w:jc w:val="both"/>
        <w:rPr>
          <w:rFonts w:ascii="Arial" w:hAnsi="Arial" w:cs="Arial"/>
          <w:color w:val="000000"/>
          <w:sz w:val="20"/>
        </w:rPr>
      </w:pPr>
      <w:r>
        <w:rPr>
          <w:rFonts w:ascii="Arial" w:hAnsi="Arial" w:cs="Arial"/>
          <w:color w:val="000000"/>
          <w:sz w:val="20"/>
        </w:rPr>
        <w:t xml:space="preserve">A protocol regarding media access to certain documents in cases in the </w:t>
      </w:r>
      <w:r w:rsidR="00B6304A">
        <w:rPr>
          <w:rFonts w:ascii="Arial" w:hAnsi="Arial" w:cs="Arial"/>
          <w:color w:val="000000"/>
          <w:sz w:val="20"/>
        </w:rPr>
        <w:t xml:space="preserve">Criminal Division of the Children’s Court </w:t>
      </w:r>
      <w:r>
        <w:rPr>
          <w:rFonts w:ascii="Arial" w:hAnsi="Arial" w:cs="Arial"/>
          <w:color w:val="000000"/>
          <w:sz w:val="20"/>
        </w:rPr>
        <w:t>has been developed by the court.  Journalists making applications for access to materials are generally required to file a completed “Application for Access to Material” form which also contains a 6 point undertaking to be given by the journalist in the event that materials are released.  A</w:t>
      </w:r>
      <w:r w:rsidR="00754459">
        <w:rPr>
          <w:rFonts w:ascii="Arial" w:hAnsi="Arial" w:cs="Arial"/>
          <w:color w:val="000000"/>
          <w:sz w:val="20"/>
        </w:rPr>
        <w:t> </w:t>
      </w:r>
      <w:r>
        <w:rPr>
          <w:rFonts w:ascii="Arial" w:hAnsi="Arial" w:cs="Arial"/>
          <w:color w:val="000000"/>
          <w:sz w:val="20"/>
        </w:rPr>
        <w:t>copy of this Application form can be downloaded from the Children’s Court website by tabbing “</w:t>
      </w:r>
      <w:r w:rsidR="009958D2">
        <w:rPr>
          <w:rFonts w:ascii="Arial" w:hAnsi="Arial" w:cs="Arial"/>
          <w:color w:val="000000"/>
          <w:sz w:val="20"/>
        </w:rPr>
        <w:t>Form</w:t>
      </w:r>
      <w:r>
        <w:rPr>
          <w:rFonts w:ascii="Arial" w:hAnsi="Arial" w:cs="Arial"/>
          <w:color w:val="000000"/>
          <w:sz w:val="20"/>
        </w:rPr>
        <w:t xml:space="preserve">s” </w:t>
      </w:r>
      <w:r>
        <w:rPr>
          <w:rFonts w:ascii="Arial" w:hAnsi="Arial" w:cs="Arial"/>
          <w:color w:val="000000"/>
          <w:sz w:val="20"/>
        </w:rPr>
        <w:sym w:font="Wingdings" w:char="F0E8"/>
      </w:r>
      <w:r>
        <w:rPr>
          <w:rFonts w:ascii="Arial" w:hAnsi="Arial" w:cs="Arial"/>
          <w:color w:val="000000"/>
          <w:sz w:val="20"/>
        </w:rPr>
        <w:t xml:space="preserve"> “</w:t>
      </w:r>
      <w:r w:rsidR="009958D2">
        <w:rPr>
          <w:rFonts w:ascii="Arial" w:hAnsi="Arial" w:cs="Arial"/>
          <w:color w:val="000000"/>
          <w:sz w:val="20"/>
        </w:rPr>
        <w:t>General</w:t>
      </w:r>
      <w:r w:rsidR="00384A15">
        <w:rPr>
          <w:rFonts w:ascii="Arial" w:hAnsi="Arial" w:cs="Arial"/>
          <w:color w:val="000000"/>
          <w:sz w:val="20"/>
        </w:rPr>
        <w:t xml:space="preserve"> Forms</w:t>
      </w:r>
      <w:r>
        <w:rPr>
          <w:rFonts w:ascii="Arial" w:hAnsi="Arial" w:cs="Arial"/>
          <w:color w:val="000000"/>
          <w:sz w:val="20"/>
        </w:rPr>
        <w:t xml:space="preserve">” </w:t>
      </w:r>
      <w:r>
        <w:rPr>
          <w:rFonts w:ascii="Arial" w:hAnsi="Arial" w:cs="Arial"/>
          <w:color w:val="000000"/>
          <w:sz w:val="20"/>
        </w:rPr>
        <w:sym w:font="Wingdings" w:char="F0E8"/>
      </w:r>
      <w:r>
        <w:rPr>
          <w:rFonts w:ascii="Arial" w:hAnsi="Arial" w:cs="Arial"/>
          <w:color w:val="000000"/>
          <w:sz w:val="20"/>
        </w:rPr>
        <w:t xml:space="preserve"> “</w:t>
      </w:r>
      <w:r w:rsidR="009958D2">
        <w:rPr>
          <w:rFonts w:ascii="Arial" w:hAnsi="Arial" w:cs="Arial"/>
          <w:color w:val="000000"/>
          <w:sz w:val="20"/>
        </w:rPr>
        <w:t>Application for Access to Material</w:t>
      </w:r>
      <w:r>
        <w:rPr>
          <w:rFonts w:ascii="Arial" w:hAnsi="Arial" w:cs="Arial"/>
          <w:color w:val="000000"/>
          <w:sz w:val="20"/>
        </w:rPr>
        <w:t>”.  Whether or not all or any part of the requested material is released is entirely at the discretion of the presiding judicial officer in each case.</w:t>
      </w:r>
    </w:p>
    <w:p w14:paraId="447AD07D" w14:textId="77777777" w:rsidR="00B6304A" w:rsidRDefault="00B6304A" w:rsidP="00E41D05">
      <w:pPr>
        <w:jc w:val="both"/>
        <w:rPr>
          <w:rFonts w:ascii="Arial" w:hAnsi="Arial" w:cs="Arial"/>
          <w:color w:val="000000"/>
          <w:sz w:val="20"/>
        </w:rPr>
      </w:pPr>
      <w:bookmarkStart w:id="445" w:name="_2.7.5_Media_applications"/>
      <w:bookmarkEnd w:id="445"/>
    </w:p>
    <w:p w14:paraId="369D3296" w14:textId="77777777" w:rsidR="00236EE0" w:rsidRDefault="00236EE0" w:rsidP="009958D2">
      <w:pPr>
        <w:pStyle w:val="Heading3"/>
        <w:keepNext/>
        <w:keepLines/>
        <w:widowControl/>
        <w:spacing w:after="120" w:line="240" w:lineRule="auto"/>
        <w:rPr>
          <w:rFonts w:ascii="Arial" w:hAnsi="Arial" w:cs="Arial"/>
          <w:b/>
          <w:bCs/>
          <w:sz w:val="20"/>
        </w:rPr>
      </w:pPr>
      <w:bookmarkStart w:id="446" w:name="_2.7.5_Media_applications_1"/>
      <w:bookmarkEnd w:id="446"/>
      <w:r>
        <w:rPr>
          <w:rFonts w:ascii="Arial" w:hAnsi="Arial" w:cs="Arial"/>
          <w:b/>
          <w:bCs/>
          <w:sz w:val="20"/>
        </w:rPr>
        <w:t>2.7.5</w:t>
      </w:r>
      <w:r>
        <w:rPr>
          <w:rFonts w:ascii="Arial" w:hAnsi="Arial" w:cs="Arial"/>
          <w:b/>
          <w:bCs/>
          <w:sz w:val="20"/>
        </w:rPr>
        <w:tab/>
        <w:t>Media applications for copies of audio or audiovisual recordings</w:t>
      </w:r>
      <w:r w:rsidR="00D000AA">
        <w:rPr>
          <w:rFonts w:ascii="Arial" w:hAnsi="Arial" w:cs="Arial"/>
          <w:b/>
          <w:bCs/>
          <w:sz w:val="20"/>
        </w:rPr>
        <w:t xml:space="preserve"> of police interviews</w:t>
      </w:r>
    </w:p>
    <w:p w14:paraId="47AA82E7" w14:textId="384397AD" w:rsidR="00B6304A" w:rsidRDefault="00B6304A" w:rsidP="00651719">
      <w:pPr>
        <w:jc w:val="both"/>
        <w:rPr>
          <w:rFonts w:ascii="Arial" w:hAnsi="Arial" w:cs="Arial"/>
          <w:color w:val="000000"/>
          <w:sz w:val="20"/>
        </w:rPr>
      </w:pPr>
      <w:r>
        <w:rPr>
          <w:rFonts w:ascii="Arial" w:hAnsi="Arial" w:cs="Arial"/>
          <w:color w:val="000000"/>
          <w:sz w:val="20"/>
        </w:rPr>
        <w:t>There are specific pro</w:t>
      </w:r>
      <w:r w:rsidR="0028588B">
        <w:rPr>
          <w:rFonts w:ascii="Arial" w:hAnsi="Arial" w:cs="Arial"/>
          <w:color w:val="000000"/>
          <w:sz w:val="20"/>
        </w:rPr>
        <w:t>hibit</w:t>
      </w:r>
      <w:r>
        <w:rPr>
          <w:rFonts w:ascii="Arial" w:hAnsi="Arial" w:cs="Arial"/>
          <w:color w:val="000000"/>
          <w:sz w:val="20"/>
        </w:rPr>
        <w:t xml:space="preserve">ions in the </w:t>
      </w:r>
      <w:r w:rsidRPr="005161F3">
        <w:rPr>
          <w:rFonts w:ascii="Arial" w:hAnsi="Arial" w:cs="Arial"/>
          <w:i/>
          <w:iCs/>
          <w:color w:val="000000"/>
          <w:sz w:val="20"/>
        </w:rPr>
        <w:t>Crimes Act 1958</w:t>
      </w:r>
      <w:r>
        <w:rPr>
          <w:rFonts w:ascii="Arial" w:hAnsi="Arial" w:cs="Arial"/>
          <w:color w:val="000000"/>
          <w:sz w:val="20"/>
        </w:rPr>
        <w:t xml:space="preserve"> in relation to the possession and playing of audio recordings or audiovisual recordings</w:t>
      </w:r>
      <w:r w:rsidR="003325EA">
        <w:rPr>
          <w:rFonts w:ascii="Arial" w:hAnsi="Arial" w:cs="Arial"/>
          <w:color w:val="000000"/>
          <w:sz w:val="20"/>
        </w:rPr>
        <w:t xml:space="preserve"> of police interviews and associated recordings </w:t>
      </w:r>
      <w:r w:rsidR="0028588B">
        <w:rPr>
          <w:rFonts w:ascii="Arial" w:hAnsi="Arial" w:cs="Arial"/>
          <w:color w:val="000000"/>
          <w:sz w:val="20"/>
        </w:rPr>
        <w:t xml:space="preserve">made under ss.464B(5H), 464G or 464H.  </w:t>
      </w:r>
      <w:r>
        <w:rPr>
          <w:rFonts w:ascii="Arial" w:hAnsi="Arial" w:cs="Arial"/>
          <w:color w:val="000000"/>
          <w:sz w:val="20"/>
        </w:rPr>
        <w:t>Section 464JA(2) makes it an offence punishable by level 8 imprisonment for a p</w:t>
      </w:r>
      <w:r w:rsidR="003325EA">
        <w:rPr>
          <w:rFonts w:ascii="Arial" w:hAnsi="Arial" w:cs="Arial"/>
          <w:color w:val="000000"/>
          <w:sz w:val="20"/>
        </w:rPr>
        <w:t xml:space="preserve">erson other than the suspect, </w:t>
      </w:r>
      <w:r>
        <w:rPr>
          <w:rFonts w:ascii="Arial" w:hAnsi="Arial" w:cs="Arial"/>
          <w:color w:val="000000"/>
          <w:sz w:val="20"/>
        </w:rPr>
        <w:t xml:space="preserve">his/her legal representative </w:t>
      </w:r>
      <w:r w:rsidR="003325EA">
        <w:rPr>
          <w:rFonts w:ascii="Arial" w:hAnsi="Arial" w:cs="Arial"/>
          <w:color w:val="000000"/>
          <w:sz w:val="20"/>
        </w:rPr>
        <w:t>and</w:t>
      </w:r>
      <w:r>
        <w:rPr>
          <w:rFonts w:ascii="Arial" w:hAnsi="Arial" w:cs="Arial"/>
          <w:color w:val="000000"/>
          <w:sz w:val="20"/>
        </w:rPr>
        <w:t xml:space="preserve"> an authorized person acting in the course of his or her dut</w:t>
      </w:r>
      <w:r w:rsidR="0028588B">
        <w:rPr>
          <w:rFonts w:ascii="Arial" w:hAnsi="Arial" w:cs="Arial"/>
          <w:color w:val="000000"/>
          <w:sz w:val="20"/>
        </w:rPr>
        <w:t>ies knowingly to possess such a recording.  Section 464JA(3) makes it an offence, also punishable by level 8 imprisonment, to play such a recording except in certain circumstances.  One such circumstance is if “the recording is played by an authorised person acting in the course of his or her duties”.  Eighteen categories of persons are defined in s.464JA(1) as “authorized persons”.  The relevant category for media applications is s.464JA(1)(i): “...a person acting under the direction of a court”</w:t>
      </w:r>
      <w:r w:rsidR="003325EA">
        <w:rPr>
          <w:rFonts w:ascii="Arial" w:hAnsi="Arial" w:cs="Arial"/>
          <w:color w:val="000000"/>
          <w:sz w:val="20"/>
        </w:rPr>
        <w:t>.  This must be</w:t>
      </w:r>
      <w:r w:rsidR="0028588B">
        <w:rPr>
          <w:rFonts w:ascii="Arial" w:hAnsi="Arial" w:cs="Arial"/>
          <w:color w:val="000000"/>
          <w:sz w:val="20"/>
        </w:rPr>
        <w:t xml:space="preserve"> read in conjunction with s.464JB(2): “A court may give directions, with or without conditions, as to the supply, copying, editing, erasure, playing or publishing of [such a] recording.”</w:t>
      </w:r>
    </w:p>
    <w:p w14:paraId="736CACA9" w14:textId="77777777" w:rsidR="0028588B" w:rsidRDefault="0028588B" w:rsidP="00E41D05">
      <w:pPr>
        <w:jc w:val="both"/>
        <w:rPr>
          <w:rFonts w:ascii="Arial" w:hAnsi="Arial" w:cs="Arial"/>
          <w:color w:val="000000"/>
          <w:sz w:val="20"/>
        </w:rPr>
      </w:pPr>
    </w:p>
    <w:p w14:paraId="2B28B9F2" w14:textId="141E9926" w:rsidR="003325EA" w:rsidRDefault="003325EA" w:rsidP="00E41D05">
      <w:pPr>
        <w:jc w:val="both"/>
        <w:rPr>
          <w:rFonts w:ascii="Arial" w:hAnsi="Arial" w:cs="Arial"/>
          <w:color w:val="000000"/>
          <w:sz w:val="20"/>
        </w:rPr>
      </w:pPr>
      <w:r>
        <w:rPr>
          <w:rFonts w:ascii="Arial" w:hAnsi="Arial" w:cs="Arial"/>
          <w:color w:val="000000"/>
          <w:sz w:val="20"/>
        </w:rPr>
        <w:t xml:space="preserve">When Parliament enacted the </w:t>
      </w:r>
      <w:r w:rsidRPr="005161F3">
        <w:rPr>
          <w:rFonts w:ascii="Arial" w:hAnsi="Arial" w:cs="Arial"/>
          <w:i/>
          <w:iCs/>
          <w:color w:val="000000"/>
          <w:sz w:val="20"/>
        </w:rPr>
        <w:t>Open Courts Act 2013</w:t>
      </w:r>
      <w:r>
        <w:rPr>
          <w:rFonts w:ascii="Arial" w:hAnsi="Arial" w:cs="Arial"/>
          <w:color w:val="000000"/>
          <w:sz w:val="20"/>
        </w:rPr>
        <w:t xml:space="preserve"> it chose not to include records of interview in that Act but left the question of their release totally in the hands of the Court under s.464JB(2) of the </w:t>
      </w:r>
      <w:r w:rsidRPr="005161F3">
        <w:rPr>
          <w:rFonts w:ascii="Arial" w:hAnsi="Arial" w:cs="Arial"/>
          <w:i/>
          <w:iCs/>
          <w:color w:val="000000"/>
          <w:sz w:val="20"/>
        </w:rPr>
        <w:t>Crimes Act 1958</w:t>
      </w:r>
      <w:r>
        <w:rPr>
          <w:rFonts w:ascii="Arial" w:hAnsi="Arial" w:cs="Arial"/>
          <w:color w:val="000000"/>
          <w:sz w:val="20"/>
        </w:rPr>
        <w:t xml:space="preserve">: see </w:t>
      </w:r>
      <w:r w:rsidRPr="003325EA">
        <w:rPr>
          <w:rFonts w:ascii="Arial" w:hAnsi="Arial" w:cs="Arial"/>
          <w:i/>
          <w:color w:val="000000"/>
          <w:sz w:val="20"/>
        </w:rPr>
        <w:t>R v Hemming (Ruling 1)</w:t>
      </w:r>
      <w:r>
        <w:rPr>
          <w:rFonts w:ascii="Arial" w:hAnsi="Arial" w:cs="Arial"/>
          <w:color w:val="000000"/>
          <w:sz w:val="20"/>
        </w:rPr>
        <w:t xml:space="preserve"> [2015] VSC 351 </w:t>
      </w:r>
      <w:r w:rsidR="00236EE0">
        <w:rPr>
          <w:rFonts w:ascii="Arial" w:hAnsi="Arial" w:cs="Arial"/>
          <w:color w:val="000000"/>
          <w:sz w:val="20"/>
        </w:rPr>
        <w:t xml:space="preserve">[8] &amp; </w:t>
      </w:r>
      <w:r>
        <w:rPr>
          <w:rFonts w:ascii="Arial" w:hAnsi="Arial" w:cs="Arial"/>
          <w:color w:val="000000"/>
          <w:sz w:val="20"/>
        </w:rPr>
        <w:t xml:space="preserve">[18] per King J.  In </w:t>
      </w:r>
      <w:r w:rsidRPr="003325EA">
        <w:rPr>
          <w:rFonts w:ascii="Arial" w:hAnsi="Arial" w:cs="Arial"/>
          <w:i/>
          <w:color w:val="000000"/>
          <w:sz w:val="20"/>
        </w:rPr>
        <w:t>DPP v Angela Maree Williams (Ruling No.1)</w:t>
      </w:r>
      <w:r>
        <w:rPr>
          <w:rFonts w:ascii="Arial" w:hAnsi="Arial" w:cs="Arial"/>
          <w:color w:val="000000"/>
          <w:sz w:val="20"/>
        </w:rPr>
        <w:t xml:space="preserve"> [2015] VSC 107 –</w:t>
      </w:r>
      <w:r w:rsidR="00155A48">
        <w:rPr>
          <w:rFonts w:ascii="Arial" w:hAnsi="Arial" w:cs="Arial"/>
          <w:color w:val="000000"/>
          <w:sz w:val="20"/>
        </w:rPr>
        <w:t xml:space="preserve"> </w:t>
      </w:r>
      <w:r>
        <w:rPr>
          <w:rFonts w:ascii="Arial" w:hAnsi="Arial" w:cs="Arial"/>
          <w:color w:val="000000"/>
          <w:sz w:val="20"/>
        </w:rPr>
        <w:t xml:space="preserve">a decision approved and applied by </w:t>
      </w:r>
      <w:r w:rsidR="00155A48">
        <w:rPr>
          <w:rFonts w:ascii="Arial" w:hAnsi="Arial" w:cs="Arial"/>
          <w:color w:val="000000"/>
          <w:sz w:val="20"/>
        </w:rPr>
        <w:t xml:space="preserve">both </w:t>
      </w:r>
      <w:r>
        <w:rPr>
          <w:rFonts w:ascii="Arial" w:hAnsi="Arial" w:cs="Arial"/>
          <w:color w:val="000000"/>
          <w:sz w:val="20"/>
        </w:rPr>
        <w:t xml:space="preserve">King J </w:t>
      </w:r>
      <w:r w:rsidR="00155A48">
        <w:rPr>
          <w:rFonts w:ascii="Arial" w:hAnsi="Arial" w:cs="Arial"/>
          <w:color w:val="000000"/>
          <w:sz w:val="20"/>
        </w:rPr>
        <w:t xml:space="preserve">in </w:t>
      </w:r>
      <w:r w:rsidR="00155A48" w:rsidRPr="00155A48">
        <w:rPr>
          <w:rFonts w:ascii="Arial" w:hAnsi="Arial" w:cs="Arial"/>
          <w:i/>
          <w:color w:val="000000"/>
          <w:sz w:val="20"/>
        </w:rPr>
        <w:t>R</w:t>
      </w:r>
      <w:r w:rsidR="00155A48">
        <w:rPr>
          <w:rFonts w:ascii="Arial" w:hAnsi="Arial" w:cs="Arial"/>
          <w:i/>
          <w:color w:val="000000"/>
          <w:sz w:val="20"/>
        </w:rPr>
        <w:t> </w:t>
      </w:r>
      <w:r w:rsidR="00155A48" w:rsidRPr="00155A48">
        <w:rPr>
          <w:rFonts w:ascii="Arial" w:hAnsi="Arial" w:cs="Arial"/>
          <w:i/>
          <w:color w:val="000000"/>
          <w:sz w:val="20"/>
        </w:rPr>
        <w:t>v</w:t>
      </w:r>
      <w:r w:rsidR="00155A48">
        <w:rPr>
          <w:rFonts w:ascii="Arial" w:hAnsi="Arial" w:cs="Arial"/>
          <w:i/>
          <w:color w:val="000000"/>
          <w:sz w:val="20"/>
        </w:rPr>
        <w:t> </w:t>
      </w:r>
      <w:r w:rsidR="00155A48" w:rsidRPr="00155A48">
        <w:rPr>
          <w:rFonts w:ascii="Arial" w:hAnsi="Arial" w:cs="Arial"/>
          <w:i/>
          <w:color w:val="000000"/>
          <w:sz w:val="20"/>
        </w:rPr>
        <w:t>Hemming</w:t>
      </w:r>
      <w:r w:rsidR="00155A48">
        <w:rPr>
          <w:rFonts w:ascii="Arial" w:hAnsi="Arial" w:cs="Arial"/>
          <w:color w:val="000000"/>
          <w:sz w:val="20"/>
        </w:rPr>
        <w:t xml:space="preserve"> and </w:t>
      </w:r>
      <w:proofErr w:type="spellStart"/>
      <w:r w:rsidR="00155A48">
        <w:rPr>
          <w:rFonts w:ascii="Arial" w:hAnsi="Arial" w:cs="Arial"/>
          <w:color w:val="000000"/>
          <w:sz w:val="20"/>
        </w:rPr>
        <w:t>Lasry</w:t>
      </w:r>
      <w:proofErr w:type="spellEnd"/>
      <w:r w:rsidR="00155A48">
        <w:rPr>
          <w:rFonts w:ascii="Arial" w:hAnsi="Arial" w:cs="Arial"/>
          <w:color w:val="000000"/>
          <w:sz w:val="20"/>
        </w:rPr>
        <w:t xml:space="preserve"> J in </w:t>
      </w:r>
      <w:r w:rsidR="00155A48" w:rsidRPr="00155A48">
        <w:rPr>
          <w:rFonts w:ascii="Arial" w:hAnsi="Arial" w:cs="Arial"/>
          <w:i/>
          <w:color w:val="000000"/>
          <w:sz w:val="20"/>
        </w:rPr>
        <w:t>R v Reed-Robertson</w:t>
      </w:r>
      <w:r w:rsidR="00155A48">
        <w:rPr>
          <w:rFonts w:ascii="Arial" w:hAnsi="Arial" w:cs="Arial"/>
          <w:color w:val="000000"/>
          <w:sz w:val="20"/>
        </w:rPr>
        <w:t xml:space="preserve"> [2016] VSC 236 [20]-[22] </w:t>
      </w:r>
      <w:r w:rsidR="00236EE0">
        <w:rPr>
          <w:rFonts w:ascii="Arial" w:hAnsi="Arial" w:cs="Arial"/>
          <w:color w:val="000000"/>
          <w:sz w:val="20"/>
        </w:rPr>
        <w:t>–</w:t>
      </w:r>
      <w:r>
        <w:rPr>
          <w:rFonts w:ascii="Arial" w:hAnsi="Arial" w:cs="Arial"/>
          <w:color w:val="000000"/>
          <w:sz w:val="20"/>
        </w:rPr>
        <w:t xml:space="preserve"> </w:t>
      </w:r>
      <w:r w:rsidR="00155A48">
        <w:rPr>
          <w:rFonts w:ascii="Arial" w:hAnsi="Arial" w:cs="Arial"/>
          <w:color w:val="000000"/>
          <w:sz w:val="20"/>
        </w:rPr>
        <w:t xml:space="preserve">Hollingworth J </w:t>
      </w:r>
      <w:r w:rsidR="00236EE0">
        <w:rPr>
          <w:rFonts w:ascii="Arial" w:hAnsi="Arial" w:cs="Arial"/>
          <w:color w:val="000000"/>
          <w:sz w:val="20"/>
        </w:rPr>
        <w:t xml:space="preserve">provided at [11] </w:t>
      </w:r>
      <w:r>
        <w:rPr>
          <w:rFonts w:ascii="Arial" w:hAnsi="Arial" w:cs="Arial"/>
          <w:color w:val="000000"/>
          <w:sz w:val="20"/>
        </w:rPr>
        <w:t>the following non-exhau</w:t>
      </w:r>
      <w:r w:rsidR="00236EE0">
        <w:rPr>
          <w:rFonts w:ascii="Arial" w:hAnsi="Arial" w:cs="Arial"/>
          <w:color w:val="000000"/>
          <w:sz w:val="20"/>
        </w:rPr>
        <w:t>stive list of factors which may be relevant to the exercise of the court’s discretion pursuant to s.464JB:</w:t>
      </w:r>
    </w:p>
    <w:p w14:paraId="547237C7" w14:textId="77777777" w:rsidR="00236EE0" w:rsidRDefault="00236EE0" w:rsidP="00C10470">
      <w:pPr>
        <w:keepNext/>
        <w:keepLines/>
        <w:tabs>
          <w:tab w:val="left" w:pos="284"/>
        </w:tabs>
        <w:spacing w:before="80"/>
        <w:ind w:left="1134" w:right="567" w:hanging="567"/>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t>the privacy of the interviewee, interviewers, and others mentioned in the interview;</w:t>
      </w:r>
    </w:p>
    <w:p w14:paraId="3CD2B658"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t>whether the interviewee consents to the release;</w:t>
      </w:r>
    </w:p>
    <w:p w14:paraId="7AAA1AC4"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the attitude of other people affected by the interview;</w:t>
      </w:r>
    </w:p>
    <w:p w14:paraId="6AD1D85F"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lastRenderedPageBreak/>
        <w:t>(d)</w:t>
      </w:r>
      <w:r>
        <w:rPr>
          <w:rFonts w:ascii="Arial" w:hAnsi="Arial" w:cs="Arial"/>
          <w:color w:val="000000"/>
          <w:sz w:val="20"/>
        </w:rPr>
        <w:tab/>
        <w:t>whether any person (such as victims or children) would be adversely affected by release;</w:t>
      </w:r>
    </w:p>
    <w:p w14:paraId="0F66A86E"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(e)</w:t>
      </w:r>
      <w:r>
        <w:rPr>
          <w:rFonts w:ascii="Arial" w:hAnsi="Arial" w:cs="Arial"/>
          <w:color w:val="000000"/>
          <w:sz w:val="20"/>
        </w:rPr>
        <w:tab/>
        <w:t>whether the record of interview discloses graphic details of offending;</w:t>
      </w:r>
    </w:p>
    <w:p w14:paraId="7058376F"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(f)</w:t>
      </w:r>
      <w:r>
        <w:rPr>
          <w:rFonts w:ascii="Arial" w:hAnsi="Arial" w:cs="Arial"/>
          <w:color w:val="000000"/>
          <w:sz w:val="20"/>
        </w:rPr>
        <w:tab/>
        <w:t>whether any criminal investigations or trials are ongoing;</w:t>
      </w:r>
    </w:p>
    <w:p w14:paraId="0353955D"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(g)</w:t>
      </w:r>
      <w:r>
        <w:rPr>
          <w:rFonts w:ascii="Arial" w:hAnsi="Arial" w:cs="Arial"/>
          <w:color w:val="000000"/>
          <w:sz w:val="20"/>
        </w:rPr>
        <w:tab/>
        <w:t>whether release may undermine the integrity of the criminal justice process;</w:t>
      </w:r>
    </w:p>
    <w:p w14:paraId="3895C3F6"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(h)</w:t>
      </w:r>
      <w:r>
        <w:rPr>
          <w:rFonts w:ascii="Arial" w:hAnsi="Arial" w:cs="Arial"/>
          <w:color w:val="000000"/>
          <w:sz w:val="20"/>
        </w:rPr>
        <w:tab/>
        <w:t>the level of contemporaneous public interest in the case;</w:t>
      </w:r>
    </w:p>
    <w:p w14:paraId="648B9088"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whether release will enhance the fair and accurate reporting of the case;</w:t>
      </w:r>
    </w:p>
    <w:p w14:paraId="59348BEB"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(j)</w:t>
      </w:r>
      <w:r>
        <w:rPr>
          <w:rFonts w:ascii="Arial" w:hAnsi="Arial" w:cs="Arial"/>
          <w:color w:val="000000"/>
          <w:sz w:val="20"/>
        </w:rPr>
        <w:tab/>
        <w:t>the principle of open justice (where the record of interview has been played in open court); and</w:t>
      </w:r>
    </w:p>
    <w:p w14:paraId="4FE8A065" w14:textId="77777777" w:rsidR="00236EE0" w:rsidRPr="007C64AE"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(k)</w:t>
      </w:r>
      <w:r>
        <w:rPr>
          <w:rFonts w:ascii="Arial" w:hAnsi="Arial" w:cs="Arial"/>
          <w:color w:val="000000"/>
          <w:sz w:val="20"/>
        </w:rPr>
        <w:tab/>
        <w:t>the nature of the proposed publication.”</w:t>
      </w:r>
    </w:p>
    <w:p w14:paraId="2A5E1D5B" w14:textId="77777777" w:rsidR="003325EA" w:rsidRDefault="00155A48" w:rsidP="00155A48">
      <w:pPr>
        <w:spacing w:before="80"/>
        <w:jc w:val="both"/>
        <w:rPr>
          <w:rFonts w:ascii="Arial" w:hAnsi="Arial" w:cs="Arial"/>
          <w:color w:val="000000"/>
          <w:sz w:val="20"/>
        </w:rPr>
      </w:pPr>
      <w:r>
        <w:rPr>
          <w:rFonts w:ascii="Arial" w:hAnsi="Arial" w:cs="Arial"/>
          <w:color w:val="000000"/>
          <w:sz w:val="20"/>
        </w:rPr>
        <w:t>Applying this test ultimately all three applications for release of audiovisual recordings were refused.</w:t>
      </w:r>
    </w:p>
    <w:p w14:paraId="7798FDA7" w14:textId="77777777" w:rsidR="003325EA" w:rsidRDefault="003325EA" w:rsidP="00E41D05">
      <w:pPr>
        <w:jc w:val="both"/>
        <w:rPr>
          <w:rFonts w:ascii="Arial" w:hAnsi="Arial" w:cs="Arial"/>
          <w:color w:val="000000"/>
          <w:sz w:val="20"/>
        </w:rPr>
      </w:pPr>
    </w:p>
    <w:p w14:paraId="4347E874" w14:textId="77777777" w:rsidR="0028588B" w:rsidRDefault="00074B0F" w:rsidP="00E41D05">
      <w:pPr>
        <w:jc w:val="both"/>
        <w:rPr>
          <w:rFonts w:ascii="Arial" w:hAnsi="Arial" w:cs="Arial"/>
          <w:color w:val="000000"/>
          <w:sz w:val="20"/>
        </w:rPr>
      </w:pPr>
      <w:r>
        <w:rPr>
          <w:rFonts w:ascii="Arial" w:hAnsi="Arial" w:cs="Arial"/>
          <w:color w:val="000000"/>
          <w:sz w:val="20"/>
        </w:rPr>
        <w:t xml:space="preserve">In the Children’s Court the restriction on publication of proceedings set out in </w:t>
      </w:r>
      <w:r w:rsidR="00155A48">
        <w:rPr>
          <w:rFonts w:ascii="Arial" w:hAnsi="Arial" w:cs="Arial"/>
          <w:color w:val="000000"/>
          <w:sz w:val="20"/>
        </w:rPr>
        <w:t>s.534</w:t>
      </w:r>
      <w:r w:rsidR="00CC2059">
        <w:rPr>
          <w:rFonts w:ascii="Arial" w:hAnsi="Arial" w:cs="Arial"/>
          <w:color w:val="000000"/>
          <w:sz w:val="20"/>
        </w:rPr>
        <w:t xml:space="preserve"> of the CYFA</w:t>
      </w:r>
      <w:r>
        <w:rPr>
          <w:rFonts w:ascii="Arial" w:hAnsi="Arial" w:cs="Arial"/>
          <w:color w:val="000000"/>
          <w:sz w:val="20"/>
        </w:rPr>
        <w:t xml:space="preserve"> – discussed below – creates an additional hurdle for a media applicant seeking copies of audio or audiovisual recordings of police interviews of accused children.</w:t>
      </w:r>
    </w:p>
    <w:p w14:paraId="1E4152AB" w14:textId="77777777" w:rsidR="007C31E4" w:rsidRDefault="007C31E4" w:rsidP="007C31E4">
      <w:pPr>
        <w:jc w:val="both"/>
        <w:rPr>
          <w:rFonts w:ascii="Arial" w:hAnsi="Arial" w:cs="Arial"/>
          <w:sz w:val="20"/>
          <w:szCs w:val="20"/>
        </w:rPr>
      </w:pPr>
    </w:p>
    <w:p w14:paraId="4B0D1DE5" w14:textId="3B14147B" w:rsidR="007C31E4" w:rsidRDefault="007C31E4" w:rsidP="007C31E4">
      <w:pPr>
        <w:pStyle w:val="Heading3"/>
        <w:keepNext/>
        <w:keepLines/>
        <w:spacing w:after="120" w:line="240" w:lineRule="auto"/>
        <w:rPr>
          <w:rFonts w:ascii="Arial" w:hAnsi="Arial" w:cs="Arial"/>
          <w:b/>
          <w:bCs/>
          <w:sz w:val="20"/>
        </w:rPr>
      </w:pPr>
      <w:bookmarkStart w:id="447" w:name="_2.7.6_Recording_of"/>
      <w:bookmarkStart w:id="448" w:name="_Hlk127528524"/>
      <w:bookmarkEnd w:id="447"/>
      <w:r>
        <w:rPr>
          <w:rFonts w:ascii="Arial" w:hAnsi="Arial" w:cs="Arial"/>
          <w:b/>
          <w:bCs/>
          <w:sz w:val="20"/>
        </w:rPr>
        <w:t>2.7.6</w:t>
      </w:r>
      <w:r>
        <w:rPr>
          <w:rFonts w:ascii="Arial" w:hAnsi="Arial" w:cs="Arial"/>
          <w:b/>
          <w:bCs/>
          <w:sz w:val="20"/>
        </w:rPr>
        <w:tab/>
        <w:t>Recording of proceedings in the Children’s Court</w:t>
      </w:r>
    </w:p>
    <w:p w14:paraId="0DBC9121" w14:textId="4CF141F8" w:rsidR="00BD4B32" w:rsidRPr="00BD4B32" w:rsidRDefault="00BD4B32" w:rsidP="00BD4B32">
      <w:pPr>
        <w:jc w:val="both"/>
        <w:rPr>
          <w:rFonts w:ascii="Arial" w:hAnsi="Arial" w:cs="Arial"/>
          <w:color w:val="000000"/>
          <w:sz w:val="20"/>
        </w:rPr>
      </w:pPr>
      <w:r>
        <w:rPr>
          <w:rFonts w:ascii="Arial" w:hAnsi="Arial" w:cs="Arial"/>
          <w:color w:val="000000"/>
          <w:sz w:val="20"/>
        </w:rPr>
        <w:t xml:space="preserve">All Court proceedings in the Children’s Court are digitally recorded </w:t>
      </w:r>
      <w:r w:rsidR="003C1275">
        <w:rPr>
          <w:rFonts w:ascii="Arial" w:hAnsi="Arial" w:cs="Arial"/>
          <w:color w:val="000000"/>
          <w:sz w:val="20"/>
        </w:rPr>
        <w:t xml:space="preserve">by the Court </w:t>
      </w:r>
      <w:r>
        <w:rPr>
          <w:rFonts w:ascii="Arial" w:hAnsi="Arial" w:cs="Arial"/>
          <w:color w:val="000000"/>
          <w:sz w:val="20"/>
        </w:rPr>
        <w:t xml:space="preserve">in accordance with s.19A </w:t>
      </w:r>
      <w:r w:rsidRPr="009A2F63">
        <w:rPr>
          <w:rFonts w:ascii="Arial" w:hAnsi="Arial" w:cs="Arial"/>
          <w:i/>
          <w:iCs/>
          <w:color w:val="000000"/>
          <w:sz w:val="20"/>
        </w:rPr>
        <w:t>Magistrates’ Court Act 1989</w:t>
      </w:r>
      <w:r>
        <w:rPr>
          <w:rFonts w:ascii="Arial" w:hAnsi="Arial" w:cs="Arial"/>
          <w:color w:val="000000"/>
          <w:sz w:val="20"/>
        </w:rPr>
        <w:t xml:space="preserve"> </w:t>
      </w:r>
      <w:r w:rsidR="00A21DF3">
        <w:rPr>
          <w:rFonts w:ascii="Arial" w:hAnsi="Arial" w:cs="Arial"/>
          <w:color w:val="000000"/>
          <w:sz w:val="20"/>
        </w:rPr>
        <w:t xml:space="preserve">(MCA), </w:t>
      </w:r>
      <w:r>
        <w:rPr>
          <w:rFonts w:ascii="Arial" w:hAnsi="Arial" w:cs="Arial"/>
          <w:color w:val="000000"/>
          <w:sz w:val="20"/>
        </w:rPr>
        <w:t xml:space="preserve">read in conjunction with s.528(2)(a) </w:t>
      </w:r>
      <w:r w:rsidR="00AF502F">
        <w:rPr>
          <w:rFonts w:ascii="Arial" w:hAnsi="Arial" w:cs="Arial"/>
          <w:color w:val="000000"/>
          <w:sz w:val="20"/>
        </w:rPr>
        <w:t xml:space="preserve">of the </w:t>
      </w:r>
      <w:r>
        <w:rPr>
          <w:rFonts w:ascii="Arial" w:hAnsi="Arial" w:cs="Arial"/>
          <w:color w:val="000000"/>
          <w:sz w:val="20"/>
        </w:rPr>
        <w:t>CYFA.  Section</w:t>
      </w:r>
      <w:r w:rsidR="00AF502F">
        <w:rPr>
          <w:rFonts w:ascii="Arial" w:hAnsi="Arial" w:cs="Arial"/>
          <w:color w:val="000000"/>
          <w:sz w:val="20"/>
        </w:rPr>
        <w:t> </w:t>
      </w:r>
      <w:r>
        <w:rPr>
          <w:rFonts w:ascii="Arial" w:hAnsi="Arial" w:cs="Arial"/>
          <w:color w:val="000000"/>
          <w:sz w:val="20"/>
        </w:rPr>
        <w:t>19A provides: “</w:t>
      </w:r>
      <w:r w:rsidRPr="00BD4B32">
        <w:rPr>
          <w:rFonts w:ascii="Arial" w:hAnsi="Arial" w:cs="Arial"/>
          <w:sz w:val="20"/>
          <w:szCs w:val="16"/>
        </w:rPr>
        <w:t>The principal registrar must ensure that all proceedings in the Court are recorded in accordance with the Rules.</w:t>
      </w:r>
      <w:r>
        <w:rPr>
          <w:rFonts w:ascii="Arial" w:hAnsi="Arial" w:cs="Arial"/>
          <w:sz w:val="20"/>
          <w:szCs w:val="16"/>
        </w:rPr>
        <w:t xml:space="preserve">”  </w:t>
      </w:r>
      <w:r w:rsidR="003C1275">
        <w:rPr>
          <w:rFonts w:ascii="Arial" w:hAnsi="Arial" w:cs="Arial"/>
          <w:sz w:val="20"/>
          <w:szCs w:val="16"/>
        </w:rPr>
        <w:t xml:space="preserve">However, </w:t>
      </w:r>
      <w:r w:rsidR="00145AC3">
        <w:rPr>
          <w:rFonts w:ascii="Arial" w:hAnsi="Arial" w:cs="Arial"/>
          <w:sz w:val="20"/>
          <w:szCs w:val="16"/>
        </w:rPr>
        <w:t xml:space="preserve">in light of the general confidentiality provisions in s.226 CYFA, </w:t>
      </w:r>
      <w:r w:rsidR="003C1275">
        <w:rPr>
          <w:rFonts w:ascii="Arial" w:hAnsi="Arial" w:cs="Arial"/>
          <w:sz w:val="20"/>
          <w:szCs w:val="16"/>
        </w:rPr>
        <w:t xml:space="preserve">Family Division conciliation conferences are not </w:t>
      </w:r>
      <w:r w:rsidR="00027514">
        <w:rPr>
          <w:rFonts w:ascii="Arial" w:hAnsi="Arial" w:cs="Arial"/>
          <w:sz w:val="20"/>
          <w:szCs w:val="16"/>
        </w:rPr>
        <w:t xml:space="preserve">formally </w:t>
      </w:r>
      <w:r w:rsidR="003C1275">
        <w:rPr>
          <w:rFonts w:ascii="Arial" w:hAnsi="Arial" w:cs="Arial"/>
          <w:sz w:val="20"/>
          <w:szCs w:val="16"/>
        </w:rPr>
        <w:t>recorded.</w:t>
      </w:r>
    </w:p>
    <w:p w14:paraId="19B29823" w14:textId="12FC591C" w:rsidR="00BD4B32" w:rsidRDefault="00BD4B32" w:rsidP="00E41D05">
      <w:pPr>
        <w:jc w:val="both"/>
        <w:rPr>
          <w:rFonts w:ascii="Arial" w:hAnsi="Arial" w:cs="Arial"/>
          <w:color w:val="000000"/>
          <w:sz w:val="20"/>
        </w:rPr>
      </w:pPr>
    </w:p>
    <w:p w14:paraId="75F34F53" w14:textId="60C21C43" w:rsidR="001B1190" w:rsidRDefault="001B1190" w:rsidP="00E41D05">
      <w:pPr>
        <w:jc w:val="both"/>
        <w:rPr>
          <w:rFonts w:ascii="Arial" w:hAnsi="Arial" w:cs="Arial"/>
          <w:color w:val="000000"/>
          <w:sz w:val="20"/>
        </w:rPr>
      </w:pPr>
      <w:r>
        <w:rPr>
          <w:rFonts w:ascii="Arial" w:hAnsi="Arial" w:cs="Arial"/>
          <w:color w:val="000000"/>
          <w:sz w:val="20"/>
        </w:rPr>
        <w:t>Over the years the Magistrates’ Court has issued 4 Practice Directions on the issue of audio recording of court proceedings.  The current Practice Direction – No. 2 of 2023 – has been in operation since 14</w:t>
      </w:r>
      <w:r w:rsidR="00A21DF3">
        <w:rPr>
          <w:rFonts w:ascii="Arial" w:hAnsi="Arial" w:cs="Arial"/>
          <w:color w:val="000000"/>
          <w:sz w:val="20"/>
        </w:rPr>
        <w:t> </w:t>
      </w:r>
      <w:r>
        <w:rPr>
          <w:rFonts w:ascii="Arial" w:hAnsi="Arial" w:cs="Arial"/>
          <w:color w:val="000000"/>
          <w:sz w:val="20"/>
        </w:rPr>
        <w:t>April 2023 and provides in part:</w:t>
      </w:r>
    </w:p>
    <w:p w14:paraId="67DE512E" w14:textId="5B1C71AF" w:rsidR="001B1190" w:rsidRDefault="001B1190" w:rsidP="001B1190">
      <w:pPr>
        <w:spacing w:before="60"/>
        <w:ind w:left="924" w:right="567" w:hanging="357"/>
        <w:jc w:val="both"/>
        <w:rPr>
          <w:rFonts w:ascii="Arial" w:hAnsi="Arial" w:cs="Arial"/>
          <w:color w:val="000000"/>
          <w:sz w:val="18"/>
          <w:szCs w:val="22"/>
        </w:rPr>
      </w:pPr>
      <w:r w:rsidRPr="001B1190">
        <w:rPr>
          <w:rFonts w:ascii="Arial" w:hAnsi="Arial" w:cs="Arial"/>
          <w:color w:val="000000"/>
          <w:sz w:val="18"/>
          <w:szCs w:val="22"/>
        </w:rPr>
        <w:t>1.</w:t>
      </w:r>
      <w:r w:rsidRPr="001B1190">
        <w:rPr>
          <w:rFonts w:ascii="Arial" w:hAnsi="Arial" w:cs="Arial"/>
          <w:color w:val="000000"/>
          <w:sz w:val="18"/>
          <w:szCs w:val="22"/>
        </w:rPr>
        <w:tab/>
        <w:t>Proceedings before the Magistrates’ Court of Victoria (the Court) are recorded by the Court’s audio recording equipment.</w:t>
      </w:r>
    </w:p>
    <w:p w14:paraId="6D423DC8" w14:textId="51B8F2AC" w:rsidR="001B1190" w:rsidRDefault="001B1190" w:rsidP="001B1190">
      <w:pPr>
        <w:spacing w:before="60"/>
        <w:ind w:left="924" w:right="567" w:hanging="357"/>
        <w:jc w:val="both"/>
        <w:rPr>
          <w:rFonts w:ascii="Arial" w:hAnsi="Arial" w:cs="Arial"/>
          <w:color w:val="000000"/>
          <w:sz w:val="18"/>
          <w:szCs w:val="18"/>
        </w:rPr>
      </w:pPr>
      <w:r>
        <w:rPr>
          <w:rFonts w:ascii="Arial" w:hAnsi="Arial" w:cs="Arial"/>
          <w:color w:val="000000"/>
          <w:sz w:val="18"/>
          <w:szCs w:val="22"/>
        </w:rPr>
        <w:t>2.</w:t>
      </w:r>
      <w:r>
        <w:rPr>
          <w:rFonts w:ascii="Arial" w:hAnsi="Arial" w:cs="Arial"/>
          <w:color w:val="000000"/>
          <w:sz w:val="18"/>
          <w:szCs w:val="22"/>
        </w:rPr>
        <w:tab/>
      </w:r>
      <w:r w:rsidRPr="001B1190">
        <w:rPr>
          <w:rFonts w:ascii="Arial" w:hAnsi="Arial" w:cs="Arial"/>
          <w:color w:val="000000"/>
          <w:sz w:val="18"/>
          <w:szCs w:val="18"/>
        </w:rPr>
        <w:t>Audio recordings of proceedings in the Magistrates’ Court of Victoria are retained for 12 months from the date of hearing.</w:t>
      </w:r>
    </w:p>
    <w:p w14:paraId="3F428A40" w14:textId="08475BE9" w:rsidR="001B1190" w:rsidRDefault="001B1190" w:rsidP="001B1190">
      <w:pPr>
        <w:spacing w:before="60"/>
        <w:ind w:left="924" w:right="567" w:hanging="357"/>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 xml:space="preserve">Unless the Court determines in any particular matter that a recording should not be released, a copy of a recording may be released to a party to a proceeding or their legal representative upon payment of the applicable fee or approval of application for fee waiver.  Release of a recording </w:t>
      </w:r>
      <w:r w:rsidR="00370B71">
        <w:rPr>
          <w:rFonts w:ascii="Arial" w:hAnsi="Arial" w:cs="Arial"/>
          <w:color w:val="000000"/>
          <w:sz w:val="18"/>
          <w:szCs w:val="18"/>
        </w:rPr>
        <w:t>m</w:t>
      </w:r>
      <w:r>
        <w:rPr>
          <w:rFonts w:ascii="Arial" w:hAnsi="Arial" w:cs="Arial"/>
          <w:color w:val="000000"/>
          <w:sz w:val="18"/>
          <w:szCs w:val="18"/>
        </w:rPr>
        <w:t>ay be subject to conditions as determined by the Court.</w:t>
      </w:r>
    </w:p>
    <w:p w14:paraId="53733F60" w14:textId="2CAD17E9" w:rsidR="00A21DF3" w:rsidRPr="001B1190" w:rsidRDefault="00A21DF3" w:rsidP="001B1190">
      <w:pPr>
        <w:spacing w:before="60"/>
        <w:ind w:left="924" w:right="567" w:hanging="357"/>
        <w:jc w:val="both"/>
        <w:rPr>
          <w:rFonts w:ascii="Arial" w:hAnsi="Arial" w:cs="Arial"/>
          <w:color w:val="000000"/>
          <w:sz w:val="18"/>
          <w:szCs w:val="22"/>
        </w:rPr>
      </w:pPr>
      <w:r>
        <w:rPr>
          <w:rFonts w:ascii="Arial" w:hAnsi="Arial" w:cs="Arial"/>
          <w:color w:val="000000"/>
          <w:sz w:val="18"/>
          <w:szCs w:val="18"/>
        </w:rPr>
        <w:t>4.</w:t>
      </w:r>
      <w:r>
        <w:rPr>
          <w:rFonts w:ascii="Arial" w:hAnsi="Arial" w:cs="Arial"/>
          <w:color w:val="000000"/>
          <w:sz w:val="18"/>
          <w:szCs w:val="18"/>
        </w:rPr>
        <w:tab/>
        <w:t>A copy of a recording may be requested by a non-party to a proceeding.  Such request requires approval by the Court.  If approval is granted a copy of the recording may be released upon payment of the applicable fee or approval for fee waiver.  Release of a recording may be subject to conditions as determined by the Court.</w:t>
      </w:r>
    </w:p>
    <w:p w14:paraId="56FEF85F" w14:textId="0E8B3180" w:rsidR="001B1190" w:rsidRDefault="001B1190" w:rsidP="00E41D05">
      <w:pPr>
        <w:jc w:val="both"/>
        <w:rPr>
          <w:rFonts w:ascii="Arial" w:hAnsi="Arial" w:cs="Arial"/>
          <w:color w:val="000000"/>
          <w:sz w:val="20"/>
        </w:rPr>
      </w:pPr>
    </w:p>
    <w:p w14:paraId="0CF6BEF0" w14:textId="445CC4F4" w:rsidR="001B1190" w:rsidRDefault="00A21DF3" w:rsidP="00E41D05">
      <w:pPr>
        <w:jc w:val="both"/>
        <w:rPr>
          <w:rFonts w:ascii="Arial" w:hAnsi="Arial" w:cs="Arial"/>
          <w:color w:val="000000"/>
          <w:sz w:val="20"/>
        </w:rPr>
      </w:pPr>
      <w:r>
        <w:rPr>
          <w:rFonts w:ascii="Arial" w:hAnsi="Arial" w:cs="Arial"/>
          <w:color w:val="000000"/>
          <w:sz w:val="20"/>
        </w:rPr>
        <w:t xml:space="preserve">However, there have never been any relevant Rules as contemplated by s.19A.  This gives rise to the question whether s.19A </w:t>
      </w:r>
      <w:r w:rsidR="00414A89">
        <w:rPr>
          <w:rFonts w:ascii="Arial" w:hAnsi="Arial" w:cs="Arial"/>
          <w:color w:val="000000"/>
          <w:sz w:val="20"/>
        </w:rPr>
        <w:t>imposes</w:t>
      </w:r>
      <w:r>
        <w:rPr>
          <w:rFonts w:ascii="Arial" w:hAnsi="Arial" w:cs="Arial"/>
          <w:color w:val="000000"/>
          <w:sz w:val="20"/>
        </w:rPr>
        <w:t xml:space="preserve"> any binding </w:t>
      </w:r>
      <w:r w:rsidR="00414A89">
        <w:rPr>
          <w:rFonts w:ascii="Arial" w:hAnsi="Arial" w:cs="Arial"/>
          <w:color w:val="000000"/>
          <w:sz w:val="20"/>
        </w:rPr>
        <w:t>obligation</w:t>
      </w:r>
      <w:r>
        <w:rPr>
          <w:rFonts w:ascii="Arial" w:hAnsi="Arial" w:cs="Arial"/>
          <w:color w:val="000000"/>
          <w:sz w:val="20"/>
        </w:rPr>
        <w:t xml:space="preserve"> on the principal registrar</w:t>
      </w:r>
      <w:r w:rsidR="00292DFB">
        <w:rPr>
          <w:rFonts w:ascii="Arial" w:hAnsi="Arial" w:cs="Arial"/>
          <w:color w:val="000000"/>
          <w:sz w:val="20"/>
        </w:rPr>
        <w:t xml:space="preserve"> in the absence of Rules</w:t>
      </w:r>
      <w:r>
        <w:rPr>
          <w:rFonts w:ascii="Arial" w:hAnsi="Arial" w:cs="Arial"/>
          <w:color w:val="000000"/>
          <w:sz w:val="20"/>
        </w:rPr>
        <w:t xml:space="preserve">.  The writer’s preferred </w:t>
      </w:r>
      <w:r w:rsidR="00414A89">
        <w:rPr>
          <w:rFonts w:ascii="Arial" w:hAnsi="Arial" w:cs="Arial"/>
          <w:color w:val="000000"/>
          <w:sz w:val="20"/>
        </w:rPr>
        <w:t>interpretation</w:t>
      </w:r>
      <w:r>
        <w:rPr>
          <w:rFonts w:ascii="Arial" w:hAnsi="Arial" w:cs="Arial"/>
          <w:color w:val="000000"/>
          <w:sz w:val="20"/>
        </w:rPr>
        <w:t xml:space="preserve"> is that in the absence of relevant Rules, the words “in accordance with the Rules” should be </w:t>
      </w:r>
      <w:r w:rsidR="00370B71">
        <w:rPr>
          <w:rFonts w:ascii="Arial" w:hAnsi="Arial" w:cs="Arial"/>
          <w:color w:val="000000"/>
          <w:sz w:val="20"/>
        </w:rPr>
        <w:t xml:space="preserve">regarded as </w:t>
      </w:r>
      <w:r>
        <w:rPr>
          <w:rFonts w:ascii="Arial" w:hAnsi="Arial" w:cs="Arial"/>
          <w:color w:val="000000"/>
          <w:sz w:val="20"/>
        </w:rPr>
        <w:t xml:space="preserve">‘blue-pencilled’ out of s.19A </w:t>
      </w:r>
      <w:r w:rsidR="00370B71">
        <w:rPr>
          <w:rFonts w:ascii="Arial" w:hAnsi="Arial" w:cs="Arial"/>
          <w:color w:val="000000"/>
          <w:sz w:val="20"/>
        </w:rPr>
        <w:t>with</w:t>
      </w:r>
      <w:r>
        <w:rPr>
          <w:rFonts w:ascii="Arial" w:hAnsi="Arial" w:cs="Arial"/>
          <w:color w:val="000000"/>
          <w:sz w:val="20"/>
        </w:rPr>
        <w:t xml:space="preserve"> the </w:t>
      </w:r>
      <w:r w:rsidR="00370B71">
        <w:rPr>
          <w:rFonts w:ascii="Arial" w:hAnsi="Arial" w:cs="Arial"/>
          <w:color w:val="000000"/>
          <w:sz w:val="20"/>
        </w:rPr>
        <w:t xml:space="preserve">truncated </w:t>
      </w:r>
      <w:r>
        <w:rPr>
          <w:rFonts w:ascii="Arial" w:hAnsi="Arial" w:cs="Arial"/>
          <w:color w:val="000000"/>
          <w:sz w:val="20"/>
        </w:rPr>
        <w:t>section continu</w:t>
      </w:r>
      <w:r w:rsidR="00370B71">
        <w:rPr>
          <w:rFonts w:ascii="Arial" w:hAnsi="Arial" w:cs="Arial"/>
          <w:color w:val="000000"/>
          <w:sz w:val="20"/>
        </w:rPr>
        <w:t>ing</w:t>
      </w:r>
      <w:r>
        <w:rPr>
          <w:rFonts w:ascii="Arial" w:hAnsi="Arial" w:cs="Arial"/>
          <w:color w:val="000000"/>
          <w:sz w:val="20"/>
        </w:rPr>
        <w:t xml:space="preserve"> to impose an obligation on the principal registrar to ensure that all proceedings in the Court are recorded.</w:t>
      </w:r>
    </w:p>
    <w:p w14:paraId="10F86FA2" w14:textId="77777777" w:rsidR="001B1190" w:rsidRDefault="001B1190" w:rsidP="00E41D05">
      <w:pPr>
        <w:jc w:val="both"/>
        <w:rPr>
          <w:rFonts w:ascii="Arial" w:hAnsi="Arial" w:cs="Arial"/>
          <w:color w:val="000000"/>
          <w:sz w:val="20"/>
        </w:rPr>
      </w:pPr>
    </w:p>
    <w:p w14:paraId="3D426AAB" w14:textId="2B181794" w:rsidR="002218AB" w:rsidRDefault="00A21DF3" w:rsidP="00872875">
      <w:pPr>
        <w:jc w:val="both"/>
        <w:rPr>
          <w:rFonts w:ascii="Arial" w:hAnsi="Arial" w:cs="Arial"/>
          <w:color w:val="000000"/>
          <w:sz w:val="20"/>
        </w:rPr>
      </w:pPr>
      <w:r>
        <w:rPr>
          <w:rFonts w:ascii="Arial" w:hAnsi="Arial" w:cs="Arial"/>
          <w:color w:val="000000"/>
          <w:sz w:val="20"/>
        </w:rPr>
        <w:t xml:space="preserve">In the Children’s Court </w:t>
      </w:r>
      <w:r w:rsidR="008939E1">
        <w:rPr>
          <w:rFonts w:ascii="Arial" w:hAnsi="Arial" w:cs="Arial"/>
          <w:color w:val="000000"/>
          <w:sz w:val="20"/>
        </w:rPr>
        <w:t>audio</w:t>
      </w:r>
      <w:r w:rsidR="003C1275">
        <w:rPr>
          <w:rFonts w:ascii="Arial" w:hAnsi="Arial" w:cs="Arial"/>
          <w:color w:val="000000"/>
          <w:sz w:val="20"/>
        </w:rPr>
        <w:t xml:space="preserve"> recordings </w:t>
      </w:r>
      <w:r w:rsidR="008939E1">
        <w:rPr>
          <w:rFonts w:ascii="Arial" w:hAnsi="Arial" w:cs="Arial"/>
          <w:color w:val="000000"/>
          <w:sz w:val="20"/>
        </w:rPr>
        <w:t xml:space="preserve">of proceedings </w:t>
      </w:r>
      <w:r w:rsidR="003C1275">
        <w:rPr>
          <w:rFonts w:ascii="Arial" w:hAnsi="Arial" w:cs="Arial"/>
          <w:color w:val="000000"/>
          <w:sz w:val="20"/>
        </w:rPr>
        <w:t xml:space="preserve">are </w:t>
      </w:r>
      <w:r w:rsidR="00AF502F">
        <w:rPr>
          <w:rFonts w:ascii="Arial" w:hAnsi="Arial" w:cs="Arial"/>
          <w:color w:val="000000"/>
          <w:sz w:val="20"/>
        </w:rPr>
        <w:t xml:space="preserve">also </w:t>
      </w:r>
      <w:r w:rsidR="003C1275">
        <w:rPr>
          <w:rFonts w:ascii="Arial" w:hAnsi="Arial" w:cs="Arial"/>
          <w:color w:val="000000"/>
          <w:sz w:val="20"/>
        </w:rPr>
        <w:t xml:space="preserve">generally </w:t>
      </w:r>
      <w:r w:rsidR="00AF502F">
        <w:rPr>
          <w:rFonts w:ascii="Arial" w:hAnsi="Arial" w:cs="Arial"/>
          <w:color w:val="000000"/>
          <w:sz w:val="20"/>
        </w:rPr>
        <w:t>retained</w:t>
      </w:r>
      <w:r w:rsidR="003C1275">
        <w:rPr>
          <w:rFonts w:ascii="Arial" w:hAnsi="Arial" w:cs="Arial"/>
          <w:color w:val="000000"/>
          <w:sz w:val="20"/>
        </w:rPr>
        <w:t xml:space="preserve"> for 12 months from the date of the hearing.</w:t>
      </w:r>
    </w:p>
    <w:p w14:paraId="625E4282" w14:textId="77777777" w:rsidR="002218AB" w:rsidRDefault="002218AB" w:rsidP="00872875">
      <w:pPr>
        <w:jc w:val="both"/>
        <w:rPr>
          <w:rFonts w:ascii="Arial" w:hAnsi="Arial" w:cs="Arial"/>
          <w:color w:val="000000"/>
          <w:sz w:val="20"/>
        </w:rPr>
      </w:pPr>
    </w:p>
    <w:p w14:paraId="5FB62C21" w14:textId="0B44BBF3" w:rsidR="002218AB" w:rsidRDefault="002218AB" w:rsidP="00872875">
      <w:pPr>
        <w:jc w:val="both"/>
        <w:rPr>
          <w:rFonts w:ascii="Arial" w:hAnsi="Arial" w:cs="Arial"/>
          <w:color w:val="000000"/>
          <w:sz w:val="20"/>
        </w:rPr>
      </w:pPr>
      <w:r>
        <w:rPr>
          <w:rFonts w:ascii="Arial" w:hAnsi="Arial" w:cs="Arial"/>
          <w:color w:val="000000"/>
          <w:sz w:val="20"/>
        </w:rPr>
        <w:t xml:space="preserve">In relation to child protection proceedings and </w:t>
      </w:r>
      <w:r w:rsidRPr="002218AB">
        <w:rPr>
          <w:rFonts w:ascii="Arial" w:hAnsi="Arial" w:cs="Arial"/>
          <w:sz w:val="20"/>
          <w:szCs w:val="20"/>
        </w:rPr>
        <w:t xml:space="preserve">proceedings under the </w:t>
      </w:r>
      <w:r w:rsidRPr="002218AB">
        <w:rPr>
          <w:rFonts w:ascii="Arial" w:hAnsi="Arial" w:cs="Arial"/>
          <w:i/>
          <w:iCs/>
          <w:sz w:val="20"/>
          <w:szCs w:val="20"/>
        </w:rPr>
        <w:t>Terrorism (Community Protection) Act 200</w:t>
      </w:r>
      <w:r>
        <w:rPr>
          <w:rFonts w:ascii="Arial" w:hAnsi="Arial" w:cs="Arial"/>
          <w:i/>
          <w:iCs/>
          <w:sz w:val="20"/>
          <w:szCs w:val="20"/>
        </w:rPr>
        <w:t xml:space="preserve">3 </w:t>
      </w:r>
      <w:r w:rsidRPr="002218AB">
        <w:rPr>
          <w:rFonts w:ascii="Arial" w:hAnsi="Arial" w:cs="Arial"/>
          <w:sz w:val="20"/>
          <w:szCs w:val="20"/>
        </w:rPr>
        <w:t>in</w:t>
      </w:r>
      <w:r>
        <w:rPr>
          <w:rFonts w:ascii="Arial" w:hAnsi="Arial" w:cs="Arial"/>
          <w:sz w:val="20"/>
          <w:szCs w:val="20"/>
        </w:rPr>
        <w:t xml:space="preserve"> </w:t>
      </w:r>
      <w:r>
        <w:rPr>
          <w:rFonts w:ascii="Arial" w:hAnsi="Arial" w:cs="Arial"/>
          <w:color w:val="000000"/>
          <w:sz w:val="20"/>
        </w:rPr>
        <w:t>the Family Division of the Children’s Court, paragraphs 18</w:t>
      </w:r>
      <w:r w:rsidR="00AA0002">
        <w:rPr>
          <w:rFonts w:ascii="Arial" w:hAnsi="Arial" w:cs="Arial"/>
          <w:color w:val="000000"/>
          <w:sz w:val="20"/>
        </w:rPr>
        <w:t>-1</w:t>
      </w:r>
      <w:r>
        <w:rPr>
          <w:rFonts w:ascii="Arial" w:hAnsi="Arial" w:cs="Arial"/>
          <w:color w:val="000000"/>
          <w:sz w:val="20"/>
        </w:rPr>
        <w:t xml:space="preserve">9 of </w:t>
      </w:r>
      <w:r w:rsidR="00F77652">
        <w:rPr>
          <w:rFonts w:ascii="Arial" w:hAnsi="Arial" w:cs="Arial"/>
          <w:color w:val="000000"/>
          <w:sz w:val="20"/>
        </w:rPr>
        <w:t xml:space="preserve">the Children’s Court </w:t>
      </w:r>
      <w:r>
        <w:rPr>
          <w:rFonts w:ascii="Arial" w:hAnsi="Arial" w:cs="Arial"/>
          <w:color w:val="000000"/>
          <w:sz w:val="20"/>
        </w:rPr>
        <w:t>Practice Direction No.1 of 2024 provide:</w:t>
      </w:r>
    </w:p>
    <w:p w14:paraId="20CFBE26" w14:textId="1F7E8591" w:rsidR="002218AB" w:rsidRPr="002218AB" w:rsidRDefault="002218AB" w:rsidP="002218AB">
      <w:pPr>
        <w:spacing w:before="60"/>
        <w:jc w:val="center"/>
        <w:rPr>
          <w:rFonts w:ascii="Arial" w:hAnsi="Arial" w:cs="Arial"/>
          <w:b/>
          <w:bCs/>
          <w:sz w:val="20"/>
          <w:szCs w:val="20"/>
        </w:rPr>
      </w:pPr>
      <w:r w:rsidRPr="002218AB">
        <w:rPr>
          <w:rFonts w:ascii="Arial" w:hAnsi="Arial" w:cs="Arial"/>
          <w:b/>
          <w:bCs/>
          <w:sz w:val="20"/>
          <w:szCs w:val="20"/>
        </w:rPr>
        <w:t>DIGITAL RECORDINGS</w:t>
      </w:r>
    </w:p>
    <w:p w14:paraId="05D18638" w14:textId="46ECF7BE" w:rsidR="002218AB" w:rsidRDefault="002218AB" w:rsidP="00B97DFE">
      <w:pPr>
        <w:spacing w:before="60"/>
        <w:ind w:left="454" w:hanging="454"/>
        <w:jc w:val="both"/>
        <w:rPr>
          <w:rFonts w:ascii="Arial" w:hAnsi="Arial" w:cs="Arial"/>
          <w:sz w:val="20"/>
          <w:szCs w:val="20"/>
        </w:rPr>
      </w:pPr>
      <w:r w:rsidRPr="002218AB">
        <w:rPr>
          <w:rFonts w:ascii="Arial" w:hAnsi="Arial" w:cs="Arial"/>
          <w:sz w:val="20"/>
          <w:szCs w:val="20"/>
        </w:rPr>
        <w:t>18.</w:t>
      </w:r>
      <w:r w:rsidR="00B97DFE">
        <w:rPr>
          <w:rFonts w:ascii="Arial" w:hAnsi="Arial" w:cs="Arial"/>
          <w:sz w:val="20"/>
          <w:szCs w:val="20"/>
        </w:rPr>
        <w:tab/>
      </w:r>
      <w:r w:rsidRPr="002218AB">
        <w:rPr>
          <w:rFonts w:ascii="Arial" w:hAnsi="Arial" w:cs="Arial"/>
          <w:sz w:val="20"/>
          <w:szCs w:val="20"/>
        </w:rPr>
        <w:t>An application by a self-represented party for a copy of a digital recording in a proceeding is to be made by filing a Request for Copy of Audio Recording Form with the relevant Children’s Court Registry.</w:t>
      </w:r>
    </w:p>
    <w:p w14:paraId="26761886" w14:textId="3CDA5BCA" w:rsidR="00B97DFE" w:rsidRDefault="002218AB" w:rsidP="00B97DFE">
      <w:pPr>
        <w:spacing w:before="60"/>
        <w:ind w:left="454" w:hanging="454"/>
        <w:jc w:val="both"/>
        <w:rPr>
          <w:rFonts w:ascii="Arial" w:hAnsi="Arial" w:cs="Arial"/>
          <w:sz w:val="20"/>
          <w:szCs w:val="20"/>
        </w:rPr>
      </w:pPr>
      <w:r w:rsidRPr="002218AB">
        <w:rPr>
          <w:rFonts w:ascii="Arial" w:hAnsi="Arial" w:cs="Arial"/>
          <w:sz w:val="20"/>
          <w:szCs w:val="20"/>
        </w:rPr>
        <w:t>19.</w:t>
      </w:r>
      <w:r w:rsidR="00B97DFE">
        <w:rPr>
          <w:rFonts w:ascii="Arial" w:hAnsi="Arial" w:cs="Arial"/>
          <w:sz w:val="20"/>
          <w:szCs w:val="20"/>
        </w:rPr>
        <w:tab/>
      </w:r>
      <w:r w:rsidRPr="002218AB">
        <w:rPr>
          <w:rFonts w:ascii="Arial" w:hAnsi="Arial" w:cs="Arial"/>
          <w:sz w:val="20"/>
          <w:szCs w:val="20"/>
        </w:rPr>
        <w:t>An application by a represented party for a copy of a digital recording in a proceeding is to be made by the legal practitioner filing the Request for Copy of Audio Recording Form in the CMS portal.</w:t>
      </w:r>
    </w:p>
    <w:p w14:paraId="2E57355B" w14:textId="38AC45C8" w:rsidR="002218AB" w:rsidRDefault="008C04D7" w:rsidP="008C04D7">
      <w:pPr>
        <w:spacing w:before="60"/>
        <w:jc w:val="both"/>
        <w:rPr>
          <w:rFonts w:ascii="Arial" w:hAnsi="Arial" w:cs="Arial"/>
          <w:color w:val="000000"/>
          <w:sz w:val="20"/>
        </w:rPr>
      </w:pPr>
      <w:r>
        <w:rPr>
          <w:rFonts w:ascii="Arial" w:hAnsi="Arial" w:cs="Arial"/>
          <w:color w:val="000000"/>
          <w:sz w:val="20"/>
        </w:rPr>
        <w:lastRenderedPageBreak/>
        <w:t>Although these paragraphs on their face seem to be confined to the release of digital recordings to parties to the relevant proceeding, it is clear from paragraph 4 of the Magistrates’ Court Practice Direction No.2 of 2023 that a copy of a recording may be requested by a non-party to a proceeding</w:t>
      </w:r>
      <w:r w:rsidR="00F77652">
        <w:rPr>
          <w:rFonts w:ascii="Arial" w:hAnsi="Arial" w:cs="Arial"/>
          <w:color w:val="000000"/>
          <w:sz w:val="20"/>
        </w:rPr>
        <w:t xml:space="preserve">.  The </w:t>
      </w:r>
      <w:r>
        <w:rPr>
          <w:rFonts w:ascii="Arial" w:hAnsi="Arial" w:cs="Arial"/>
          <w:color w:val="000000"/>
          <w:sz w:val="20"/>
        </w:rPr>
        <w:t>relevant Request Form provides for that.</w:t>
      </w:r>
    </w:p>
    <w:p w14:paraId="7ACAD24A" w14:textId="77777777" w:rsidR="008C04D7" w:rsidRDefault="008C04D7" w:rsidP="00872875">
      <w:pPr>
        <w:jc w:val="both"/>
        <w:rPr>
          <w:rFonts w:ascii="Arial" w:hAnsi="Arial" w:cs="Arial"/>
          <w:color w:val="000000"/>
          <w:sz w:val="20"/>
        </w:rPr>
      </w:pPr>
    </w:p>
    <w:p w14:paraId="60E3B401" w14:textId="1C3C53E6" w:rsidR="00064AF0" w:rsidRDefault="00872875" w:rsidP="00872875">
      <w:pPr>
        <w:jc w:val="both"/>
        <w:rPr>
          <w:rFonts w:ascii="Arial" w:hAnsi="Arial" w:cs="Arial"/>
          <w:color w:val="000000"/>
          <w:sz w:val="20"/>
        </w:rPr>
      </w:pPr>
      <w:r>
        <w:rPr>
          <w:rFonts w:ascii="Arial" w:hAnsi="Arial" w:cs="Arial"/>
          <w:color w:val="000000"/>
          <w:sz w:val="20"/>
        </w:rPr>
        <w:t>To apply for a copy of a digital recording</w:t>
      </w:r>
      <w:r w:rsidR="00ED7BDC">
        <w:rPr>
          <w:rFonts w:ascii="Arial" w:hAnsi="Arial" w:cs="Arial"/>
          <w:color w:val="000000"/>
          <w:sz w:val="20"/>
        </w:rPr>
        <w:t xml:space="preserve"> of a</w:t>
      </w:r>
      <w:r w:rsidR="008C04D7">
        <w:rPr>
          <w:rFonts w:ascii="Arial" w:hAnsi="Arial" w:cs="Arial"/>
          <w:color w:val="000000"/>
          <w:sz w:val="20"/>
        </w:rPr>
        <w:t>ny</w:t>
      </w:r>
      <w:r w:rsidR="00ED7BDC">
        <w:rPr>
          <w:rFonts w:ascii="Arial" w:hAnsi="Arial" w:cs="Arial"/>
          <w:color w:val="000000"/>
          <w:sz w:val="20"/>
        </w:rPr>
        <w:t xml:space="preserve"> </w:t>
      </w:r>
      <w:r w:rsidR="00A21DF3">
        <w:rPr>
          <w:rFonts w:ascii="Arial" w:hAnsi="Arial" w:cs="Arial"/>
          <w:color w:val="000000"/>
          <w:sz w:val="20"/>
        </w:rPr>
        <w:t xml:space="preserve">Children’s </w:t>
      </w:r>
      <w:r w:rsidR="00ED7BDC">
        <w:rPr>
          <w:rFonts w:ascii="Arial" w:hAnsi="Arial" w:cs="Arial"/>
          <w:color w:val="000000"/>
          <w:sz w:val="20"/>
        </w:rPr>
        <w:t>Court proceeding</w:t>
      </w:r>
      <w:r>
        <w:rPr>
          <w:rFonts w:ascii="Arial" w:hAnsi="Arial" w:cs="Arial"/>
          <w:color w:val="000000"/>
          <w:sz w:val="20"/>
        </w:rPr>
        <w:t>, the applicant must</w:t>
      </w:r>
      <w:r w:rsidR="00370B71">
        <w:rPr>
          <w:rFonts w:ascii="Arial" w:hAnsi="Arial" w:cs="Arial"/>
          <w:color w:val="000000"/>
          <w:sz w:val="20"/>
        </w:rPr>
        <w:t>–</w:t>
      </w:r>
    </w:p>
    <w:p w14:paraId="0FB853B0" w14:textId="1D62FD45" w:rsidR="00064AF0" w:rsidRPr="008C04D7" w:rsidRDefault="003C1275" w:rsidP="00102EAA">
      <w:pPr>
        <w:pStyle w:val="ListParagraph"/>
        <w:numPr>
          <w:ilvl w:val="0"/>
          <w:numId w:val="29"/>
        </w:numPr>
        <w:ind w:left="357" w:hanging="357"/>
        <w:jc w:val="both"/>
        <w:rPr>
          <w:rFonts w:ascii="Arial" w:hAnsi="Arial" w:cs="Arial"/>
          <w:color w:val="000000"/>
          <w:sz w:val="20"/>
        </w:rPr>
      </w:pPr>
      <w:r w:rsidRPr="008C04D7">
        <w:rPr>
          <w:rFonts w:ascii="Arial" w:hAnsi="Arial" w:cs="Arial"/>
          <w:color w:val="000000"/>
          <w:sz w:val="20"/>
        </w:rPr>
        <w:t>complet</w:t>
      </w:r>
      <w:r w:rsidR="00872875" w:rsidRPr="008C04D7">
        <w:rPr>
          <w:rFonts w:ascii="Arial" w:hAnsi="Arial" w:cs="Arial"/>
          <w:color w:val="000000"/>
          <w:sz w:val="20"/>
        </w:rPr>
        <w:t>e</w:t>
      </w:r>
      <w:r w:rsidRPr="008C04D7">
        <w:rPr>
          <w:rFonts w:ascii="Arial" w:hAnsi="Arial" w:cs="Arial"/>
          <w:color w:val="000000"/>
          <w:sz w:val="20"/>
        </w:rPr>
        <w:t xml:space="preserve"> a “Request for Copy of Audio Recording” form</w:t>
      </w:r>
      <w:r w:rsidR="008C04D7" w:rsidRPr="008C04D7">
        <w:rPr>
          <w:rFonts w:ascii="Arial" w:hAnsi="Arial" w:cs="Arial"/>
          <w:color w:val="000000"/>
          <w:sz w:val="20"/>
        </w:rPr>
        <w:t xml:space="preserve">; legal practitioners </w:t>
      </w:r>
      <w:r w:rsidR="008939E1">
        <w:rPr>
          <w:rFonts w:ascii="Arial" w:hAnsi="Arial" w:cs="Arial"/>
          <w:color w:val="000000"/>
          <w:sz w:val="20"/>
        </w:rPr>
        <w:t xml:space="preserve">in child protection cases </w:t>
      </w:r>
      <w:r w:rsidR="008C04D7" w:rsidRPr="008C04D7">
        <w:rPr>
          <w:rFonts w:ascii="Arial" w:hAnsi="Arial" w:cs="Arial"/>
          <w:color w:val="000000"/>
          <w:sz w:val="20"/>
        </w:rPr>
        <w:t xml:space="preserve">may file the request form in the CMS portal; other persons may download the form from the Children’s Court website: </w:t>
      </w:r>
      <w:hyperlink r:id="rId10" w:history="1">
        <w:r w:rsidR="00872875" w:rsidRPr="008C04D7">
          <w:rPr>
            <w:rStyle w:val="Hyperlink"/>
            <w:rFonts w:ascii="Arial" w:hAnsi="Arial" w:cs="Arial"/>
            <w:sz w:val="20"/>
          </w:rPr>
          <w:t>https://www.childrenscourt.vic.gov.au/court-forms/general-forms</w:t>
        </w:r>
      </w:hyperlink>
      <w:r w:rsidR="00064AF0" w:rsidRPr="008C04D7">
        <w:rPr>
          <w:rFonts w:ascii="Arial" w:hAnsi="Arial" w:cs="Arial"/>
          <w:color w:val="000000"/>
          <w:sz w:val="20"/>
        </w:rPr>
        <w:t xml:space="preserve">; </w:t>
      </w:r>
      <w:r w:rsidR="00872875" w:rsidRPr="008C04D7">
        <w:rPr>
          <w:rFonts w:ascii="Arial" w:hAnsi="Arial" w:cs="Arial"/>
          <w:color w:val="000000"/>
          <w:sz w:val="20"/>
        </w:rPr>
        <w:t>and</w:t>
      </w:r>
    </w:p>
    <w:p w14:paraId="692A2E77" w14:textId="77777777" w:rsidR="00064AF0" w:rsidRDefault="00872875" w:rsidP="00C23CF0">
      <w:pPr>
        <w:pStyle w:val="ListParagraph"/>
        <w:numPr>
          <w:ilvl w:val="0"/>
          <w:numId w:val="29"/>
        </w:numPr>
        <w:ind w:left="357" w:hanging="357"/>
        <w:jc w:val="both"/>
        <w:rPr>
          <w:rFonts w:ascii="Arial" w:hAnsi="Arial" w:cs="Arial"/>
          <w:color w:val="000000"/>
          <w:sz w:val="20"/>
        </w:rPr>
      </w:pPr>
      <w:r w:rsidRPr="00064AF0">
        <w:rPr>
          <w:rFonts w:ascii="Arial" w:hAnsi="Arial" w:cs="Arial"/>
          <w:color w:val="000000"/>
          <w:sz w:val="20"/>
        </w:rPr>
        <w:t>pay a fee of $55 per day</w:t>
      </w:r>
      <w:r w:rsidR="00AF4AC1" w:rsidRPr="00064AF0">
        <w:rPr>
          <w:rFonts w:ascii="Arial" w:hAnsi="Arial" w:cs="Arial"/>
          <w:color w:val="000000"/>
          <w:sz w:val="20"/>
        </w:rPr>
        <w:t xml:space="preserve"> unless the fee has been waived by the Court</w:t>
      </w:r>
      <w:r w:rsidRPr="00064AF0">
        <w:rPr>
          <w:rFonts w:ascii="Arial" w:hAnsi="Arial" w:cs="Arial"/>
          <w:color w:val="000000"/>
          <w:sz w:val="20"/>
        </w:rPr>
        <w:t>.</w:t>
      </w:r>
    </w:p>
    <w:p w14:paraId="4B0D95CB" w14:textId="2608275B" w:rsidR="008C04D7" w:rsidRDefault="0007780B" w:rsidP="00064AF0">
      <w:pPr>
        <w:jc w:val="both"/>
        <w:rPr>
          <w:rFonts w:ascii="Arial" w:hAnsi="Arial" w:cs="Arial"/>
          <w:color w:val="000000"/>
          <w:sz w:val="20"/>
        </w:rPr>
      </w:pPr>
      <w:r w:rsidRPr="00064AF0">
        <w:rPr>
          <w:rFonts w:ascii="Arial" w:hAnsi="Arial" w:cs="Arial"/>
          <w:color w:val="000000"/>
          <w:sz w:val="20"/>
        </w:rPr>
        <w:t>Applications must be made directly to the venue of the Children’s Court where the proceeding was heard.</w:t>
      </w:r>
    </w:p>
    <w:p w14:paraId="57B999D8" w14:textId="77777777" w:rsidR="008C04D7" w:rsidRDefault="008C04D7" w:rsidP="00064AF0">
      <w:pPr>
        <w:jc w:val="both"/>
        <w:rPr>
          <w:rFonts w:ascii="Arial" w:hAnsi="Arial" w:cs="Arial"/>
          <w:color w:val="000000"/>
          <w:sz w:val="20"/>
        </w:rPr>
      </w:pPr>
    </w:p>
    <w:p w14:paraId="3F9DD4B3" w14:textId="34301A6C" w:rsidR="008C04D7" w:rsidRDefault="008C04D7" w:rsidP="00064AF0">
      <w:pPr>
        <w:jc w:val="both"/>
        <w:rPr>
          <w:rFonts w:ascii="Arial" w:hAnsi="Arial" w:cs="Arial"/>
          <w:color w:val="000000"/>
          <w:sz w:val="20"/>
        </w:rPr>
      </w:pPr>
      <w:r>
        <w:rPr>
          <w:rFonts w:ascii="Arial" w:hAnsi="Arial" w:cs="Arial"/>
          <w:color w:val="000000"/>
          <w:sz w:val="20"/>
        </w:rPr>
        <w:t xml:space="preserve">Applications are not granted as of right.  They require </w:t>
      </w:r>
      <w:r w:rsidR="00B97DFE">
        <w:rPr>
          <w:rFonts w:ascii="Arial" w:hAnsi="Arial" w:cs="Arial"/>
          <w:color w:val="000000"/>
          <w:sz w:val="20"/>
        </w:rPr>
        <w:t>an order of</w:t>
      </w:r>
      <w:r>
        <w:rPr>
          <w:rFonts w:ascii="Arial" w:hAnsi="Arial" w:cs="Arial"/>
          <w:color w:val="000000"/>
          <w:sz w:val="20"/>
        </w:rPr>
        <w:t xml:space="preserve"> the Court, usually </w:t>
      </w:r>
      <w:r w:rsidR="00B97DFE">
        <w:rPr>
          <w:rFonts w:ascii="Arial" w:hAnsi="Arial" w:cs="Arial"/>
          <w:color w:val="000000"/>
          <w:sz w:val="20"/>
        </w:rPr>
        <w:t>by</w:t>
      </w:r>
      <w:r>
        <w:rPr>
          <w:rFonts w:ascii="Arial" w:hAnsi="Arial" w:cs="Arial"/>
          <w:color w:val="000000"/>
          <w:sz w:val="20"/>
        </w:rPr>
        <w:t xml:space="preserve"> the </w:t>
      </w:r>
      <w:r w:rsidRPr="00064AF0">
        <w:rPr>
          <w:rFonts w:ascii="Arial" w:hAnsi="Arial" w:cs="Arial"/>
          <w:color w:val="000000"/>
          <w:sz w:val="20"/>
        </w:rPr>
        <w:t xml:space="preserve">presiding </w:t>
      </w:r>
      <w:r w:rsidR="00F77652">
        <w:rPr>
          <w:rFonts w:ascii="Arial" w:hAnsi="Arial" w:cs="Arial"/>
          <w:color w:val="000000"/>
          <w:sz w:val="20"/>
        </w:rPr>
        <w:t>judicial officer</w:t>
      </w:r>
      <w:r w:rsidRPr="00064AF0">
        <w:rPr>
          <w:rFonts w:ascii="Arial" w:hAnsi="Arial" w:cs="Arial"/>
          <w:color w:val="000000"/>
          <w:sz w:val="20"/>
        </w:rPr>
        <w:t xml:space="preserve"> or the President</w:t>
      </w:r>
      <w:r w:rsidR="00F77652">
        <w:rPr>
          <w:rFonts w:ascii="Arial" w:hAnsi="Arial" w:cs="Arial"/>
          <w:color w:val="000000"/>
          <w:sz w:val="20"/>
        </w:rPr>
        <w:t xml:space="preserve">.  In the writer’s view the Court would </w:t>
      </w:r>
      <w:r w:rsidR="00AA0002">
        <w:rPr>
          <w:rFonts w:ascii="Arial" w:hAnsi="Arial" w:cs="Arial"/>
          <w:color w:val="000000"/>
          <w:sz w:val="20"/>
        </w:rPr>
        <w:t xml:space="preserve">not </w:t>
      </w:r>
      <w:r w:rsidR="00B97DFE">
        <w:rPr>
          <w:rFonts w:ascii="Arial" w:hAnsi="Arial" w:cs="Arial"/>
          <w:color w:val="000000"/>
          <w:sz w:val="20"/>
        </w:rPr>
        <w:t>order</w:t>
      </w:r>
      <w:r w:rsidR="00F77652">
        <w:rPr>
          <w:rFonts w:ascii="Arial" w:hAnsi="Arial" w:cs="Arial"/>
          <w:color w:val="000000"/>
          <w:sz w:val="20"/>
        </w:rPr>
        <w:t xml:space="preserve"> the release of a digital recording of a child protection case in the Family Division </w:t>
      </w:r>
      <w:r w:rsidR="00B97DFE">
        <w:rPr>
          <w:rFonts w:ascii="Arial" w:hAnsi="Arial" w:cs="Arial"/>
          <w:color w:val="000000"/>
          <w:sz w:val="20"/>
        </w:rPr>
        <w:t>if</w:t>
      </w:r>
      <w:r w:rsidR="00F77652">
        <w:rPr>
          <w:rFonts w:ascii="Arial" w:hAnsi="Arial" w:cs="Arial"/>
          <w:color w:val="000000"/>
          <w:sz w:val="20"/>
        </w:rPr>
        <w:t xml:space="preserve"> to do so would </w:t>
      </w:r>
      <w:r w:rsidR="00B97DFE">
        <w:rPr>
          <w:rFonts w:ascii="Arial" w:hAnsi="Arial" w:cs="Arial"/>
          <w:color w:val="000000"/>
          <w:sz w:val="20"/>
        </w:rPr>
        <w:t xml:space="preserve">not </w:t>
      </w:r>
      <w:r w:rsidR="00F77652">
        <w:rPr>
          <w:rFonts w:ascii="Arial" w:hAnsi="Arial" w:cs="Arial"/>
          <w:color w:val="000000"/>
          <w:sz w:val="20"/>
        </w:rPr>
        <w:t xml:space="preserve">be in the best </w:t>
      </w:r>
      <w:r w:rsidR="006172A2">
        <w:rPr>
          <w:rFonts w:ascii="Arial" w:hAnsi="Arial" w:cs="Arial"/>
          <w:color w:val="000000"/>
          <w:sz w:val="20"/>
        </w:rPr>
        <w:t xml:space="preserve">interests of the subject child: cf. s.8(1) of the CYFA.  However, this </w:t>
      </w:r>
      <w:r w:rsidR="008939E1">
        <w:rPr>
          <w:rFonts w:ascii="Arial" w:hAnsi="Arial" w:cs="Arial"/>
          <w:color w:val="000000"/>
          <w:sz w:val="20"/>
        </w:rPr>
        <w:t xml:space="preserve">test does not apply to </w:t>
      </w:r>
      <w:r w:rsidR="006172A2">
        <w:rPr>
          <w:rFonts w:ascii="Arial" w:hAnsi="Arial" w:cs="Arial"/>
          <w:color w:val="000000"/>
          <w:sz w:val="20"/>
        </w:rPr>
        <w:t xml:space="preserve">release of a digital recording of a </w:t>
      </w:r>
      <w:r w:rsidR="00AA0002">
        <w:rPr>
          <w:rFonts w:ascii="Arial" w:hAnsi="Arial" w:cs="Arial"/>
          <w:color w:val="000000"/>
          <w:sz w:val="20"/>
        </w:rPr>
        <w:t xml:space="preserve">Criminal Division </w:t>
      </w:r>
      <w:r w:rsidR="006172A2">
        <w:rPr>
          <w:rFonts w:ascii="Arial" w:hAnsi="Arial" w:cs="Arial"/>
          <w:color w:val="000000"/>
          <w:sz w:val="20"/>
        </w:rPr>
        <w:t>case: cf. s.8(4) of the CYFA.</w:t>
      </w:r>
    </w:p>
    <w:p w14:paraId="7D75AA03" w14:textId="77777777" w:rsidR="008C04D7" w:rsidRDefault="008C04D7" w:rsidP="00064AF0">
      <w:pPr>
        <w:jc w:val="both"/>
        <w:rPr>
          <w:rFonts w:ascii="Arial" w:hAnsi="Arial" w:cs="Arial"/>
          <w:color w:val="000000"/>
          <w:sz w:val="20"/>
        </w:rPr>
      </w:pPr>
    </w:p>
    <w:p w14:paraId="0C71250F" w14:textId="27E85B7B" w:rsidR="00872875" w:rsidRPr="00064AF0" w:rsidRDefault="00AF4AC1" w:rsidP="00064AF0">
      <w:pPr>
        <w:jc w:val="both"/>
        <w:rPr>
          <w:rFonts w:ascii="Arial" w:hAnsi="Arial" w:cs="Arial"/>
          <w:color w:val="000000"/>
          <w:sz w:val="20"/>
        </w:rPr>
      </w:pPr>
      <w:r w:rsidRPr="00064AF0">
        <w:rPr>
          <w:rFonts w:ascii="Arial" w:hAnsi="Arial" w:cs="Arial"/>
          <w:color w:val="000000"/>
          <w:sz w:val="20"/>
        </w:rPr>
        <w:t xml:space="preserve">If </w:t>
      </w:r>
      <w:r w:rsidR="006172A2">
        <w:rPr>
          <w:rFonts w:ascii="Arial" w:hAnsi="Arial" w:cs="Arial"/>
          <w:color w:val="000000"/>
          <w:sz w:val="20"/>
        </w:rPr>
        <w:t>a copy of a digital recording is released</w:t>
      </w:r>
      <w:r w:rsidRPr="00064AF0">
        <w:rPr>
          <w:rFonts w:ascii="Arial" w:hAnsi="Arial" w:cs="Arial"/>
          <w:color w:val="000000"/>
          <w:sz w:val="20"/>
        </w:rPr>
        <w:t xml:space="preserve"> by</w:t>
      </w:r>
      <w:r w:rsidR="00F77652">
        <w:rPr>
          <w:rFonts w:ascii="Arial" w:hAnsi="Arial" w:cs="Arial"/>
          <w:color w:val="000000"/>
          <w:sz w:val="20"/>
        </w:rPr>
        <w:t xml:space="preserve"> the Court</w:t>
      </w:r>
      <w:r w:rsidRPr="00064AF0">
        <w:rPr>
          <w:rFonts w:ascii="Arial" w:hAnsi="Arial" w:cs="Arial"/>
          <w:color w:val="000000"/>
          <w:sz w:val="20"/>
        </w:rPr>
        <w:t xml:space="preserve">, </w:t>
      </w:r>
      <w:r w:rsidR="00AF502F">
        <w:rPr>
          <w:rFonts w:ascii="Arial" w:hAnsi="Arial" w:cs="Arial"/>
          <w:color w:val="000000"/>
          <w:sz w:val="20"/>
        </w:rPr>
        <w:t xml:space="preserve">this is generally done by email to the applicant containing a link to the recording in </w:t>
      </w:r>
      <w:r w:rsidR="00AF502F" w:rsidRPr="00B97DFE">
        <w:rPr>
          <w:rFonts w:ascii="Arial" w:hAnsi="Arial" w:cs="Arial"/>
          <w:b/>
          <w:bCs/>
          <w:color w:val="000000"/>
          <w:sz w:val="20"/>
          <w:bdr w:val="single" w:sz="4" w:space="0" w:color="auto"/>
          <w:shd w:val="clear" w:color="auto" w:fill="DDDDDD"/>
        </w:rPr>
        <w:t>.mp3</w:t>
      </w:r>
      <w:r w:rsidR="00AF502F">
        <w:rPr>
          <w:rFonts w:ascii="Arial" w:hAnsi="Arial" w:cs="Arial"/>
          <w:color w:val="000000"/>
          <w:sz w:val="20"/>
        </w:rPr>
        <w:t xml:space="preserve"> format.  T</w:t>
      </w:r>
      <w:r w:rsidRPr="00064AF0">
        <w:rPr>
          <w:rFonts w:ascii="Arial" w:hAnsi="Arial" w:cs="Arial"/>
          <w:color w:val="000000"/>
          <w:sz w:val="20"/>
        </w:rPr>
        <w:t xml:space="preserve">he applicant must not copy, distribute or publish, or cause the copying, distribution or publication of the recording in any way without the express approval of the Court.  In this regard, the application form contains a </w:t>
      </w:r>
      <w:r w:rsidRPr="00064AF0">
        <w:rPr>
          <w:rFonts w:ascii="Arial" w:hAnsi="Arial" w:cs="Arial"/>
          <w:b/>
          <w:bCs/>
          <w:color w:val="000000"/>
          <w:sz w:val="20"/>
          <w:u w:val="single"/>
        </w:rPr>
        <w:t>WARNING</w:t>
      </w:r>
      <w:r w:rsidRPr="00064AF0">
        <w:rPr>
          <w:rFonts w:ascii="Arial" w:hAnsi="Arial" w:cs="Arial"/>
          <w:color w:val="000000"/>
          <w:sz w:val="20"/>
        </w:rPr>
        <w:t xml:space="preserve"> relating to </w:t>
      </w:r>
      <w:r w:rsidR="00367DE2">
        <w:rPr>
          <w:rFonts w:ascii="Arial" w:hAnsi="Arial" w:cs="Arial"/>
          <w:color w:val="000000"/>
          <w:sz w:val="20"/>
        </w:rPr>
        <w:t xml:space="preserve">the publication of identifying particulars prohibited by </w:t>
      </w:r>
      <w:r w:rsidR="00367DE2" w:rsidRPr="00064AF0">
        <w:rPr>
          <w:rFonts w:ascii="Arial" w:hAnsi="Arial" w:cs="Arial"/>
          <w:color w:val="000000"/>
          <w:sz w:val="20"/>
        </w:rPr>
        <w:t xml:space="preserve">s.534 of the CYFA </w:t>
      </w:r>
      <w:r w:rsidR="00367DE2">
        <w:rPr>
          <w:rFonts w:ascii="Arial" w:hAnsi="Arial" w:cs="Arial"/>
          <w:color w:val="000000"/>
          <w:sz w:val="20"/>
        </w:rPr>
        <w:t xml:space="preserve">which is </w:t>
      </w:r>
      <w:r w:rsidRPr="00064AF0">
        <w:rPr>
          <w:rFonts w:ascii="Arial" w:hAnsi="Arial" w:cs="Arial"/>
          <w:color w:val="000000"/>
          <w:sz w:val="20"/>
        </w:rPr>
        <w:t xml:space="preserve">discussed in </w:t>
      </w:r>
      <w:r w:rsidRPr="00784343">
        <w:rPr>
          <w:rFonts w:ascii="Arial" w:hAnsi="Arial" w:cs="Arial"/>
          <w:b/>
          <w:bCs/>
          <w:color w:val="000000"/>
          <w:sz w:val="20"/>
          <w:shd w:val="clear" w:color="auto" w:fill="C5E0B3"/>
        </w:rPr>
        <w:t>section 2.8.1</w:t>
      </w:r>
      <w:r w:rsidRPr="00064AF0">
        <w:rPr>
          <w:rFonts w:ascii="Arial" w:hAnsi="Arial" w:cs="Arial"/>
          <w:color w:val="000000"/>
          <w:sz w:val="20"/>
        </w:rPr>
        <w:t xml:space="preserve"> below.</w:t>
      </w:r>
    </w:p>
    <w:p w14:paraId="5997007E" w14:textId="74B9C41A" w:rsidR="00872875" w:rsidRDefault="00872875" w:rsidP="00872875">
      <w:pPr>
        <w:jc w:val="both"/>
        <w:rPr>
          <w:rFonts w:ascii="Arial" w:hAnsi="Arial" w:cs="Arial"/>
          <w:color w:val="000000"/>
          <w:sz w:val="20"/>
        </w:rPr>
      </w:pPr>
    </w:p>
    <w:p w14:paraId="5CB98395" w14:textId="4BF47891" w:rsidR="00064AF0" w:rsidRPr="00064AF0" w:rsidRDefault="00064AF0" w:rsidP="00064AF0">
      <w:pPr>
        <w:jc w:val="both"/>
        <w:rPr>
          <w:rFonts w:ascii="Arial" w:hAnsi="Arial" w:cs="Arial"/>
          <w:sz w:val="18"/>
          <w:szCs w:val="18"/>
        </w:rPr>
      </w:pPr>
      <w:r w:rsidRPr="00064AF0">
        <w:rPr>
          <w:rFonts w:ascii="Arial" w:hAnsi="Arial" w:cs="Arial"/>
          <w:sz w:val="20"/>
          <w:szCs w:val="20"/>
        </w:rPr>
        <w:t xml:space="preserve">There are specific offences </w:t>
      </w:r>
      <w:r w:rsidR="00A17187">
        <w:rPr>
          <w:rFonts w:ascii="Arial" w:hAnsi="Arial" w:cs="Arial"/>
          <w:sz w:val="20"/>
          <w:szCs w:val="20"/>
        </w:rPr>
        <w:t>created by</w:t>
      </w:r>
      <w:r w:rsidRPr="00064AF0">
        <w:rPr>
          <w:rFonts w:ascii="Arial" w:hAnsi="Arial" w:cs="Arial"/>
          <w:sz w:val="20"/>
          <w:szCs w:val="20"/>
        </w:rPr>
        <w:t xml:space="preserve"> ss.4A, 4B &amp; 4C of the </w:t>
      </w:r>
      <w:r w:rsidRPr="00064AF0">
        <w:rPr>
          <w:rFonts w:ascii="Arial" w:hAnsi="Arial" w:cs="Arial"/>
          <w:i/>
          <w:iCs/>
          <w:sz w:val="20"/>
          <w:szCs w:val="20"/>
        </w:rPr>
        <w:t>Court Security Act 1980</w:t>
      </w:r>
      <w:r w:rsidRPr="00064AF0">
        <w:rPr>
          <w:rFonts w:ascii="Arial" w:hAnsi="Arial" w:cs="Arial"/>
          <w:sz w:val="20"/>
          <w:szCs w:val="20"/>
        </w:rPr>
        <w:t xml:space="preserve"> [CSA] </w:t>
      </w:r>
      <w:r w:rsidR="00A17187">
        <w:rPr>
          <w:rFonts w:ascii="Arial" w:hAnsi="Arial" w:cs="Arial"/>
          <w:sz w:val="20"/>
          <w:szCs w:val="20"/>
        </w:rPr>
        <w:t xml:space="preserve">which </w:t>
      </w:r>
      <w:r w:rsidRPr="00064AF0">
        <w:rPr>
          <w:rFonts w:ascii="Arial" w:hAnsi="Arial" w:cs="Arial"/>
          <w:sz w:val="20"/>
          <w:szCs w:val="20"/>
        </w:rPr>
        <w:t>relat</w:t>
      </w:r>
      <w:r w:rsidR="00A17187">
        <w:rPr>
          <w:rFonts w:ascii="Arial" w:hAnsi="Arial" w:cs="Arial"/>
          <w:sz w:val="20"/>
          <w:szCs w:val="20"/>
        </w:rPr>
        <w:t>e</w:t>
      </w:r>
      <w:r w:rsidRPr="00064AF0">
        <w:rPr>
          <w:rFonts w:ascii="Arial" w:hAnsi="Arial" w:cs="Arial"/>
          <w:sz w:val="20"/>
          <w:szCs w:val="20"/>
        </w:rPr>
        <w:t xml:space="preserve"> to the </w:t>
      </w:r>
      <w:r w:rsidRPr="00A17187">
        <w:rPr>
          <w:rFonts w:ascii="Arial" w:hAnsi="Arial" w:cs="Arial"/>
          <w:b/>
          <w:bCs/>
          <w:sz w:val="20"/>
          <w:szCs w:val="20"/>
        </w:rPr>
        <w:t>unauthorised</w:t>
      </w:r>
      <w:r w:rsidRPr="00064AF0">
        <w:rPr>
          <w:rFonts w:ascii="Arial" w:hAnsi="Arial" w:cs="Arial"/>
          <w:sz w:val="20"/>
          <w:szCs w:val="20"/>
        </w:rPr>
        <w:t xml:space="preserve"> recording of Court proceedings and to the </w:t>
      </w:r>
      <w:r w:rsidRPr="00A17187">
        <w:rPr>
          <w:rFonts w:ascii="Arial" w:hAnsi="Arial" w:cs="Arial"/>
          <w:b/>
          <w:bCs/>
          <w:sz w:val="20"/>
          <w:szCs w:val="20"/>
        </w:rPr>
        <w:t>unauthorised</w:t>
      </w:r>
      <w:r w:rsidRPr="00064AF0">
        <w:rPr>
          <w:rFonts w:ascii="Arial" w:hAnsi="Arial" w:cs="Arial"/>
          <w:sz w:val="20"/>
          <w:szCs w:val="20"/>
        </w:rPr>
        <w:t xml:space="preserve"> publishing or transmitting of recordings of Court proceedings. </w:t>
      </w:r>
      <w:r>
        <w:rPr>
          <w:rFonts w:ascii="Arial" w:hAnsi="Arial" w:cs="Arial"/>
          <w:sz w:val="20"/>
          <w:szCs w:val="20"/>
        </w:rPr>
        <w:t xml:space="preserve"> </w:t>
      </w:r>
      <w:r w:rsidRPr="00064AF0">
        <w:rPr>
          <w:rFonts w:ascii="Arial" w:hAnsi="Arial" w:cs="Arial"/>
          <w:sz w:val="20"/>
          <w:szCs w:val="20"/>
        </w:rPr>
        <w:t xml:space="preserve">The sections </w:t>
      </w:r>
      <w:r>
        <w:rPr>
          <w:rFonts w:ascii="Arial" w:hAnsi="Arial" w:cs="Arial"/>
          <w:sz w:val="20"/>
          <w:szCs w:val="20"/>
        </w:rPr>
        <w:t xml:space="preserve">each provide a maximum penalty of 20 penalty units.  </w:t>
      </w:r>
      <w:r w:rsidRPr="00064AF0">
        <w:rPr>
          <w:rFonts w:ascii="Arial" w:hAnsi="Arial" w:cs="Arial"/>
          <w:sz w:val="20"/>
          <w:szCs w:val="20"/>
        </w:rPr>
        <w:t>In</w:t>
      </w:r>
      <w:r>
        <w:rPr>
          <w:rFonts w:ascii="Arial" w:hAnsi="Arial" w:cs="Arial"/>
          <w:sz w:val="20"/>
          <w:szCs w:val="20"/>
        </w:rPr>
        <w:t> </w:t>
      </w:r>
      <w:r w:rsidRPr="00064AF0">
        <w:rPr>
          <w:rFonts w:ascii="Arial" w:hAnsi="Arial" w:cs="Arial"/>
          <w:sz w:val="20"/>
          <w:szCs w:val="20"/>
        </w:rPr>
        <w:t>s.2(1) of the CSA, “Court” includes the Children’s Court and “proceeding” includes a Children’s Court proceeding.</w:t>
      </w:r>
      <w:r>
        <w:rPr>
          <w:rFonts w:ascii="Arial" w:hAnsi="Arial" w:cs="Arial"/>
          <w:sz w:val="20"/>
          <w:szCs w:val="20"/>
        </w:rPr>
        <w:t xml:space="preserve">  A specific form is available on the Children’s Court website which must be completed by any</w:t>
      </w:r>
      <w:r w:rsidR="00A17187">
        <w:rPr>
          <w:rFonts w:ascii="Arial" w:hAnsi="Arial" w:cs="Arial"/>
          <w:sz w:val="20"/>
          <w:szCs w:val="20"/>
        </w:rPr>
        <w:t xml:space="preserve"> member of the public</w:t>
      </w:r>
      <w:r>
        <w:rPr>
          <w:rFonts w:ascii="Arial" w:hAnsi="Arial" w:cs="Arial"/>
          <w:sz w:val="20"/>
          <w:szCs w:val="20"/>
        </w:rPr>
        <w:t xml:space="preserve"> making an application to record proceedings in the Criminal Division of the Children’s Court.</w:t>
      </w:r>
    </w:p>
    <w:p w14:paraId="2767619D" w14:textId="77777777" w:rsidR="007C31E4" w:rsidRPr="007C64AE" w:rsidRDefault="007C31E4" w:rsidP="00E41D05">
      <w:pPr>
        <w:jc w:val="both"/>
        <w:rPr>
          <w:rFonts w:ascii="Arial" w:hAnsi="Arial" w:cs="Arial"/>
          <w:color w:val="000000"/>
          <w:sz w:val="20"/>
        </w:rPr>
      </w:pPr>
    </w:p>
    <w:p w14:paraId="107F995D" w14:textId="77777777" w:rsidR="009B3CD4" w:rsidRPr="00BD3BA0" w:rsidRDefault="009B3CD4" w:rsidP="009B3CD4">
      <w:pPr>
        <w:jc w:val="center"/>
        <w:rPr>
          <w:rFonts w:ascii="Arial" w:hAnsi="Arial" w:cs="Arial"/>
          <w:b/>
          <w:bCs/>
          <w:sz w:val="22"/>
          <w:szCs w:val="28"/>
        </w:rPr>
      </w:pPr>
      <w:bookmarkStart w:id="449" w:name="_2.8_Restriction_on"/>
      <w:bookmarkStart w:id="450" w:name="_Toc30610010"/>
      <w:bookmarkStart w:id="451" w:name="_Toc30610253"/>
      <w:bookmarkStart w:id="452" w:name="_Toc30638407"/>
      <w:bookmarkStart w:id="453" w:name="_Ref30638819"/>
      <w:bookmarkStart w:id="454" w:name="_Toc30644216"/>
      <w:bookmarkStart w:id="455" w:name="_Toc30644619"/>
      <w:bookmarkStart w:id="456" w:name="_Toc30645169"/>
      <w:bookmarkStart w:id="457" w:name="_Toc30646373"/>
      <w:bookmarkStart w:id="458" w:name="_Toc30646668"/>
      <w:bookmarkStart w:id="459" w:name="_Toc30646778"/>
      <w:bookmarkStart w:id="460" w:name="_Toc30648135"/>
      <w:bookmarkStart w:id="461" w:name="_Toc30649033"/>
      <w:bookmarkStart w:id="462" w:name="_Toc30649109"/>
      <w:bookmarkStart w:id="463" w:name="_Toc30649370"/>
      <w:bookmarkStart w:id="464" w:name="_Toc30649690"/>
      <w:bookmarkStart w:id="465" w:name="_Toc30651624"/>
      <w:bookmarkStart w:id="466" w:name="_Toc30652608"/>
      <w:bookmarkStart w:id="467" w:name="_Toc30652706"/>
      <w:bookmarkStart w:id="468" w:name="_Toc30654051"/>
      <w:bookmarkStart w:id="469" w:name="_Toc30654402"/>
      <w:bookmarkStart w:id="470" w:name="_Toc30655021"/>
      <w:bookmarkStart w:id="471" w:name="_Toc30655278"/>
      <w:bookmarkStart w:id="472" w:name="_Toc30656954"/>
      <w:bookmarkStart w:id="473" w:name="_Toc30661703"/>
      <w:bookmarkStart w:id="474" w:name="_Toc30666391"/>
      <w:bookmarkStart w:id="475" w:name="_Toc30666621"/>
      <w:bookmarkStart w:id="476" w:name="_Toc30667796"/>
      <w:bookmarkStart w:id="477" w:name="_Toc30669174"/>
      <w:bookmarkStart w:id="478" w:name="_Toc30671390"/>
      <w:bookmarkStart w:id="479" w:name="_Toc30673917"/>
      <w:bookmarkStart w:id="480" w:name="_Toc30691139"/>
      <w:bookmarkStart w:id="481" w:name="_Toc30691510"/>
      <w:bookmarkStart w:id="482" w:name="_Toc30691890"/>
      <w:bookmarkStart w:id="483" w:name="_Toc30692649"/>
      <w:bookmarkStart w:id="484" w:name="_Toc30693028"/>
      <w:bookmarkStart w:id="485" w:name="_Toc30693406"/>
      <w:bookmarkStart w:id="486" w:name="_Toc30693785"/>
      <w:bookmarkStart w:id="487" w:name="_Toc30694166"/>
      <w:bookmarkStart w:id="488" w:name="_Toc30698755"/>
      <w:bookmarkStart w:id="489" w:name="_Toc30699133"/>
      <w:bookmarkStart w:id="490" w:name="_Toc30699518"/>
      <w:bookmarkStart w:id="491" w:name="_Toc30700673"/>
      <w:bookmarkStart w:id="492" w:name="_Toc30701060"/>
      <w:bookmarkStart w:id="493" w:name="_Toc30743669"/>
      <w:bookmarkStart w:id="494" w:name="_Toc30754492"/>
      <w:bookmarkStart w:id="495" w:name="_Toc30756932"/>
      <w:bookmarkStart w:id="496" w:name="_Toc30757481"/>
      <w:bookmarkStart w:id="497" w:name="_Toc30757881"/>
      <w:bookmarkStart w:id="498" w:name="_Toc30762642"/>
      <w:bookmarkStart w:id="499" w:name="_Toc30767296"/>
      <w:bookmarkStart w:id="500" w:name="_Toc34823321"/>
      <w:bookmarkEnd w:id="448"/>
      <w:bookmarkEnd w:id="449"/>
      <w:r w:rsidRPr="00BD3BA0">
        <w:rPr>
          <w:rFonts w:ascii="Arial" w:hAnsi="Arial" w:cs="Arial"/>
          <w:b/>
          <w:bCs/>
          <w:sz w:val="22"/>
          <w:szCs w:val="28"/>
        </w:rPr>
        <w:t>THE REST OF THIS PAGE IS BLANK</w:t>
      </w:r>
    </w:p>
    <w:p w14:paraId="0A2B34E5" w14:textId="77777777" w:rsidR="009B3CD4" w:rsidRDefault="009B3CD4" w:rsidP="009B3CD4">
      <w:pPr>
        <w:rPr>
          <w:rFonts w:ascii="Arial" w:hAnsi="Arial" w:cs="Arial"/>
          <w:color w:val="000000"/>
          <w:sz w:val="20"/>
        </w:rPr>
      </w:pPr>
    </w:p>
    <w:p w14:paraId="3698D9D5" w14:textId="77777777" w:rsidR="009B3CD4" w:rsidRDefault="009B3CD4" w:rsidP="009B3CD4">
      <w:pPr>
        <w:rPr>
          <w:rFonts w:ascii="Arial" w:hAnsi="Arial" w:cs="Arial"/>
          <w:b/>
          <w:bCs/>
          <w:kern w:val="28"/>
          <w:szCs w:val="20"/>
          <w:lang w:val="en-GB"/>
        </w:rPr>
      </w:pPr>
      <w:r>
        <w:rPr>
          <w:rFonts w:ascii="Arial" w:hAnsi="Arial" w:cs="Arial"/>
          <w:b/>
          <w:bCs/>
        </w:rPr>
        <w:br w:type="page"/>
      </w:r>
    </w:p>
    <w:p w14:paraId="728D92C9" w14:textId="77777777" w:rsidR="00277B85" w:rsidRDefault="00277B85" w:rsidP="00736D39">
      <w:pPr>
        <w:pStyle w:val="Heading2"/>
        <w:keepNext/>
        <w:keepLines/>
        <w:tabs>
          <w:tab w:val="left" w:pos="567"/>
        </w:tabs>
        <w:spacing w:line="240" w:lineRule="auto"/>
        <w:rPr>
          <w:rFonts w:ascii="Arial" w:hAnsi="Arial" w:cs="Arial"/>
          <w:b/>
          <w:bCs/>
        </w:rPr>
      </w:pPr>
      <w:r>
        <w:rPr>
          <w:rFonts w:ascii="Arial" w:hAnsi="Arial" w:cs="Arial"/>
          <w:b/>
          <w:bCs/>
        </w:rPr>
        <w:lastRenderedPageBreak/>
        <w:t>2.8</w:t>
      </w:r>
      <w:r>
        <w:rPr>
          <w:rFonts w:ascii="Arial" w:hAnsi="Arial" w:cs="Arial"/>
          <w:b/>
          <w:bCs/>
        </w:rPr>
        <w:tab/>
        <w:t>Restriction on publication of proceedings</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3C451EE2" w14:textId="77777777" w:rsidR="00277B85" w:rsidRPr="001E79F7" w:rsidRDefault="00277B85" w:rsidP="00C94638">
      <w:pPr>
        <w:keepNext/>
        <w:keepLines/>
        <w:jc w:val="both"/>
        <w:rPr>
          <w:rFonts w:ascii="Arial" w:hAnsi="Arial" w:cs="Arial"/>
          <w:sz w:val="20"/>
        </w:rPr>
      </w:pPr>
    </w:p>
    <w:p w14:paraId="42BE934D" w14:textId="77777777" w:rsidR="001E79F7" w:rsidRDefault="001E79F7" w:rsidP="001E79F7">
      <w:pPr>
        <w:pStyle w:val="Heading3"/>
        <w:keepNext/>
        <w:keepLines/>
        <w:spacing w:after="120" w:line="240" w:lineRule="auto"/>
        <w:rPr>
          <w:rFonts w:ascii="Arial" w:hAnsi="Arial" w:cs="Arial"/>
          <w:b/>
          <w:bCs/>
          <w:sz w:val="20"/>
        </w:rPr>
      </w:pPr>
      <w:bookmarkStart w:id="501" w:name="_2.8.1_Statutory_prohibition"/>
      <w:bookmarkEnd w:id="501"/>
      <w:r>
        <w:rPr>
          <w:rFonts w:ascii="Arial" w:hAnsi="Arial" w:cs="Arial"/>
          <w:b/>
          <w:bCs/>
          <w:sz w:val="20"/>
        </w:rPr>
        <w:t>2.8.1</w:t>
      </w:r>
      <w:r>
        <w:rPr>
          <w:rFonts w:ascii="Arial" w:hAnsi="Arial" w:cs="Arial"/>
          <w:b/>
          <w:bCs/>
          <w:sz w:val="20"/>
        </w:rPr>
        <w:tab/>
      </w:r>
      <w:r w:rsidR="00F42304">
        <w:rPr>
          <w:rFonts w:ascii="Arial" w:hAnsi="Arial" w:cs="Arial"/>
          <w:b/>
          <w:bCs/>
          <w:sz w:val="20"/>
        </w:rPr>
        <w:t xml:space="preserve">Statutory prohibition </w:t>
      </w:r>
      <w:r>
        <w:rPr>
          <w:rFonts w:ascii="Arial" w:hAnsi="Arial" w:cs="Arial"/>
          <w:b/>
          <w:bCs/>
          <w:sz w:val="20"/>
        </w:rPr>
        <w:t>on publication of identifying particulars</w:t>
      </w:r>
      <w:r w:rsidR="002D4F6F">
        <w:rPr>
          <w:rFonts w:ascii="Arial" w:hAnsi="Arial" w:cs="Arial"/>
          <w:b/>
          <w:bCs/>
          <w:sz w:val="20"/>
        </w:rPr>
        <w:t>-s.534 of the CYFA</w:t>
      </w:r>
    </w:p>
    <w:p w14:paraId="2425CA97" w14:textId="6BB48B4F" w:rsidR="00277B85" w:rsidRDefault="006C17E0" w:rsidP="006C17E0">
      <w:pPr>
        <w:jc w:val="both"/>
        <w:rPr>
          <w:rFonts w:ascii="Arial" w:hAnsi="Arial" w:cs="Arial"/>
          <w:sz w:val="20"/>
        </w:rPr>
      </w:pPr>
      <w:bookmarkStart w:id="502" w:name="_Hlk13668651"/>
      <w:r>
        <w:rPr>
          <w:rFonts w:ascii="Arial" w:hAnsi="Arial" w:cs="Arial"/>
          <w:sz w:val="20"/>
        </w:rPr>
        <w:t xml:space="preserve">Under s.534(1) of the CYFA – the statutory predecessors of which are s.26 of the </w:t>
      </w:r>
      <w:r w:rsidRPr="006C17E0">
        <w:rPr>
          <w:rFonts w:ascii="Arial" w:hAnsi="Arial" w:cs="Arial"/>
          <w:i/>
          <w:iCs/>
          <w:sz w:val="20"/>
        </w:rPr>
        <w:t>Children and Young Persons Act 1991</w:t>
      </w:r>
      <w:r>
        <w:rPr>
          <w:rFonts w:ascii="Arial" w:hAnsi="Arial" w:cs="Arial"/>
          <w:sz w:val="20"/>
        </w:rPr>
        <w:t xml:space="preserve">, s.48 of the </w:t>
      </w:r>
      <w:r w:rsidRPr="006C17E0">
        <w:rPr>
          <w:rFonts w:ascii="Arial" w:hAnsi="Arial" w:cs="Arial"/>
          <w:i/>
          <w:iCs/>
          <w:sz w:val="20"/>
        </w:rPr>
        <w:t>Children’s Court Act 197</w:t>
      </w:r>
      <w:r>
        <w:rPr>
          <w:rFonts w:ascii="Arial" w:hAnsi="Arial" w:cs="Arial"/>
          <w:sz w:val="20"/>
        </w:rPr>
        <w:t xml:space="preserve">3, s.43 of the </w:t>
      </w:r>
      <w:r w:rsidRPr="006C17E0">
        <w:rPr>
          <w:rFonts w:ascii="Arial" w:hAnsi="Arial" w:cs="Arial"/>
          <w:i/>
          <w:iCs/>
          <w:sz w:val="20"/>
        </w:rPr>
        <w:t>Children’s Court Act 1958</w:t>
      </w:r>
      <w:r>
        <w:rPr>
          <w:rFonts w:ascii="Arial" w:hAnsi="Arial" w:cs="Arial"/>
          <w:sz w:val="20"/>
        </w:rPr>
        <w:t xml:space="preserve"> &amp; s.43 of the </w:t>
      </w:r>
      <w:r w:rsidRPr="006C17E0">
        <w:rPr>
          <w:rFonts w:ascii="Arial" w:hAnsi="Arial" w:cs="Arial"/>
          <w:i/>
          <w:iCs/>
          <w:sz w:val="20"/>
        </w:rPr>
        <w:t>Children’s Court Act 1956</w:t>
      </w:r>
      <w:r>
        <w:rPr>
          <w:rFonts w:ascii="Arial" w:hAnsi="Arial" w:cs="Arial"/>
          <w:sz w:val="20"/>
        </w:rPr>
        <w:t xml:space="preserve"> – it is </w:t>
      </w:r>
      <w:r w:rsidR="00277B85">
        <w:rPr>
          <w:rFonts w:ascii="Arial" w:hAnsi="Arial" w:cs="Arial"/>
          <w:sz w:val="20"/>
        </w:rPr>
        <w:t>an offence punishable by fine or imprisonment for a person to publish or cause to be published</w:t>
      </w:r>
      <w:r w:rsidR="00141992">
        <w:rPr>
          <w:rFonts w:ascii="Arial" w:hAnsi="Arial" w:cs="Arial"/>
          <w:sz w:val="20"/>
          <w:szCs w:val="20"/>
        </w:rPr>
        <w:t>–</w:t>
      </w:r>
    </w:p>
    <w:p w14:paraId="58D9BF9F" w14:textId="1A8FDAD6" w:rsidR="00277B85" w:rsidRDefault="00277B85">
      <w:pPr>
        <w:ind w:left="363" w:hanging="363"/>
        <w:jc w:val="both"/>
        <w:rPr>
          <w:rFonts w:ascii="Arial" w:hAnsi="Arial" w:cs="Arial"/>
          <w:sz w:val="20"/>
        </w:rPr>
      </w:pPr>
      <w:r>
        <w:rPr>
          <w:rFonts w:ascii="Arial" w:hAnsi="Arial" w:cs="Arial"/>
          <w:sz w:val="20"/>
        </w:rPr>
        <w:t>(a)</w:t>
      </w:r>
      <w:r>
        <w:rPr>
          <w:rFonts w:ascii="Arial" w:hAnsi="Arial" w:cs="Arial"/>
          <w:sz w:val="20"/>
        </w:rPr>
        <w:tab/>
        <w:t>except with the permission of the President</w:t>
      </w:r>
      <w:r w:rsidR="006D43F9">
        <w:rPr>
          <w:rFonts w:ascii="Arial" w:hAnsi="Arial" w:cs="Arial"/>
          <w:sz w:val="20"/>
        </w:rPr>
        <w:t xml:space="preserve"> or of a magistrate under s.534(1A)</w:t>
      </w:r>
      <w:r w:rsidR="001E79F7">
        <w:rPr>
          <w:rFonts w:ascii="Arial" w:hAnsi="Arial" w:cs="Arial"/>
          <w:sz w:val="20"/>
        </w:rPr>
        <w:t>,</w:t>
      </w:r>
      <w:r>
        <w:rPr>
          <w:rFonts w:ascii="Arial" w:hAnsi="Arial" w:cs="Arial"/>
          <w:sz w:val="20"/>
        </w:rPr>
        <w:t xml:space="preserve"> a report of any proceeding in the Court or of a proceeding in any other court arising out of a proceeding in the Court that contains any particulars likely to lead to the identification of-</w:t>
      </w:r>
    </w:p>
    <w:p w14:paraId="34991C84" w14:textId="77777777" w:rsidR="00277B85" w:rsidRDefault="00277B85" w:rsidP="00CD02A3">
      <w:pPr>
        <w:tabs>
          <w:tab w:val="left" w:pos="720"/>
        </w:tabs>
        <w:ind w:left="714" w:hanging="357"/>
        <w:jc w:val="both"/>
        <w:rPr>
          <w:rFonts w:ascii="Arial" w:hAnsi="Arial" w:cs="Arial"/>
          <w:sz w:val="20"/>
        </w:rPr>
      </w:pPr>
      <w:r>
        <w:rPr>
          <w:rFonts w:ascii="Arial" w:hAnsi="Arial" w:cs="Arial"/>
          <w:sz w:val="20"/>
        </w:rPr>
        <w:t>(i)</w:t>
      </w:r>
      <w:r>
        <w:rPr>
          <w:rFonts w:ascii="Arial" w:hAnsi="Arial" w:cs="Arial"/>
          <w:sz w:val="20"/>
        </w:rPr>
        <w:tab/>
        <w:t>the particular venue of the Children's Court</w:t>
      </w:r>
      <w:r w:rsidR="00DA0C37">
        <w:rPr>
          <w:rFonts w:ascii="Arial" w:hAnsi="Arial" w:cs="Arial"/>
          <w:sz w:val="20"/>
        </w:rPr>
        <w:t>, other than the Koori Court (Criminal Division)</w:t>
      </w:r>
      <w:r w:rsidR="003573C8">
        <w:rPr>
          <w:rFonts w:ascii="Arial" w:hAnsi="Arial" w:cs="Arial"/>
          <w:sz w:val="20"/>
        </w:rPr>
        <w:t xml:space="preserve"> or the Neighbourhood Justice Division</w:t>
      </w:r>
      <w:r w:rsidR="00DA0C37">
        <w:rPr>
          <w:rFonts w:ascii="Arial" w:hAnsi="Arial" w:cs="Arial"/>
          <w:sz w:val="20"/>
        </w:rPr>
        <w:t>,</w:t>
      </w:r>
      <w:r>
        <w:rPr>
          <w:rFonts w:ascii="Arial" w:hAnsi="Arial" w:cs="Arial"/>
          <w:sz w:val="20"/>
        </w:rPr>
        <w:t xml:space="preserve"> in which the proceeding was heard; or</w:t>
      </w:r>
    </w:p>
    <w:p w14:paraId="70E7C10D" w14:textId="77777777" w:rsidR="00277B85" w:rsidRDefault="00277B85">
      <w:pPr>
        <w:ind w:left="363" w:hanging="363"/>
        <w:jc w:val="both"/>
        <w:rPr>
          <w:rFonts w:ascii="Arial" w:hAnsi="Arial" w:cs="Arial"/>
          <w:sz w:val="20"/>
        </w:rPr>
      </w:pPr>
      <w:r>
        <w:rPr>
          <w:rFonts w:ascii="Arial" w:hAnsi="Arial" w:cs="Arial"/>
          <w:sz w:val="20"/>
        </w:rPr>
        <w:tab/>
        <w:t>(ii)</w:t>
      </w:r>
      <w:r>
        <w:rPr>
          <w:rFonts w:ascii="Arial" w:hAnsi="Arial" w:cs="Arial"/>
          <w:sz w:val="20"/>
        </w:rPr>
        <w:tab/>
        <w:t>a child or other party to the proceeding; or</w:t>
      </w:r>
    </w:p>
    <w:p w14:paraId="05E60C68" w14:textId="09E358DB" w:rsidR="00277B85" w:rsidRDefault="00277B85" w:rsidP="001255F0">
      <w:pPr>
        <w:ind w:left="720" w:hanging="363"/>
        <w:jc w:val="both"/>
        <w:rPr>
          <w:rFonts w:ascii="Arial" w:hAnsi="Arial" w:cs="Arial"/>
          <w:sz w:val="20"/>
        </w:rPr>
      </w:pPr>
      <w:r>
        <w:rPr>
          <w:rFonts w:ascii="Arial" w:hAnsi="Arial" w:cs="Arial"/>
          <w:sz w:val="20"/>
        </w:rPr>
        <w:t>(iii)</w:t>
      </w:r>
      <w:r>
        <w:rPr>
          <w:rFonts w:ascii="Arial" w:hAnsi="Arial" w:cs="Arial"/>
          <w:sz w:val="20"/>
        </w:rPr>
        <w:tab/>
        <w:t>a witness in the proceeding; or</w:t>
      </w:r>
    </w:p>
    <w:p w14:paraId="6576AED9" w14:textId="3A8224F3" w:rsidR="00277B85" w:rsidRDefault="00277B85">
      <w:pPr>
        <w:ind w:left="363" w:hanging="363"/>
        <w:jc w:val="both"/>
        <w:rPr>
          <w:rFonts w:ascii="Arial" w:hAnsi="Arial" w:cs="Arial"/>
          <w:sz w:val="20"/>
        </w:rPr>
      </w:pPr>
      <w:r>
        <w:rPr>
          <w:rFonts w:ascii="Arial" w:hAnsi="Arial" w:cs="Arial"/>
          <w:sz w:val="20"/>
        </w:rPr>
        <w:t>(b)</w:t>
      </w:r>
      <w:r>
        <w:rPr>
          <w:rFonts w:ascii="Arial" w:hAnsi="Arial" w:cs="Arial"/>
          <w:sz w:val="20"/>
        </w:rPr>
        <w:tab/>
        <w:t>except with the permission of the President</w:t>
      </w:r>
      <w:r w:rsidR="00767B71">
        <w:rPr>
          <w:rFonts w:ascii="Arial" w:hAnsi="Arial" w:cs="Arial"/>
          <w:sz w:val="20"/>
        </w:rPr>
        <w:t xml:space="preserve"> or of a magistrate under s.534(1A)</w:t>
      </w:r>
      <w:r>
        <w:rPr>
          <w:rFonts w:ascii="Arial" w:hAnsi="Arial" w:cs="Arial"/>
          <w:sz w:val="20"/>
        </w:rPr>
        <w:t xml:space="preserve">, a picture as being or including a picture of a child or other party to, or a witness in, a proceeding referred to in </w:t>
      </w:r>
      <w:r w:rsidR="00141992">
        <w:rPr>
          <w:rFonts w:ascii="Arial" w:hAnsi="Arial" w:cs="Arial"/>
          <w:sz w:val="20"/>
        </w:rPr>
        <w:t>paragraph </w:t>
      </w:r>
      <w:r>
        <w:rPr>
          <w:rFonts w:ascii="Arial" w:hAnsi="Arial" w:cs="Arial"/>
          <w:sz w:val="20"/>
        </w:rPr>
        <w:t>(a) above; or</w:t>
      </w:r>
    </w:p>
    <w:p w14:paraId="151E9619" w14:textId="2877D2AD" w:rsidR="00277B85" w:rsidRDefault="00277B85">
      <w:pPr>
        <w:ind w:left="363" w:hanging="363"/>
        <w:jc w:val="both"/>
        <w:rPr>
          <w:rFonts w:ascii="Arial" w:hAnsi="Arial" w:cs="Arial"/>
          <w:sz w:val="20"/>
        </w:rPr>
      </w:pPr>
      <w:r>
        <w:rPr>
          <w:rFonts w:ascii="Arial" w:hAnsi="Arial" w:cs="Arial"/>
          <w:sz w:val="20"/>
        </w:rPr>
        <w:t>(c)</w:t>
      </w:r>
      <w:r>
        <w:rPr>
          <w:rFonts w:ascii="Arial" w:hAnsi="Arial" w:cs="Arial"/>
          <w:sz w:val="20"/>
        </w:rPr>
        <w:tab/>
        <w:t xml:space="preserve">except with the permission of the </w:t>
      </w:r>
      <w:r w:rsidR="00537365">
        <w:rPr>
          <w:rFonts w:ascii="Arial" w:hAnsi="Arial" w:cs="Arial"/>
          <w:sz w:val="20"/>
        </w:rPr>
        <w:t xml:space="preserve">President </w:t>
      </w:r>
      <w:r w:rsidR="00767B71">
        <w:rPr>
          <w:rFonts w:ascii="Arial" w:hAnsi="Arial" w:cs="Arial"/>
          <w:sz w:val="20"/>
        </w:rPr>
        <w:t xml:space="preserve">or of a magistrate under s.534(1A) </w:t>
      </w:r>
      <w:r w:rsidR="00DA0C37">
        <w:rPr>
          <w:rFonts w:ascii="Arial" w:hAnsi="Arial" w:cs="Arial"/>
          <w:sz w:val="20"/>
        </w:rPr>
        <w:t>or</w:t>
      </w:r>
      <w:r w:rsidR="00E46907">
        <w:rPr>
          <w:rFonts w:ascii="Arial" w:hAnsi="Arial" w:cs="Arial"/>
          <w:sz w:val="20"/>
        </w:rPr>
        <w:t xml:space="preserve"> – </w:t>
      </w:r>
      <w:r w:rsidR="00537365">
        <w:rPr>
          <w:rFonts w:ascii="Arial" w:hAnsi="Arial" w:cs="Arial"/>
          <w:sz w:val="20"/>
        </w:rPr>
        <w:t>per</w:t>
      </w:r>
      <w:r w:rsidR="00E46907">
        <w:rPr>
          <w:rFonts w:ascii="Arial" w:hAnsi="Arial" w:cs="Arial"/>
          <w:sz w:val="20"/>
        </w:rPr>
        <w:t xml:space="preserve"> </w:t>
      </w:r>
      <w:r w:rsidR="00537365">
        <w:rPr>
          <w:rFonts w:ascii="Arial" w:hAnsi="Arial" w:cs="Arial"/>
          <w:sz w:val="20"/>
        </w:rPr>
        <w:t>s.534(3)</w:t>
      </w:r>
      <w:r w:rsidR="00E46907">
        <w:rPr>
          <w:rFonts w:ascii="Arial" w:hAnsi="Arial" w:cs="Arial"/>
          <w:sz w:val="20"/>
        </w:rPr>
        <w:t xml:space="preserve"> –</w:t>
      </w:r>
      <w:r w:rsidR="00537365">
        <w:rPr>
          <w:rFonts w:ascii="Arial" w:hAnsi="Arial" w:cs="Arial"/>
          <w:sz w:val="20"/>
        </w:rPr>
        <w:t xml:space="preserve"> </w:t>
      </w:r>
      <w:r w:rsidR="00DA0C37">
        <w:rPr>
          <w:rFonts w:ascii="Arial" w:hAnsi="Arial" w:cs="Arial"/>
          <w:sz w:val="20"/>
        </w:rPr>
        <w:t>of</w:t>
      </w:r>
      <w:r w:rsidR="00E46907">
        <w:rPr>
          <w:rFonts w:ascii="Arial" w:hAnsi="Arial" w:cs="Arial"/>
          <w:sz w:val="20"/>
        </w:rPr>
        <w:t xml:space="preserve"> </w:t>
      </w:r>
      <w:r w:rsidR="00DA0C37">
        <w:rPr>
          <w:rFonts w:ascii="Arial" w:hAnsi="Arial" w:cs="Arial"/>
          <w:sz w:val="20"/>
        </w:rPr>
        <w:t xml:space="preserve">the </w:t>
      </w:r>
      <w:r>
        <w:rPr>
          <w:rFonts w:ascii="Arial" w:hAnsi="Arial" w:cs="Arial"/>
          <w:sz w:val="20"/>
        </w:rPr>
        <w:t xml:space="preserve">Secretary granted in special circumstances in relation to a child who is the subject of a </w:t>
      </w:r>
      <w:r w:rsidR="003573C8">
        <w:rPr>
          <w:rFonts w:ascii="Arial" w:hAnsi="Arial" w:cs="Arial"/>
          <w:sz w:val="20"/>
        </w:rPr>
        <w:t>family reunification order, care by Secretary order or long-term care order</w:t>
      </w:r>
      <w:r>
        <w:rPr>
          <w:rFonts w:ascii="Arial" w:hAnsi="Arial" w:cs="Arial"/>
          <w:sz w:val="20"/>
        </w:rPr>
        <w:t>, any matter that contains any particulars likely to lead to the identification of a child as being the subject of an order made by the Court.</w:t>
      </w:r>
    </w:p>
    <w:p w14:paraId="2BD030F3" w14:textId="70B2BCD5" w:rsidR="00CA7479" w:rsidRDefault="00CA7479">
      <w:pPr>
        <w:jc w:val="both"/>
        <w:rPr>
          <w:rFonts w:ascii="Arial" w:hAnsi="Arial" w:cs="Arial"/>
          <w:sz w:val="20"/>
        </w:rPr>
      </w:pPr>
    </w:p>
    <w:p w14:paraId="14032AEC" w14:textId="62FCE777" w:rsidR="00A5707C" w:rsidRPr="00A5707C" w:rsidRDefault="00A5707C">
      <w:pPr>
        <w:jc w:val="both"/>
        <w:rPr>
          <w:rFonts w:ascii="Arial" w:hAnsi="Arial" w:cs="Arial"/>
          <w:color w:val="000000" w:themeColor="text1"/>
          <w:sz w:val="20"/>
        </w:rPr>
      </w:pPr>
      <w:r w:rsidRPr="00A5707C">
        <w:rPr>
          <w:rFonts w:ascii="Arial" w:hAnsi="Arial" w:cs="Arial"/>
          <w:color w:val="000000" w:themeColor="text1"/>
          <w:sz w:val="20"/>
        </w:rPr>
        <w:t>In footnotes 3</w:t>
      </w:r>
      <w:r>
        <w:rPr>
          <w:rFonts w:ascii="Arial" w:hAnsi="Arial" w:cs="Arial"/>
          <w:color w:val="000000" w:themeColor="text1"/>
          <w:sz w:val="20"/>
        </w:rPr>
        <w:t>8</w:t>
      </w:r>
      <w:r w:rsidRPr="00A5707C">
        <w:rPr>
          <w:rFonts w:ascii="Arial" w:hAnsi="Arial" w:cs="Arial"/>
          <w:color w:val="000000" w:themeColor="text1"/>
          <w:sz w:val="20"/>
        </w:rPr>
        <w:t xml:space="preserve"> &amp; 3</w:t>
      </w:r>
      <w:r>
        <w:rPr>
          <w:rFonts w:ascii="Arial" w:hAnsi="Arial" w:cs="Arial"/>
          <w:color w:val="000000" w:themeColor="text1"/>
          <w:sz w:val="20"/>
        </w:rPr>
        <w:t>9</w:t>
      </w:r>
      <w:r w:rsidRPr="00A5707C">
        <w:rPr>
          <w:rFonts w:ascii="Arial" w:hAnsi="Arial" w:cs="Arial"/>
          <w:color w:val="000000" w:themeColor="text1"/>
          <w:sz w:val="20"/>
        </w:rPr>
        <w:t xml:space="preserve"> of his judgment in </w:t>
      </w:r>
      <w:r w:rsidRPr="00A5707C">
        <w:rPr>
          <w:rFonts w:ascii="Arial" w:hAnsi="Arial" w:cs="Arial"/>
          <w:i/>
          <w:iCs/>
          <w:color w:val="000000" w:themeColor="text1"/>
          <w:sz w:val="20"/>
        </w:rPr>
        <w:t>Re WD (No 2)</w:t>
      </w:r>
      <w:r w:rsidRPr="00A5707C">
        <w:rPr>
          <w:rFonts w:ascii="Arial" w:hAnsi="Arial" w:cs="Arial"/>
          <w:color w:val="000000" w:themeColor="text1"/>
          <w:sz w:val="20"/>
        </w:rPr>
        <w:t xml:space="preserve"> [2023] VSC 790 Elliott J said in relation to the words “or other party to </w:t>
      </w:r>
      <w:r w:rsidR="00567690">
        <w:rPr>
          <w:rFonts w:ascii="Arial" w:hAnsi="Arial" w:cs="Arial"/>
          <w:color w:val="000000" w:themeColor="text1"/>
          <w:sz w:val="20"/>
        </w:rPr>
        <w:t xml:space="preserve">the </w:t>
      </w:r>
      <w:r w:rsidRPr="00A5707C">
        <w:rPr>
          <w:rFonts w:ascii="Arial" w:hAnsi="Arial" w:cs="Arial"/>
          <w:color w:val="000000" w:themeColor="text1"/>
          <w:sz w:val="20"/>
        </w:rPr>
        <w:t xml:space="preserve">proceeding” in s.534(1)(a)(ii) </w:t>
      </w:r>
      <w:r>
        <w:rPr>
          <w:rFonts w:ascii="Arial" w:hAnsi="Arial" w:cs="Arial"/>
          <w:color w:val="000000" w:themeColor="text1"/>
          <w:sz w:val="20"/>
        </w:rPr>
        <w:t>CYFA:</w:t>
      </w:r>
    </w:p>
    <w:p w14:paraId="40DD18C1" w14:textId="217919F2" w:rsidR="00A5707C" w:rsidRDefault="00A5707C" w:rsidP="00A5707C">
      <w:pPr>
        <w:spacing w:before="60"/>
        <w:ind w:left="567" w:right="567"/>
        <w:jc w:val="both"/>
        <w:rPr>
          <w:rFonts w:ascii="Arial" w:hAnsi="Arial" w:cs="Arial"/>
          <w:sz w:val="20"/>
          <w:szCs w:val="20"/>
        </w:rPr>
      </w:pPr>
      <w:r>
        <w:rPr>
          <w:rFonts w:ascii="Arial" w:hAnsi="Arial" w:cs="Arial"/>
          <w:sz w:val="20"/>
        </w:rPr>
        <w:t>(38) “</w:t>
      </w:r>
      <w:r w:rsidRPr="00A5707C">
        <w:rPr>
          <w:rFonts w:ascii="Arial" w:hAnsi="Arial" w:cs="Arial"/>
          <w:sz w:val="20"/>
          <w:szCs w:val="20"/>
        </w:rPr>
        <w:t xml:space="preserve">Although it was not the subject of any argument, the apparent breadth of this subparagraph is notable. In many proceedings in or arising from the Children’s Court (such as this </w:t>
      </w:r>
      <w:r>
        <w:rPr>
          <w:rFonts w:ascii="Arial" w:hAnsi="Arial" w:cs="Arial"/>
          <w:sz w:val="20"/>
          <w:szCs w:val="20"/>
        </w:rPr>
        <w:t>one</w:t>
      </w:r>
      <w:r w:rsidRPr="00A5707C">
        <w:rPr>
          <w:rFonts w:ascii="Arial" w:hAnsi="Arial" w:cs="Arial"/>
          <w:sz w:val="20"/>
          <w:szCs w:val="20"/>
        </w:rPr>
        <w:t xml:space="preserve">), the Director of Public Prosecutions (or other public entity) is a </w:t>
      </w:r>
      <w:r>
        <w:rPr>
          <w:rFonts w:ascii="Arial" w:hAnsi="Arial" w:cs="Arial"/>
          <w:sz w:val="20"/>
          <w:szCs w:val="20"/>
        </w:rPr>
        <w:t>‘</w:t>
      </w:r>
      <w:r w:rsidRPr="00A5707C">
        <w:rPr>
          <w:rFonts w:ascii="Arial" w:hAnsi="Arial" w:cs="Arial"/>
          <w:sz w:val="20"/>
          <w:szCs w:val="20"/>
        </w:rPr>
        <w:t>party to the proceeding</w:t>
      </w:r>
      <w:r>
        <w:rPr>
          <w:rFonts w:ascii="Arial" w:hAnsi="Arial" w:cs="Arial"/>
          <w:sz w:val="20"/>
          <w:szCs w:val="20"/>
        </w:rPr>
        <w:t>’</w:t>
      </w:r>
      <w:r w:rsidRPr="00A5707C">
        <w:rPr>
          <w:rFonts w:ascii="Arial" w:hAnsi="Arial" w:cs="Arial"/>
          <w:sz w:val="20"/>
          <w:szCs w:val="20"/>
        </w:rPr>
        <w:t xml:space="preserve">. Presumably, this subparagraph cannot be intended to restrict or prohibit the publication of a report containing any particulars likely to lead to the identification of the Director of Public Prosecutions, as such an interpretation would undermine the purpose of s 534: see </w:t>
      </w:r>
      <w:r w:rsidRPr="00A5707C">
        <w:rPr>
          <w:rFonts w:ascii="Arial" w:hAnsi="Arial" w:cs="Arial"/>
          <w:i/>
          <w:iCs/>
          <w:sz w:val="20"/>
          <w:szCs w:val="20"/>
        </w:rPr>
        <w:t>Howe v Harvey</w:t>
      </w:r>
      <w:r w:rsidRPr="00A5707C">
        <w:rPr>
          <w:rFonts w:ascii="Arial" w:hAnsi="Arial" w:cs="Arial"/>
          <w:sz w:val="20"/>
          <w:szCs w:val="20"/>
        </w:rPr>
        <w:t xml:space="preserve"> (2008) 20 VR 638, 658-659 [94] (Neave and Kellam JJA and Forrest AJA).</w:t>
      </w:r>
      <w:r>
        <w:rPr>
          <w:rFonts w:ascii="Arial" w:hAnsi="Arial" w:cs="Arial"/>
          <w:sz w:val="20"/>
          <w:szCs w:val="20"/>
        </w:rPr>
        <w:t>”</w:t>
      </w:r>
    </w:p>
    <w:p w14:paraId="60CF165E" w14:textId="176C8641" w:rsidR="00A5707C" w:rsidRPr="00A5707C" w:rsidRDefault="00A5707C" w:rsidP="00A5707C">
      <w:pPr>
        <w:spacing w:before="60"/>
        <w:ind w:left="567" w:right="567"/>
        <w:jc w:val="both"/>
        <w:rPr>
          <w:rFonts w:ascii="Arial" w:hAnsi="Arial" w:cs="Arial"/>
          <w:sz w:val="20"/>
          <w:szCs w:val="20"/>
        </w:rPr>
      </w:pPr>
      <w:r w:rsidRPr="00A5707C">
        <w:rPr>
          <w:rFonts w:ascii="Arial" w:hAnsi="Arial" w:cs="Arial"/>
          <w:sz w:val="20"/>
          <w:szCs w:val="20"/>
        </w:rPr>
        <w:t>(3</w:t>
      </w:r>
      <w:r>
        <w:rPr>
          <w:rFonts w:ascii="Arial" w:hAnsi="Arial" w:cs="Arial"/>
          <w:sz w:val="20"/>
          <w:szCs w:val="20"/>
        </w:rPr>
        <w:t>9</w:t>
      </w:r>
      <w:r w:rsidRPr="00A5707C">
        <w:rPr>
          <w:rFonts w:ascii="Arial" w:hAnsi="Arial" w:cs="Arial"/>
          <w:sz w:val="20"/>
          <w:szCs w:val="20"/>
        </w:rPr>
        <w:t>) “In a similar vein, and again as in the circumstances of this case, it will sometimes be the case that a child the subject of a proceeding in or arising from the Children’s Court is in the care of the Secretary. However, this subparagraph likewise cannot be intended to restrict or prohibit the publication of the name of the Secretary in a report of the proceeding, as such an interpretation would likewise undermine the purpose of s 534: ibid.</w:t>
      </w:r>
      <w:r>
        <w:rPr>
          <w:rFonts w:ascii="Arial" w:hAnsi="Arial" w:cs="Arial"/>
          <w:sz w:val="20"/>
          <w:szCs w:val="20"/>
        </w:rPr>
        <w:t>”</w:t>
      </w:r>
    </w:p>
    <w:p w14:paraId="1DDC1564" w14:textId="77777777" w:rsidR="00A5707C" w:rsidRDefault="00A5707C">
      <w:pPr>
        <w:jc w:val="both"/>
        <w:rPr>
          <w:rFonts w:ascii="Arial" w:hAnsi="Arial" w:cs="Arial"/>
          <w:sz w:val="20"/>
        </w:rPr>
      </w:pPr>
    </w:p>
    <w:p w14:paraId="5170F9B3" w14:textId="3C643ACD" w:rsidR="00340212" w:rsidRDefault="001255F0">
      <w:pPr>
        <w:jc w:val="both"/>
        <w:rPr>
          <w:rFonts w:ascii="Arial" w:hAnsi="Arial" w:cs="Arial"/>
          <w:sz w:val="20"/>
        </w:rPr>
      </w:pPr>
      <w:r>
        <w:rPr>
          <w:rFonts w:ascii="Arial" w:hAnsi="Arial" w:cs="Arial"/>
          <w:sz w:val="20"/>
        </w:rPr>
        <w:t>Section 534A exempts from the restrictions in s.534</w:t>
      </w:r>
      <w:r w:rsidR="00CA7479">
        <w:rPr>
          <w:rFonts w:ascii="Arial" w:hAnsi="Arial" w:cs="Arial"/>
          <w:sz w:val="20"/>
        </w:rPr>
        <w:t>(1)</w:t>
      </w:r>
      <w:r>
        <w:rPr>
          <w:rFonts w:ascii="Arial" w:hAnsi="Arial" w:cs="Arial"/>
          <w:sz w:val="20"/>
        </w:rPr>
        <w:t xml:space="preserve"> identifying material, including a picture, of a victim or alleged victim aged 18 or older so long as the circumstances detailed in s.534A(2) do not apply.</w:t>
      </w:r>
    </w:p>
    <w:p w14:paraId="18A47A4D" w14:textId="6CF2988A" w:rsidR="001255F0" w:rsidRDefault="001255F0">
      <w:pPr>
        <w:jc w:val="both"/>
        <w:rPr>
          <w:rFonts w:ascii="Arial" w:hAnsi="Arial" w:cs="Arial"/>
          <w:sz w:val="20"/>
        </w:rPr>
      </w:pPr>
    </w:p>
    <w:p w14:paraId="31D2E42A" w14:textId="6360DFD4" w:rsidR="00CA7479" w:rsidRDefault="00CA7479">
      <w:pPr>
        <w:jc w:val="both"/>
        <w:rPr>
          <w:rFonts w:ascii="Arial" w:hAnsi="Arial" w:cs="Arial"/>
          <w:sz w:val="20"/>
        </w:rPr>
      </w:pPr>
      <w:r>
        <w:rPr>
          <w:rFonts w:ascii="Arial" w:hAnsi="Arial" w:cs="Arial"/>
          <w:sz w:val="20"/>
        </w:rPr>
        <w:t>Section 534B – inserted in 2019 – exempts from the restrictions in s.534(1) identifying material published by a judge of the County Court or the Supreme Court when sentencing an adult offender in the circumstances detailed in s.534B(2).</w:t>
      </w:r>
    </w:p>
    <w:p w14:paraId="744F469D" w14:textId="19DFEF32" w:rsidR="00CA7479" w:rsidRDefault="00CA7479">
      <w:pPr>
        <w:jc w:val="both"/>
        <w:rPr>
          <w:rFonts w:ascii="Arial" w:hAnsi="Arial" w:cs="Arial"/>
          <w:sz w:val="20"/>
        </w:rPr>
      </w:pPr>
    </w:p>
    <w:bookmarkEnd w:id="502"/>
    <w:p w14:paraId="76281FD7" w14:textId="77777777" w:rsidR="00340212" w:rsidRDefault="00340212">
      <w:pPr>
        <w:jc w:val="both"/>
        <w:rPr>
          <w:rFonts w:ascii="Arial" w:hAnsi="Arial" w:cs="Arial"/>
          <w:sz w:val="20"/>
        </w:rPr>
      </w:pPr>
      <w:r>
        <w:rPr>
          <w:rFonts w:ascii="Arial" w:hAnsi="Arial" w:cs="Arial"/>
          <w:sz w:val="20"/>
        </w:rPr>
        <w:t>Section 534(1A) provides that on application to the Court, a magistrate may exercise the powers of the President under ss.534(1)(a), (1)(b) or (1)(c) and grant permission for the requisite publication if the magistrate is satisfied that-</w:t>
      </w:r>
    </w:p>
    <w:p w14:paraId="7C5A76CF" w14:textId="77777777" w:rsidR="00340212" w:rsidRDefault="00340212" w:rsidP="00C23CF0">
      <w:pPr>
        <w:numPr>
          <w:ilvl w:val="0"/>
          <w:numId w:val="15"/>
        </w:numPr>
        <w:ind w:left="357" w:hanging="357"/>
        <w:jc w:val="both"/>
        <w:rPr>
          <w:rFonts w:ascii="Arial" w:hAnsi="Arial" w:cs="Arial"/>
          <w:sz w:val="20"/>
        </w:rPr>
      </w:pPr>
      <w:r>
        <w:rPr>
          <w:rFonts w:ascii="Arial" w:hAnsi="Arial" w:cs="Arial"/>
          <w:sz w:val="20"/>
        </w:rPr>
        <w:t>the circumstances giving rise to the request for permission to publish are an emergency; and</w:t>
      </w:r>
    </w:p>
    <w:p w14:paraId="358CDF35" w14:textId="77777777" w:rsidR="00340212" w:rsidRDefault="00340212" w:rsidP="00C23CF0">
      <w:pPr>
        <w:numPr>
          <w:ilvl w:val="0"/>
          <w:numId w:val="15"/>
        </w:numPr>
        <w:ind w:left="357" w:hanging="357"/>
        <w:jc w:val="both"/>
        <w:rPr>
          <w:rFonts w:ascii="Arial" w:hAnsi="Arial" w:cs="Arial"/>
          <w:sz w:val="20"/>
        </w:rPr>
      </w:pPr>
      <w:r>
        <w:rPr>
          <w:rFonts w:ascii="Arial" w:hAnsi="Arial" w:cs="Arial"/>
          <w:sz w:val="20"/>
        </w:rPr>
        <w:t>publication is reasonably necessary for the safety of-</w:t>
      </w:r>
    </w:p>
    <w:p w14:paraId="785BBF67" w14:textId="77777777" w:rsidR="00340212" w:rsidRDefault="00340212" w:rsidP="00C23CF0">
      <w:pPr>
        <w:numPr>
          <w:ilvl w:val="0"/>
          <w:numId w:val="16"/>
        </w:numPr>
        <w:ind w:left="811" w:hanging="454"/>
        <w:jc w:val="both"/>
        <w:rPr>
          <w:rFonts w:ascii="Arial" w:hAnsi="Arial" w:cs="Arial"/>
          <w:sz w:val="20"/>
        </w:rPr>
      </w:pPr>
      <w:r>
        <w:rPr>
          <w:rFonts w:ascii="Arial" w:hAnsi="Arial" w:cs="Arial"/>
          <w:sz w:val="20"/>
        </w:rPr>
        <w:t>the child, other party or witness referred to in s</w:t>
      </w:r>
      <w:r w:rsidR="00E46907">
        <w:rPr>
          <w:rFonts w:ascii="Arial" w:hAnsi="Arial" w:cs="Arial"/>
          <w:sz w:val="20"/>
        </w:rPr>
        <w:t>.534</w:t>
      </w:r>
      <w:r>
        <w:rPr>
          <w:rFonts w:ascii="Arial" w:hAnsi="Arial" w:cs="Arial"/>
          <w:sz w:val="20"/>
        </w:rPr>
        <w:t>(1); or</w:t>
      </w:r>
    </w:p>
    <w:p w14:paraId="72CAD9BC" w14:textId="77777777" w:rsidR="00340212" w:rsidRDefault="00340212" w:rsidP="00C23CF0">
      <w:pPr>
        <w:numPr>
          <w:ilvl w:val="0"/>
          <w:numId w:val="16"/>
        </w:numPr>
        <w:ind w:left="811" w:hanging="454"/>
        <w:jc w:val="both"/>
        <w:rPr>
          <w:rFonts w:ascii="Arial" w:hAnsi="Arial" w:cs="Arial"/>
          <w:sz w:val="20"/>
        </w:rPr>
      </w:pPr>
      <w:r>
        <w:rPr>
          <w:rFonts w:ascii="Arial" w:hAnsi="Arial" w:cs="Arial"/>
          <w:sz w:val="20"/>
        </w:rPr>
        <w:t>any other person in the community.</w:t>
      </w:r>
    </w:p>
    <w:p w14:paraId="6B10034C" w14:textId="77777777" w:rsidR="00340212" w:rsidRDefault="00340212">
      <w:pPr>
        <w:jc w:val="both"/>
        <w:rPr>
          <w:rFonts w:ascii="Arial" w:hAnsi="Arial" w:cs="Arial"/>
          <w:sz w:val="20"/>
        </w:rPr>
      </w:pPr>
    </w:p>
    <w:p w14:paraId="20F2220A" w14:textId="77777777" w:rsidR="00F65A9B" w:rsidRDefault="00DA0C37">
      <w:pPr>
        <w:jc w:val="both"/>
        <w:rPr>
          <w:rFonts w:ascii="Arial" w:hAnsi="Arial" w:cs="Arial"/>
          <w:sz w:val="20"/>
          <w:szCs w:val="20"/>
        </w:rPr>
      </w:pPr>
      <w:r>
        <w:rPr>
          <w:rFonts w:ascii="Arial" w:hAnsi="Arial" w:cs="Arial"/>
          <w:sz w:val="20"/>
        </w:rPr>
        <w:t xml:space="preserve">Section 534(4) of the CYFA </w:t>
      </w:r>
      <w:r w:rsidRPr="00DA0C37">
        <w:rPr>
          <w:rFonts w:ascii="Arial" w:hAnsi="Arial" w:cs="Arial"/>
          <w:sz w:val="20"/>
          <w:szCs w:val="20"/>
        </w:rPr>
        <w:t xml:space="preserve">lists </w:t>
      </w:r>
      <w:r w:rsidR="00F65A9B">
        <w:rPr>
          <w:rFonts w:ascii="Arial" w:hAnsi="Arial" w:cs="Arial"/>
          <w:sz w:val="20"/>
          <w:szCs w:val="20"/>
        </w:rPr>
        <w:t>the following</w:t>
      </w:r>
      <w:r w:rsidRPr="00DA0C37">
        <w:rPr>
          <w:rFonts w:ascii="Arial" w:hAnsi="Arial" w:cs="Arial"/>
          <w:sz w:val="20"/>
          <w:szCs w:val="20"/>
        </w:rPr>
        <w:t xml:space="preserve"> particulars </w:t>
      </w:r>
      <w:r w:rsidR="0033100B">
        <w:rPr>
          <w:rFonts w:ascii="Arial" w:hAnsi="Arial" w:cs="Arial"/>
          <w:sz w:val="20"/>
          <w:szCs w:val="20"/>
        </w:rPr>
        <w:t xml:space="preserve">– not intended to be exhaustive </w:t>
      </w:r>
      <w:r w:rsidR="00DE73E5">
        <w:rPr>
          <w:rFonts w:ascii="Arial" w:hAnsi="Arial" w:cs="Arial"/>
          <w:sz w:val="20"/>
          <w:szCs w:val="20"/>
        </w:rPr>
        <w:t>–</w:t>
      </w:r>
      <w:r w:rsidR="0033100B">
        <w:rPr>
          <w:rFonts w:ascii="Arial" w:hAnsi="Arial" w:cs="Arial"/>
          <w:sz w:val="20"/>
          <w:szCs w:val="20"/>
        </w:rPr>
        <w:t xml:space="preserve"> </w:t>
      </w:r>
      <w:r w:rsidRPr="00DA0C37">
        <w:rPr>
          <w:rFonts w:ascii="Arial" w:hAnsi="Arial" w:cs="Arial"/>
          <w:sz w:val="20"/>
          <w:szCs w:val="20"/>
        </w:rPr>
        <w:t>which</w:t>
      </w:r>
      <w:r w:rsidR="00DE73E5">
        <w:rPr>
          <w:rFonts w:ascii="Arial" w:hAnsi="Arial" w:cs="Arial"/>
          <w:sz w:val="20"/>
          <w:szCs w:val="20"/>
        </w:rPr>
        <w:t xml:space="preserve"> </w:t>
      </w:r>
      <w:r w:rsidRPr="00DA0C37">
        <w:rPr>
          <w:rFonts w:ascii="Arial" w:hAnsi="Arial" w:cs="Arial"/>
          <w:sz w:val="20"/>
          <w:szCs w:val="20"/>
        </w:rPr>
        <w:t>are deemed to be particulars likely to lead to the identification of a person</w:t>
      </w:r>
      <w:r w:rsidR="00F65A9B">
        <w:rPr>
          <w:rFonts w:ascii="Arial" w:hAnsi="Arial" w:cs="Arial"/>
          <w:sz w:val="20"/>
          <w:szCs w:val="20"/>
        </w:rPr>
        <w:t>:</w:t>
      </w:r>
    </w:p>
    <w:p w14:paraId="0E40CBF6" w14:textId="13ACEEB3" w:rsid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of the person;</w:t>
      </w:r>
    </w:p>
    <w:p w14:paraId="6C4E06D7" w14:textId="7096FF13" w:rsidR="00F65A9B" w:rsidRP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names of</w:t>
      </w:r>
      <w:r w:rsidR="00141992">
        <w:rPr>
          <w:rFonts w:ascii="Arial" w:hAnsi="Arial" w:cs="Arial"/>
          <w:sz w:val="20"/>
        </w:rPr>
        <w:t>–</w:t>
      </w:r>
    </w:p>
    <w:p w14:paraId="3455F290" w14:textId="46BCAB5F" w:rsid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t>any relative of the person;</w:t>
      </w:r>
    </w:p>
    <w:p w14:paraId="1BA097D7" w14:textId="3EC66626" w:rsid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t>any other person having the care of the person;</w:t>
      </w:r>
    </w:p>
    <w:p w14:paraId="5C4985F0" w14:textId="54A94F48" w:rsidR="00F65A9B" w:rsidRP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lastRenderedPageBreak/>
        <w:t>in addition to subparagraphs (i) &amp; (ii), in the case of an Aboriginal person, a member of the Aboriginal community of the person;</w:t>
      </w:r>
    </w:p>
    <w:p w14:paraId="687C8C30" w14:textId="5E0D9E0A" w:rsid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or address of any place of residence of the person, or the locality in which the residence is situated;</w:t>
      </w:r>
    </w:p>
    <w:p w14:paraId="4B74CD2F" w14:textId="64E95D88" w:rsidR="00F65A9B" w:rsidRP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or address of any place of education, training or employment attended by the person, or the locality in which the place is situated.</w:t>
      </w:r>
    </w:p>
    <w:p w14:paraId="0E623449" w14:textId="77777777" w:rsidR="00F65A9B" w:rsidRDefault="00F65A9B">
      <w:pPr>
        <w:jc w:val="both"/>
        <w:rPr>
          <w:rFonts w:ascii="Arial" w:hAnsi="Arial" w:cs="Arial"/>
          <w:sz w:val="20"/>
        </w:rPr>
      </w:pPr>
    </w:p>
    <w:p w14:paraId="689A11BA" w14:textId="1FB7F052" w:rsidR="008938AE" w:rsidRDefault="008938AE">
      <w:pPr>
        <w:jc w:val="both"/>
        <w:rPr>
          <w:rFonts w:ascii="Arial" w:hAnsi="Arial" w:cs="Arial"/>
          <w:sz w:val="20"/>
        </w:rPr>
      </w:pPr>
      <w:r>
        <w:rPr>
          <w:rFonts w:ascii="Arial" w:hAnsi="Arial" w:cs="Arial"/>
          <w:sz w:val="20"/>
        </w:rPr>
        <w:t xml:space="preserve">In </w:t>
      </w:r>
      <w:r w:rsidRPr="008938AE">
        <w:rPr>
          <w:rFonts w:ascii="Arial" w:hAnsi="Arial" w:cs="Arial"/>
          <w:i/>
          <w:sz w:val="20"/>
        </w:rPr>
        <w:t>Herald &amp; Weekly Times Pty Ltd v AB</w:t>
      </w:r>
      <w:r>
        <w:rPr>
          <w:rFonts w:ascii="Arial" w:hAnsi="Arial" w:cs="Arial"/>
          <w:sz w:val="20"/>
        </w:rPr>
        <w:t xml:space="preserve"> [2008] </w:t>
      </w:r>
      <w:proofErr w:type="spellStart"/>
      <w:r>
        <w:rPr>
          <w:rFonts w:ascii="Arial" w:hAnsi="Arial" w:cs="Arial"/>
          <w:sz w:val="20"/>
        </w:rPr>
        <w:t>VChC</w:t>
      </w:r>
      <w:proofErr w:type="spellEnd"/>
      <w:r>
        <w:rPr>
          <w:rFonts w:ascii="Arial" w:hAnsi="Arial" w:cs="Arial"/>
          <w:sz w:val="20"/>
        </w:rPr>
        <w:t xml:space="preserve"> 3 </w:t>
      </w:r>
      <w:r w:rsidR="004425F2">
        <w:rPr>
          <w:rFonts w:ascii="Arial" w:hAnsi="Arial" w:cs="Arial"/>
          <w:sz w:val="20"/>
        </w:rPr>
        <w:t xml:space="preserve">at [14]-[19] </w:t>
      </w:r>
      <w:r>
        <w:rPr>
          <w:rFonts w:ascii="Arial" w:hAnsi="Arial" w:cs="Arial"/>
          <w:sz w:val="20"/>
        </w:rPr>
        <w:t xml:space="preserve">Judge Grant </w:t>
      </w:r>
      <w:r w:rsidR="00FC7E84">
        <w:rPr>
          <w:rFonts w:ascii="Arial" w:hAnsi="Arial" w:cs="Arial"/>
          <w:sz w:val="20"/>
        </w:rPr>
        <w:t xml:space="preserve">refused an application by HWT to identify the alleged offender.  In so doing his Honour </w:t>
      </w:r>
      <w:r>
        <w:rPr>
          <w:rFonts w:ascii="Arial" w:hAnsi="Arial" w:cs="Arial"/>
          <w:sz w:val="20"/>
        </w:rPr>
        <w:t xml:space="preserve">outlined the legislative background and rationale for s.534 and </w:t>
      </w:r>
      <w:r w:rsidR="004425F2">
        <w:rPr>
          <w:rFonts w:ascii="Arial" w:hAnsi="Arial" w:cs="Arial"/>
          <w:sz w:val="20"/>
        </w:rPr>
        <w:t>its predecessor provisions as follows:</w:t>
      </w:r>
    </w:p>
    <w:p w14:paraId="79A6F325" w14:textId="77777777" w:rsidR="004425F2" w:rsidRDefault="004425F2" w:rsidP="004425F2">
      <w:pPr>
        <w:spacing w:before="60"/>
        <w:ind w:left="567" w:right="567"/>
        <w:jc w:val="both"/>
        <w:rPr>
          <w:rFonts w:ascii="Arial" w:hAnsi="Arial" w:cs="Arial"/>
          <w:sz w:val="20"/>
        </w:rPr>
      </w:pPr>
      <w:r>
        <w:rPr>
          <w:rFonts w:ascii="Arial" w:hAnsi="Arial" w:cs="Arial"/>
          <w:sz w:val="20"/>
        </w:rPr>
        <w:t>“[14] Prior to the commencement of the CYPA matters heard in the Children’s Court of Victoria were heard in closed court.  This is still the case in some jurisdictions throughout the world.</w:t>
      </w:r>
    </w:p>
    <w:p w14:paraId="14CAC5D5" w14:textId="77777777" w:rsidR="004425F2" w:rsidRDefault="004425F2" w:rsidP="004425F2">
      <w:pPr>
        <w:spacing w:before="60"/>
        <w:ind w:left="567" w:right="567"/>
        <w:jc w:val="both"/>
        <w:rPr>
          <w:rFonts w:ascii="Arial" w:hAnsi="Arial" w:cs="Arial"/>
          <w:sz w:val="20"/>
        </w:rPr>
      </w:pPr>
      <w:r>
        <w:rPr>
          <w:rFonts w:ascii="Arial" w:hAnsi="Arial" w:cs="Arial"/>
          <w:sz w:val="20"/>
        </w:rPr>
        <w:t>[15] The United Nations Standard Minimum Rules for the Administration of Justice (also known as the Beijing Rules) of November 1985 state-</w:t>
      </w:r>
    </w:p>
    <w:p w14:paraId="42144BBA" w14:textId="77777777" w:rsidR="004425F2" w:rsidRDefault="004425F2" w:rsidP="004425F2">
      <w:pPr>
        <w:ind w:left="1134" w:right="1134"/>
        <w:jc w:val="both"/>
        <w:rPr>
          <w:rFonts w:ascii="Arial" w:hAnsi="Arial" w:cs="Arial"/>
          <w:sz w:val="20"/>
        </w:rPr>
      </w:pPr>
      <w:r>
        <w:rPr>
          <w:rFonts w:ascii="Arial" w:hAnsi="Arial" w:cs="Arial"/>
          <w:sz w:val="20"/>
        </w:rPr>
        <w:t>‘8.1 The juvenile’s right to privacy shall be respected at all stages in order to avoid harm being caused to him or her by undue publicity or by the process of labelling.</w:t>
      </w:r>
    </w:p>
    <w:p w14:paraId="1FAA0620" w14:textId="77777777" w:rsidR="004425F2" w:rsidRDefault="004425F2" w:rsidP="004425F2">
      <w:pPr>
        <w:ind w:left="1134" w:right="1134"/>
        <w:jc w:val="both"/>
        <w:rPr>
          <w:rFonts w:ascii="Arial" w:hAnsi="Arial" w:cs="Arial"/>
          <w:sz w:val="20"/>
        </w:rPr>
      </w:pPr>
      <w:r>
        <w:rPr>
          <w:rFonts w:ascii="Arial" w:hAnsi="Arial" w:cs="Arial"/>
          <w:sz w:val="20"/>
        </w:rPr>
        <w:t>8.2 In principle, no information that may lead to the identification of a juvenile offender shall be published.’</w:t>
      </w:r>
    </w:p>
    <w:p w14:paraId="58B9AE26" w14:textId="77777777" w:rsidR="004425F2" w:rsidRDefault="004425F2" w:rsidP="004425F2">
      <w:pPr>
        <w:spacing w:before="60"/>
        <w:ind w:left="567" w:right="567"/>
        <w:jc w:val="both"/>
        <w:rPr>
          <w:rFonts w:ascii="Arial" w:hAnsi="Arial" w:cs="Arial"/>
          <w:sz w:val="20"/>
        </w:rPr>
      </w:pPr>
      <w:r>
        <w:rPr>
          <w:rFonts w:ascii="Arial" w:hAnsi="Arial" w:cs="Arial"/>
          <w:sz w:val="20"/>
        </w:rPr>
        <w:t>[16] The official commentary to the Rules recognises how young people are particularly susceptible to stigmatization.  There is a reference to criminological research into labelling processes.  This research has provided evidence of the detrimental effects resulting from the permanent identification of young people as criminal or delinquent.</w:t>
      </w:r>
    </w:p>
    <w:p w14:paraId="665ACE4E" w14:textId="77777777" w:rsidR="004425F2" w:rsidRDefault="004425F2" w:rsidP="004425F2">
      <w:pPr>
        <w:spacing w:before="60"/>
        <w:ind w:left="567" w:right="567"/>
        <w:jc w:val="both"/>
        <w:rPr>
          <w:rFonts w:ascii="Arial" w:hAnsi="Arial" w:cs="Arial"/>
          <w:sz w:val="20"/>
        </w:rPr>
      </w:pPr>
      <w:r>
        <w:rPr>
          <w:rFonts w:ascii="Arial" w:hAnsi="Arial" w:cs="Arial"/>
          <w:sz w:val="20"/>
        </w:rPr>
        <w:t xml:space="preserve">[17] The </w:t>
      </w:r>
      <w:r w:rsidRPr="00D92152">
        <w:rPr>
          <w:rFonts w:ascii="Arial" w:hAnsi="Arial" w:cs="Arial"/>
          <w:i/>
          <w:sz w:val="20"/>
          <w:u w:val="single"/>
        </w:rPr>
        <w:t>Child Welfare Practice and Legislation Review</w:t>
      </w:r>
      <w:r w:rsidR="00D92152" w:rsidRPr="00D92152">
        <w:rPr>
          <w:rFonts w:ascii="Arial" w:hAnsi="Arial" w:cs="Arial"/>
          <w:i/>
          <w:sz w:val="20"/>
          <w:u w:val="single"/>
        </w:rPr>
        <w:t xml:space="preserve"> Report</w:t>
      </w:r>
      <w:r w:rsidR="00D92152" w:rsidRPr="00D92152">
        <w:rPr>
          <w:rFonts w:ascii="Arial" w:hAnsi="Arial" w:cs="Arial"/>
          <w:sz w:val="20"/>
        </w:rPr>
        <w:t xml:space="preserve"> of 1984</w:t>
      </w:r>
      <w:r>
        <w:rPr>
          <w:rFonts w:ascii="Arial" w:hAnsi="Arial" w:cs="Arial"/>
          <w:sz w:val="20"/>
        </w:rPr>
        <w:t xml:space="preserve"> </w:t>
      </w:r>
      <w:r w:rsidR="00D92152">
        <w:rPr>
          <w:rFonts w:ascii="Arial" w:hAnsi="Arial" w:cs="Arial"/>
          <w:sz w:val="20"/>
        </w:rPr>
        <w:t>(often referred to as the Carney Report) recommended that proceedings in the Children’s Court should be open to both the public and the media.  The ‘trade off’ for opening the court was to recommend a bar on reporting or disseminating any identifying information of children and families.  At p.409 of the report there is the following analysis – ‘The mischief which it is unanimously agreed must be avoided at all costs is the dissemination of information which would, or which could, identify and embarrass individual children and families appearing before the court.’</w:t>
      </w:r>
    </w:p>
    <w:p w14:paraId="44A972C2" w14:textId="77777777" w:rsidR="00D92152" w:rsidRDefault="00D92152" w:rsidP="004425F2">
      <w:pPr>
        <w:spacing w:before="60"/>
        <w:ind w:left="567" w:right="567"/>
        <w:jc w:val="both"/>
        <w:rPr>
          <w:rFonts w:ascii="Arial" w:hAnsi="Arial" w:cs="Arial"/>
          <w:sz w:val="20"/>
        </w:rPr>
      </w:pPr>
      <w:r>
        <w:rPr>
          <w:rFonts w:ascii="Arial" w:hAnsi="Arial" w:cs="Arial"/>
          <w:sz w:val="20"/>
        </w:rPr>
        <w:t>[18] The recommendations in the Carney Report were influential in the development of the CYPA.  The changes to law introduced by that Act opened the Children’s Court to the public for the first time in its history.  There were, however, two important riders on the open justice principle.  In s.19 the court was provided with a wide unfettered power to close the court in appropriate circumstances.  Section 26 contained a prohibition as to the publication of identifying information of the children and parties and witnesses involved in the court’s proceedings without the permission of the head of the Children’s Court.</w:t>
      </w:r>
    </w:p>
    <w:p w14:paraId="33A44FF3" w14:textId="34684468" w:rsidR="00D92152" w:rsidRDefault="00D92152" w:rsidP="004425F2">
      <w:pPr>
        <w:spacing w:before="60"/>
        <w:ind w:left="567" w:right="567"/>
        <w:jc w:val="both"/>
        <w:rPr>
          <w:rFonts w:ascii="Arial" w:hAnsi="Arial" w:cs="Arial"/>
          <w:sz w:val="20"/>
        </w:rPr>
      </w:pPr>
      <w:r>
        <w:rPr>
          <w:rFonts w:ascii="Arial" w:hAnsi="Arial" w:cs="Arial"/>
          <w:sz w:val="20"/>
        </w:rPr>
        <w:t>[19] In the Criminal Division of the court the limit on identification of the child/young person subject to proceedings was in line with established principle.  It was designed to protect a young person appearing in the Criminal Division from the indignity of being labelled a criminal and the stigma that attaches to that description.  In the Second Reading Speech for the CYPA the then Minister stated ‘The rights of children and young people who come before the court are clearly established in the proposed legislation</w:t>
      </w:r>
      <w:r w:rsidR="00AE7954">
        <w:rPr>
          <w:rFonts w:ascii="Arial" w:hAnsi="Arial" w:cs="Arial"/>
          <w:sz w:val="20"/>
        </w:rPr>
        <w:t>.  The Bill provides that proceedings must be comprehensible to children and their families, respect cultural identity and minimize stigma.’ Section 534 of the CYFA significantly reproduces the old s.26.  One subsection not found in the old Act is s.534(5)...It allows publication of accounts of proceedings of the court where those accounts have been approved by the President...Section 534(5) was included in the legislation at the request of the court and I am satisfied that its intended purpose was limited to the court’s use of its own website for the publishing of de-identified decisions.”</w:t>
      </w:r>
    </w:p>
    <w:p w14:paraId="419BDE17" w14:textId="77777777" w:rsidR="008938AE" w:rsidRDefault="008938AE">
      <w:pPr>
        <w:jc w:val="both"/>
        <w:rPr>
          <w:rFonts w:ascii="Arial" w:hAnsi="Arial" w:cs="Arial"/>
          <w:sz w:val="20"/>
        </w:rPr>
      </w:pPr>
    </w:p>
    <w:p w14:paraId="13A3F6C5" w14:textId="52C2D1B6" w:rsidR="008D391C" w:rsidRDefault="00C94638" w:rsidP="008D391C">
      <w:pPr>
        <w:jc w:val="both"/>
        <w:rPr>
          <w:rFonts w:ascii="Arial" w:hAnsi="Arial" w:cs="Arial"/>
          <w:sz w:val="20"/>
        </w:rPr>
      </w:pPr>
      <w:r>
        <w:rPr>
          <w:rFonts w:ascii="Arial" w:hAnsi="Arial" w:cs="Arial"/>
          <w:sz w:val="20"/>
        </w:rPr>
        <w:t xml:space="preserve">It is </w:t>
      </w:r>
      <w:r w:rsidR="00277B85">
        <w:rPr>
          <w:rFonts w:ascii="Arial" w:hAnsi="Arial" w:cs="Arial"/>
          <w:sz w:val="20"/>
        </w:rPr>
        <w:t xml:space="preserve">rare for the President to give permission for identifying material to be published pursuant to </w:t>
      </w:r>
      <w:r w:rsidR="00DA0C37">
        <w:rPr>
          <w:rFonts w:ascii="Arial" w:hAnsi="Arial" w:cs="Arial"/>
          <w:sz w:val="20"/>
        </w:rPr>
        <w:t>ss.534(1)(a)</w:t>
      </w:r>
      <w:r w:rsidR="00EF7219">
        <w:rPr>
          <w:rFonts w:ascii="Arial" w:hAnsi="Arial" w:cs="Arial"/>
          <w:sz w:val="20"/>
        </w:rPr>
        <w:t>, 534(1)(b)</w:t>
      </w:r>
      <w:r w:rsidR="00DA0C37">
        <w:rPr>
          <w:rFonts w:ascii="Arial" w:hAnsi="Arial" w:cs="Arial"/>
          <w:sz w:val="20"/>
        </w:rPr>
        <w:t xml:space="preserve"> or 534(1)(</w:t>
      </w:r>
      <w:r w:rsidR="00EF7219">
        <w:rPr>
          <w:rFonts w:ascii="Arial" w:hAnsi="Arial" w:cs="Arial"/>
          <w:sz w:val="20"/>
        </w:rPr>
        <w:t>c</w:t>
      </w:r>
      <w:r w:rsidR="00DA0C37">
        <w:rPr>
          <w:rFonts w:ascii="Arial" w:hAnsi="Arial" w:cs="Arial"/>
          <w:sz w:val="20"/>
        </w:rPr>
        <w:t>) of the CYFA</w:t>
      </w:r>
      <w:r w:rsidR="00277B85">
        <w:rPr>
          <w:rFonts w:ascii="Arial" w:hAnsi="Arial" w:cs="Arial"/>
          <w:sz w:val="20"/>
        </w:rPr>
        <w:t xml:space="preserve">.  In the past </w:t>
      </w:r>
      <w:r w:rsidR="00FC7E84">
        <w:rPr>
          <w:rFonts w:ascii="Arial" w:hAnsi="Arial" w:cs="Arial"/>
          <w:sz w:val="20"/>
        </w:rPr>
        <w:t>fifteen</w:t>
      </w:r>
      <w:r w:rsidR="00277B85">
        <w:rPr>
          <w:rFonts w:ascii="Arial" w:hAnsi="Arial" w:cs="Arial"/>
          <w:sz w:val="20"/>
        </w:rPr>
        <w:t xml:space="preserve"> years, the only cases in which such permission has been given have involved:</w:t>
      </w:r>
    </w:p>
    <w:p w14:paraId="143E91F3" w14:textId="77777777" w:rsidR="005443E4" w:rsidRDefault="00277B85" w:rsidP="007D2EA2">
      <w:pPr>
        <w:numPr>
          <w:ilvl w:val="0"/>
          <w:numId w:val="1"/>
        </w:numPr>
        <w:tabs>
          <w:tab w:val="num" w:pos="723"/>
        </w:tabs>
        <w:jc w:val="both"/>
        <w:rPr>
          <w:rFonts w:ascii="Arial" w:hAnsi="Arial" w:cs="Arial"/>
          <w:sz w:val="20"/>
        </w:rPr>
      </w:pPr>
      <w:r>
        <w:rPr>
          <w:rFonts w:ascii="Arial" w:hAnsi="Arial" w:cs="Arial"/>
          <w:sz w:val="20"/>
        </w:rPr>
        <w:t>abandoned children where details were permitted to be published in an attempt to locate a parent;</w:t>
      </w:r>
    </w:p>
    <w:p w14:paraId="3F71DB76" w14:textId="77777777" w:rsidR="008D391C" w:rsidRDefault="00F87B46" w:rsidP="007D2EA2">
      <w:pPr>
        <w:numPr>
          <w:ilvl w:val="0"/>
          <w:numId w:val="1"/>
        </w:numPr>
        <w:tabs>
          <w:tab w:val="num" w:pos="723"/>
        </w:tabs>
        <w:jc w:val="both"/>
        <w:rPr>
          <w:rFonts w:ascii="Arial" w:hAnsi="Arial" w:cs="Arial"/>
          <w:sz w:val="20"/>
        </w:rPr>
      </w:pPr>
      <w:r>
        <w:rPr>
          <w:rFonts w:ascii="Arial" w:hAnsi="Arial" w:cs="Arial"/>
          <w:sz w:val="20"/>
        </w:rPr>
        <w:t>children who were missing or ha</w:t>
      </w:r>
      <w:r w:rsidR="00BA5E91">
        <w:rPr>
          <w:rFonts w:ascii="Arial" w:hAnsi="Arial" w:cs="Arial"/>
          <w:sz w:val="20"/>
        </w:rPr>
        <w:t>d</w:t>
      </w:r>
      <w:r>
        <w:rPr>
          <w:rFonts w:ascii="Arial" w:hAnsi="Arial" w:cs="Arial"/>
          <w:sz w:val="20"/>
        </w:rPr>
        <w:t xml:space="preserve"> absconded in an attempt to locate them;</w:t>
      </w:r>
    </w:p>
    <w:p w14:paraId="0DFD22F3" w14:textId="77777777" w:rsidR="00F87B46" w:rsidRDefault="008D391C" w:rsidP="007D2EA2">
      <w:pPr>
        <w:numPr>
          <w:ilvl w:val="0"/>
          <w:numId w:val="1"/>
        </w:numPr>
        <w:tabs>
          <w:tab w:val="num" w:pos="723"/>
        </w:tabs>
        <w:jc w:val="both"/>
        <w:rPr>
          <w:rFonts w:ascii="Arial" w:hAnsi="Arial" w:cs="Arial"/>
          <w:sz w:val="20"/>
        </w:rPr>
      </w:pPr>
      <w:r>
        <w:rPr>
          <w:rFonts w:ascii="Arial" w:hAnsi="Arial" w:cs="Arial"/>
          <w:sz w:val="20"/>
        </w:rPr>
        <w:t>children believed to be in need of protection but whose whereabouts are currently unknown;</w:t>
      </w:r>
      <w:r w:rsidR="00F87B46">
        <w:rPr>
          <w:rFonts w:ascii="Arial" w:hAnsi="Arial" w:cs="Arial"/>
          <w:sz w:val="20"/>
        </w:rPr>
        <w:t xml:space="preserve"> and</w:t>
      </w:r>
    </w:p>
    <w:p w14:paraId="43327907" w14:textId="517D201B" w:rsidR="00277B85" w:rsidRDefault="00277B85" w:rsidP="007D2EA2">
      <w:pPr>
        <w:numPr>
          <w:ilvl w:val="0"/>
          <w:numId w:val="1"/>
        </w:numPr>
        <w:tabs>
          <w:tab w:val="num" w:pos="723"/>
        </w:tabs>
        <w:jc w:val="both"/>
        <w:rPr>
          <w:rFonts w:ascii="Arial" w:hAnsi="Arial" w:cs="Arial"/>
          <w:sz w:val="20"/>
        </w:rPr>
      </w:pPr>
      <w:r>
        <w:rPr>
          <w:rFonts w:ascii="Arial" w:hAnsi="Arial" w:cs="Arial"/>
          <w:sz w:val="20"/>
        </w:rPr>
        <w:t xml:space="preserve">a case in which a TV channel was permitted to identify a child </w:t>
      </w:r>
      <w:r w:rsidR="00FC7E84">
        <w:rPr>
          <w:rFonts w:ascii="Arial" w:hAnsi="Arial" w:cs="Arial"/>
          <w:sz w:val="20"/>
        </w:rPr>
        <w:t>–</w:t>
      </w:r>
      <w:r>
        <w:rPr>
          <w:rFonts w:ascii="Arial" w:hAnsi="Arial" w:cs="Arial"/>
          <w:sz w:val="20"/>
        </w:rPr>
        <w:t xml:space="preserve"> with</w:t>
      </w:r>
      <w:r w:rsidR="00FC7E84">
        <w:rPr>
          <w:rFonts w:ascii="Arial" w:hAnsi="Arial" w:cs="Arial"/>
          <w:sz w:val="20"/>
        </w:rPr>
        <w:t xml:space="preserve"> </w:t>
      </w:r>
      <w:r>
        <w:rPr>
          <w:rFonts w:ascii="Arial" w:hAnsi="Arial" w:cs="Arial"/>
          <w:sz w:val="20"/>
        </w:rPr>
        <w:t xml:space="preserve">consent of child and family </w:t>
      </w:r>
      <w:r w:rsidR="00085547">
        <w:rPr>
          <w:rFonts w:ascii="Arial" w:hAnsi="Arial" w:cs="Arial"/>
          <w:sz w:val="20"/>
        </w:rPr>
        <w:t>–</w:t>
      </w:r>
      <w:r>
        <w:rPr>
          <w:rFonts w:ascii="Arial" w:hAnsi="Arial" w:cs="Arial"/>
          <w:sz w:val="20"/>
        </w:rPr>
        <w:t xml:space="preserve"> in</w:t>
      </w:r>
      <w:r w:rsidR="00085547">
        <w:rPr>
          <w:rFonts w:ascii="Arial" w:hAnsi="Arial" w:cs="Arial"/>
          <w:sz w:val="20"/>
        </w:rPr>
        <w:t xml:space="preserve"> </w:t>
      </w:r>
      <w:r>
        <w:rPr>
          <w:rFonts w:ascii="Arial" w:hAnsi="Arial" w:cs="Arial"/>
          <w:sz w:val="20"/>
        </w:rPr>
        <w:t>a program highlighting the success of the child's rehabi</w:t>
      </w:r>
      <w:r w:rsidR="00F87B46">
        <w:rPr>
          <w:rFonts w:ascii="Arial" w:hAnsi="Arial" w:cs="Arial"/>
          <w:sz w:val="20"/>
        </w:rPr>
        <w:t>litation.</w:t>
      </w:r>
    </w:p>
    <w:p w14:paraId="0259D697" w14:textId="77777777" w:rsidR="00D72AF0" w:rsidRDefault="00D72AF0" w:rsidP="00C94638">
      <w:pPr>
        <w:jc w:val="both"/>
        <w:rPr>
          <w:rFonts w:ascii="Arial" w:hAnsi="Arial" w:cs="Arial"/>
          <w:color w:val="000000"/>
          <w:sz w:val="20"/>
        </w:rPr>
      </w:pPr>
    </w:p>
    <w:p w14:paraId="4B8A188D" w14:textId="77777777" w:rsidR="005469BA" w:rsidRDefault="0006092B" w:rsidP="00C94638">
      <w:pPr>
        <w:jc w:val="both"/>
        <w:rPr>
          <w:rFonts w:ascii="Arial" w:hAnsi="Arial" w:cs="Arial"/>
          <w:color w:val="000000"/>
          <w:sz w:val="20"/>
        </w:rPr>
      </w:pPr>
      <w:r>
        <w:rPr>
          <w:rFonts w:ascii="Arial" w:hAnsi="Arial" w:cs="Arial"/>
          <w:color w:val="000000"/>
          <w:sz w:val="20"/>
        </w:rPr>
        <w:t xml:space="preserve">In </w:t>
      </w:r>
      <w:r w:rsidRPr="0006092B">
        <w:rPr>
          <w:rFonts w:ascii="Arial" w:hAnsi="Arial" w:cs="Arial"/>
          <w:i/>
          <w:color w:val="000000"/>
          <w:sz w:val="20"/>
        </w:rPr>
        <w:t>ABC and DOHS &amp; others</w:t>
      </w:r>
      <w:r>
        <w:rPr>
          <w:rFonts w:ascii="Arial" w:hAnsi="Arial" w:cs="Arial"/>
          <w:color w:val="000000"/>
          <w:sz w:val="20"/>
        </w:rPr>
        <w:t xml:space="preserve"> [2014] </w:t>
      </w:r>
      <w:proofErr w:type="spellStart"/>
      <w:r>
        <w:rPr>
          <w:rFonts w:ascii="Arial" w:hAnsi="Arial" w:cs="Arial"/>
          <w:color w:val="000000"/>
          <w:sz w:val="20"/>
        </w:rPr>
        <w:t>VChC</w:t>
      </w:r>
      <w:proofErr w:type="spellEnd"/>
      <w:r>
        <w:rPr>
          <w:rFonts w:ascii="Arial" w:hAnsi="Arial" w:cs="Arial"/>
          <w:color w:val="000000"/>
          <w:sz w:val="20"/>
        </w:rPr>
        <w:t xml:space="preserve"> 1 an application was made to Judge Couzens to publish reports of a proceeding in the Children’s Court, including pictures of parties in de-identified form.  Counsel agreed that ‘likely’ in the context of particulars ‘likely to lead to the identification of’’ should be taken to mean ‘a real possibility that cannot be sensibly ignored’ as opposed to being ‘more likely than not’: see in </w:t>
      </w:r>
      <w:r w:rsidRPr="0006092B">
        <w:rPr>
          <w:rFonts w:ascii="Arial" w:hAnsi="Arial" w:cs="Arial"/>
          <w:i/>
          <w:color w:val="000000"/>
          <w:sz w:val="20"/>
        </w:rPr>
        <w:t>Re H and Others (Minors) (Sexual Abuse: Standard of Proof)</w:t>
      </w:r>
      <w:r>
        <w:rPr>
          <w:rFonts w:ascii="Arial" w:hAnsi="Arial" w:cs="Arial"/>
          <w:color w:val="000000"/>
          <w:sz w:val="20"/>
        </w:rPr>
        <w:t xml:space="preserve"> [1996] AC 563 at 583.</w:t>
      </w:r>
      <w:r w:rsidR="00213ED2">
        <w:rPr>
          <w:rFonts w:ascii="Arial" w:hAnsi="Arial" w:cs="Arial"/>
          <w:color w:val="000000"/>
          <w:sz w:val="20"/>
        </w:rPr>
        <w:t xml:space="preserve">  His</w:t>
      </w:r>
      <w:r w:rsidR="00C719C4">
        <w:rPr>
          <w:rFonts w:ascii="Arial" w:hAnsi="Arial" w:cs="Arial"/>
          <w:color w:val="000000"/>
          <w:sz w:val="20"/>
        </w:rPr>
        <w:t> </w:t>
      </w:r>
      <w:r w:rsidR="00213ED2">
        <w:rPr>
          <w:rFonts w:ascii="Arial" w:hAnsi="Arial" w:cs="Arial"/>
          <w:color w:val="000000"/>
          <w:sz w:val="20"/>
        </w:rPr>
        <w:t xml:space="preserve">Honour adopted dicta of the Court of Appeal in </w:t>
      </w:r>
      <w:r w:rsidR="00213ED2" w:rsidRPr="00213ED2">
        <w:rPr>
          <w:rFonts w:ascii="Arial" w:hAnsi="Arial" w:cs="Arial"/>
          <w:i/>
          <w:color w:val="000000"/>
          <w:sz w:val="20"/>
        </w:rPr>
        <w:t xml:space="preserve">Howe v </w:t>
      </w:r>
      <w:smartTag w:uri="urn:schemas-microsoft-com:office:smarttags" w:element="City">
        <w:smartTag w:uri="urn:schemas-microsoft-com:office:smarttags" w:element="place">
          <w:r w:rsidR="00213ED2" w:rsidRPr="00213ED2">
            <w:rPr>
              <w:rFonts w:ascii="Arial" w:hAnsi="Arial" w:cs="Arial"/>
              <w:i/>
              <w:color w:val="000000"/>
              <w:sz w:val="20"/>
            </w:rPr>
            <w:t>Harvey</w:t>
          </w:r>
        </w:smartTag>
      </w:smartTag>
      <w:r w:rsidR="00213ED2">
        <w:rPr>
          <w:rFonts w:ascii="Arial" w:hAnsi="Arial" w:cs="Arial"/>
          <w:color w:val="000000"/>
          <w:sz w:val="20"/>
        </w:rPr>
        <w:t xml:space="preserve"> (2008) 20 VR 638 at 653 that-</w:t>
      </w:r>
    </w:p>
    <w:p w14:paraId="0BDCADD3" w14:textId="77777777" w:rsidR="00213ED2" w:rsidRDefault="00213ED2" w:rsidP="00CD02A3">
      <w:pPr>
        <w:spacing w:before="60"/>
        <w:ind w:left="567" w:right="567"/>
        <w:jc w:val="both"/>
        <w:rPr>
          <w:rFonts w:ascii="Arial" w:hAnsi="Arial" w:cs="Arial"/>
          <w:sz w:val="20"/>
        </w:rPr>
      </w:pPr>
      <w:r>
        <w:rPr>
          <w:rFonts w:ascii="Arial" w:hAnsi="Arial" w:cs="Arial"/>
          <w:sz w:val="20"/>
        </w:rPr>
        <w:t>“We are inclined to think that s.26 [of the CYPA] would be breached if the particulars which are published are sufficient to enable those who know a child (for example his or her school friends or neighbours) to identify him or her as the child who has been involved in court proceedings, even though a general reader would not do so.”</w:t>
      </w:r>
    </w:p>
    <w:p w14:paraId="2C051E8B" w14:textId="77777777" w:rsidR="00213ED2" w:rsidRDefault="00C719C4" w:rsidP="00213ED2">
      <w:pPr>
        <w:spacing w:before="60"/>
        <w:jc w:val="both"/>
        <w:rPr>
          <w:rFonts w:ascii="Arial" w:hAnsi="Arial" w:cs="Arial"/>
          <w:color w:val="000000"/>
          <w:sz w:val="20"/>
        </w:rPr>
      </w:pPr>
      <w:r>
        <w:rPr>
          <w:rFonts w:ascii="Arial" w:hAnsi="Arial" w:cs="Arial"/>
          <w:color w:val="000000"/>
          <w:sz w:val="20"/>
        </w:rPr>
        <w:t>Judge Couzens</w:t>
      </w:r>
      <w:r w:rsidR="00213ED2">
        <w:rPr>
          <w:rFonts w:ascii="Arial" w:hAnsi="Arial" w:cs="Arial"/>
          <w:color w:val="000000"/>
          <w:sz w:val="20"/>
        </w:rPr>
        <w:t xml:space="preserve"> held </w:t>
      </w:r>
      <w:r>
        <w:rPr>
          <w:rFonts w:ascii="Arial" w:hAnsi="Arial" w:cs="Arial"/>
          <w:color w:val="000000"/>
          <w:sz w:val="20"/>
        </w:rPr>
        <w:t xml:space="preserve">[at pp.12-13] </w:t>
      </w:r>
      <w:r w:rsidR="00213ED2">
        <w:rPr>
          <w:rFonts w:ascii="Arial" w:hAnsi="Arial" w:cs="Arial"/>
          <w:color w:val="000000"/>
          <w:sz w:val="20"/>
        </w:rPr>
        <w:t xml:space="preserve">that a pixilated/distorted/partial picture </w:t>
      </w:r>
      <w:r w:rsidR="00275C19">
        <w:rPr>
          <w:rFonts w:ascii="Arial" w:hAnsi="Arial" w:cs="Arial"/>
          <w:color w:val="000000"/>
          <w:sz w:val="20"/>
        </w:rPr>
        <w:t xml:space="preserve">of a child or other party or witness in a proceedings in the Children’s Court was subject to the prohibition in s.534(1)(b) whether or not publication of the picture is likely to lead to the identification of the child, party or witness.  </w:t>
      </w:r>
      <w:r w:rsidR="00861301">
        <w:rPr>
          <w:rFonts w:ascii="Arial" w:hAnsi="Arial" w:cs="Arial"/>
          <w:color w:val="000000"/>
          <w:sz w:val="20"/>
        </w:rPr>
        <w:t xml:space="preserve">His Honour said: “In my view, if the legislature had intended to limit the prohibition to only pictures that were likely to lead to the identification of a child, other party or witness, it would have been expected to include those words as it did with (1)(a) and (c).”  </w:t>
      </w:r>
      <w:r w:rsidR="00275C19">
        <w:rPr>
          <w:rFonts w:ascii="Arial" w:hAnsi="Arial" w:cs="Arial"/>
          <w:color w:val="000000"/>
          <w:sz w:val="20"/>
        </w:rPr>
        <w:t xml:space="preserve">However, </w:t>
      </w:r>
      <w:r>
        <w:rPr>
          <w:rFonts w:ascii="Arial" w:hAnsi="Arial" w:cs="Arial"/>
          <w:color w:val="000000"/>
          <w:sz w:val="20"/>
        </w:rPr>
        <w:t>his Honour</w:t>
      </w:r>
      <w:r w:rsidR="00275C19">
        <w:rPr>
          <w:rFonts w:ascii="Arial" w:hAnsi="Arial" w:cs="Arial"/>
          <w:color w:val="000000"/>
          <w:sz w:val="20"/>
        </w:rPr>
        <w:t xml:space="preserve"> ultimately granted the ABC’s application and permi</w:t>
      </w:r>
      <w:r>
        <w:rPr>
          <w:rFonts w:ascii="Arial" w:hAnsi="Arial" w:cs="Arial"/>
          <w:color w:val="000000"/>
          <w:sz w:val="20"/>
        </w:rPr>
        <w:t>tted the publication of reports – which included a partial picture of the child and a distorted picture of the child’s father – for the following reasons [at p.16]:</w:t>
      </w:r>
    </w:p>
    <w:p w14:paraId="5B717863" w14:textId="77777777" w:rsidR="00C719C4" w:rsidRDefault="00C719C4" w:rsidP="00C719C4">
      <w:pPr>
        <w:spacing w:before="60"/>
        <w:ind w:left="567" w:right="567"/>
        <w:jc w:val="both"/>
        <w:rPr>
          <w:rFonts w:ascii="Arial" w:hAnsi="Arial" w:cs="Arial"/>
          <w:sz w:val="20"/>
        </w:rPr>
      </w:pPr>
      <w:r>
        <w:rPr>
          <w:rFonts w:ascii="Arial" w:hAnsi="Arial" w:cs="Arial"/>
          <w:sz w:val="20"/>
        </w:rPr>
        <w:t>“Ultimately, the question of whether or not to grant the ABC’s application is a balancing exercise between the paramount interests of the children who are the subject of the report and the public’s right to know about what is reported to have happened to the children whilst in the care of DHS.</w:t>
      </w:r>
    </w:p>
    <w:p w14:paraId="2B244927" w14:textId="77777777" w:rsidR="00C719C4" w:rsidRDefault="00C719C4" w:rsidP="00C719C4">
      <w:pPr>
        <w:spacing w:before="60"/>
        <w:ind w:left="567" w:right="567"/>
        <w:jc w:val="both"/>
        <w:rPr>
          <w:rFonts w:ascii="Arial" w:hAnsi="Arial" w:cs="Arial"/>
          <w:sz w:val="20"/>
        </w:rPr>
      </w:pPr>
      <w:r>
        <w:rPr>
          <w:rFonts w:ascii="Arial" w:hAnsi="Arial" w:cs="Arial"/>
          <w:sz w:val="20"/>
        </w:rPr>
        <w:t>Where, as in this case, I am satisfied that the risk of the children being identified is at best minimal, the public’s interest in knowing what is said to have happened to these highly vulnerable children in the care of the State weighs the balance firmly in favour of publication.”</w:t>
      </w:r>
    </w:p>
    <w:p w14:paraId="2A17392E" w14:textId="77777777" w:rsidR="005469BA" w:rsidRDefault="005469BA" w:rsidP="00C94638">
      <w:pPr>
        <w:jc w:val="both"/>
        <w:rPr>
          <w:rFonts w:ascii="Arial" w:hAnsi="Arial" w:cs="Arial"/>
          <w:color w:val="000000"/>
          <w:sz w:val="20"/>
        </w:rPr>
      </w:pPr>
    </w:p>
    <w:p w14:paraId="57F975A6" w14:textId="77777777" w:rsidR="00861301" w:rsidRDefault="00861301" w:rsidP="003F3037">
      <w:pPr>
        <w:jc w:val="both"/>
        <w:rPr>
          <w:rFonts w:ascii="Arial" w:hAnsi="Arial" w:cs="Arial"/>
          <w:color w:val="000000"/>
          <w:sz w:val="20"/>
        </w:rPr>
      </w:pPr>
      <w:r>
        <w:rPr>
          <w:rFonts w:ascii="Arial" w:hAnsi="Arial" w:cs="Arial"/>
          <w:color w:val="000000"/>
          <w:sz w:val="20"/>
        </w:rPr>
        <w:t xml:space="preserve">In </w:t>
      </w:r>
      <w:r w:rsidRPr="00861301">
        <w:rPr>
          <w:rFonts w:ascii="Arial" w:hAnsi="Arial" w:cs="Arial"/>
          <w:i/>
          <w:color w:val="000000"/>
          <w:sz w:val="20"/>
        </w:rPr>
        <w:t xml:space="preserve">HWT v DM &amp; </w:t>
      </w:r>
      <w:proofErr w:type="spellStart"/>
      <w:r w:rsidRPr="00861301">
        <w:rPr>
          <w:rFonts w:ascii="Arial" w:hAnsi="Arial" w:cs="Arial"/>
          <w:i/>
          <w:color w:val="000000"/>
          <w:sz w:val="20"/>
        </w:rPr>
        <w:t>Ors</w:t>
      </w:r>
      <w:proofErr w:type="spellEnd"/>
      <w:r>
        <w:rPr>
          <w:rFonts w:ascii="Arial" w:hAnsi="Arial" w:cs="Arial"/>
          <w:color w:val="000000"/>
          <w:sz w:val="20"/>
        </w:rPr>
        <w:t xml:space="preserve"> </w:t>
      </w:r>
      <w:r w:rsidR="00D80DEF">
        <w:rPr>
          <w:rFonts w:ascii="Arial" w:hAnsi="Arial" w:cs="Arial"/>
          <w:color w:val="000000"/>
          <w:sz w:val="20"/>
        </w:rPr>
        <w:t xml:space="preserve">[2016] </w:t>
      </w:r>
      <w:proofErr w:type="spellStart"/>
      <w:r w:rsidR="00D80DEF">
        <w:rPr>
          <w:rFonts w:ascii="Arial" w:hAnsi="Arial" w:cs="Arial"/>
          <w:color w:val="000000"/>
          <w:sz w:val="20"/>
        </w:rPr>
        <w:t>VChC</w:t>
      </w:r>
      <w:proofErr w:type="spellEnd"/>
      <w:r w:rsidR="00D80DEF">
        <w:rPr>
          <w:rFonts w:ascii="Arial" w:hAnsi="Arial" w:cs="Arial"/>
          <w:color w:val="000000"/>
          <w:sz w:val="20"/>
        </w:rPr>
        <w:t xml:space="preserve"> 3</w:t>
      </w:r>
      <w:r>
        <w:rPr>
          <w:rFonts w:ascii="Arial" w:hAnsi="Arial" w:cs="Arial"/>
          <w:color w:val="000000"/>
          <w:sz w:val="20"/>
        </w:rPr>
        <w:t xml:space="preserve"> an application </w:t>
      </w:r>
      <w:r w:rsidR="00D80DEF">
        <w:rPr>
          <w:rFonts w:ascii="Arial" w:hAnsi="Arial" w:cs="Arial"/>
          <w:color w:val="000000"/>
          <w:sz w:val="20"/>
        </w:rPr>
        <w:t>had been</w:t>
      </w:r>
      <w:r>
        <w:rPr>
          <w:rFonts w:ascii="Arial" w:hAnsi="Arial" w:cs="Arial"/>
          <w:color w:val="000000"/>
          <w:sz w:val="20"/>
        </w:rPr>
        <w:t xml:space="preserve"> made to Judge Chambers for permission to publish pixilated pictures and video recordings of children who have been involved in proceedings in the Criminal Division of the Children’s Court and in respect of whom the Court has sentenced, or has deferred sentencing, under the provisions of the CYFA.  The application was made in the context of the involvement of the HWT in a “Youth Summit” to be convened by the Chief Commissioner of Police on 21/07/2016.  The application was opposed by the three young persons whose pixilated photographs were proposed to be published for the following </w:t>
      </w:r>
      <w:r w:rsidR="00D80DEF">
        <w:rPr>
          <w:rFonts w:ascii="Arial" w:hAnsi="Arial" w:cs="Arial"/>
          <w:color w:val="000000"/>
          <w:sz w:val="20"/>
        </w:rPr>
        <w:t xml:space="preserve">factual </w:t>
      </w:r>
      <w:r>
        <w:rPr>
          <w:rFonts w:ascii="Arial" w:hAnsi="Arial" w:cs="Arial"/>
          <w:color w:val="000000"/>
          <w:sz w:val="20"/>
        </w:rPr>
        <w:t>reasons</w:t>
      </w:r>
      <w:r w:rsidR="004005E7">
        <w:rPr>
          <w:rFonts w:ascii="Arial" w:hAnsi="Arial" w:cs="Arial"/>
          <w:color w:val="000000"/>
          <w:sz w:val="20"/>
        </w:rPr>
        <w:t xml:space="preserve"> (set out at [12]</w:t>
      </w:r>
      <w:r w:rsidR="00D80DEF">
        <w:rPr>
          <w:rFonts w:ascii="Arial" w:hAnsi="Arial" w:cs="Arial"/>
          <w:color w:val="000000"/>
          <w:sz w:val="20"/>
        </w:rPr>
        <w:t>)</w:t>
      </w:r>
      <w:r>
        <w:rPr>
          <w:rFonts w:ascii="Arial" w:hAnsi="Arial" w:cs="Arial"/>
          <w:color w:val="000000"/>
          <w:sz w:val="20"/>
        </w:rPr>
        <w:t>:</w:t>
      </w:r>
    </w:p>
    <w:p w14:paraId="18233647" w14:textId="77777777" w:rsidR="00861301" w:rsidRDefault="00861301" w:rsidP="00CD02A3">
      <w:pPr>
        <w:spacing w:before="60"/>
        <w:ind w:left="567" w:right="567"/>
        <w:jc w:val="both"/>
        <w:rPr>
          <w:rFonts w:ascii="Arial" w:hAnsi="Arial" w:cs="Arial"/>
          <w:sz w:val="20"/>
        </w:rPr>
      </w:pPr>
      <w:r>
        <w:rPr>
          <w:rFonts w:ascii="Arial" w:hAnsi="Arial" w:cs="Arial"/>
          <w:sz w:val="20"/>
        </w:rPr>
        <w:t>“[T]hey fear being identified by family members, friends and associates who are not aware of their role in this offending, or by other members of their community</w:t>
      </w:r>
      <w:r w:rsidR="008938AE">
        <w:rPr>
          <w:rFonts w:ascii="Arial" w:hAnsi="Arial" w:cs="Arial"/>
          <w:sz w:val="20"/>
        </w:rPr>
        <w:t>, including other young people held in detention, if their images (even where pixilated) accompany the feature article....[They] are ashamed of their offending behaviour, and submit that the shame and embarrassment to them and to their families will be exacerbated by the publication of the images.  They fear becoming the ‘face’ of the problems leading to the Youth summit being convened.”</w:t>
      </w:r>
    </w:p>
    <w:p w14:paraId="19E5F486" w14:textId="77777777" w:rsidR="00861301" w:rsidRDefault="00AE7954" w:rsidP="00DF1317">
      <w:pPr>
        <w:spacing w:before="120"/>
        <w:jc w:val="both"/>
        <w:rPr>
          <w:rFonts w:ascii="Arial" w:hAnsi="Arial" w:cs="Arial"/>
          <w:color w:val="000000"/>
          <w:sz w:val="20"/>
        </w:rPr>
      </w:pPr>
      <w:r>
        <w:rPr>
          <w:rFonts w:ascii="Arial" w:hAnsi="Arial" w:cs="Arial"/>
          <w:color w:val="000000"/>
          <w:sz w:val="20"/>
        </w:rPr>
        <w:t>In refusing the HWT application her Honour held-</w:t>
      </w:r>
    </w:p>
    <w:p w14:paraId="25E26B09" w14:textId="77777777" w:rsidR="005827ED" w:rsidRDefault="005827ED" w:rsidP="00CD02A3">
      <w:pPr>
        <w:spacing w:before="60"/>
        <w:ind w:left="567" w:right="567"/>
        <w:jc w:val="both"/>
        <w:rPr>
          <w:rFonts w:ascii="Arial" w:hAnsi="Arial" w:cs="Arial"/>
          <w:color w:val="000000"/>
          <w:sz w:val="20"/>
        </w:rPr>
      </w:pPr>
      <w:r>
        <w:rPr>
          <w:rFonts w:ascii="Arial" w:hAnsi="Arial" w:cs="Arial"/>
          <w:color w:val="000000"/>
          <w:sz w:val="20"/>
        </w:rPr>
        <w:t xml:space="preserve">[15] </w:t>
      </w:r>
      <w:r w:rsidR="00AE7954">
        <w:rPr>
          <w:rFonts w:ascii="Arial" w:hAnsi="Arial" w:cs="Arial"/>
          <w:color w:val="000000"/>
          <w:sz w:val="20"/>
        </w:rPr>
        <w:t>“</w:t>
      </w:r>
      <w:r>
        <w:rPr>
          <w:rFonts w:ascii="Arial" w:hAnsi="Arial" w:cs="Arial"/>
          <w:color w:val="000000"/>
          <w:sz w:val="20"/>
        </w:rPr>
        <w:t>...</w:t>
      </w:r>
      <w:r w:rsidR="00AE7954">
        <w:rPr>
          <w:rFonts w:ascii="Arial" w:hAnsi="Arial" w:cs="Arial"/>
          <w:color w:val="000000"/>
          <w:sz w:val="20"/>
        </w:rPr>
        <w:t xml:space="preserve">I intend to adopt the approach of Judge Couzens </w:t>
      </w:r>
      <w:r>
        <w:rPr>
          <w:rFonts w:ascii="Arial" w:hAnsi="Arial" w:cs="Arial"/>
          <w:color w:val="000000"/>
          <w:sz w:val="20"/>
        </w:rPr>
        <w:t>to</w:t>
      </w:r>
      <w:r w:rsidR="00AE7954">
        <w:rPr>
          <w:rFonts w:ascii="Arial" w:hAnsi="Arial" w:cs="Arial"/>
          <w:color w:val="000000"/>
          <w:sz w:val="20"/>
        </w:rPr>
        <w:t xml:space="preserve"> my cons</w:t>
      </w:r>
      <w:r w:rsidR="00375FDF">
        <w:rPr>
          <w:rFonts w:ascii="Arial" w:hAnsi="Arial" w:cs="Arial"/>
          <w:color w:val="000000"/>
          <w:sz w:val="20"/>
        </w:rPr>
        <w:t>ideration of this application.  In doing so, it is instructive that Parliament has not utilised the language it purposely adopted for s.534</w:t>
      </w:r>
      <w:r>
        <w:rPr>
          <w:rFonts w:ascii="Arial" w:hAnsi="Arial" w:cs="Arial"/>
          <w:color w:val="000000"/>
          <w:sz w:val="20"/>
        </w:rPr>
        <w:t>(</w:t>
      </w:r>
      <w:r w:rsidR="00375FDF">
        <w:rPr>
          <w:rFonts w:ascii="Arial" w:hAnsi="Arial" w:cs="Arial"/>
          <w:color w:val="000000"/>
          <w:sz w:val="20"/>
        </w:rPr>
        <w:t xml:space="preserve">1)(a) and (1)(c).  Section 534(1)(b) does not limit the prohibition of images of a child, a party or a witness involved in proceedings in the Children’s Court </w:t>
      </w:r>
      <w:r>
        <w:rPr>
          <w:rFonts w:ascii="Arial" w:hAnsi="Arial" w:cs="Arial"/>
          <w:color w:val="000000"/>
          <w:sz w:val="20"/>
        </w:rPr>
        <w:t xml:space="preserve">to those likely to lead to their identification.  It is a broader prohibition, prohibiting the publication of such images without the permission of the President, even where the images may not lead to the identification of those whose image is represented </w:t>
      </w:r>
      <w:r w:rsidR="004005E7">
        <w:rPr>
          <w:rFonts w:ascii="Arial" w:hAnsi="Arial" w:cs="Arial"/>
          <w:color w:val="000000"/>
          <w:sz w:val="20"/>
        </w:rPr>
        <w:t>in picture.</w:t>
      </w:r>
    </w:p>
    <w:p w14:paraId="7A30EE24" w14:textId="77777777" w:rsidR="004005E7" w:rsidRDefault="004005E7" w:rsidP="004005E7">
      <w:pPr>
        <w:spacing w:before="60"/>
        <w:ind w:left="567" w:right="567"/>
        <w:jc w:val="both"/>
        <w:rPr>
          <w:rFonts w:ascii="Arial" w:hAnsi="Arial" w:cs="Arial"/>
          <w:color w:val="000000"/>
          <w:sz w:val="20"/>
        </w:rPr>
      </w:pPr>
      <w:r>
        <w:rPr>
          <w:rFonts w:ascii="Arial" w:hAnsi="Arial" w:cs="Arial"/>
          <w:color w:val="000000"/>
          <w:sz w:val="20"/>
        </w:rPr>
        <w:t>[16] Clearly, in exercising my discretion under s.534(1) of the Act, I must have regard to a number of competing interests.</w:t>
      </w:r>
    </w:p>
    <w:p w14:paraId="422CCBEC" w14:textId="77777777" w:rsidR="005827ED" w:rsidRDefault="005827ED" w:rsidP="004005E7">
      <w:pPr>
        <w:spacing w:before="60"/>
        <w:ind w:left="567" w:right="567"/>
        <w:jc w:val="both"/>
        <w:rPr>
          <w:rFonts w:ascii="Arial" w:hAnsi="Arial" w:cs="Arial"/>
          <w:sz w:val="20"/>
        </w:rPr>
      </w:pPr>
      <w:r>
        <w:rPr>
          <w:rFonts w:ascii="Arial" w:hAnsi="Arial" w:cs="Arial"/>
          <w:sz w:val="20"/>
        </w:rPr>
        <w:t xml:space="preserve">[17] [I]n considering any proceedings under the Act, it is necessary to have regard to, and to the extent possible, give effect to the purposes of the Act contained in s.3, which includes making provision in relation to children who have been charged with, or been found guilty of offences.  Parliament has sought to achieve this objective by creating a distinct sentencing regime for children with discrete sentencing considerations set out at s.362 of the Act, in marked contrast to the sentencing considerations applicable to adults under the </w:t>
      </w:r>
      <w:r w:rsidRPr="005827ED">
        <w:rPr>
          <w:rFonts w:ascii="Arial" w:hAnsi="Arial" w:cs="Arial"/>
          <w:i/>
          <w:sz w:val="20"/>
        </w:rPr>
        <w:t>Sentencing Act 1991</w:t>
      </w:r>
      <w:r>
        <w:rPr>
          <w:rFonts w:ascii="Arial" w:hAnsi="Arial" w:cs="Arial"/>
          <w:sz w:val="20"/>
        </w:rPr>
        <w:t xml:space="preserve">.  These considerations include those aimed at achieving the important </w:t>
      </w:r>
      <w:r>
        <w:rPr>
          <w:rFonts w:ascii="Arial" w:hAnsi="Arial" w:cs="Arial"/>
          <w:sz w:val="20"/>
        </w:rPr>
        <w:lastRenderedPageBreak/>
        <w:t>objective of rehabilitating the child while minimising the stigma to the child resulting from a Court determination.</w:t>
      </w:r>
    </w:p>
    <w:p w14:paraId="4B97E57D" w14:textId="77777777" w:rsidR="005827ED" w:rsidRDefault="005827ED" w:rsidP="004005E7">
      <w:pPr>
        <w:spacing w:before="60"/>
        <w:ind w:left="567" w:right="567"/>
        <w:jc w:val="both"/>
        <w:rPr>
          <w:rFonts w:ascii="Arial" w:hAnsi="Arial" w:cs="Arial"/>
          <w:sz w:val="20"/>
        </w:rPr>
      </w:pPr>
      <w:r>
        <w:rPr>
          <w:rFonts w:ascii="Arial" w:hAnsi="Arial" w:cs="Arial"/>
          <w:sz w:val="20"/>
        </w:rPr>
        <w:t xml:space="preserve">[18] The distinctive nature of the Children’s Court criminal jurisdiction was recently considered by the Victorian Court of Appeal in the decision of </w:t>
      </w:r>
      <w:r w:rsidRPr="005827ED">
        <w:rPr>
          <w:rFonts w:ascii="Arial" w:hAnsi="Arial" w:cs="Arial"/>
          <w:i/>
          <w:sz w:val="20"/>
        </w:rPr>
        <w:t>Webster (a Pseudonym) v The Queen</w:t>
      </w:r>
      <w:r>
        <w:rPr>
          <w:rFonts w:ascii="Arial" w:hAnsi="Arial" w:cs="Arial"/>
          <w:sz w:val="20"/>
        </w:rPr>
        <w:t xml:space="preserve"> [2016] VSCA 66... at [7]-[9]...</w:t>
      </w:r>
    </w:p>
    <w:p w14:paraId="1D4BD490" w14:textId="77777777" w:rsidR="005827ED" w:rsidRDefault="005827ED" w:rsidP="004005E7">
      <w:pPr>
        <w:spacing w:before="60"/>
        <w:ind w:left="567" w:right="567"/>
        <w:jc w:val="both"/>
        <w:rPr>
          <w:rFonts w:ascii="Arial" w:hAnsi="Arial" w:cs="Arial"/>
          <w:sz w:val="20"/>
        </w:rPr>
      </w:pPr>
      <w:r>
        <w:rPr>
          <w:rFonts w:ascii="Arial" w:hAnsi="Arial" w:cs="Arial"/>
          <w:sz w:val="20"/>
        </w:rPr>
        <w:t>[19] The desirability of avoiding stigma to a child is also emphasised in the procedural guidelines set out at s.522 of the Act which requires the Court, as far as practicable, to minimise the stigma to the child and his or her family in any proceeding, including an application under Part 7.5</w:t>
      </w:r>
      <w:r w:rsidR="004005E7">
        <w:rPr>
          <w:rFonts w:ascii="Arial" w:hAnsi="Arial" w:cs="Arial"/>
          <w:sz w:val="20"/>
        </w:rPr>
        <w:t>.</w:t>
      </w:r>
      <w:r>
        <w:rPr>
          <w:rFonts w:ascii="Arial" w:hAnsi="Arial" w:cs="Arial"/>
          <w:sz w:val="20"/>
        </w:rPr>
        <w:t xml:space="preserve"> The Court is also required to have regard to the expressed wishes of the child.</w:t>
      </w:r>
    </w:p>
    <w:p w14:paraId="01265E3A" w14:textId="77777777" w:rsidR="004005E7" w:rsidRDefault="004005E7" w:rsidP="004005E7">
      <w:pPr>
        <w:spacing w:before="60"/>
        <w:ind w:left="567" w:right="567"/>
        <w:jc w:val="both"/>
        <w:rPr>
          <w:rFonts w:ascii="Arial" w:hAnsi="Arial" w:cs="Arial"/>
          <w:sz w:val="20"/>
        </w:rPr>
      </w:pPr>
      <w:r>
        <w:rPr>
          <w:rFonts w:ascii="Arial" w:hAnsi="Arial" w:cs="Arial"/>
          <w:sz w:val="20"/>
        </w:rPr>
        <w:t>[20] Against this, the case of the applicant is framed in the context of the public interest in promoting an understanding of and facilitating public debate surrounding the nature and extent of criminal offending by a small cohort of young offenders.</w:t>
      </w:r>
    </w:p>
    <w:p w14:paraId="37F9763E" w14:textId="77777777" w:rsidR="004005E7" w:rsidRDefault="00CE3FAB" w:rsidP="004005E7">
      <w:pPr>
        <w:spacing w:before="60"/>
        <w:ind w:left="567" w:right="567"/>
        <w:jc w:val="both"/>
        <w:rPr>
          <w:rFonts w:ascii="Arial" w:hAnsi="Arial" w:cs="Arial"/>
          <w:sz w:val="20"/>
        </w:rPr>
      </w:pPr>
      <w:r>
        <w:rPr>
          <w:rFonts w:ascii="Arial" w:hAnsi="Arial" w:cs="Arial"/>
          <w:sz w:val="20"/>
        </w:rPr>
        <w:t xml:space="preserve">[21] </w:t>
      </w:r>
      <w:r w:rsidRPr="00CE3FAB">
        <w:rPr>
          <w:rFonts w:ascii="Arial" w:hAnsi="Arial" w:cs="Arial"/>
          <w:sz w:val="20"/>
        </w:rPr>
        <w:t xml:space="preserve">In my view, this application must be considered in the context of the harm sought to be ameliorated by s534(1) of the Act. As stated in </w:t>
      </w:r>
      <w:r w:rsidRPr="00CE3FAB">
        <w:rPr>
          <w:rFonts w:ascii="Arial" w:hAnsi="Arial" w:cs="Arial"/>
          <w:i/>
          <w:sz w:val="20"/>
        </w:rPr>
        <w:t xml:space="preserve">Howe v Harvey (2008) 20 VR 638 at 651 </w:t>
      </w:r>
      <w:r w:rsidRPr="00CE3FAB">
        <w:rPr>
          <w:rFonts w:ascii="Arial" w:hAnsi="Arial" w:cs="Arial"/>
          <w:sz w:val="20"/>
        </w:rPr>
        <w:t xml:space="preserve">the provision is intended to protect against </w:t>
      </w:r>
      <w:r>
        <w:rPr>
          <w:rFonts w:ascii="Arial" w:hAnsi="Arial" w:cs="Arial"/>
          <w:sz w:val="20"/>
        </w:rPr>
        <w:t>‘</w:t>
      </w:r>
      <w:r w:rsidRPr="00CE3FAB">
        <w:rPr>
          <w:rFonts w:ascii="Arial" w:hAnsi="Arial" w:cs="Arial"/>
          <w:sz w:val="20"/>
        </w:rPr>
        <w:t>the stigmatisation and interference with the privacy of the child and his or her family caused by identifying them as participants in court proceedings</w:t>
      </w:r>
      <w:r>
        <w:rPr>
          <w:rFonts w:ascii="Arial" w:hAnsi="Arial" w:cs="Arial"/>
          <w:sz w:val="20"/>
        </w:rPr>
        <w:t>’</w:t>
      </w:r>
      <w:r w:rsidRPr="00CE3FAB">
        <w:rPr>
          <w:rFonts w:ascii="Arial" w:hAnsi="Arial" w:cs="Arial"/>
          <w:sz w:val="20"/>
        </w:rPr>
        <w:t xml:space="preserve">. In so stating, the Court echoed the fundamental rights of a child as outlined in Article 40 of the UN Convention of the Rights of the Child to </w:t>
      </w:r>
      <w:r>
        <w:rPr>
          <w:rFonts w:ascii="Arial" w:hAnsi="Arial" w:cs="Arial"/>
          <w:sz w:val="20"/>
        </w:rPr>
        <w:t>‘</w:t>
      </w:r>
      <w:r w:rsidRPr="00CE3FAB">
        <w:rPr>
          <w:rFonts w:ascii="Arial" w:hAnsi="Arial" w:cs="Arial"/>
          <w:sz w:val="20"/>
        </w:rPr>
        <w:t>have his or her rights to privacy fully respected at all stages of the proceedings</w:t>
      </w:r>
      <w:r>
        <w:rPr>
          <w:rFonts w:ascii="Arial" w:hAnsi="Arial" w:cs="Arial"/>
          <w:sz w:val="20"/>
        </w:rPr>
        <w:t>’</w:t>
      </w:r>
      <w:r w:rsidRPr="00CE3FAB">
        <w:rPr>
          <w:rFonts w:ascii="Arial" w:hAnsi="Arial" w:cs="Arial"/>
          <w:sz w:val="20"/>
        </w:rPr>
        <w:t>.</w:t>
      </w:r>
    </w:p>
    <w:p w14:paraId="7839F194" w14:textId="77777777" w:rsidR="00CE3FAB" w:rsidRDefault="00CE3FAB" w:rsidP="004005E7">
      <w:pPr>
        <w:spacing w:before="60"/>
        <w:ind w:left="567" w:right="567"/>
        <w:jc w:val="both"/>
        <w:rPr>
          <w:rFonts w:ascii="Arial" w:hAnsi="Arial" w:cs="Arial"/>
          <w:sz w:val="20"/>
        </w:rPr>
      </w:pPr>
      <w:r>
        <w:rPr>
          <w:rFonts w:ascii="Arial" w:hAnsi="Arial" w:cs="Arial"/>
          <w:sz w:val="20"/>
        </w:rPr>
        <w:t xml:space="preserve">[22] </w:t>
      </w:r>
      <w:r w:rsidR="007213A9" w:rsidRPr="00CE3FAB">
        <w:rPr>
          <w:rFonts w:ascii="Arial" w:hAnsi="Arial" w:cs="Arial"/>
          <w:sz w:val="20"/>
        </w:rPr>
        <w:t>Here, even where the facial images of the offenders are pixilated or distorted, there are other identifying features of the offenders that are relevant to my consideration. These include, but are not limited to, distinctive clothing or clothing generally worn by the offender or their physical characteristics including their height, build, gait and particular mannerisms that may otherwise lead to identification.  This is relevant to my consideration of the potential stigmatising impact of publication of the images on the respondents.</w:t>
      </w:r>
    </w:p>
    <w:p w14:paraId="61F5A3E3" w14:textId="77777777" w:rsidR="007213A9" w:rsidRDefault="007213A9" w:rsidP="004005E7">
      <w:pPr>
        <w:spacing w:before="60"/>
        <w:ind w:left="567" w:right="567"/>
        <w:jc w:val="both"/>
        <w:rPr>
          <w:rFonts w:ascii="Arial" w:hAnsi="Arial" w:cs="Arial"/>
          <w:sz w:val="20"/>
        </w:rPr>
      </w:pPr>
      <w:r>
        <w:rPr>
          <w:rFonts w:ascii="Arial" w:hAnsi="Arial" w:cs="Arial"/>
          <w:sz w:val="20"/>
        </w:rPr>
        <w:t xml:space="preserve">[23] </w:t>
      </w:r>
      <w:r w:rsidRPr="00CE3FAB">
        <w:rPr>
          <w:rFonts w:ascii="Arial" w:hAnsi="Arial" w:cs="Arial"/>
          <w:sz w:val="20"/>
        </w:rPr>
        <w:t>The HWT is able to report</w:t>
      </w:r>
      <w:r>
        <w:rPr>
          <w:rFonts w:ascii="Arial" w:hAnsi="Arial" w:cs="Arial"/>
          <w:sz w:val="20"/>
        </w:rPr>
        <w:t>...</w:t>
      </w:r>
      <w:r w:rsidRPr="00CE3FAB">
        <w:rPr>
          <w:rFonts w:ascii="Arial" w:hAnsi="Arial" w:cs="Arial"/>
          <w:sz w:val="20"/>
        </w:rPr>
        <w:t>on the nature and extent of the offending conduct leading to the charges before the Court, provided it does so in a manner that is not likely to lead to their identification. A question arises whether the public interest in understanding the nature and extent of the offending is furthered by the incorporation of the images and CCTV footage. Moreover, that the public interest in being so informed overrides the competing interest in avoiding stigma to the child, protecting the child’s privacy and facilitating the important objective of furthering the child’s rehabilitation to achieve the twin objectives of reducing the risk of further offending and promoting community safety.</w:t>
      </w:r>
    </w:p>
    <w:p w14:paraId="279D35AD" w14:textId="77777777" w:rsidR="007213A9" w:rsidRDefault="007213A9" w:rsidP="004005E7">
      <w:pPr>
        <w:spacing w:before="60"/>
        <w:ind w:left="567" w:right="567"/>
        <w:jc w:val="both"/>
        <w:rPr>
          <w:rFonts w:ascii="Arial" w:hAnsi="Arial" w:cs="Arial"/>
          <w:sz w:val="20"/>
        </w:rPr>
      </w:pPr>
      <w:r>
        <w:rPr>
          <w:rFonts w:ascii="Arial" w:hAnsi="Arial" w:cs="Arial"/>
          <w:sz w:val="20"/>
        </w:rPr>
        <w:t xml:space="preserve">[24] </w:t>
      </w:r>
      <w:r w:rsidRPr="00CE3FAB">
        <w:rPr>
          <w:rFonts w:ascii="Arial" w:hAnsi="Arial" w:cs="Arial"/>
          <w:sz w:val="20"/>
        </w:rPr>
        <w:t>In respect of this application, having the benefit of considering the draft feature article and the detail contained in that article regarding the offences, I do not consider that the public interest or public understanding is significantly advanced by the incorporation of even heavily redacted images of the offending. Certainly, not to the extent that it overrides the legislative objective of protecting child offenders from stigmatisation and promoting the rehabilitation of those who are the subject of proceedings in the ‘distinctive’ criminal jurisdiction of this Court.</w:t>
      </w:r>
      <w:r>
        <w:rPr>
          <w:rFonts w:ascii="Arial" w:hAnsi="Arial" w:cs="Arial"/>
          <w:sz w:val="20"/>
        </w:rPr>
        <w:t>”</w:t>
      </w:r>
    </w:p>
    <w:p w14:paraId="5520EB23" w14:textId="77777777" w:rsidR="00861301" w:rsidRDefault="00861301" w:rsidP="00C94638">
      <w:pPr>
        <w:jc w:val="both"/>
        <w:rPr>
          <w:rFonts w:ascii="Arial" w:hAnsi="Arial" w:cs="Arial"/>
          <w:color w:val="000000"/>
          <w:sz w:val="20"/>
        </w:rPr>
      </w:pPr>
    </w:p>
    <w:p w14:paraId="6AE98DE1" w14:textId="77777777" w:rsidR="00F51123" w:rsidRDefault="00F51123" w:rsidP="00C94638">
      <w:pPr>
        <w:jc w:val="both"/>
        <w:rPr>
          <w:rFonts w:ascii="Arial" w:hAnsi="Arial" w:cs="Arial"/>
          <w:sz w:val="20"/>
          <w:szCs w:val="20"/>
        </w:rPr>
      </w:pPr>
      <w:r w:rsidRPr="00F51123">
        <w:rPr>
          <w:rFonts w:ascii="Arial" w:hAnsi="Arial" w:cs="Arial"/>
          <w:color w:val="000000"/>
          <w:sz w:val="20"/>
          <w:szCs w:val="20"/>
        </w:rPr>
        <w:t xml:space="preserve">In </w:t>
      </w:r>
      <w:r w:rsidRPr="00F51123">
        <w:rPr>
          <w:rFonts w:ascii="Arial" w:hAnsi="Arial" w:cs="Arial"/>
          <w:i/>
          <w:iCs/>
          <w:color w:val="000000"/>
          <w:sz w:val="20"/>
          <w:szCs w:val="20"/>
        </w:rPr>
        <w:t>Victoria Police v. AY &amp; NA (pseudonyms)</w:t>
      </w:r>
      <w:r w:rsidRPr="00F51123">
        <w:rPr>
          <w:rFonts w:ascii="Arial" w:hAnsi="Arial" w:cs="Arial"/>
          <w:color w:val="000000"/>
          <w:sz w:val="20"/>
          <w:szCs w:val="20"/>
        </w:rPr>
        <w:t xml:space="preserve"> [Melbourne Children’s Court, 29/05/2019] </w:t>
      </w:r>
      <w:r>
        <w:rPr>
          <w:rFonts w:ascii="Arial" w:hAnsi="Arial" w:cs="Arial"/>
          <w:color w:val="000000"/>
          <w:sz w:val="20"/>
          <w:szCs w:val="20"/>
        </w:rPr>
        <w:t xml:space="preserve">the respondents were 2 of </w:t>
      </w:r>
      <w:r w:rsidRPr="00F51123">
        <w:rPr>
          <w:rFonts w:ascii="Arial" w:hAnsi="Arial" w:cs="Arial"/>
          <w:color w:val="000000"/>
          <w:sz w:val="20"/>
          <w:szCs w:val="20"/>
        </w:rPr>
        <w:t xml:space="preserve">4 youths who were believed to have </w:t>
      </w:r>
      <w:r w:rsidRPr="00F51123">
        <w:rPr>
          <w:rFonts w:ascii="Arial" w:hAnsi="Arial" w:cs="Arial"/>
          <w:sz w:val="20"/>
          <w:szCs w:val="20"/>
        </w:rPr>
        <w:t>committed two aggravated home invasions, an attempted carjacking, a carjacking and associated offences</w:t>
      </w:r>
      <w:r>
        <w:rPr>
          <w:rFonts w:ascii="Arial" w:hAnsi="Arial" w:cs="Arial"/>
          <w:sz w:val="20"/>
          <w:szCs w:val="20"/>
        </w:rPr>
        <w:t>.  A</w:t>
      </w:r>
      <w:r w:rsidRPr="00F51123">
        <w:rPr>
          <w:rFonts w:ascii="Arial" w:hAnsi="Arial" w:cs="Arial"/>
          <w:color w:val="000000"/>
          <w:sz w:val="20"/>
          <w:szCs w:val="20"/>
        </w:rPr>
        <w:t xml:space="preserve">pplications were made to Judge Chambers by Victoria Police to publish identifying details of </w:t>
      </w:r>
      <w:r>
        <w:rPr>
          <w:rFonts w:ascii="Arial" w:hAnsi="Arial" w:cs="Arial"/>
          <w:color w:val="000000"/>
          <w:sz w:val="20"/>
          <w:szCs w:val="20"/>
        </w:rPr>
        <w:t xml:space="preserve">the respondents whose whereabouts were unknown.  Holding that </w:t>
      </w:r>
      <w:r w:rsidRPr="00F51123">
        <w:rPr>
          <w:rFonts w:ascii="Arial" w:hAnsi="Arial" w:cs="Arial"/>
          <w:sz w:val="20"/>
          <w:szCs w:val="20"/>
        </w:rPr>
        <w:t>the circumstances giving rise to the applications are an emergency</w:t>
      </w:r>
      <w:r>
        <w:rPr>
          <w:rFonts w:ascii="Arial" w:hAnsi="Arial" w:cs="Arial"/>
          <w:sz w:val="20"/>
          <w:szCs w:val="20"/>
        </w:rPr>
        <w:t xml:space="preserve"> and that </w:t>
      </w:r>
      <w:r w:rsidRPr="00F51123">
        <w:rPr>
          <w:rFonts w:ascii="Arial" w:hAnsi="Arial" w:cs="Arial"/>
          <w:sz w:val="20"/>
          <w:szCs w:val="20"/>
        </w:rPr>
        <w:t xml:space="preserve">publication is reasonably necessary for the safety </w:t>
      </w:r>
      <w:r>
        <w:rPr>
          <w:rFonts w:ascii="Arial" w:hAnsi="Arial" w:cs="Arial"/>
          <w:sz w:val="20"/>
          <w:szCs w:val="20"/>
        </w:rPr>
        <w:t xml:space="preserve">of </w:t>
      </w:r>
      <w:r w:rsidRPr="00F51123">
        <w:rPr>
          <w:rFonts w:ascii="Arial" w:hAnsi="Arial" w:cs="Arial"/>
          <w:sz w:val="20"/>
          <w:szCs w:val="20"/>
        </w:rPr>
        <w:t>other person</w:t>
      </w:r>
      <w:r>
        <w:rPr>
          <w:rFonts w:ascii="Arial" w:hAnsi="Arial" w:cs="Arial"/>
          <w:sz w:val="20"/>
          <w:szCs w:val="20"/>
        </w:rPr>
        <w:t>s</w:t>
      </w:r>
      <w:r w:rsidRPr="00F51123">
        <w:rPr>
          <w:rFonts w:ascii="Arial" w:hAnsi="Arial" w:cs="Arial"/>
          <w:sz w:val="20"/>
          <w:szCs w:val="20"/>
        </w:rPr>
        <w:t xml:space="preserve"> </w:t>
      </w:r>
      <w:r>
        <w:rPr>
          <w:rFonts w:ascii="Arial" w:hAnsi="Arial" w:cs="Arial"/>
          <w:sz w:val="20"/>
          <w:szCs w:val="20"/>
        </w:rPr>
        <w:t>and</w:t>
      </w:r>
      <w:r w:rsidRPr="00F51123">
        <w:rPr>
          <w:rFonts w:ascii="Arial" w:hAnsi="Arial" w:cs="Arial"/>
          <w:sz w:val="20"/>
          <w:szCs w:val="20"/>
        </w:rPr>
        <w:t xml:space="preserve"> </w:t>
      </w:r>
      <w:r>
        <w:rPr>
          <w:rFonts w:ascii="Arial" w:hAnsi="Arial" w:cs="Arial"/>
          <w:sz w:val="20"/>
          <w:szCs w:val="20"/>
        </w:rPr>
        <w:t xml:space="preserve">members of </w:t>
      </w:r>
      <w:r w:rsidRPr="00F51123">
        <w:rPr>
          <w:rFonts w:ascii="Arial" w:hAnsi="Arial" w:cs="Arial"/>
          <w:sz w:val="20"/>
          <w:szCs w:val="20"/>
        </w:rPr>
        <w:t>the community</w:t>
      </w:r>
      <w:r>
        <w:rPr>
          <w:rFonts w:ascii="Arial" w:hAnsi="Arial" w:cs="Arial"/>
          <w:sz w:val="20"/>
          <w:szCs w:val="20"/>
        </w:rPr>
        <w:t xml:space="preserve">, her Honour granted the applications for permission to publish particulars likely to lead to the identification of the child in the form of the draft media release produced by Victoria Police together with the accompanying photographs.  Pursuant to s.534(1A) </w:t>
      </w:r>
      <w:r w:rsidR="007D5307">
        <w:rPr>
          <w:rFonts w:ascii="Arial" w:hAnsi="Arial" w:cs="Arial"/>
          <w:sz w:val="20"/>
          <w:szCs w:val="20"/>
        </w:rPr>
        <w:t xml:space="preserve">of the CYFA </w:t>
      </w:r>
      <w:r>
        <w:rPr>
          <w:rFonts w:ascii="Arial" w:hAnsi="Arial" w:cs="Arial"/>
          <w:sz w:val="20"/>
          <w:szCs w:val="20"/>
        </w:rPr>
        <w:t xml:space="preserve">her Honour made self-executing orders in these terms but held that upon the location and arrest of the child the permission to publish will no longer apply and the permission granted by </w:t>
      </w:r>
      <w:r w:rsidR="007F76AD">
        <w:rPr>
          <w:rFonts w:ascii="Arial" w:hAnsi="Arial" w:cs="Arial"/>
          <w:sz w:val="20"/>
          <w:szCs w:val="20"/>
        </w:rPr>
        <w:t>the</w:t>
      </w:r>
      <w:r>
        <w:rPr>
          <w:rFonts w:ascii="Arial" w:hAnsi="Arial" w:cs="Arial"/>
          <w:sz w:val="20"/>
          <w:szCs w:val="20"/>
        </w:rPr>
        <w:t xml:space="preserve"> order will be taken to be revoked</w:t>
      </w:r>
      <w:r w:rsidR="00894D03">
        <w:rPr>
          <w:rFonts w:ascii="Arial" w:hAnsi="Arial" w:cs="Arial"/>
          <w:sz w:val="20"/>
          <w:szCs w:val="20"/>
        </w:rPr>
        <w:t>.</w:t>
      </w:r>
    </w:p>
    <w:p w14:paraId="1CF4EDB9" w14:textId="77777777" w:rsidR="00F51123" w:rsidRDefault="00F51123" w:rsidP="00C94638">
      <w:pPr>
        <w:jc w:val="both"/>
        <w:rPr>
          <w:rFonts w:ascii="Arial" w:hAnsi="Arial" w:cs="Arial"/>
          <w:sz w:val="20"/>
          <w:szCs w:val="20"/>
        </w:rPr>
      </w:pPr>
    </w:p>
    <w:p w14:paraId="7B5084C8" w14:textId="57304339" w:rsidR="00015A24" w:rsidRDefault="00015A24" w:rsidP="00C94638">
      <w:pPr>
        <w:jc w:val="both"/>
        <w:rPr>
          <w:rFonts w:ascii="Arial" w:hAnsi="Arial" w:cs="Arial"/>
          <w:color w:val="000000"/>
          <w:sz w:val="20"/>
        </w:rPr>
      </w:pPr>
      <w:r>
        <w:rPr>
          <w:rFonts w:ascii="Arial" w:hAnsi="Arial" w:cs="Arial"/>
          <w:color w:val="000000"/>
          <w:sz w:val="20"/>
        </w:rPr>
        <w:t xml:space="preserve">In 2009 the then President, Judge Grant, had </w:t>
      </w:r>
      <w:r w:rsidR="00A03186">
        <w:rPr>
          <w:rFonts w:ascii="Arial" w:hAnsi="Arial" w:cs="Arial"/>
          <w:color w:val="000000"/>
          <w:sz w:val="20"/>
        </w:rPr>
        <w:t xml:space="preserve">taken advice from the Director of Public Prosecutions and agreed with his advice that </w:t>
      </w:r>
      <w:r>
        <w:rPr>
          <w:rFonts w:ascii="Arial" w:hAnsi="Arial" w:cs="Arial"/>
          <w:color w:val="000000"/>
          <w:sz w:val="20"/>
        </w:rPr>
        <w:t>the publication of photographs of children or witnesses involved in Children’s Court pr</w:t>
      </w:r>
      <w:r w:rsidR="007A5A38">
        <w:rPr>
          <w:rFonts w:ascii="Arial" w:hAnsi="Arial" w:cs="Arial"/>
          <w:color w:val="000000"/>
          <w:sz w:val="20"/>
        </w:rPr>
        <w:t xml:space="preserve">oceedings, “whether pixilated or otherwise altered to prevent the identity of the [person] being revealed, would breach </w:t>
      </w:r>
      <w:r w:rsidR="00A03186">
        <w:rPr>
          <w:rFonts w:ascii="Arial" w:hAnsi="Arial" w:cs="Arial"/>
          <w:color w:val="000000"/>
          <w:sz w:val="20"/>
        </w:rPr>
        <w:t>[s.534(1)(b) of the CYPA]”.  By letter dated 28/05/2009 his Honour requested the Strategic Communications Advisor to the Supreme Court of Victoria to publish a warning to all media outlets about this interpretation of s.534(1)(b).</w:t>
      </w:r>
    </w:p>
    <w:p w14:paraId="5B02DDCC" w14:textId="77777777" w:rsidR="00015A24" w:rsidRPr="007D0039" w:rsidRDefault="00015A24" w:rsidP="00C94638">
      <w:pPr>
        <w:jc w:val="both"/>
        <w:rPr>
          <w:rFonts w:ascii="Arial" w:hAnsi="Arial" w:cs="Arial"/>
          <w:color w:val="000000"/>
          <w:sz w:val="20"/>
        </w:rPr>
      </w:pPr>
    </w:p>
    <w:p w14:paraId="1803BFBE" w14:textId="3DCABC39" w:rsidR="00DD0361" w:rsidRDefault="00676DE7" w:rsidP="00C94638">
      <w:pPr>
        <w:jc w:val="both"/>
        <w:rPr>
          <w:rFonts w:ascii="Arial" w:hAnsi="Arial" w:cs="Arial"/>
          <w:sz w:val="20"/>
        </w:rPr>
      </w:pPr>
      <w:r>
        <w:rPr>
          <w:rFonts w:ascii="Arial" w:hAnsi="Arial" w:cs="Arial"/>
          <w:sz w:val="20"/>
        </w:rPr>
        <w:lastRenderedPageBreak/>
        <w:t>T</w:t>
      </w:r>
      <w:r w:rsidR="00C94638">
        <w:rPr>
          <w:rFonts w:ascii="Arial" w:hAnsi="Arial" w:cs="Arial"/>
          <w:sz w:val="20"/>
        </w:rPr>
        <w:t xml:space="preserve">here have been several prosecutions of persons or bodies corporate alleged to have breached </w:t>
      </w:r>
      <w:r>
        <w:rPr>
          <w:rFonts w:ascii="Arial" w:hAnsi="Arial" w:cs="Arial"/>
          <w:sz w:val="20"/>
        </w:rPr>
        <w:t>s.534 of the CYFA or s.26 of the CYPA</w:t>
      </w:r>
      <w:r w:rsidR="00C94638">
        <w:rPr>
          <w:rFonts w:ascii="Arial" w:hAnsi="Arial" w:cs="Arial"/>
          <w:sz w:val="20"/>
        </w:rPr>
        <w:t>.</w:t>
      </w:r>
      <w:r w:rsidR="001A11CA">
        <w:rPr>
          <w:rFonts w:ascii="Arial" w:hAnsi="Arial" w:cs="Arial"/>
          <w:sz w:val="20"/>
        </w:rPr>
        <w:t xml:space="preserve">  </w:t>
      </w:r>
      <w:r w:rsidR="00D80EB1">
        <w:rPr>
          <w:rFonts w:ascii="Arial" w:hAnsi="Arial" w:cs="Arial"/>
          <w:sz w:val="20"/>
        </w:rPr>
        <w:t xml:space="preserve">One such prosecution was </w:t>
      </w:r>
      <w:r w:rsidR="00D80EB1" w:rsidRPr="00D80EB1">
        <w:rPr>
          <w:rFonts w:ascii="Arial" w:hAnsi="Arial" w:cs="Arial"/>
          <w:i/>
          <w:sz w:val="20"/>
        </w:rPr>
        <w:t>Peter Harvey v Channel 7 Melbourne Pty Ltd, The Herald and Weekly Times Pty Ltd, Nationwide News Pty Ltd &amp; Others</w:t>
      </w:r>
      <w:r w:rsidR="00D80EB1">
        <w:rPr>
          <w:rFonts w:ascii="Arial" w:hAnsi="Arial" w:cs="Arial"/>
          <w:sz w:val="20"/>
        </w:rPr>
        <w:t>, a decision of Magistrate Lisa Hannan [now Ju</w:t>
      </w:r>
      <w:r w:rsidR="005A6305">
        <w:rPr>
          <w:rFonts w:ascii="Arial" w:hAnsi="Arial" w:cs="Arial"/>
          <w:sz w:val="20"/>
        </w:rPr>
        <w:t>stice</w:t>
      </w:r>
      <w:r w:rsidR="00D80EB1">
        <w:rPr>
          <w:rFonts w:ascii="Arial" w:hAnsi="Arial" w:cs="Arial"/>
          <w:sz w:val="20"/>
        </w:rPr>
        <w:t xml:space="preserve"> Hannan] on </w:t>
      </w:r>
      <w:smartTag w:uri="urn:schemas-microsoft-com:office:smarttags" w:element="date">
        <w:smartTagPr>
          <w:attr w:name="Year" w:val="2006"/>
          <w:attr w:name="Day" w:val="15"/>
          <w:attr w:name="Month" w:val="5"/>
        </w:smartTagPr>
        <w:r w:rsidR="00D80EB1">
          <w:rPr>
            <w:rFonts w:ascii="Arial" w:hAnsi="Arial" w:cs="Arial"/>
            <w:sz w:val="20"/>
          </w:rPr>
          <w:t>15/05/2006</w:t>
        </w:r>
      </w:smartTag>
      <w:r w:rsidR="00D80EB1">
        <w:rPr>
          <w:rFonts w:ascii="Arial" w:hAnsi="Arial" w:cs="Arial"/>
          <w:sz w:val="20"/>
        </w:rPr>
        <w:t>.  This prosecution followed the publication of identifying particulars of a 14 year old boy who had made an application at Melbourne Children’s Court alleging irreconcilable differences with his mother.  Her Honour held at pp.9-11 that an offence against s.26 is a strict liability offence.</w:t>
      </w:r>
      <w:r w:rsidR="00794E1E">
        <w:rPr>
          <w:rFonts w:ascii="Arial" w:hAnsi="Arial" w:cs="Arial"/>
          <w:sz w:val="20"/>
        </w:rPr>
        <w:t xml:space="preserve">  At pp.15-18 she was unable to be satisfied beyond reasonable doubt that those of the defendants who were reporters or news readers had the necessary degree of control over what was ultimately broadcast or telecast to bring them within the </w:t>
      </w:r>
      <w:r w:rsidR="00F1358B">
        <w:rPr>
          <w:rFonts w:ascii="Arial" w:hAnsi="Arial" w:cs="Arial"/>
          <w:sz w:val="20"/>
        </w:rPr>
        <w:t>scope</w:t>
      </w:r>
      <w:r w:rsidR="00794E1E">
        <w:rPr>
          <w:rFonts w:ascii="Arial" w:hAnsi="Arial" w:cs="Arial"/>
          <w:sz w:val="20"/>
        </w:rPr>
        <w:t xml:space="preserve"> of </w:t>
      </w:r>
      <w:r w:rsidR="00F1358B">
        <w:rPr>
          <w:rFonts w:ascii="Arial" w:hAnsi="Arial" w:cs="Arial"/>
          <w:sz w:val="20"/>
        </w:rPr>
        <w:t xml:space="preserve">“publish” or “cause to be published” in s.26.  She ultimately dismissed the charges against 12 of the 17 defendants.  She found the charges proved against the remaining 5 defendants and imposed significant fines.  </w:t>
      </w:r>
      <w:r w:rsidR="003A321D">
        <w:rPr>
          <w:rFonts w:ascii="Arial" w:hAnsi="Arial" w:cs="Arial"/>
          <w:sz w:val="20"/>
        </w:rPr>
        <w:t xml:space="preserve">Appeals and cross-appeals against Her Honour’s decision </w:t>
      </w:r>
      <w:r w:rsidR="00253300">
        <w:rPr>
          <w:rFonts w:ascii="Arial" w:hAnsi="Arial" w:cs="Arial"/>
          <w:sz w:val="20"/>
        </w:rPr>
        <w:t>were</w:t>
      </w:r>
      <w:r w:rsidR="003A321D">
        <w:rPr>
          <w:rFonts w:ascii="Arial" w:hAnsi="Arial" w:cs="Arial"/>
          <w:sz w:val="20"/>
        </w:rPr>
        <w:t xml:space="preserve"> dismissed by the Supreme Court: </w:t>
      </w:r>
      <w:r w:rsidR="003A321D" w:rsidRPr="003A321D">
        <w:rPr>
          <w:rFonts w:ascii="Arial" w:hAnsi="Arial" w:cs="Arial"/>
          <w:i/>
          <w:sz w:val="20"/>
        </w:rPr>
        <w:t xml:space="preserve">Howe &amp; </w:t>
      </w:r>
      <w:proofErr w:type="spellStart"/>
      <w:r w:rsidR="003A321D" w:rsidRPr="003A321D">
        <w:rPr>
          <w:rFonts w:ascii="Arial" w:hAnsi="Arial" w:cs="Arial"/>
          <w:i/>
          <w:sz w:val="20"/>
        </w:rPr>
        <w:t>Ors</w:t>
      </w:r>
      <w:proofErr w:type="spellEnd"/>
      <w:r w:rsidR="003A321D" w:rsidRPr="003A321D">
        <w:rPr>
          <w:rFonts w:ascii="Arial" w:hAnsi="Arial" w:cs="Arial"/>
          <w:i/>
          <w:sz w:val="20"/>
        </w:rPr>
        <w:t xml:space="preserve"> v </w:t>
      </w:r>
      <w:smartTag w:uri="urn:schemas-microsoft-com:office:smarttags" w:element="place">
        <w:smartTag w:uri="urn:schemas-microsoft-com:office:smarttags" w:element="City">
          <w:r w:rsidR="003A321D" w:rsidRPr="003A321D">
            <w:rPr>
              <w:rFonts w:ascii="Arial" w:hAnsi="Arial" w:cs="Arial"/>
              <w:i/>
              <w:sz w:val="20"/>
            </w:rPr>
            <w:t>Harvey</w:t>
          </w:r>
        </w:smartTag>
      </w:smartTag>
      <w:r w:rsidR="003A321D" w:rsidRPr="003A321D">
        <w:rPr>
          <w:rFonts w:ascii="Arial" w:hAnsi="Arial" w:cs="Arial"/>
          <w:i/>
          <w:sz w:val="20"/>
        </w:rPr>
        <w:t xml:space="preserve">; DPP v Quist &amp; </w:t>
      </w:r>
      <w:proofErr w:type="spellStart"/>
      <w:r w:rsidR="003A321D" w:rsidRPr="003A321D">
        <w:rPr>
          <w:rFonts w:ascii="Arial" w:hAnsi="Arial" w:cs="Arial"/>
          <w:i/>
          <w:sz w:val="20"/>
        </w:rPr>
        <w:t>Ors</w:t>
      </w:r>
      <w:proofErr w:type="spellEnd"/>
      <w:r w:rsidR="003A321D">
        <w:rPr>
          <w:rFonts w:ascii="Arial" w:hAnsi="Arial" w:cs="Arial"/>
          <w:sz w:val="20"/>
        </w:rPr>
        <w:t xml:space="preserve"> [2007] VSC 130.</w:t>
      </w:r>
      <w:r w:rsidR="001A07B1">
        <w:rPr>
          <w:rFonts w:ascii="Arial" w:hAnsi="Arial" w:cs="Arial"/>
          <w:sz w:val="20"/>
        </w:rPr>
        <w:t xml:space="preserve">  Ensuing appeals and cross-appeals were dismissed by the Court of Appeal: </w:t>
      </w:r>
      <w:r w:rsidR="00253300" w:rsidRPr="00253300">
        <w:rPr>
          <w:rFonts w:ascii="Arial" w:hAnsi="Arial" w:cs="Arial"/>
          <w:i/>
          <w:sz w:val="20"/>
        </w:rPr>
        <w:t xml:space="preserve">Howe &amp; </w:t>
      </w:r>
      <w:proofErr w:type="spellStart"/>
      <w:r w:rsidR="00253300" w:rsidRPr="00253300">
        <w:rPr>
          <w:rFonts w:ascii="Arial" w:hAnsi="Arial" w:cs="Arial"/>
          <w:i/>
          <w:sz w:val="20"/>
        </w:rPr>
        <w:t>Ors</w:t>
      </w:r>
      <w:proofErr w:type="spellEnd"/>
      <w:r w:rsidR="00253300" w:rsidRPr="00253300">
        <w:rPr>
          <w:rFonts w:ascii="Arial" w:hAnsi="Arial" w:cs="Arial"/>
          <w:i/>
          <w:sz w:val="20"/>
        </w:rPr>
        <w:t xml:space="preserve"> v Harvey &amp; DPP &amp; </w:t>
      </w:r>
      <w:proofErr w:type="spellStart"/>
      <w:r w:rsidR="00253300" w:rsidRPr="00253300">
        <w:rPr>
          <w:rFonts w:ascii="Arial" w:hAnsi="Arial" w:cs="Arial"/>
          <w:i/>
          <w:sz w:val="20"/>
        </w:rPr>
        <w:t>Ors</w:t>
      </w:r>
      <w:proofErr w:type="spellEnd"/>
      <w:r w:rsidR="00253300">
        <w:rPr>
          <w:rFonts w:ascii="Arial" w:hAnsi="Arial" w:cs="Arial"/>
          <w:sz w:val="20"/>
        </w:rPr>
        <w:t xml:space="preserve"> </w:t>
      </w:r>
      <w:r w:rsidR="00C719C4">
        <w:rPr>
          <w:rFonts w:ascii="Arial" w:hAnsi="Arial" w:cs="Arial"/>
          <w:color w:val="000000"/>
          <w:sz w:val="20"/>
        </w:rPr>
        <w:t xml:space="preserve">(2008) 20 VR 638; </w:t>
      </w:r>
      <w:r w:rsidR="001A07B1">
        <w:rPr>
          <w:rFonts w:ascii="Arial" w:hAnsi="Arial" w:cs="Arial"/>
          <w:sz w:val="20"/>
        </w:rPr>
        <w:t xml:space="preserve">[2008] VSCA </w:t>
      </w:r>
      <w:r w:rsidR="00253300">
        <w:rPr>
          <w:rFonts w:ascii="Arial" w:hAnsi="Arial" w:cs="Arial"/>
          <w:sz w:val="20"/>
        </w:rPr>
        <w:t>181.</w:t>
      </w:r>
    </w:p>
    <w:p w14:paraId="62DF8D53" w14:textId="5121E7E2" w:rsidR="00C94638" w:rsidRDefault="00C94638" w:rsidP="001E79F7">
      <w:pPr>
        <w:jc w:val="both"/>
        <w:rPr>
          <w:rFonts w:ascii="Arial" w:hAnsi="Arial" w:cs="Arial"/>
          <w:sz w:val="20"/>
        </w:rPr>
      </w:pPr>
    </w:p>
    <w:p w14:paraId="7E69377C" w14:textId="59EADF88" w:rsidR="00593294" w:rsidRPr="00593294" w:rsidRDefault="00593294" w:rsidP="00593294">
      <w:pPr>
        <w:pStyle w:val="xmsonormal"/>
        <w:jc w:val="both"/>
        <w:rPr>
          <w:rFonts w:ascii="Arial" w:hAnsi="Arial" w:cs="Arial"/>
          <w:sz w:val="20"/>
          <w:szCs w:val="20"/>
        </w:rPr>
      </w:pPr>
      <w:r>
        <w:rPr>
          <w:rFonts w:ascii="Arial" w:hAnsi="Arial" w:cs="Arial"/>
          <w:sz w:val="20"/>
          <w:szCs w:val="20"/>
        </w:rPr>
        <w:t>I</w:t>
      </w:r>
      <w:r w:rsidRPr="00593294">
        <w:rPr>
          <w:rFonts w:ascii="Arial" w:hAnsi="Arial" w:cs="Arial"/>
          <w:sz w:val="20"/>
          <w:szCs w:val="20"/>
        </w:rPr>
        <w:t xml:space="preserve">n </w:t>
      </w:r>
      <w:r w:rsidRPr="00593294">
        <w:rPr>
          <w:rFonts w:ascii="Arial" w:hAnsi="Arial" w:cs="Arial"/>
          <w:i/>
          <w:iCs/>
          <w:sz w:val="20"/>
          <w:szCs w:val="20"/>
        </w:rPr>
        <w:t>Porch v State of Victoria</w:t>
      </w:r>
      <w:r w:rsidRPr="00593294">
        <w:rPr>
          <w:rFonts w:ascii="Arial" w:hAnsi="Arial" w:cs="Arial"/>
          <w:sz w:val="20"/>
          <w:szCs w:val="20"/>
        </w:rPr>
        <w:t xml:space="preserve"> [2023] VSC 61 </w:t>
      </w:r>
      <w:r>
        <w:rPr>
          <w:rFonts w:ascii="Arial" w:hAnsi="Arial" w:cs="Arial"/>
          <w:sz w:val="20"/>
          <w:szCs w:val="20"/>
        </w:rPr>
        <w:t xml:space="preserve">John Dixon J </w:t>
      </w:r>
      <w:r w:rsidRPr="00593294">
        <w:rPr>
          <w:rFonts w:ascii="Arial" w:hAnsi="Arial" w:cs="Arial"/>
          <w:sz w:val="20"/>
          <w:szCs w:val="20"/>
        </w:rPr>
        <w:t xml:space="preserve">drew a distinction between ‘publication of a report of a proceeding’ under s.534 CYFA, s.166 </w:t>
      </w:r>
      <w:r w:rsidRPr="00593294">
        <w:rPr>
          <w:rFonts w:ascii="Arial" w:hAnsi="Arial" w:cs="Arial"/>
          <w:i/>
          <w:iCs/>
          <w:sz w:val="20"/>
          <w:szCs w:val="20"/>
        </w:rPr>
        <w:t>Family Violence Protection Act 2008 (Vic)</w:t>
      </w:r>
      <w:r>
        <w:rPr>
          <w:rFonts w:ascii="Arial" w:hAnsi="Arial" w:cs="Arial"/>
          <w:sz w:val="20"/>
          <w:szCs w:val="20"/>
        </w:rPr>
        <w:t xml:space="preserve"> or</w:t>
      </w:r>
      <w:r w:rsidRPr="00593294">
        <w:rPr>
          <w:rFonts w:ascii="Arial" w:hAnsi="Arial" w:cs="Arial"/>
          <w:sz w:val="20"/>
          <w:szCs w:val="20"/>
        </w:rPr>
        <w:t xml:space="preserve"> s.121 </w:t>
      </w:r>
      <w:r w:rsidRPr="00593294">
        <w:rPr>
          <w:rFonts w:ascii="Arial" w:hAnsi="Arial" w:cs="Arial"/>
          <w:i/>
          <w:iCs/>
          <w:sz w:val="20"/>
          <w:szCs w:val="20"/>
        </w:rPr>
        <w:t>Family Law Act 1975 (</w:t>
      </w:r>
      <w:proofErr w:type="spellStart"/>
      <w:r w:rsidRPr="00593294">
        <w:rPr>
          <w:rFonts w:ascii="Arial" w:hAnsi="Arial" w:cs="Arial"/>
          <w:i/>
          <w:iCs/>
          <w:sz w:val="20"/>
          <w:szCs w:val="20"/>
        </w:rPr>
        <w:t>Cth</w:t>
      </w:r>
      <w:proofErr w:type="spellEnd"/>
      <w:r w:rsidRPr="00593294">
        <w:rPr>
          <w:rFonts w:ascii="Arial" w:hAnsi="Arial" w:cs="Arial"/>
          <w:i/>
          <w:iCs/>
          <w:sz w:val="20"/>
          <w:szCs w:val="20"/>
        </w:rPr>
        <w:t>)</w:t>
      </w:r>
      <w:r>
        <w:rPr>
          <w:rFonts w:ascii="Arial" w:hAnsi="Arial" w:cs="Arial"/>
          <w:sz w:val="20"/>
          <w:szCs w:val="20"/>
        </w:rPr>
        <w:t xml:space="preserve"> </w:t>
      </w:r>
      <w:r w:rsidRPr="00593294">
        <w:rPr>
          <w:rFonts w:ascii="Arial" w:hAnsi="Arial" w:cs="Arial"/>
          <w:sz w:val="20"/>
          <w:szCs w:val="20"/>
        </w:rPr>
        <w:t>and ‘inspection and copying of a Court file’.</w:t>
      </w:r>
      <w:r>
        <w:rPr>
          <w:rFonts w:ascii="Arial" w:hAnsi="Arial" w:cs="Arial"/>
          <w:sz w:val="20"/>
          <w:szCs w:val="20"/>
        </w:rPr>
        <w:t xml:space="preserve">  </w:t>
      </w:r>
      <w:r w:rsidRPr="00593294">
        <w:rPr>
          <w:rFonts w:ascii="Arial" w:hAnsi="Arial" w:cs="Arial"/>
          <w:sz w:val="20"/>
          <w:szCs w:val="20"/>
        </w:rPr>
        <w:t xml:space="preserve">The substantive proceeding in this case was a common law claim for negligence against the State of Victoria brought by the plaintiff Ms Porch under Part 4, Division 8 of the </w:t>
      </w:r>
      <w:r w:rsidRPr="00593294">
        <w:rPr>
          <w:rFonts w:ascii="Arial" w:hAnsi="Arial" w:cs="Arial"/>
          <w:i/>
          <w:iCs/>
          <w:sz w:val="20"/>
          <w:szCs w:val="20"/>
        </w:rPr>
        <w:t xml:space="preserve">Victoria Police Act 2013 </w:t>
      </w:r>
      <w:r w:rsidRPr="00253D11">
        <w:rPr>
          <w:rFonts w:ascii="Arial" w:hAnsi="Arial" w:cs="Arial"/>
          <w:sz w:val="20"/>
          <w:szCs w:val="20"/>
        </w:rPr>
        <w:t>(Vic)</w:t>
      </w:r>
      <w:r w:rsidRPr="00593294">
        <w:rPr>
          <w:rFonts w:ascii="Arial" w:hAnsi="Arial" w:cs="Arial"/>
          <w:sz w:val="20"/>
          <w:szCs w:val="20"/>
        </w:rPr>
        <w:t xml:space="preserve"> in respect of the conduct of police officers. A material allegation, central to the plaintiff’s claims, concerned the conduct of a police officer, </w:t>
      </w:r>
      <w:r>
        <w:rPr>
          <w:rFonts w:ascii="Arial" w:hAnsi="Arial" w:cs="Arial"/>
          <w:sz w:val="20"/>
          <w:szCs w:val="20"/>
        </w:rPr>
        <w:t>DS who</w:t>
      </w:r>
      <w:r w:rsidRPr="00593294">
        <w:rPr>
          <w:rFonts w:ascii="Arial" w:hAnsi="Arial" w:cs="Arial"/>
          <w:sz w:val="20"/>
          <w:szCs w:val="20"/>
        </w:rPr>
        <w:t xml:space="preserve"> was married to the plaintiff and they had three children. </w:t>
      </w:r>
      <w:r>
        <w:rPr>
          <w:rFonts w:ascii="Arial" w:hAnsi="Arial" w:cs="Arial"/>
          <w:sz w:val="20"/>
          <w:szCs w:val="20"/>
        </w:rPr>
        <w:t>DS</w:t>
      </w:r>
      <w:r w:rsidRPr="00593294">
        <w:rPr>
          <w:rFonts w:ascii="Arial" w:hAnsi="Arial" w:cs="Arial"/>
          <w:sz w:val="20"/>
          <w:szCs w:val="20"/>
        </w:rPr>
        <w:t xml:space="preserve"> was also in a relationship with Ms</w:t>
      </w:r>
      <w:r>
        <w:rPr>
          <w:rFonts w:ascii="Arial" w:hAnsi="Arial" w:cs="Arial"/>
          <w:sz w:val="20"/>
          <w:szCs w:val="20"/>
        </w:rPr>
        <w:t> </w:t>
      </w:r>
      <w:r w:rsidRPr="00593294">
        <w:rPr>
          <w:rFonts w:ascii="Arial" w:hAnsi="Arial" w:cs="Arial"/>
          <w:sz w:val="20"/>
          <w:szCs w:val="20"/>
        </w:rPr>
        <w:t>B which, in part, overlapped with his marriage to the plaintiff.</w:t>
      </w:r>
    </w:p>
    <w:p w14:paraId="066D98C6" w14:textId="7D063DDF" w:rsidR="00593294" w:rsidRPr="00593294" w:rsidRDefault="00593294" w:rsidP="00593294">
      <w:pPr>
        <w:pStyle w:val="xmsonormal"/>
        <w:spacing w:before="120"/>
        <w:jc w:val="both"/>
        <w:rPr>
          <w:rFonts w:ascii="Arial" w:hAnsi="Arial" w:cs="Arial"/>
          <w:sz w:val="20"/>
          <w:szCs w:val="20"/>
        </w:rPr>
      </w:pPr>
      <w:r w:rsidRPr="00593294">
        <w:rPr>
          <w:rFonts w:ascii="Arial" w:hAnsi="Arial" w:cs="Arial"/>
          <w:sz w:val="20"/>
          <w:szCs w:val="20"/>
        </w:rPr>
        <w:t xml:space="preserve">The Age Company Ltd – a non-party to the proceeding – </w:t>
      </w:r>
      <w:r>
        <w:rPr>
          <w:rFonts w:ascii="Arial" w:hAnsi="Arial" w:cs="Arial"/>
          <w:sz w:val="20"/>
          <w:szCs w:val="20"/>
        </w:rPr>
        <w:t xml:space="preserve">had </w:t>
      </w:r>
      <w:r w:rsidRPr="00593294">
        <w:rPr>
          <w:rFonts w:ascii="Arial" w:hAnsi="Arial" w:cs="Arial"/>
          <w:sz w:val="20"/>
          <w:szCs w:val="20"/>
        </w:rPr>
        <w:t xml:space="preserve">applied for permission to inspect and copy the pleadings in these proceedings pursuant to r 28.05 of the </w:t>
      </w:r>
      <w:r w:rsidRPr="00593294">
        <w:rPr>
          <w:rFonts w:ascii="Arial" w:hAnsi="Arial" w:cs="Arial"/>
          <w:i/>
          <w:iCs/>
          <w:sz w:val="20"/>
          <w:szCs w:val="20"/>
        </w:rPr>
        <w:t>Supreme Court (General Civil Procedure Rules) 2015 (Vic)</w:t>
      </w:r>
      <w:r w:rsidRPr="00593294">
        <w:rPr>
          <w:rFonts w:ascii="Arial" w:hAnsi="Arial" w:cs="Arial"/>
          <w:sz w:val="20"/>
          <w:szCs w:val="20"/>
        </w:rPr>
        <w:t xml:space="preserve">. The Prothonotary initially refused the Age’s request on the basis that provision of the file would be a breach of its obligations under s 534 of the CYFA. The plaintiff’s solicitors informed the Prothonotary of her consent to the Age inspecting the file. </w:t>
      </w:r>
      <w:r>
        <w:rPr>
          <w:rFonts w:ascii="Arial" w:hAnsi="Arial" w:cs="Arial"/>
          <w:sz w:val="20"/>
          <w:szCs w:val="20"/>
        </w:rPr>
        <w:t xml:space="preserve"> </w:t>
      </w:r>
      <w:r w:rsidRPr="00593294">
        <w:rPr>
          <w:rFonts w:ascii="Arial" w:hAnsi="Arial" w:cs="Arial"/>
          <w:sz w:val="20"/>
          <w:szCs w:val="20"/>
        </w:rPr>
        <w:t xml:space="preserve">To the Age’s renewed requests, the Prothonotary maintained this refusal on the basis that provision of the file would be a breach of its obligations under s 166(2)(b) of the </w:t>
      </w:r>
      <w:r w:rsidRPr="00593294">
        <w:rPr>
          <w:rFonts w:ascii="Arial" w:hAnsi="Arial" w:cs="Arial"/>
          <w:i/>
          <w:iCs/>
          <w:sz w:val="20"/>
          <w:szCs w:val="20"/>
        </w:rPr>
        <w:t xml:space="preserve">Family Violence Protection Act 2008 </w:t>
      </w:r>
      <w:r w:rsidRPr="00253D11">
        <w:rPr>
          <w:rFonts w:ascii="Arial" w:hAnsi="Arial" w:cs="Arial"/>
          <w:sz w:val="20"/>
          <w:szCs w:val="20"/>
        </w:rPr>
        <w:t>(Vic)</w:t>
      </w:r>
      <w:r w:rsidRPr="00593294">
        <w:rPr>
          <w:rFonts w:ascii="Arial" w:hAnsi="Arial" w:cs="Arial"/>
          <w:sz w:val="20"/>
          <w:szCs w:val="20"/>
        </w:rPr>
        <w:t xml:space="preserve"> and s 121 of the </w:t>
      </w:r>
      <w:r w:rsidRPr="00593294">
        <w:rPr>
          <w:rFonts w:ascii="Arial" w:hAnsi="Arial" w:cs="Arial"/>
          <w:i/>
          <w:iCs/>
          <w:sz w:val="20"/>
          <w:szCs w:val="20"/>
        </w:rPr>
        <w:t xml:space="preserve">Family Law Act 1975 </w:t>
      </w:r>
      <w:r w:rsidRPr="00253D11">
        <w:rPr>
          <w:rFonts w:ascii="Arial" w:hAnsi="Arial" w:cs="Arial"/>
          <w:sz w:val="20"/>
          <w:szCs w:val="20"/>
        </w:rPr>
        <w:t>(</w:t>
      </w:r>
      <w:proofErr w:type="spellStart"/>
      <w:r w:rsidRPr="00253D11">
        <w:rPr>
          <w:rFonts w:ascii="Arial" w:hAnsi="Arial" w:cs="Arial"/>
          <w:sz w:val="20"/>
          <w:szCs w:val="20"/>
        </w:rPr>
        <w:t>Cth</w:t>
      </w:r>
      <w:proofErr w:type="spellEnd"/>
      <w:r w:rsidRPr="00253D11">
        <w:rPr>
          <w:rFonts w:ascii="Arial" w:hAnsi="Arial" w:cs="Arial"/>
          <w:sz w:val="20"/>
          <w:szCs w:val="20"/>
        </w:rPr>
        <w:t>)</w:t>
      </w:r>
      <w:r w:rsidRPr="00593294">
        <w:rPr>
          <w:rFonts w:ascii="Arial" w:hAnsi="Arial" w:cs="Arial"/>
          <w:sz w:val="20"/>
          <w:szCs w:val="20"/>
        </w:rPr>
        <w:t xml:space="preserve">. The pleadings also named Ms B who may be a witness to and/or a victim of family violence.  Ms B, who was also represented on the application by the plaintiff’s solicitor – also consented to the Age’s request. </w:t>
      </w:r>
      <w:r>
        <w:rPr>
          <w:rFonts w:ascii="Arial" w:hAnsi="Arial" w:cs="Arial"/>
          <w:sz w:val="20"/>
          <w:szCs w:val="20"/>
        </w:rPr>
        <w:t xml:space="preserve"> </w:t>
      </w:r>
      <w:r w:rsidRPr="00593294">
        <w:rPr>
          <w:rFonts w:ascii="Arial" w:hAnsi="Arial" w:cs="Arial"/>
          <w:sz w:val="20"/>
          <w:szCs w:val="20"/>
        </w:rPr>
        <w:t>John Dixon J ordered that The Age, by its authorised representatives, be permitted to inspect and copy the pleadings in these proceedings.</w:t>
      </w:r>
      <w:r w:rsidR="0084688B">
        <w:rPr>
          <w:rFonts w:ascii="Arial" w:hAnsi="Arial" w:cs="Arial"/>
          <w:sz w:val="20"/>
          <w:szCs w:val="20"/>
        </w:rPr>
        <w:t xml:space="preserve"> </w:t>
      </w:r>
      <w:r w:rsidRPr="00593294">
        <w:rPr>
          <w:rFonts w:ascii="Arial" w:hAnsi="Arial" w:cs="Arial"/>
          <w:sz w:val="20"/>
          <w:szCs w:val="20"/>
        </w:rPr>
        <w:t xml:space="preserve"> In particular at [18]-[21] his Honour said:</w:t>
      </w:r>
    </w:p>
    <w:p w14:paraId="1F49F4B1"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 xml:space="preserve">[18] “It is necessary to look more closely at the provisions of the Family Violence Protection Act, as the pleadings make reference to proceedings and orders made under that Act. Section 166(2) cannot reasonably be construed by the concept of ‘publish or cause to be published’ as applying to the exercise of the prima facie right to inspect a court file. </w:t>
      </w:r>
    </w:p>
    <w:p w14:paraId="01DB440C" w14:textId="7B962FD6"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[19] As the Age submitted, there are two reasons why permitting inspection of the court file in this proceeding does not infringe the Family Violence Protection Act. First, the proceeding is not a proceeding under the Act. Secondly, the inspection and copying of a pleading is neither a ‘publication’ nor a ‘report of the proceeding’ or a ‘report about the order’ for the purposes of the Act. The Act defines ‘publish’ by s 4 in these terms: publish means disseminate or provide access to the public or a section of the public by any means, including by—</w:t>
      </w:r>
    </w:p>
    <w:p w14:paraId="53CE23A6"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(a) publication in a book, newspaper, magazine, or other written publication; or</w:t>
      </w:r>
    </w:p>
    <w:p w14:paraId="263A865A"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(b) broadcast by radio or television; or</w:t>
      </w:r>
    </w:p>
    <w:p w14:paraId="2E40FC85"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(c) public exhibition; or</w:t>
      </w:r>
    </w:p>
    <w:p w14:paraId="0E243B48"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 xml:space="preserve">(d) broadcast or electronic communication— </w:t>
      </w:r>
    </w:p>
    <w:p w14:paraId="1F02FF24" w14:textId="7BC257EF"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and publication must be construed accordingly</w:t>
      </w:r>
      <w:r w:rsidR="00253D11">
        <w:rPr>
          <w:rFonts w:ascii="Arial" w:hAnsi="Arial" w:cs="Arial"/>
          <w:sz w:val="20"/>
          <w:szCs w:val="20"/>
        </w:rPr>
        <w:t>;</w:t>
      </w:r>
    </w:p>
    <w:p w14:paraId="74A21D0F"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[20] The notion of providing access to a person (the non-party searcher) cannot be conflated with the concept of providing access to the public or a section of the public. What the non-party searcher of the court file does with information gained from the inspection is not governed by the rule. Parliament did not intend to define ‘publish’ in a manner that restricted access defined information from a court file to any person because the text and context of the Act, particularly the notion of providing ‘access to the public’ cannot apply to dissemination of information to individuals as occurs when a court file is searched. The notion of access to the public is different from the notion of access to an individual. Subsequent dissemination of information gained from a court file to the public (which may be publishing) is not a matter governed by the rule or raised for consideration in this application.</w:t>
      </w:r>
    </w:p>
    <w:p w14:paraId="195C792D"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lastRenderedPageBreak/>
        <w:t xml:space="preserve">[21] Parliament having chosen to use ordinary words of broad import means they should not be given an unduly narrow or technical meaning as would result if the words ‘the public or section of the public’ were read as ‘a person’: see </w:t>
      </w:r>
      <w:r w:rsidRPr="00593294">
        <w:rPr>
          <w:rFonts w:ascii="Arial" w:hAnsi="Arial" w:cs="Arial"/>
          <w:i/>
          <w:iCs/>
          <w:sz w:val="20"/>
          <w:szCs w:val="20"/>
        </w:rPr>
        <w:t>Cooper Brookes (Wollongong) Pty Ltd v Federal Commissioner of Taxation</w:t>
      </w:r>
      <w:r w:rsidRPr="00593294">
        <w:rPr>
          <w:rFonts w:ascii="Arial" w:hAnsi="Arial" w:cs="Arial"/>
          <w:sz w:val="20"/>
          <w:szCs w:val="20"/>
        </w:rPr>
        <w:t xml:space="preserve"> (1981) 147 CLR 297, 305, 320- 1; </w:t>
      </w:r>
      <w:r w:rsidRPr="00593294">
        <w:rPr>
          <w:rFonts w:ascii="Arial" w:hAnsi="Arial" w:cs="Arial"/>
          <w:i/>
          <w:iCs/>
          <w:sz w:val="20"/>
          <w:szCs w:val="20"/>
        </w:rPr>
        <w:t xml:space="preserve">Mills v </w:t>
      </w:r>
      <w:proofErr w:type="spellStart"/>
      <w:r w:rsidRPr="00593294">
        <w:rPr>
          <w:rFonts w:ascii="Arial" w:hAnsi="Arial" w:cs="Arial"/>
          <w:i/>
          <w:iCs/>
          <w:sz w:val="20"/>
          <w:szCs w:val="20"/>
        </w:rPr>
        <w:t>Meeking</w:t>
      </w:r>
      <w:proofErr w:type="spellEnd"/>
      <w:r w:rsidRPr="00593294">
        <w:rPr>
          <w:rFonts w:ascii="Arial" w:hAnsi="Arial" w:cs="Arial"/>
          <w:sz w:val="20"/>
          <w:szCs w:val="20"/>
        </w:rPr>
        <w:t xml:space="preserve"> (1990) 169 CLR 214, 233; </w:t>
      </w:r>
      <w:r w:rsidRPr="00593294">
        <w:rPr>
          <w:rFonts w:ascii="Arial" w:hAnsi="Arial" w:cs="Arial"/>
          <w:i/>
          <w:iCs/>
          <w:sz w:val="20"/>
          <w:szCs w:val="20"/>
        </w:rPr>
        <w:t>Collector of Customs v Agfa-Gevaert Ltd</w:t>
      </w:r>
      <w:r w:rsidRPr="00593294">
        <w:rPr>
          <w:rFonts w:ascii="Arial" w:hAnsi="Arial" w:cs="Arial"/>
          <w:sz w:val="20"/>
          <w:szCs w:val="20"/>
        </w:rPr>
        <w:t xml:space="preserve"> (1996) 186 CLR 389, 398.”</w:t>
      </w:r>
    </w:p>
    <w:p w14:paraId="281F1D7C" w14:textId="4EA21219" w:rsidR="00593294" w:rsidRDefault="00593294" w:rsidP="001E79F7">
      <w:pPr>
        <w:jc w:val="both"/>
        <w:rPr>
          <w:rFonts w:ascii="Arial" w:hAnsi="Arial" w:cs="Arial"/>
          <w:sz w:val="20"/>
        </w:rPr>
      </w:pPr>
    </w:p>
    <w:p w14:paraId="0319EC51" w14:textId="2C9B7837" w:rsidR="002C7D74" w:rsidRDefault="00F36632" w:rsidP="001E79F7">
      <w:pPr>
        <w:jc w:val="both"/>
        <w:rPr>
          <w:rFonts w:ascii="Arial" w:hAnsi="Arial" w:cs="Arial"/>
          <w:sz w:val="20"/>
          <w:szCs w:val="20"/>
        </w:rPr>
      </w:pPr>
      <w:r>
        <w:rPr>
          <w:rFonts w:ascii="Arial" w:hAnsi="Arial" w:cs="Arial"/>
          <w:sz w:val="20"/>
        </w:rPr>
        <w:t xml:space="preserve">In </w:t>
      </w:r>
      <w:r w:rsidRPr="009521F6">
        <w:rPr>
          <w:rFonts w:ascii="Arial" w:hAnsi="Arial" w:cs="Arial"/>
          <w:i/>
          <w:iCs/>
          <w:sz w:val="20"/>
          <w:szCs w:val="20"/>
        </w:rPr>
        <w:t>Legal Services Commissioner v JXL</w:t>
      </w:r>
      <w:r>
        <w:rPr>
          <w:rFonts w:ascii="Arial" w:hAnsi="Arial" w:cs="Arial"/>
          <w:sz w:val="20"/>
          <w:szCs w:val="20"/>
        </w:rPr>
        <w:t xml:space="preserve"> [2023] QS</w:t>
      </w:r>
      <w:r w:rsidR="00E56D87">
        <w:rPr>
          <w:rFonts w:ascii="Arial" w:hAnsi="Arial" w:cs="Arial"/>
          <w:sz w:val="20"/>
          <w:szCs w:val="20"/>
        </w:rPr>
        <w:t>C</w:t>
      </w:r>
      <w:r>
        <w:rPr>
          <w:rFonts w:ascii="Arial" w:hAnsi="Arial" w:cs="Arial"/>
          <w:sz w:val="20"/>
          <w:szCs w:val="20"/>
        </w:rPr>
        <w:t xml:space="preserve"> 283 the respondent had been </w:t>
      </w:r>
      <w:r w:rsidR="002C7D74">
        <w:rPr>
          <w:rFonts w:ascii="Arial" w:hAnsi="Arial" w:cs="Arial"/>
          <w:sz w:val="20"/>
          <w:szCs w:val="20"/>
        </w:rPr>
        <w:t>found guilty</w:t>
      </w:r>
      <w:r>
        <w:rPr>
          <w:rFonts w:ascii="Arial" w:hAnsi="Arial" w:cs="Arial"/>
          <w:sz w:val="20"/>
          <w:szCs w:val="20"/>
        </w:rPr>
        <w:t xml:space="preserve"> of criminal offences in the Children’s Court of Victoria </w:t>
      </w:r>
      <w:r w:rsidR="002C7D74">
        <w:rPr>
          <w:rFonts w:ascii="Arial" w:hAnsi="Arial" w:cs="Arial"/>
          <w:sz w:val="20"/>
          <w:szCs w:val="20"/>
        </w:rPr>
        <w:t xml:space="preserve">but no convictions had been recorded.  The respondent </w:t>
      </w:r>
      <w:r>
        <w:rPr>
          <w:rFonts w:ascii="Arial" w:hAnsi="Arial" w:cs="Arial"/>
          <w:sz w:val="20"/>
          <w:szCs w:val="20"/>
        </w:rPr>
        <w:t xml:space="preserve">had not disclosed those </w:t>
      </w:r>
      <w:r w:rsidR="002C7D74">
        <w:rPr>
          <w:rFonts w:ascii="Arial" w:hAnsi="Arial" w:cs="Arial"/>
          <w:sz w:val="20"/>
          <w:szCs w:val="20"/>
        </w:rPr>
        <w:t>finding</w:t>
      </w:r>
      <w:r>
        <w:rPr>
          <w:rFonts w:ascii="Arial" w:hAnsi="Arial" w:cs="Arial"/>
          <w:sz w:val="20"/>
          <w:szCs w:val="20"/>
        </w:rPr>
        <w:t xml:space="preserve">s </w:t>
      </w:r>
      <w:r w:rsidR="002C7D74">
        <w:rPr>
          <w:rFonts w:ascii="Arial" w:hAnsi="Arial" w:cs="Arial"/>
          <w:sz w:val="20"/>
          <w:szCs w:val="20"/>
        </w:rPr>
        <w:t xml:space="preserve">when commencing work as a lay associate at a Queensland law practice and when subsequently applying for admission as a legal practitioner.  The Queensland Legal Services Commissioner had subsequently commenced proceedings against the respondent in the Queensland Supreme Court seeking injunctive and declaratory relief.  In support of her case the Commissioner had filed affidavits which provided information and exhibited material confirming the fact of the respondent’s spent child convictions.  The affidavits were subsequently read in closed court.  In holding that the filing and reading of the affidavits did not constitute ‘publication’ within the meaning of s.3 of the </w:t>
      </w:r>
      <w:r w:rsidR="002C7D74" w:rsidRPr="002C7D74">
        <w:rPr>
          <w:rFonts w:ascii="Arial" w:hAnsi="Arial" w:cs="Arial"/>
          <w:i/>
          <w:iCs/>
          <w:sz w:val="20"/>
          <w:szCs w:val="20"/>
        </w:rPr>
        <w:t>Open Courts Act 2013</w:t>
      </w:r>
      <w:r w:rsidR="002C7D74">
        <w:rPr>
          <w:rFonts w:ascii="Arial" w:hAnsi="Arial" w:cs="Arial"/>
          <w:sz w:val="20"/>
          <w:szCs w:val="20"/>
        </w:rPr>
        <w:t xml:space="preserve"> (Vic) and s.534 CYFA and in refusing the Commissioner’s </w:t>
      </w:r>
      <w:r w:rsidR="00613165">
        <w:rPr>
          <w:rFonts w:ascii="Arial" w:hAnsi="Arial" w:cs="Arial"/>
          <w:sz w:val="20"/>
          <w:szCs w:val="20"/>
        </w:rPr>
        <w:t xml:space="preserve">interlocutory </w:t>
      </w:r>
      <w:r w:rsidR="002C7D74">
        <w:rPr>
          <w:rFonts w:ascii="Arial" w:hAnsi="Arial" w:cs="Arial"/>
          <w:sz w:val="20"/>
          <w:szCs w:val="20"/>
        </w:rPr>
        <w:t>applications for–</w:t>
      </w:r>
    </w:p>
    <w:p w14:paraId="4A5010ED" w14:textId="1A35150A" w:rsidR="002C7D74" w:rsidRDefault="002C7D74">
      <w:pPr>
        <w:pStyle w:val="ListParagraph"/>
        <w:numPr>
          <w:ilvl w:val="0"/>
          <w:numId w:val="47"/>
        </w:numPr>
        <w:ind w:left="357" w:hanging="357"/>
        <w:jc w:val="both"/>
        <w:rPr>
          <w:rFonts w:ascii="Arial" w:hAnsi="Arial" w:cs="Arial"/>
          <w:sz w:val="20"/>
        </w:rPr>
      </w:pPr>
      <w:r>
        <w:rPr>
          <w:rFonts w:ascii="Arial" w:hAnsi="Arial" w:cs="Arial"/>
          <w:sz w:val="20"/>
        </w:rPr>
        <w:t>pseudonym orders in respect of the names of the persons who had sworn affidavits for the Commissioner in the proceedings; and</w:t>
      </w:r>
    </w:p>
    <w:p w14:paraId="0174EA71" w14:textId="450CAB29" w:rsidR="002C7D74" w:rsidRPr="002C7D74" w:rsidRDefault="002C7D74">
      <w:pPr>
        <w:pStyle w:val="ListParagraph"/>
        <w:numPr>
          <w:ilvl w:val="0"/>
          <w:numId w:val="47"/>
        </w:numPr>
        <w:ind w:left="357" w:hanging="357"/>
        <w:jc w:val="both"/>
        <w:rPr>
          <w:rFonts w:ascii="Arial" w:hAnsi="Arial" w:cs="Arial"/>
          <w:sz w:val="20"/>
        </w:rPr>
      </w:pPr>
      <w:r>
        <w:rPr>
          <w:rFonts w:ascii="Arial" w:hAnsi="Arial" w:cs="Arial"/>
          <w:sz w:val="20"/>
        </w:rPr>
        <w:t>an order that the Commissioner’s substantive application be heard in closed court–</w:t>
      </w:r>
    </w:p>
    <w:p w14:paraId="107C07FF" w14:textId="63ACD325" w:rsidR="002C7D74" w:rsidRDefault="002C7D74" w:rsidP="001E79F7">
      <w:pPr>
        <w:jc w:val="both"/>
        <w:rPr>
          <w:rFonts w:ascii="Arial" w:hAnsi="Arial" w:cs="Arial"/>
          <w:sz w:val="20"/>
          <w:szCs w:val="20"/>
        </w:rPr>
      </w:pPr>
      <w:r>
        <w:rPr>
          <w:rFonts w:ascii="Arial" w:hAnsi="Arial" w:cs="Arial"/>
          <w:sz w:val="20"/>
          <w:szCs w:val="20"/>
        </w:rPr>
        <w:t>Crowley J said at [</w:t>
      </w:r>
      <w:r w:rsidR="006007BB">
        <w:rPr>
          <w:rFonts w:ascii="Arial" w:hAnsi="Arial" w:cs="Arial"/>
          <w:sz w:val="20"/>
          <w:szCs w:val="20"/>
        </w:rPr>
        <w:t>27</w:t>
      </w:r>
      <w:r>
        <w:rPr>
          <w:rFonts w:ascii="Arial" w:hAnsi="Arial" w:cs="Arial"/>
          <w:sz w:val="20"/>
          <w:szCs w:val="20"/>
        </w:rPr>
        <w:t>]-[</w:t>
      </w:r>
      <w:r w:rsidR="006007BB">
        <w:rPr>
          <w:rFonts w:ascii="Arial" w:hAnsi="Arial" w:cs="Arial"/>
          <w:sz w:val="20"/>
          <w:szCs w:val="20"/>
        </w:rPr>
        <w:t>39</w:t>
      </w:r>
      <w:r>
        <w:rPr>
          <w:rFonts w:ascii="Arial" w:hAnsi="Arial" w:cs="Arial"/>
          <w:sz w:val="20"/>
          <w:szCs w:val="20"/>
        </w:rPr>
        <w:t>]:</w:t>
      </w:r>
    </w:p>
    <w:p w14:paraId="51B34562" w14:textId="324A47FD" w:rsidR="002C7D74" w:rsidRPr="00593294" w:rsidRDefault="006007BB" w:rsidP="006007BB">
      <w:pPr>
        <w:pStyle w:val="xmsonormal"/>
        <w:spacing w:before="60"/>
        <w:ind w:left="567" w:right="567"/>
        <w:jc w:val="both"/>
        <w:rPr>
          <w:rFonts w:ascii="Arial" w:hAnsi="Arial" w:cs="Arial"/>
          <w:sz w:val="20"/>
          <w:szCs w:val="20"/>
        </w:rPr>
      </w:pPr>
      <w:r>
        <w:rPr>
          <w:rFonts w:ascii="Arial" w:hAnsi="Arial" w:cs="Arial"/>
          <w:sz w:val="20"/>
          <w:szCs w:val="20"/>
        </w:rPr>
        <w:t xml:space="preserve">[27] </w:t>
      </w:r>
      <w:r w:rsidR="002C7D74">
        <w:rPr>
          <w:rFonts w:ascii="Arial" w:hAnsi="Arial" w:cs="Arial"/>
          <w:sz w:val="20"/>
          <w:szCs w:val="20"/>
        </w:rPr>
        <w:t>“</w:t>
      </w:r>
      <w:r w:rsidRPr="006007BB">
        <w:rPr>
          <w:rFonts w:ascii="Arial" w:hAnsi="Arial" w:cs="Arial"/>
          <w:color w:val="333333"/>
          <w:sz w:val="20"/>
          <w:szCs w:val="20"/>
        </w:rPr>
        <w:t>JXL’s argument is that once the evidence of his spent child convictions is adduced by the formal reading of the Commissioner’s affidavits, that will amount to a publication of relevant identifying information or material in breach of the restrictions imposed by s 534(1). He says publication involves dissemination of information to another person and that this concept is not confined to the idea of dissemination to the world at large; rather, publication can be to a single person. On his argument therefore:</w:t>
      </w:r>
    </w:p>
    <w:p w14:paraId="474C6313" w14:textId="13C790D0" w:rsidR="006007BB" w:rsidRP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(a)</w:t>
      </w:r>
      <w:r>
        <w:rPr>
          <w:rFonts w:ascii="Arial" w:hAnsi="Arial" w:cs="Arial"/>
          <w:color w:val="333333"/>
          <w:sz w:val="20"/>
          <w:szCs w:val="20"/>
        </w:rPr>
        <w:t xml:space="preserve"> </w:t>
      </w:r>
      <w:r w:rsidRPr="006007BB">
        <w:rPr>
          <w:rFonts w:ascii="Arial" w:hAnsi="Arial" w:cs="Arial"/>
          <w:color w:val="333333"/>
          <w:sz w:val="20"/>
          <w:szCs w:val="20"/>
        </w:rPr>
        <w:t>prohibited publication has already occurred, when the Commissioner read the affidavits she relies upon for the purposes of these interlocutory applications; and</w:t>
      </w:r>
    </w:p>
    <w:p w14:paraId="5881BA4D" w14:textId="77777777" w:rsidR="006007BB" w:rsidRP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(b) prohibited publication will also occur in the future, if the Commissioner reads any affidavits containing similar information or exhibiting similar material for the purposes of the hearing of the Commissioner’s substantive application; and</w:t>
      </w:r>
    </w:p>
    <w:p w14:paraId="03D4F31E" w14:textId="563236C8"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(c) prohibited publication has perhaps already occurred, and will further occur, upon the Commissioner filing with the Court any affidavits that contain information or material concerning his spent child convictions.</w:t>
      </w:r>
    </w:p>
    <w:p w14:paraId="7EC43261" w14:textId="2A4EE772" w:rsidR="006007BB" w:rsidRPr="00593294" w:rsidRDefault="006007BB" w:rsidP="006007BB">
      <w:pPr>
        <w:pStyle w:val="xmsonormal"/>
        <w:spacing w:before="60"/>
        <w:ind w:left="567" w:right="567"/>
        <w:jc w:val="both"/>
        <w:rPr>
          <w:rFonts w:ascii="Arial" w:hAnsi="Arial" w:cs="Arial"/>
          <w:sz w:val="20"/>
          <w:szCs w:val="20"/>
        </w:rPr>
      </w:pPr>
      <w:r>
        <w:rPr>
          <w:rFonts w:ascii="Arial" w:hAnsi="Arial" w:cs="Arial"/>
          <w:color w:val="333333"/>
          <w:sz w:val="20"/>
          <w:szCs w:val="20"/>
        </w:rPr>
        <w:t xml:space="preserve">[28] </w:t>
      </w:r>
      <w:r w:rsidRPr="006007BB">
        <w:rPr>
          <w:rFonts w:ascii="Arial" w:hAnsi="Arial" w:cs="Arial"/>
          <w:color w:val="333333"/>
          <w:sz w:val="20"/>
          <w:szCs w:val="20"/>
        </w:rPr>
        <w:t>I reject those arguments.</w:t>
      </w:r>
    </w:p>
    <w:p w14:paraId="5F6C6F85" w14:textId="6DD95ACB"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[29] </w:t>
      </w:r>
      <w:r w:rsidRPr="006007BB">
        <w:rPr>
          <w:rFonts w:ascii="Arial" w:hAnsi="Arial" w:cs="Arial"/>
          <w:color w:val="333333"/>
          <w:sz w:val="20"/>
          <w:szCs w:val="20"/>
        </w:rPr>
        <w:t>In my opinion, upon the proper construction of s 534 of the </w:t>
      </w:r>
      <w:r w:rsidRPr="006007BB">
        <w:rPr>
          <w:rFonts w:ascii="Arial" w:hAnsi="Arial" w:cs="Arial"/>
          <w:i/>
          <w:iCs/>
          <w:color w:val="333333"/>
          <w:sz w:val="20"/>
          <w:szCs w:val="20"/>
        </w:rPr>
        <w:t>CYFA</w:t>
      </w:r>
      <w:r w:rsidRPr="006007BB">
        <w:rPr>
          <w:rFonts w:ascii="Arial" w:hAnsi="Arial" w:cs="Arial"/>
          <w:color w:val="333333"/>
          <w:sz w:val="20"/>
          <w:szCs w:val="20"/>
        </w:rPr>
        <w:t>, neither of the above acts would constitute an offence by breaching any of the specified restrictions on publication. I consider JXL’s arguments misconstrue the breadth of the statutory prohibition on publication created by s 534 of the </w:t>
      </w:r>
      <w:r w:rsidRPr="006007BB">
        <w:rPr>
          <w:rFonts w:ascii="Arial" w:hAnsi="Arial" w:cs="Arial"/>
          <w:i/>
          <w:iCs/>
          <w:color w:val="333333"/>
          <w:sz w:val="20"/>
          <w:szCs w:val="20"/>
        </w:rPr>
        <w:t>CYFA </w:t>
      </w:r>
      <w:r w:rsidRPr="006007BB">
        <w:rPr>
          <w:rFonts w:ascii="Arial" w:hAnsi="Arial" w:cs="Arial"/>
          <w:color w:val="333333"/>
          <w:sz w:val="20"/>
          <w:szCs w:val="20"/>
        </w:rPr>
        <w:t>and wrongly equate steps taken to adduce evidence in this proceeding as acts of publication.</w:t>
      </w:r>
    </w:p>
    <w:p w14:paraId="467D0466" w14:textId="357A6C9F"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[30] </w:t>
      </w:r>
      <w:r w:rsidRPr="006007BB">
        <w:rPr>
          <w:rFonts w:ascii="Arial" w:hAnsi="Arial" w:cs="Arial"/>
          <w:color w:val="333333"/>
          <w:sz w:val="20"/>
          <w:szCs w:val="20"/>
        </w:rPr>
        <w:t>The proper construction of s 534 is of course to be determined having regard to the text of the legislation, the context of the provision and the purposes of the </w:t>
      </w:r>
      <w:r w:rsidRPr="006007BB">
        <w:rPr>
          <w:rFonts w:ascii="Arial" w:hAnsi="Arial" w:cs="Arial"/>
          <w:i/>
          <w:iCs/>
          <w:color w:val="333333"/>
          <w:sz w:val="20"/>
          <w:szCs w:val="20"/>
        </w:rPr>
        <w:t>CYFA</w:t>
      </w:r>
      <w:r w:rsidR="00613165">
        <w:rPr>
          <w:rFonts w:ascii="Arial" w:hAnsi="Arial" w:cs="Arial"/>
          <w:i/>
          <w:iCs/>
          <w:color w:val="333333"/>
          <w:sz w:val="20"/>
          <w:szCs w:val="20"/>
        </w:rPr>
        <w:t xml:space="preserve">: </w:t>
      </w:r>
      <w:r w:rsidR="00613165" w:rsidRPr="006007BB">
        <w:rPr>
          <w:rFonts w:ascii="Arial" w:hAnsi="Arial" w:cs="Arial"/>
          <w:i/>
          <w:iCs/>
          <w:color w:val="333333"/>
          <w:sz w:val="20"/>
          <w:szCs w:val="20"/>
        </w:rPr>
        <w:t>Alcan (NT) Alumina Pty Ltd v Commissioner of Territory Revenue</w:t>
      </w:r>
      <w:r w:rsidR="00613165" w:rsidRPr="00613165">
        <w:rPr>
          <w:rFonts w:ascii="Arial" w:hAnsi="Arial" w:cs="Arial"/>
          <w:color w:val="333333"/>
          <w:sz w:val="20"/>
          <w:szCs w:val="20"/>
        </w:rPr>
        <w:t xml:space="preserve"> [2009] HCA 41; (2009) 239 CLR 27</w:t>
      </w:r>
      <w:r w:rsidR="00613165" w:rsidRPr="006007BB">
        <w:rPr>
          <w:rFonts w:ascii="Arial" w:hAnsi="Arial" w:cs="Arial"/>
          <w:color w:val="333333"/>
          <w:sz w:val="20"/>
          <w:szCs w:val="20"/>
        </w:rPr>
        <w:t>, 46–</w:t>
      </w:r>
      <w:r w:rsidR="00613165">
        <w:rPr>
          <w:rFonts w:ascii="Arial" w:hAnsi="Arial" w:cs="Arial"/>
          <w:color w:val="333333"/>
          <w:sz w:val="20"/>
          <w:szCs w:val="20"/>
        </w:rPr>
        <w:t>4</w:t>
      </w:r>
      <w:r w:rsidR="00613165" w:rsidRPr="006007BB">
        <w:rPr>
          <w:rFonts w:ascii="Arial" w:hAnsi="Arial" w:cs="Arial"/>
          <w:color w:val="333333"/>
          <w:sz w:val="20"/>
          <w:szCs w:val="20"/>
        </w:rPr>
        <w:t>7</w:t>
      </w:r>
      <w:r w:rsidRPr="006007BB">
        <w:rPr>
          <w:rFonts w:ascii="Arial" w:hAnsi="Arial" w:cs="Arial"/>
          <w:color w:val="333333"/>
          <w:sz w:val="20"/>
          <w:szCs w:val="20"/>
        </w:rPr>
        <w:t>.</w:t>
      </w:r>
    </w:p>
    <w:p w14:paraId="1EF19516" w14:textId="3F077EC2"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[31] </w:t>
      </w:r>
      <w:r w:rsidRPr="006007BB">
        <w:rPr>
          <w:rFonts w:ascii="Arial" w:hAnsi="Arial" w:cs="Arial"/>
          <w:color w:val="333333"/>
          <w:sz w:val="20"/>
          <w:szCs w:val="20"/>
        </w:rPr>
        <w:t>The restrictions on publication under s 534 are neither new nor novel. Indeed, s 534 largely replicates the similarly worded prohibition in the now repealed s 26 of the </w:t>
      </w:r>
      <w:r w:rsidRPr="006007BB">
        <w:rPr>
          <w:rFonts w:ascii="Arial" w:hAnsi="Arial" w:cs="Arial"/>
          <w:i/>
          <w:iCs/>
          <w:color w:val="333333"/>
          <w:sz w:val="20"/>
          <w:szCs w:val="20"/>
        </w:rPr>
        <w:t>Children and Young Persons Act 1989 </w:t>
      </w:r>
      <w:r w:rsidRPr="006007BB">
        <w:rPr>
          <w:rFonts w:ascii="Arial" w:hAnsi="Arial" w:cs="Arial"/>
          <w:color w:val="333333"/>
          <w:sz w:val="20"/>
          <w:szCs w:val="20"/>
        </w:rPr>
        <w:t>(Vic). These statutory prohibitions on publication reflect the strong, long-standing public policy that children who are brought before the Children’s Court are not to be identified by particulars or material being published that is likely to lead to their identification</w:t>
      </w:r>
      <w:r w:rsidR="00613165">
        <w:rPr>
          <w:rFonts w:ascii="Arial" w:hAnsi="Arial" w:cs="Arial"/>
          <w:color w:val="333333"/>
          <w:sz w:val="20"/>
          <w:szCs w:val="20"/>
        </w:rPr>
        <w:t xml:space="preserve">: </w:t>
      </w:r>
      <w:r w:rsidR="00613165" w:rsidRPr="006007BB">
        <w:rPr>
          <w:rFonts w:ascii="Arial" w:hAnsi="Arial" w:cs="Arial"/>
          <w:i/>
          <w:iCs/>
          <w:color w:val="333333"/>
          <w:sz w:val="20"/>
          <w:szCs w:val="20"/>
        </w:rPr>
        <w:t>GHJ v Secretary to the Department of Justice and Community Safety </w:t>
      </w:r>
      <w:r w:rsidR="00613165" w:rsidRPr="00613165">
        <w:rPr>
          <w:rFonts w:ascii="Arial" w:hAnsi="Arial" w:cs="Arial"/>
          <w:color w:val="333333"/>
          <w:sz w:val="20"/>
          <w:szCs w:val="20"/>
        </w:rPr>
        <w:t>[2019] VSC 89</w:t>
      </w:r>
      <w:r w:rsidR="00613165" w:rsidRPr="006007BB">
        <w:rPr>
          <w:rFonts w:ascii="Arial" w:hAnsi="Arial" w:cs="Arial"/>
          <w:color w:val="333333"/>
          <w:sz w:val="20"/>
          <w:szCs w:val="20"/>
        </w:rPr>
        <w:t>, [15]</w:t>
      </w:r>
      <w:r w:rsidR="00613165">
        <w:rPr>
          <w:rFonts w:ascii="Arial" w:hAnsi="Arial" w:cs="Arial"/>
          <w:color w:val="333333"/>
          <w:sz w:val="20"/>
          <w:szCs w:val="20"/>
        </w:rPr>
        <w:t xml:space="preserve">. </w:t>
      </w:r>
      <w:r w:rsidRPr="006007BB">
        <w:rPr>
          <w:rFonts w:ascii="Arial" w:hAnsi="Arial" w:cs="Arial"/>
          <w:color w:val="333333"/>
          <w:sz w:val="20"/>
          <w:szCs w:val="20"/>
        </w:rPr>
        <w:t>In the case of young offenders dealt with in the Criminal Division of the Children’s Court, the evident purpose of s 534 is to enable and promote their rehabilitation. In the case of children who are involved in child protection matters in the Family Division, the purposes of s 534 are therapeutic and protective. In all cases, the public policy rationales for the restrictions on publication necessarily include that children should be shielded from the stigma, shame, embarrassment or harm that may be caused to them by identifying particulars or material becoming publicly known.</w:t>
      </w:r>
    </w:p>
    <w:p w14:paraId="5C4797AC" w14:textId="59D67EC7"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[32] </w:t>
      </w:r>
      <w:r w:rsidRPr="006007BB">
        <w:rPr>
          <w:rFonts w:ascii="Arial" w:hAnsi="Arial" w:cs="Arial"/>
          <w:color w:val="333333"/>
          <w:sz w:val="20"/>
          <w:szCs w:val="20"/>
        </w:rPr>
        <w:t xml:space="preserve">However, s 534 does not provide a blanket prohibition on publication. What is prohibited are the kinds of publications that are prescribed by the express terms of the </w:t>
      </w:r>
      <w:r w:rsidRPr="006007BB">
        <w:rPr>
          <w:rFonts w:ascii="Arial" w:hAnsi="Arial" w:cs="Arial"/>
          <w:color w:val="333333"/>
          <w:sz w:val="20"/>
          <w:szCs w:val="20"/>
        </w:rPr>
        <w:lastRenderedPageBreak/>
        <w:t>legislation. Relevantly, in the cases of the restrictions imposed by ss 534(1)(a) and (c), what is prohibited is publication of a report of a proceeding in the court, or some other matter, that will identify a child involved in the proceeding. It is the identification of a child involved in the proceeding that is critical to the restrictions on publication.</w:t>
      </w:r>
    </w:p>
    <w:p w14:paraId="14CA810C" w14:textId="35BE8C33"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[33] </w:t>
      </w:r>
      <w:r w:rsidR="00613165" w:rsidRPr="006007BB">
        <w:rPr>
          <w:rFonts w:ascii="Arial" w:hAnsi="Arial" w:cs="Arial"/>
          <w:color w:val="333333"/>
          <w:sz w:val="20"/>
          <w:szCs w:val="20"/>
        </w:rPr>
        <w:t>It is for that reason that pseudonyms are often used to protect the identity of a child who was involved in a proceeding before the Children’s Court. In that respect, I note that in a recently published judgment in the matter of </w:t>
      </w:r>
      <w:r w:rsidR="00613165" w:rsidRPr="006007BB">
        <w:rPr>
          <w:rFonts w:ascii="Arial" w:hAnsi="Arial" w:cs="Arial"/>
          <w:i/>
          <w:iCs/>
          <w:color w:val="333333"/>
          <w:sz w:val="20"/>
          <w:szCs w:val="20"/>
        </w:rPr>
        <w:t>KDN v The Secretary to the Department of Families, Fairness and Housing</w:t>
      </w:r>
      <w:r w:rsidR="00613165" w:rsidRPr="00613165">
        <w:rPr>
          <w:rFonts w:ascii="Arial" w:hAnsi="Arial" w:cs="Arial"/>
          <w:color w:val="333333"/>
          <w:sz w:val="20"/>
          <w:szCs w:val="20"/>
        </w:rPr>
        <w:t xml:space="preserve"> </w:t>
      </w:r>
      <w:r w:rsidR="00613165">
        <w:rPr>
          <w:rFonts w:ascii="Arial" w:hAnsi="Arial" w:cs="Arial"/>
          <w:color w:val="333333"/>
          <w:sz w:val="20"/>
          <w:szCs w:val="20"/>
        </w:rPr>
        <w:t>[</w:t>
      </w:r>
      <w:r w:rsidR="00613165" w:rsidRPr="00613165">
        <w:rPr>
          <w:rFonts w:ascii="Arial" w:hAnsi="Arial" w:cs="Arial"/>
          <w:color w:val="333333"/>
          <w:sz w:val="20"/>
          <w:szCs w:val="20"/>
        </w:rPr>
        <w:t>2023] VSC 479</w:t>
      </w:r>
      <w:r w:rsidR="00613165">
        <w:rPr>
          <w:rFonts w:ascii="Arial" w:hAnsi="Arial" w:cs="Arial"/>
          <w:color w:val="333333"/>
          <w:sz w:val="20"/>
          <w:szCs w:val="20"/>
        </w:rPr>
        <w:t xml:space="preserve"> </w:t>
      </w:r>
      <w:r w:rsidR="00613165" w:rsidRPr="006007BB">
        <w:rPr>
          <w:rFonts w:ascii="Arial" w:hAnsi="Arial" w:cs="Arial"/>
          <w:color w:val="333333"/>
          <w:sz w:val="20"/>
          <w:szCs w:val="20"/>
        </w:rPr>
        <w:t>which concerned an appeal against an interim accommodation order made by the Children’s Court of Victoria in respect of two children, various pseudonyms were used to refer to the subject children and their parents. As Gorton J there observed</w:t>
      </w:r>
      <w:r w:rsidR="00613165">
        <w:rPr>
          <w:rFonts w:ascii="Arial" w:hAnsi="Arial" w:cs="Arial"/>
          <w:color w:val="333333"/>
          <w:sz w:val="20"/>
          <w:szCs w:val="20"/>
        </w:rPr>
        <w:t xml:space="preserve"> at [2]</w:t>
      </w:r>
      <w:r w:rsidR="00613165" w:rsidRPr="006007BB">
        <w:rPr>
          <w:rFonts w:ascii="Arial" w:hAnsi="Arial" w:cs="Arial"/>
          <w:color w:val="333333"/>
          <w:sz w:val="20"/>
          <w:szCs w:val="20"/>
        </w:rPr>
        <w:t>:</w:t>
      </w:r>
    </w:p>
    <w:p w14:paraId="7A2F096C" w14:textId="0CE113F7" w:rsidR="00613165" w:rsidRPr="00613165" w:rsidRDefault="00613165" w:rsidP="00613165">
      <w:pPr>
        <w:pStyle w:val="NormalWeb"/>
        <w:shd w:val="clear" w:color="auto" w:fill="FFFFFF"/>
        <w:spacing w:before="60" w:beforeAutospacing="0" w:after="0" w:afterAutospacing="0"/>
        <w:ind w:left="1021" w:right="1021"/>
        <w:jc w:val="both"/>
        <w:rPr>
          <w:rFonts w:ascii="Arial" w:hAnsi="Arial" w:cs="Arial"/>
          <w:color w:val="333333"/>
          <w:sz w:val="18"/>
          <w:szCs w:val="18"/>
        </w:rPr>
      </w:pPr>
      <w:r w:rsidRPr="00613165">
        <w:rPr>
          <w:rFonts w:ascii="Arial" w:hAnsi="Arial" w:cs="Arial"/>
          <w:color w:val="333333"/>
          <w:sz w:val="18"/>
          <w:szCs w:val="18"/>
        </w:rPr>
        <w:t>‘Section 534(1) of the </w:t>
      </w:r>
      <w:r w:rsidRPr="00613165">
        <w:rPr>
          <w:rFonts w:ascii="Arial" w:hAnsi="Arial" w:cs="Arial"/>
          <w:i/>
          <w:iCs/>
          <w:color w:val="333333"/>
          <w:sz w:val="18"/>
          <w:szCs w:val="18"/>
        </w:rPr>
        <w:t>Children, Youth and Families Act 2005 </w:t>
      </w:r>
      <w:r w:rsidRPr="00613165">
        <w:rPr>
          <w:rFonts w:ascii="Arial" w:hAnsi="Arial" w:cs="Arial"/>
          <w:color w:val="333333"/>
          <w:sz w:val="18"/>
          <w:szCs w:val="18"/>
        </w:rPr>
        <w:t>provides that a person must not publish or cause to be published a report of a proceeding that contains any particulars likely to lead to the identification of a witness to that proceeding. For this reason, I have given pseudonyms to those persons who appeared as witnesses in the Children’s Court. The parties will be provided with a version of the judgment in which pseudonyms are not used for witnesses.’</w:t>
      </w:r>
    </w:p>
    <w:p w14:paraId="4F99BF17" w14:textId="52305835" w:rsidR="00613165" w:rsidRDefault="006007BB"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w:t>
      </w:r>
      <w:r w:rsidR="00613165">
        <w:rPr>
          <w:rFonts w:ascii="Arial" w:hAnsi="Arial" w:cs="Arial"/>
          <w:color w:val="333333"/>
          <w:sz w:val="20"/>
          <w:szCs w:val="20"/>
        </w:rPr>
        <w:t>34</w:t>
      </w:r>
      <w:r w:rsidRPr="006007BB">
        <w:rPr>
          <w:rFonts w:ascii="Arial" w:hAnsi="Arial" w:cs="Arial"/>
          <w:color w:val="333333"/>
          <w:sz w:val="20"/>
          <w:szCs w:val="20"/>
        </w:rPr>
        <w:t xml:space="preserve">] </w:t>
      </w:r>
      <w:r w:rsidR="00613165" w:rsidRPr="006007BB">
        <w:rPr>
          <w:rFonts w:ascii="Arial" w:hAnsi="Arial" w:cs="Arial"/>
          <w:color w:val="333333"/>
          <w:sz w:val="20"/>
          <w:szCs w:val="20"/>
        </w:rPr>
        <w:t>Similarly, in</w:t>
      </w:r>
      <w:r w:rsidR="00491B07">
        <w:rPr>
          <w:rFonts w:ascii="Arial" w:hAnsi="Arial" w:cs="Arial"/>
          <w:color w:val="333333"/>
          <w:sz w:val="20"/>
          <w:szCs w:val="20"/>
        </w:rPr>
        <w:t xml:space="preserve"> </w:t>
      </w:r>
      <w:r w:rsidR="00613165" w:rsidRPr="006007BB">
        <w:rPr>
          <w:rFonts w:ascii="Arial" w:hAnsi="Arial" w:cs="Arial"/>
          <w:i/>
          <w:iCs/>
          <w:color w:val="333333"/>
          <w:sz w:val="20"/>
          <w:szCs w:val="20"/>
        </w:rPr>
        <w:t>RP v Foreman</w:t>
      </w:r>
      <w:r w:rsidR="00613165" w:rsidRPr="00613165">
        <w:rPr>
          <w:rFonts w:ascii="Arial" w:hAnsi="Arial" w:cs="Arial"/>
          <w:color w:val="333333"/>
          <w:sz w:val="20"/>
          <w:szCs w:val="20"/>
        </w:rPr>
        <w:t xml:space="preserve"> [2021] VSCA 115, </w:t>
      </w:r>
      <w:r w:rsidR="00613165" w:rsidRPr="006007BB">
        <w:rPr>
          <w:rFonts w:ascii="Arial" w:hAnsi="Arial" w:cs="Arial"/>
          <w:color w:val="333333"/>
          <w:sz w:val="20"/>
          <w:szCs w:val="20"/>
        </w:rPr>
        <w:t>an appeal against the refusal of an application for a writ of habeas corpus in relation to a child, where the Children’s Court had made an order conferring parental responsibility and sole care of the child to the Secretary of the Department of Human Services, the Court of Appeal noted that it had replaced the appellants’ names with pseudonyms in order to prevent the identification of the child who was the subject of orders made in the Children’s Court, in accordance with </w:t>
      </w:r>
      <w:r w:rsidR="00613165" w:rsidRPr="00491B07">
        <w:rPr>
          <w:rFonts w:ascii="Arial" w:hAnsi="Arial" w:cs="Arial"/>
          <w:color w:val="333333"/>
          <w:sz w:val="20"/>
          <w:szCs w:val="20"/>
        </w:rPr>
        <w:t>s 534(1)</w:t>
      </w:r>
      <w:r w:rsidR="00613165" w:rsidRPr="006007BB">
        <w:rPr>
          <w:rFonts w:ascii="Arial" w:hAnsi="Arial" w:cs="Arial"/>
          <w:color w:val="333333"/>
          <w:sz w:val="20"/>
          <w:szCs w:val="20"/>
        </w:rPr>
        <w:t> of the </w:t>
      </w:r>
      <w:r w:rsidR="00613165" w:rsidRPr="006007BB">
        <w:rPr>
          <w:rFonts w:ascii="Arial" w:hAnsi="Arial" w:cs="Arial"/>
          <w:i/>
          <w:iCs/>
          <w:color w:val="333333"/>
          <w:sz w:val="20"/>
          <w:szCs w:val="20"/>
        </w:rPr>
        <w:t>CYFA</w:t>
      </w:r>
      <w:r w:rsidR="00613165" w:rsidRPr="006007BB">
        <w:rPr>
          <w:rFonts w:ascii="Arial" w:hAnsi="Arial" w:cs="Arial"/>
          <w:color w:val="333333"/>
          <w:sz w:val="20"/>
          <w:szCs w:val="20"/>
        </w:rPr>
        <w:t>.</w:t>
      </w:r>
    </w:p>
    <w:p w14:paraId="4040DE1D" w14:textId="0983A356"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[35] </w:t>
      </w:r>
      <w:r w:rsidRPr="006007BB">
        <w:rPr>
          <w:rFonts w:ascii="Arial" w:hAnsi="Arial" w:cs="Arial"/>
          <w:color w:val="333333"/>
          <w:sz w:val="20"/>
          <w:szCs w:val="20"/>
        </w:rPr>
        <w:t>It is for similar reasons as these that I have now made an order that the respondent in this proceeding is hereafter to be referred to by the pseudonym ‘JXL’.</w:t>
      </w:r>
    </w:p>
    <w:p w14:paraId="1A1DE19D" w14:textId="7D08D239"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[36] </w:t>
      </w:r>
      <w:r w:rsidRPr="006007BB">
        <w:rPr>
          <w:rFonts w:ascii="Arial" w:hAnsi="Arial" w:cs="Arial"/>
          <w:color w:val="333333"/>
          <w:sz w:val="20"/>
          <w:szCs w:val="20"/>
        </w:rPr>
        <w:t>Depending on the nature and circumstances of the case, the making of a pseudonym order may be all that is required in order to observe the statutory restrictions on publication imposed by </w:t>
      </w:r>
      <w:r w:rsidRPr="00613165">
        <w:rPr>
          <w:rFonts w:ascii="Arial" w:hAnsi="Arial" w:cs="Arial"/>
          <w:color w:val="333333"/>
          <w:sz w:val="20"/>
          <w:szCs w:val="20"/>
        </w:rPr>
        <w:t>s 534.</w:t>
      </w:r>
      <w:r w:rsidRPr="006007BB">
        <w:rPr>
          <w:rFonts w:ascii="Arial" w:hAnsi="Arial" w:cs="Arial"/>
          <w:color w:val="333333"/>
          <w:sz w:val="20"/>
          <w:szCs w:val="20"/>
        </w:rPr>
        <w:t> There are, of course, other possible actions that may be taken and orders that may be made by the Court to ensure no breach of </w:t>
      </w:r>
      <w:r w:rsidRPr="00613165">
        <w:rPr>
          <w:rFonts w:ascii="Arial" w:hAnsi="Arial" w:cs="Arial"/>
          <w:color w:val="333333"/>
          <w:sz w:val="20"/>
          <w:szCs w:val="20"/>
        </w:rPr>
        <w:t>s 534</w:t>
      </w:r>
      <w:r w:rsidRPr="006007BB">
        <w:rPr>
          <w:rFonts w:ascii="Arial" w:hAnsi="Arial" w:cs="Arial"/>
          <w:color w:val="333333"/>
          <w:sz w:val="20"/>
          <w:szCs w:val="20"/>
        </w:rPr>
        <w:t> occurs in a proceeding. Once such option would be to make an order that the proceeding be conducted in a closed court. That is what was done for the hearing of these interlocutory applications.</w:t>
      </w:r>
    </w:p>
    <w:p w14:paraId="5675C446" w14:textId="45D5068A"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[37] </w:t>
      </w:r>
      <w:r w:rsidRPr="006007BB">
        <w:rPr>
          <w:rFonts w:ascii="Arial" w:hAnsi="Arial" w:cs="Arial"/>
          <w:color w:val="333333"/>
          <w:sz w:val="20"/>
          <w:szCs w:val="20"/>
        </w:rPr>
        <w:t>I do not accept JXL’s submission that, irrespective of the fact that the hearing of these applications took place in a closed court, upon the Commissioner’s affidavits being read there was a prohibited publication of restricted information or material.</w:t>
      </w:r>
    </w:p>
    <w:p w14:paraId="1868BF6A" w14:textId="4F9A9BE2"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[38] </w:t>
      </w:r>
      <w:r w:rsidRPr="006007BB">
        <w:rPr>
          <w:rFonts w:ascii="Arial" w:hAnsi="Arial" w:cs="Arial"/>
          <w:color w:val="333333"/>
          <w:sz w:val="20"/>
          <w:szCs w:val="20"/>
        </w:rPr>
        <w:t>In my opinion, the reading of the affidavits in closed court does not meet the definition of ‘publish’ in </w:t>
      </w:r>
      <w:r w:rsidRPr="00613165">
        <w:rPr>
          <w:rFonts w:ascii="Arial" w:hAnsi="Arial" w:cs="Arial"/>
          <w:color w:val="333333"/>
          <w:sz w:val="20"/>
          <w:szCs w:val="20"/>
        </w:rPr>
        <w:t>s 3</w:t>
      </w:r>
      <w:r w:rsidRPr="006007BB">
        <w:rPr>
          <w:rFonts w:ascii="Arial" w:hAnsi="Arial" w:cs="Arial"/>
          <w:color w:val="333333"/>
          <w:sz w:val="20"/>
          <w:szCs w:val="20"/>
        </w:rPr>
        <w:t> of the </w:t>
      </w:r>
      <w:r w:rsidRPr="00613165">
        <w:rPr>
          <w:rFonts w:ascii="Arial" w:hAnsi="Arial" w:cs="Arial"/>
          <w:i/>
          <w:iCs/>
          <w:color w:val="333333"/>
          <w:sz w:val="20"/>
          <w:szCs w:val="20"/>
        </w:rPr>
        <w:t>Open Courts Act</w:t>
      </w:r>
      <w:r w:rsidRPr="006007BB">
        <w:rPr>
          <w:rFonts w:ascii="Arial" w:hAnsi="Arial" w:cs="Arial"/>
          <w:color w:val="333333"/>
          <w:sz w:val="20"/>
          <w:szCs w:val="20"/>
        </w:rPr>
        <w:t>, as the information and material has not been published to ‘the public’ or a ‘section of the public’, as is required. In my opinion, for the purposes of any potential breach of s 534 of the </w:t>
      </w:r>
      <w:r w:rsidRPr="006007BB">
        <w:rPr>
          <w:rFonts w:ascii="Arial" w:hAnsi="Arial" w:cs="Arial"/>
          <w:i/>
          <w:iCs/>
          <w:color w:val="333333"/>
          <w:sz w:val="20"/>
          <w:szCs w:val="20"/>
        </w:rPr>
        <w:t>CYFA</w:t>
      </w:r>
      <w:r w:rsidRPr="006007BB">
        <w:rPr>
          <w:rFonts w:ascii="Arial" w:hAnsi="Arial" w:cs="Arial"/>
          <w:color w:val="333333"/>
          <w:sz w:val="20"/>
          <w:szCs w:val="20"/>
        </w:rPr>
        <w:t>, the references to ‘the public’ or a ‘section of the public’ within the </w:t>
      </w:r>
      <w:r w:rsidRPr="00613165">
        <w:rPr>
          <w:rFonts w:ascii="Arial" w:hAnsi="Arial" w:cs="Arial"/>
          <w:color w:val="333333"/>
          <w:sz w:val="20"/>
          <w:szCs w:val="20"/>
        </w:rPr>
        <w:t>s 3</w:t>
      </w:r>
      <w:r w:rsidRPr="006007BB">
        <w:rPr>
          <w:rFonts w:ascii="Arial" w:hAnsi="Arial" w:cs="Arial"/>
          <w:color w:val="333333"/>
          <w:sz w:val="20"/>
          <w:szCs w:val="20"/>
        </w:rPr>
        <w:t> definition of the </w:t>
      </w:r>
      <w:r w:rsidRPr="00613165">
        <w:rPr>
          <w:rFonts w:ascii="Arial" w:hAnsi="Arial" w:cs="Arial"/>
          <w:i/>
          <w:iCs/>
          <w:color w:val="333333"/>
          <w:sz w:val="20"/>
          <w:szCs w:val="20"/>
        </w:rPr>
        <w:t>Open Courts Act</w:t>
      </w:r>
      <w:r w:rsidRPr="006007BB">
        <w:rPr>
          <w:rFonts w:ascii="Arial" w:hAnsi="Arial" w:cs="Arial"/>
          <w:i/>
          <w:iCs/>
          <w:color w:val="333333"/>
          <w:sz w:val="20"/>
          <w:szCs w:val="20"/>
        </w:rPr>
        <w:t> </w:t>
      </w:r>
      <w:r w:rsidRPr="006007BB">
        <w:rPr>
          <w:rFonts w:ascii="Arial" w:hAnsi="Arial" w:cs="Arial"/>
          <w:color w:val="333333"/>
          <w:sz w:val="20"/>
          <w:szCs w:val="20"/>
        </w:rPr>
        <w:t>plainly contemplate that the term ‘publish’ means publication to a wider audience than the Court, the parties, their lawyers and the court officers and other staff present during the closed court hearing of these applications. Although </w:t>
      </w:r>
      <w:r w:rsidRPr="00613165">
        <w:rPr>
          <w:rFonts w:ascii="Arial" w:hAnsi="Arial" w:cs="Arial"/>
          <w:color w:val="333333"/>
          <w:sz w:val="20"/>
          <w:szCs w:val="20"/>
        </w:rPr>
        <w:t>s 3</w:t>
      </w:r>
      <w:r w:rsidRPr="006007BB">
        <w:rPr>
          <w:rFonts w:ascii="Arial" w:hAnsi="Arial" w:cs="Arial"/>
          <w:color w:val="333333"/>
          <w:sz w:val="20"/>
          <w:szCs w:val="20"/>
        </w:rPr>
        <w:t> refers to ‘disseminate or provide access...by any means’ and then provides a non-exhaustive</w:t>
      </w:r>
      <w:r w:rsidR="00491B07">
        <w:rPr>
          <w:rFonts w:ascii="Arial" w:hAnsi="Arial" w:cs="Arial"/>
          <w:color w:val="333333"/>
          <w:sz w:val="20"/>
          <w:szCs w:val="20"/>
        </w:rPr>
        <w:t xml:space="preserve"> </w:t>
      </w:r>
      <w:r w:rsidR="00491B07" w:rsidRPr="006007BB">
        <w:rPr>
          <w:rFonts w:ascii="Arial" w:hAnsi="Arial" w:cs="Arial"/>
          <w:color w:val="333333"/>
          <w:sz w:val="20"/>
          <w:szCs w:val="20"/>
        </w:rPr>
        <w:t>list of the ways in which information may be disseminated or accessed, in my view the examples provided support the conclusion I have reached.</w:t>
      </w:r>
    </w:p>
    <w:p w14:paraId="795B0703" w14:textId="07E4AD10" w:rsidR="00491B07" w:rsidRDefault="00491B07"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[39] </w:t>
      </w:r>
      <w:r w:rsidRPr="006007BB">
        <w:rPr>
          <w:rFonts w:ascii="Arial" w:hAnsi="Arial" w:cs="Arial"/>
          <w:color w:val="333333"/>
          <w:sz w:val="20"/>
          <w:szCs w:val="20"/>
        </w:rPr>
        <w:t>In my opinion, for the purposes of s 534, the Commissioner has not published, or caused to be published, any restricted information or material by filing the affidavits with the Court or by reading the affidavits and thereby putting them into evidence. I do not consider either act constitutes a publication for the purposes of s 534 of the </w:t>
      </w:r>
      <w:r w:rsidRPr="006007BB">
        <w:rPr>
          <w:rFonts w:ascii="Arial" w:hAnsi="Arial" w:cs="Arial"/>
          <w:i/>
          <w:iCs/>
          <w:color w:val="333333"/>
          <w:sz w:val="20"/>
          <w:szCs w:val="20"/>
        </w:rPr>
        <w:t>CYFA</w:t>
      </w:r>
      <w:r w:rsidRPr="006007BB">
        <w:rPr>
          <w:rFonts w:ascii="Arial" w:hAnsi="Arial" w:cs="Arial"/>
          <w:color w:val="333333"/>
          <w:sz w:val="20"/>
          <w:szCs w:val="20"/>
        </w:rPr>
        <w:t>.</w:t>
      </w:r>
      <w:r>
        <w:rPr>
          <w:rFonts w:ascii="Arial" w:hAnsi="Arial" w:cs="Arial"/>
          <w:color w:val="333333"/>
          <w:sz w:val="20"/>
          <w:szCs w:val="20"/>
        </w:rPr>
        <w:t>”</w:t>
      </w:r>
    </w:p>
    <w:p w14:paraId="6ACFE746" w14:textId="66034C76" w:rsidR="00491B07" w:rsidRPr="009B3CD4" w:rsidRDefault="00491B07" w:rsidP="00491B07">
      <w:pPr>
        <w:pStyle w:val="NormalWeb"/>
        <w:shd w:val="clear" w:color="auto" w:fill="FFFFFF"/>
        <w:spacing w:before="60" w:beforeAutospacing="0" w:after="0" w:afterAutospacing="0"/>
        <w:jc w:val="both"/>
        <w:rPr>
          <w:rFonts w:ascii="Arial" w:hAnsi="Arial" w:cs="Arial"/>
          <w:color w:val="333333"/>
          <w:sz w:val="20"/>
          <w:szCs w:val="20"/>
        </w:rPr>
      </w:pPr>
      <w:r>
        <w:rPr>
          <w:rFonts w:ascii="Arial" w:hAnsi="Arial" w:cs="Arial"/>
          <w:color w:val="333333"/>
          <w:sz w:val="20"/>
          <w:szCs w:val="20"/>
        </w:rPr>
        <w:t xml:space="preserve">His Honour went on to note that in reaching the above conclusions he had found </w:t>
      </w:r>
      <w:r w:rsidRPr="006007BB">
        <w:rPr>
          <w:rFonts w:ascii="Arial" w:hAnsi="Arial" w:cs="Arial"/>
          <w:color w:val="333333"/>
          <w:sz w:val="20"/>
          <w:szCs w:val="20"/>
        </w:rPr>
        <w:t>two recent Supreme Court of Victoria decisions dealing with issues concerning various statutory restrictions on publication</w:t>
      </w:r>
      <w:r w:rsidR="00E56D87">
        <w:rPr>
          <w:rFonts w:ascii="Arial" w:hAnsi="Arial" w:cs="Arial"/>
          <w:color w:val="333333"/>
          <w:sz w:val="20"/>
          <w:szCs w:val="20"/>
        </w:rPr>
        <w:t xml:space="preserve"> –</w:t>
      </w:r>
      <w:r>
        <w:rPr>
          <w:rFonts w:ascii="Arial" w:hAnsi="Arial" w:cs="Arial"/>
          <w:color w:val="333333"/>
          <w:sz w:val="20"/>
          <w:szCs w:val="20"/>
        </w:rPr>
        <w:t xml:space="preserve"> </w:t>
      </w:r>
      <w:r w:rsidRPr="009B3CD4">
        <w:rPr>
          <w:rFonts w:ascii="Arial" w:hAnsi="Arial" w:cs="Arial"/>
          <w:color w:val="333333"/>
          <w:sz w:val="20"/>
          <w:szCs w:val="20"/>
        </w:rPr>
        <w:t>namely</w:t>
      </w:r>
      <w:r w:rsidR="00E56D87">
        <w:rPr>
          <w:rFonts w:ascii="Arial" w:hAnsi="Arial" w:cs="Arial"/>
          <w:color w:val="333333"/>
          <w:sz w:val="20"/>
          <w:szCs w:val="20"/>
        </w:rPr>
        <w:t xml:space="preserve"> </w:t>
      </w:r>
      <w:r w:rsidRPr="009B3CD4">
        <w:rPr>
          <w:rFonts w:ascii="Arial" w:hAnsi="Arial" w:cs="Arial"/>
          <w:i/>
          <w:iCs/>
          <w:color w:val="333333"/>
          <w:sz w:val="20"/>
          <w:szCs w:val="20"/>
        </w:rPr>
        <w:t>Taylor v State of Victoria</w:t>
      </w:r>
      <w:r w:rsidRPr="009B3CD4">
        <w:rPr>
          <w:rFonts w:ascii="Arial" w:hAnsi="Arial" w:cs="Arial"/>
          <w:color w:val="333333"/>
          <w:sz w:val="20"/>
          <w:szCs w:val="20"/>
        </w:rPr>
        <w:t xml:space="preserve"> [2023] VSC 320 </w:t>
      </w:r>
      <w:r w:rsidR="009B3CD4">
        <w:rPr>
          <w:rFonts w:ascii="Arial" w:hAnsi="Arial" w:cs="Arial"/>
          <w:color w:val="333333"/>
          <w:sz w:val="20"/>
          <w:szCs w:val="20"/>
        </w:rPr>
        <w:t>and the afore-mentioned</w:t>
      </w:r>
      <w:r w:rsidRPr="009B3CD4">
        <w:rPr>
          <w:rFonts w:ascii="Arial" w:hAnsi="Arial" w:cs="Arial"/>
          <w:color w:val="333333"/>
          <w:sz w:val="20"/>
          <w:szCs w:val="20"/>
        </w:rPr>
        <w:t xml:space="preserve"> </w:t>
      </w:r>
      <w:r w:rsidR="009B3CD4" w:rsidRPr="009B3CD4">
        <w:rPr>
          <w:rFonts w:ascii="Arial" w:hAnsi="Arial" w:cs="Arial"/>
          <w:i/>
          <w:iCs/>
          <w:color w:val="333333"/>
          <w:sz w:val="20"/>
          <w:szCs w:val="20"/>
          <w:shd w:val="clear" w:color="auto" w:fill="FFFFFF"/>
        </w:rPr>
        <w:t>Porch v State of Victoria</w:t>
      </w:r>
      <w:r w:rsidR="009B3CD4" w:rsidRPr="009B3CD4">
        <w:rPr>
          <w:rFonts w:ascii="Arial" w:hAnsi="Arial" w:cs="Arial"/>
          <w:color w:val="333333"/>
          <w:sz w:val="20"/>
          <w:szCs w:val="20"/>
        </w:rPr>
        <w:t xml:space="preserve"> [2023] VSC 61</w:t>
      </w:r>
      <w:r w:rsidR="00E56D87">
        <w:rPr>
          <w:rFonts w:ascii="Arial" w:hAnsi="Arial" w:cs="Arial"/>
          <w:color w:val="333333"/>
          <w:sz w:val="20"/>
          <w:szCs w:val="20"/>
        </w:rPr>
        <w:t xml:space="preserve"> – </w:t>
      </w:r>
      <w:r w:rsidRPr="009B3CD4">
        <w:rPr>
          <w:rFonts w:ascii="Arial" w:hAnsi="Arial" w:cs="Arial"/>
          <w:color w:val="333333"/>
          <w:sz w:val="20"/>
          <w:szCs w:val="20"/>
        </w:rPr>
        <w:t>“to be of assistance”.</w:t>
      </w:r>
    </w:p>
    <w:p w14:paraId="4A17AD1F" w14:textId="77777777" w:rsidR="00F36632" w:rsidRDefault="00F36632" w:rsidP="001E79F7">
      <w:pPr>
        <w:jc w:val="both"/>
        <w:rPr>
          <w:rFonts w:ascii="Arial" w:hAnsi="Arial" w:cs="Arial"/>
          <w:sz w:val="20"/>
        </w:rPr>
      </w:pPr>
    </w:p>
    <w:p w14:paraId="31371B0E" w14:textId="0E4A23CB" w:rsidR="00C632AD" w:rsidRDefault="00C632AD" w:rsidP="001E79F7">
      <w:pPr>
        <w:jc w:val="both"/>
        <w:rPr>
          <w:rFonts w:ascii="Arial" w:hAnsi="Arial" w:cs="Arial"/>
          <w:sz w:val="20"/>
        </w:rPr>
      </w:pPr>
      <w:r>
        <w:rPr>
          <w:rFonts w:ascii="Arial" w:hAnsi="Arial" w:cs="Arial"/>
          <w:sz w:val="20"/>
        </w:rPr>
        <w:t xml:space="preserve">For a discussion of the relationship between s.534 CYFA and the </w:t>
      </w:r>
      <w:r w:rsidRPr="00BF3DE5">
        <w:rPr>
          <w:rFonts w:ascii="Arial" w:hAnsi="Arial" w:cs="Arial"/>
          <w:i/>
          <w:iCs/>
          <w:sz w:val="20"/>
        </w:rPr>
        <w:t xml:space="preserve">Open Courts Act </w:t>
      </w:r>
      <w:r w:rsidR="00BF3DE5" w:rsidRPr="00BF3DE5">
        <w:rPr>
          <w:rFonts w:ascii="Arial" w:hAnsi="Arial" w:cs="Arial"/>
          <w:i/>
          <w:iCs/>
          <w:sz w:val="20"/>
        </w:rPr>
        <w:t>2013</w:t>
      </w:r>
      <w:r w:rsidR="00BF3DE5">
        <w:rPr>
          <w:rFonts w:ascii="Arial" w:hAnsi="Arial" w:cs="Arial"/>
          <w:sz w:val="20"/>
        </w:rPr>
        <w:t xml:space="preserve"> </w:t>
      </w:r>
      <w:r w:rsidR="006B1E2B">
        <w:rPr>
          <w:rFonts w:ascii="Arial" w:hAnsi="Arial" w:cs="Arial"/>
          <w:sz w:val="20"/>
        </w:rPr>
        <w:t>[</w:t>
      </w:r>
      <w:r w:rsidR="00BE1AD5">
        <w:rPr>
          <w:rFonts w:ascii="Arial" w:hAnsi="Arial" w:cs="Arial"/>
          <w:sz w:val="20"/>
        </w:rPr>
        <w:t>‘OCA’</w:t>
      </w:r>
      <w:r w:rsidR="006B1E2B">
        <w:rPr>
          <w:rFonts w:ascii="Arial" w:hAnsi="Arial" w:cs="Arial"/>
          <w:sz w:val="20"/>
        </w:rPr>
        <w:t>]</w:t>
      </w:r>
      <w:r w:rsidR="00BE1AD5">
        <w:rPr>
          <w:rFonts w:ascii="Arial" w:hAnsi="Arial" w:cs="Arial"/>
          <w:sz w:val="20"/>
        </w:rPr>
        <w:t xml:space="preserve"> </w:t>
      </w:r>
      <w:r>
        <w:rPr>
          <w:rFonts w:ascii="Arial" w:hAnsi="Arial" w:cs="Arial"/>
          <w:sz w:val="20"/>
        </w:rPr>
        <w:t>see</w:t>
      </w:r>
      <w:r w:rsidR="00BE1AD5">
        <w:rPr>
          <w:rFonts w:ascii="Arial" w:hAnsi="Arial" w:cs="Arial"/>
          <w:sz w:val="20"/>
        </w:rPr>
        <w:t> </w:t>
      </w:r>
      <w:r w:rsidRPr="00784343">
        <w:rPr>
          <w:rFonts w:ascii="Arial" w:hAnsi="Arial" w:cs="Arial"/>
          <w:b/>
          <w:bCs/>
          <w:sz w:val="20"/>
          <w:shd w:val="clear" w:color="auto" w:fill="C5E0B3"/>
        </w:rPr>
        <w:t>section 2.8.</w:t>
      </w:r>
      <w:r w:rsidR="008D7980" w:rsidRPr="00784343">
        <w:rPr>
          <w:rFonts w:ascii="Arial" w:hAnsi="Arial" w:cs="Arial"/>
          <w:b/>
          <w:bCs/>
          <w:sz w:val="20"/>
          <w:shd w:val="clear" w:color="auto" w:fill="C5E0B3"/>
        </w:rPr>
        <w:t>4</w:t>
      </w:r>
      <w:r>
        <w:rPr>
          <w:rFonts w:ascii="Arial" w:hAnsi="Arial" w:cs="Arial"/>
          <w:sz w:val="20"/>
        </w:rPr>
        <w:t xml:space="preserve"> below.</w:t>
      </w:r>
    </w:p>
    <w:p w14:paraId="20A9282B" w14:textId="77777777" w:rsidR="00C632AD" w:rsidRPr="001E79F7" w:rsidRDefault="00C632AD" w:rsidP="001E79F7">
      <w:pPr>
        <w:jc w:val="both"/>
        <w:rPr>
          <w:rFonts w:ascii="Arial" w:hAnsi="Arial" w:cs="Arial"/>
          <w:sz w:val="20"/>
        </w:rPr>
      </w:pPr>
    </w:p>
    <w:p w14:paraId="353D96EC" w14:textId="11391F48" w:rsidR="00A21C16" w:rsidRDefault="001E79F7" w:rsidP="00A21C16">
      <w:pPr>
        <w:pStyle w:val="Heading3"/>
        <w:keepNext/>
        <w:widowControl/>
        <w:spacing w:after="120" w:line="240" w:lineRule="auto"/>
        <w:rPr>
          <w:rFonts w:ascii="Arial" w:hAnsi="Arial" w:cs="Arial"/>
          <w:b/>
          <w:bCs/>
          <w:sz w:val="20"/>
        </w:rPr>
      </w:pPr>
      <w:bookmarkStart w:id="503" w:name="_2.8.2_Suppression_orders"/>
      <w:bookmarkEnd w:id="503"/>
      <w:r>
        <w:rPr>
          <w:rFonts w:ascii="Arial" w:hAnsi="Arial" w:cs="Arial"/>
          <w:b/>
          <w:bCs/>
          <w:sz w:val="20"/>
        </w:rPr>
        <w:lastRenderedPageBreak/>
        <w:t>2.8.2</w:t>
      </w:r>
      <w:r>
        <w:rPr>
          <w:rFonts w:ascii="Arial" w:hAnsi="Arial" w:cs="Arial"/>
          <w:b/>
          <w:bCs/>
          <w:sz w:val="20"/>
        </w:rPr>
        <w:tab/>
      </w:r>
      <w:r w:rsidR="00BF4024">
        <w:rPr>
          <w:rFonts w:ascii="Arial" w:hAnsi="Arial" w:cs="Arial"/>
          <w:b/>
          <w:bCs/>
          <w:sz w:val="20"/>
        </w:rPr>
        <w:t>Suppression orders</w:t>
      </w:r>
    </w:p>
    <w:p w14:paraId="3B5C907F" w14:textId="77777777" w:rsidR="008C5C7B" w:rsidRDefault="00BF4024" w:rsidP="001E79F7">
      <w:pPr>
        <w:jc w:val="both"/>
        <w:rPr>
          <w:rFonts w:ascii="Arial" w:hAnsi="Arial" w:cs="Arial"/>
          <w:sz w:val="20"/>
        </w:rPr>
      </w:pPr>
      <w:r>
        <w:rPr>
          <w:rFonts w:ascii="Arial" w:hAnsi="Arial" w:cs="Arial"/>
          <w:sz w:val="20"/>
        </w:rPr>
        <w:t xml:space="preserve">Suppression orders are the antithesis of the open justice principle.  </w:t>
      </w:r>
      <w:r w:rsidR="008C5C7B">
        <w:rPr>
          <w:rFonts w:ascii="Arial" w:hAnsi="Arial" w:cs="Arial"/>
          <w:sz w:val="20"/>
        </w:rPr>
        <w:t xml:space="preserve">In </w:t>
      </w:r>
      <w:r w:rsidR="008C5C7B" w:rsidRPr="007D5AB8">
        <w:rPr>
          <w:rFonts w:ascii="Arial" w:hAnsi="Arial" w:cs="Arial"/>
          <w:i/>
          <w:sz w:val="20"/>
        </w:rPr>
        <w:t xml:space="preserve">R v Robert </w:t>
      </w:r>
      <w:r w:rsidR="007D5AB8" w:rsidRPr="007D5AB8">
        <w:rPr>
          <w:rFonts w:ascii="Arial" w:hAnsi="Arial" w:cs="Arial"/>
          <w:i/>
          <w:sz w:val="20"/>
        </w:rPr>
        <w:t xml:space="preserve">Scott </w:t>
      </w:r>
      <w:r w:rsidR="008C5C7B" w:rsidRPr="007D5AB8">
        <w:rPr>
          <w:rFonts w:ascii="Arial" w:hAnsi="Arial" w:cs="Arial"/>
          <w:i/>
          <w:sz w:val="20"/>
        </w:rPr>
        <w:t xml:space="preserve">Pomeroy </w:t>
      </w:r>
      <w:r w:rsidR="008C5C7B">
        <w:rPr>
          <w:rFonts w:ascii="Arial" w:hAnsi="Arial" w:cs="Arial"/>
          <w:sz w:val="20"/>
        </w:rPr>
        <w:t>[2002] VSC 178</w:t>
      </w:r>
      <w:r w:rsidR="007D5AB8">
        <w:rPr>
          <w:rFonts w:ascii="Arial" w:hAnsi="Arial" w:cs="Arial"/>
          <w:sz w:val="20"/>
        </w:rPr>
        <w:t xml:space="preserve">, a case </w:t>
      </w:r>
      <w:r w:rsidR="001F1AE5">
        <w:rPr>
          <w:rFonts w:ascii="Arial" w:hAnsi="Arial" w:cs="Arial"/>
          <w:sz w:val="20"/>
        </w:rPr>
        <w:t>involving an order</w:t>
      </w:r>
      <w:r w:rsidR="00297EA2">
        <w:rPr>
          <w:rFonts w:ascii="Arial" w:hAnsi="Arial" w:cs="Arial"/>
          <w:sz w:val="20"/>
        </w:rPr>
        <w:t xml:space="preserve"> suppressing publication of certain aspects</w:t>
      </w:r>
      <w:r w:rsidR="001F1AE5">
        <w:rPr>
          <w:rFonts w:ascii="Arial" w:hAnsi="Arial" w:cs="Arial"/>
          <w:sz w:val="20"/>
        </w:rPr>
        <w:t xml:space="preserve"> of a</w:t>
      </w:r>
      <w:r w:rsidR="00297EA2">
        <w:rPr>
          <w:rFonts w:ascii="Arial" w:hAnsi="Arial" w:cs="Arial"/>
          <w:sz w:val="20"/>
        </w:rPr>
        <w:t>n adult</w:t>
      </w:r>
      <w:r w:rsidR="001F1AE5">
        <w:rPr>
          <w:rFonts w:ascii="Arial" w:hAnsi="Arial" w:cs="Arial"/>
          <w:sz w:val="20"/>
        </w:rPr>
        <w:t xml:space="preserve"> criminal proceeding</w:t>
      </w:r>
      <w:r w:rsidR="002209EB">
        <w:rPr>
          <w:rFonts w:ascii="Arial" w:hAnsi="Arial" w:cs="Arial"/>
          <w:sz w:val="20"/>
        </w:rPr>
        <w:t xml:space="preserve"> in the Supreme Court</w:t>
      </w:r>
      <w:r w:rsidR="001F1AE5">
        <w:rPr>
          <w:rFonts w:ascii="Arial" w:hAnsi="Arial" w:cs="Arial"/>
          <w:sz w:val="20"/>
        </w:rPr>
        <w:t xml:space="preserve">, </w:t>
      </w:r>
      <w:r w:rsidR="008C5C7B">
        <w:rPr>
          <w:rFonts w:ascii="Arial" w:hAnsi="Arial" w:cs="Arial"/>
          <w:sz w:val="20"/>
        </w:rPr>
        <w:t>Teague J said</w:t>
      </w:r>
      <w:r w:rsidR="007D5AB8" w:rsidRPr="007D5AB8">
        <w:rPr>
          <w:rFonts w:ascii="Arial" w:hAnsi="Arial" w:cs="Arial"/>
          <w:sz w:val="20"/>
        </w:rPr>
        <w:t xml:space="preserve"> </w:t>
      </w:r>
      <w:r w:rsidR="007D5AB8">
        <w:rPr>
          <w:rFonts w:ascii="Arial" w:hAnsi="Arial" w:cs="Arial"/>
          <w:sz w:val="20"/>
        </w:rPr>
        <w:t>at [7]</w:t>
      </w:r>
      <w:r w:rsidR="008C5C7B">
        <w:rPr>
          <w:rFonts w:ascii="Arial" w:hAnsi="Arial" w:cs="Arial"/>
          <w:sz w:val="20"/>
        </w:rPr>
        <w:t>:</w:t>
      </w:r>
    </w:p>
    <w:p w14:paraId="69203A37" w14:textId="77777777" w:rsidR="008C5C7B" w:rsidRDefault="008C5C7B" w:rsidP="00CA7479">
      <w:pPr>
        <w:spacing w:before="60"/>
        <w:ind w:left="567" w:right="567"/>
        <w:jc w:val="both"/>
        <w:rPr>
          <w:rFonts w:ascii="Arial" w:hAnsi="Arial" w:cs="Arial"/>
          <w:sz w:val="20"/>
        </w:rPr>
      </w:pPr>
      <w:r>
        <w:rPr>
          <w:rFonts w:ascii="Arial" w:hAnsi="Arial" w:cs="Arial"/>
          <w:sz w:val="20"/>
        </w:rPr>
        <w:t>“</w:t>
      </w:r>
      <w:r w:rsidR="007D5AB8" w:rsidRPr="007D5AB8">
        <w:rPr>
          <w:rFonts w:ascii="Arial" w:hAnsi="Arial" w:cs="Arial"/>
          <w:sz w:val="20"/>
        </w:rPr>
        <w:t xml:space="preserve">The open justice principle has been applied in many cases and in many differing situations.  It requires that courts must be open, and that what is said and done in the courts can be published with only such restrictions as are necessary in the interests of justice.  The media is vigilant to see that it continues to be applied.  But the courts, and particularly superior courts, are also vigilant to see that it continues to be applied, because the operation of the principle is an essential attribute of a court.  The leading authority on the scope of, and the reasons for, the principle is </w:t>
      </w:r>
      <w:r w:rsidR="007D5AB8" w:rsidRPr="007D5AB8">
        <w:rPr>
          <w:rFonts w:ascii="Arial" w:hAnsi="Arial" w:cs="Arial"/>
          <w:i/>
          <w:sz w:val="20"/>
        </w:rPr>
        <w:t>Scott v Scott</w:t>
      </w:r>
      <w:r w:rsidR="007D5AB8" w:rsidRPr="007D5AB8">
        <w:rPr>
          <w:rFonts w:ascii="Arial" w:hAnsi="Arial" w:cs="Arial"/>
          <w:sz w:val="20"/>
        </w:rPr>
        <w:t xml:space="preserve"> [1913] AC 417.  The application of the principle has often been endorsed as in </w:t>
      </w:r>
      <w:r w:rsidR="007D5AB8" w:rsidRPr="007D5AB8">
        <w:rPr>
          <w:rFonts w:ascii="Arial" w:hAnsi="Arial" w:cs="Arial"/>
          <w:i/>
          <w:sz w:val="20"/>
        </w:rPr>
        <w:t>Dickason v Dickason</w:t>
      </w:r>
      <w:r w:rsidR="007D5AB8" w:rsidRPr="007D5AB8">
        <w:rPr>
          <w:rFonts w:ascii="Arial" w:hAnsi="Arial" w:cs="Arial"/>
          <w:sz w:val="20"/>
        </w:rPr>
        <w:t xml:space="preserve"> (1913) CLR 50, and </w:t>
      </w:r>
      <w:r w:rsidR="007D5AB8" w:rsidRPr="007D5AB8">
        <w:rPr>
          <w:rFonts w:ascii="Arial" w:hAnsi="Arial" w:cs="Arial"/>
          <w:i/>
          <w:sz w:val="20"/>
        </w:rPr>
        <w:t>Russell v Russell</w:t>
      </w:r>
      <w:r w:rsidR="007D5AB8" w:rsidRPr="007D5AB8">
        <w:rPr>
          <w:rFonts w:ascii="Arial" w:hAnsi="Arial" w:cs="Arial"/>
          <w:sz w:val="20"/>
        </w:rPr>
        <w:t xml:space="preserve"> (1976) 134 CL</w:t>
      </w:r>
      <w:r w:rsidR="007D5AB8">
        <w:rPr>
          <w:rFonts w:ascii="Arial" w:hAnsi="Arial" w:cs="Arial"/>
          <w:sz w:val="20"/>
        </w:rPr>
        <w:t>R 495.”</w:t>
      </w:r>
    </w:p>
    <w:p w14:paraId="14664745" w14:textId="77777777" w:rsidR="008C5C7B" w:rsidRDefault="008C5C7B" w:rsidP="001E79F7">
      <w:pPr>
        <w:jc w:val="both"/>
        <w:rPr>
          <w:rFonts w:ascii="Arial" w:hAnsi="Arial" w:cs="Arial"/>
          <w:sz w:val="20"/>
        </w:rPr>
      </w:pPr>
    </w:p>
    <w:p w14:paraId="7C3987BB" w14:textId="4A731700" w:rsidR="00BE1AD5" w:rsidRDefault="00C70A3E" w:rsidP="007A4D20">
      <w:pPr>
        <w:jc w:val="both"/>
        <w:rPr>
          <w:rFonts w:ascii="Arial" w:hAnsi="Arial" w:cs="Arial"/>
          <w:sz w:val="20"/>
        </w:rPr>
      </w:pPr>
      <w:r>
        <w:rPr>
          <w:rFonts w:ascii="Arial" w:hAnsi="Arial" w:cs="Arial"/>
          <w:sz w:val="20"/>
        </w:rPr>
        <w:t>T</w:t>
      </w:r>
      <w:r w:rsidR="00793910">
        <w:rPr>
          <w:rFonts w:ascii="Arial" w:hAnsi="Arial" w:cs="Arial"/>
          <w:sz w:val="20"/>
        </w:rPr>
        <w:t xml:space="preserve">he </w:t>
      </w:r>
      <w:r w:rsidR="0018039F">
        <w:rPr>
          <w:rFonts w:ascii="Arial" w:hAnsi="Arial" w:cs="Arial"/>
          <w:sz w:val="20"/>
        </w:rPr>
        <w:t>superior courts ha</w:t>
      </w:r>
      <w:r w:rsidR="00C353D1">
        <w:rPr>
          <w:rFonts w:ascii="Arial" w:hAnsi="Arial" w:cs="Arial"/>
          <w:sz w:val="20"/>
        </w:rPr>
        <w:t>ve</w:t>
      </w:r>
      <w:r w:rsidR="0018039F">
        <w:rPr>
          <w:rFonts w:ascii="Arial" w:hAnsi="Arial" w:cs="Arial"/>
          <w:sz w:val="20"/>
        </w:rPr>
        <w:t xml:space="preserve"> an inherent power </w:t>
      </w:r>
      <w:r>
        <w:rPr>
          <w:rFonts w:ascii="Arial" w:hAnsi="Arial" w:cs="Arial"/>
          <w:sz w:val="20"/>
        </w:rPr>
        <w:t xml:space="preserve">at common law </w:t>
      </w:r>
      <w:r w:rsidR="0018039F">
        <w:rPr>
          <w:rFonts w:ascii="Arial" w:hAnsi="Arial" w:cs="Arial"/>
          <w:sz w:val="20"/>
        </w:rPr>
        <w:t>to make suppression orders but in the absence of express statutory power inferi</w:t>
      </w:r>
      <w:r w:rsidR="000B752E">
        <w:rPr>
          <w:rFonts w:ascii="Arial" w:hAnsi="Arial" w:cs="Arial"/>
          <w:sz w:val="20"/>
        </w:rPr>
        <w:t>or courts or tribunals d</w:t>
      </w:r>
      <w:r w:rsidR="00C353D1">
        <w:rPr>
          <w:rFonts w:ascii="Arial" w:hAnsi="Arial" w:cs="Arial"/>
          <w:sz w:val="20"/>
        </w:rPr>
        <w:t>o</w:t>
      </w:r>
      <w:r w:rsidR="000B752E">
        <w:rPr>
          <w:rFonts w:ascii="Arial" w:hAnsi="Arial" w:cs="Arial"/>
          <w:sz w:val="20"/>
        </w:rPr>
        <w:t xml:space="preserve"> not: </w:t>
      </w:r>
      <w:r w:rsidR="000B752E" w:rsidRPr="00510651">
        <w:rPr>
          <w:rFonts w:ascii="Arial" w:hAnsi="Arial" w:cs="Arial"/>
          <w:i/>
          <w:sz w:val="20"/>
        </w:rPr>
        <w:t>Herald &amp; Weekly Times Ltd v Medical Practitioners Board</w:t>
      </w:r>
      <w:r w:rsidR="000B752E">
        <w:rPr>
          <w:rFonts w:ascii="Arial" w:hAnsi="Arial" w:cs="Arial"/>
          <w:i/>
          <w:sz w:val="20"/>
        </w:rPr>
        <w:t xml:space="preserve"> of Victoria</w:t>
      </w:r>
      <w:r w:rsidR="000B752E">
        <w:rPr>
          <w:rFonts w:ascii="Arial" w:hAnsi="Arial" w:cs="Arial"/>
          <w:sz w:val="20"/>
        </w:rPr>
        <w:t xml:space="preserve"> [1999] 1 VR 267 at 278-292</w:t>
      </w:r>
      <w:r w:rsidR="0042742F">
        <w:rPr>
          <w:rFonts w:ascii="Arial" w:hAnsi="Arial" w:cs="Arial"/>
          <w:sz w:val="20"/>
        </w:rPr>
        <w:t xml:space="preserve"> per </w:t>
      </w:r>
      <w:proofErr w:type="spellStart"/>
      <w:r w:rsidR="0042742F">
        <w:rPr>
          <w:rFonts w:ascii="Arial" w:hAnsi="Arial" w:cs="Arial"/>
          <w:sz w:val="20"/>
        </w:rPr>
        <w:t>Hedigan</w:t>
      </w:r>
      <w:proofErr w:type="spellEnd"/>
      <w:r w:rsidR="0042742F">
        <w:rPr>
          <w:rFonts w:ascii="Arial" w:hAnsi="Arial" w:cs="Arial"/>
          <w:sz w:val="20"/>
        </w:rPr>
        <w:t xml:space="preserve"> J.</w:t>
      </w:r>
      <w:r w:rsidR="00793910">
        <w:rPr>
          <w:rFonts w:ascii="Arial" w:hAnsi="Arial" w:cs="Arial"/>
          <w:sz w:val="20"/>
        </w:rPr>
        <w:t xml:space="preserve">  </w:t>
      </w:r>
      <w:r w:rsidR="003F02FB">
        <w:rPr>
          <w:rFonts w:ascii="Arial" w:hAnsi="Arial" w:cs="Arial"/>
          <w:sz w:val="20"/>
        </w:rPr>
        <w:t>T</w:t>
      </w:r>
      <w:r w:rsidR="002D0524">
        <w:rPr>
          <w:rFonts w:ascii="Arial" w:hAnsi="Arial" w:cs="Arial"/>
          <w:sz w:val="20"/>
        </w:rPr>
        <w:t xml:space="preserve">he power of the Supreme Court </w:t>
      </w:r>
      <w:r w:rsidR="00BE1AD5">
        <w:rPr>
          <w:rFonts w:ascii="Arial" w:hAnsi="Arial" w:cs="Arial"/>
          <w:sz w:val="20"/>
        </w:rPr>
        <w:t xml:space="preserve">to make suppression orders under ss.18-19 of the </w:t>
      </w:r>
      <w:r w:rsidR="00BE1AD5" w:rsidRPr="00AE0485">
        <w:rPr>
          <w:rFonts w:ascii="Arial" w:hAnsi="Arial" w:cs="Arial"/>
          <w:i/>
          <w:iCs/>
          <w:sz w:val="20"/>
        </w:rPr>
        <w:t>Supreme Court Act 1986</w:t>
      </w:r>
      <w:r w:rsidR="00BE1AD5">
        <w:rPr>
          <w:rFonts w:ascii="Arial" w:hAnsi="Arial" w:cs="Arial"/>
          <w:i/>
          <w:iCs/>
          <w:sz w:val="20"/>
        </w:rPr>
        <w:t xml:space="preserve"> </w:t>
      </w:r>
      <w:r w:rsidR="00BE1AD5" w:rsidRPr="00BE1AD5">
        <w:rPr>
          <w:rFonts w:ascii="Arial" w:hAnsi="Arial" w:cs="Arial"/>
          <w:sz w:val="20"/>
        </w:rPr>
        <w:t>[</w:t>
      </w:r>
      <w:r w:rsidR="00BE1AD5">
        <w:rPr>
          <w:rFonts w:ascii="Arial" w:hAnsi="Arial" w:cs="Arial"/>
          <w:sz w:val="20"/>
        </w:rPr>
        <w:t xml:space="preserve">now replaced by s.17 of the OCA] is illustrated by the case of </w:t>
      </w:r>
      <w:r w:rsidR="00BE1AD5" w:rsidRPr="006E5411">
        <w:rPr>
          <w:rFonts w:ascii="Arial" w:hAnsi="Arial" w:cs="Arial"/>
          <w:i/>
          <w:sz w:val="20"/>
        </w:rPr>
        <w:t>R v SJK &amp; GAS</w:t>
      </w:r>
      <w:r w:rsidR="00BE1AD5">
        <w:rPr>
          <w:rFonts w:ascii="Arial" w:hAnsi="Arial" w:cs="Arial"/>
          <w:sz w:val="20"/>
        </w:rPr>
        <w:t xml:space="preserve"> [2002] VSC 94.  Bongiorno J had sentenced each of the child accused to a term of imprisonment of 6 years with a non-parole period of 4 years for manslaughter of a frail 73 year old woman.  At the commencement of the plea on 11/10/2001 His Honour had made an order pursuant to the inherent jurisdiction of the Supreme Court and ss.18-19 of the </w:t>
      </w:r>
      <w:r w:rsidR="00BE1AD5" w:rsidRPr="00AE0485">
        <w:rPr>
          <w:rFonts w:ascii="Arial" w:hAnsi="Arial" w:cs="Arial"/>
          <w:i/>
          <w:iCs/>
          <w:sz w:val="20"/>
        </w:rPr>
        <w:t>Supreme Court Act 1986</w:t>
      </w:r>
      <w:r w:rsidR="00BE1AD5" w:rsidRPr="006E5411">
        <w:rPr>
          <w:rFonts w:ascii="Arial" w:hAnsi="Arial" w:cs="Arial"/>
          <w:sz w:val="20"/>
        </w:rPr>
        <w:t xml:space="preserve"> </w:t>
      </w:r>
      <w:r w:rsidR="00BE1AD5">
        <w:rPr>
          <w:rFonts w:ascii="Arial" w:hAnsi="Arial" w:cs="Arial"/>
          <w:sz w:val="20"/>
        </w:rPr>
        <w:t>that “any report of a proceeding in this Court that contains any particulars likely to lead to the identification of SJK and GAS is prohibited until further order”.  On a Crown appeal the Court of Appeal increased the sentences to 9 years with a non-parole period of 6</w:t>
      </w:r>
      <w:r w:rsidR="003F02FB">
        <w:rPr>
          <w:rFonts w:ascii="Arial" w:hAnsi="Arial" w:cs="Arial"/>
          <w:sz w:val="20"/>
        </w:rPr>
        <w:t> </w:t>
      </w:r>
      <w:r w:rsidR="00BE1AD5">
        <w:rPr>
          <w:rFonts w:ascii="Arial" w:hAnsi="Arial" w:cs="Arial"/>
          <w:sz w:val="20"/>
        </w:rPr>
        <w:t xml:space="preserve">years: see </w:t>
      </w:r>
      <w:r w:rsidR="00BE1AD5" w:rsidRPr="000C7D5F">
        <w:rPr>
          <w:rFonts w:ascii="Arial" w:hAnsi="Arial" w:cs="Arial"/>
          <w:i/>
          <w:sz w:val="20"/>
        </w:rPr>
        <w:t>DPP v SKJ &amp; GAS</w:t>
      </w:r>
      <w:r w:rsidR="00BE1AD5">
        <w:rPr>
          <w:rFonts w:ascii="Arial" w:hAnsi="Arial" w:cs="Arial"/>
          <w:sz w:val="20"/>
        </w:rPr>
        <w:t xml:space="preserve"> [2002] VSCA 131.  The Court of Appeal did not interfere with the suppression order.  On 15/08/2006 solicitors for the Herald and Weekly Times Ltd, being apparently unaware of the existence of the suppression order of Bongiorno J, applied to the President of the Children’s Court pursuant to s.26(1)(a) of the CYPA [now s.534(1)(a) of the CYFA] for permission to publish the names and photographs of SJK &amp; GAS.  Judge Grant dismissed the application, observing, </w:t>
      </w:r>
      <w:r w:rsidR="00BE1AD5" w:rsidRPr="007474F2">
        <w:rPr>
          <w:rFonts w:ascii="Arial" w:hAnsi="Arial" w:cs="Arial"/>
          <w:i/>
          <w:sz w:val="20"/>
        </w:rPr>
        <w:t>inter alia</w:t>
      </w:r>
      <w:r w:rsidR="00BE1AD5">
        <w:rPr>
          <w:rFonts w:ascii="Arial" w:hAnsi="Arial" w:cs="Arial"/>
          <w:sz w:val="20"/>
        </w:rPr>
        <w:t xml:space="preserve">, that he would not consider the application because of the suppression order made by Bongiorno J.  On 07/09/2006 solicitors on behalf of the Herald and Weekly Times Ltd filed a summons in the Supreme Court seeking an order that the suppression order made by Bongiorno J on 11/10/2001 be vacated.  Gillard J held that the suppression order should not be discharged: see </w:t>
      </w:r>
      <w:r w:rsidR="00BE1AD5" w:rsidRPr="006E5411">
        <w:rPr>
          <w:rFonts w:ascii="Arial" w:hAnsi="Arial" w:cs="Arial"/>
          <w:i/>
          <w:sz w:val="20"/>
        </w:rPr>
        <w:t>R v SJK &amp; GAS</w:t>
      </w:r>
      <w:r w:rsidR="00BE1AD5">
        <w:rPr>
          <w:rFonts w:ascii="Arial" w:hAnsi="Arial" w:cs="Arial"/>
          <w:sz w:val="20"/>
        </w:rPr>
        <w:t xml:space="preserve"> [2006] VSC 335.  In the course of his decision Gillard J held-</w:t>
      </w:r>
    </w:p>
    <w:p w14:paraId="4618FE1B" w14:textId="77777777" w:rsidR="00BE1AD5" w:rsidRDefault="00BE1AD5" w:rsidP="00BE1AD5">
      <w:pPr>
        <w:spacing w:before="60"/>
        <w:ind w:left="720" w:hanging="720"/>
        <w:jc w:val="both"/>
        <w:rPr>
          <w:rFonts w:ascii="Arial" w:hAnsi="Arial" w:cs="Arial"/>
          <w:sz w:val="20"/>
        </w:rPr>
      </w:pPr>
      <w:r>
        <w:rPr>
          <w:rFonts w:ascii="Arial" w:hAnsi="Arial" w:cs="Arial"/>
          <w:sz w:val="20"/>
        </w:rPr>
        <w:t>(i)</w:t>
      </w:r>
      <w:r>
        <w:rPr>
          <w:rFonts w:ascii="Arial" w:hAnsi="Arial" w:cs="Arial"/>
          <w:sz w:val="20"/>
        </w:rPr>
        <w:tab/>
        <w:t>{At [32]-[34]} Section 26 of the CYPA applies to criminal proceedings which have been heard and finalized in the Supreme Court {</w:t>
      </w:r>
      <w:r w:rsidRPr="00C94638">
        <w:rPr>
          <w:rFonts w:ascii="Arial" w:hAnsi="Arial" w:cs="Arial"/>
          <w:i/>
          <w:sz w:val="20"/>
        </w:rPr>
        <w:t>DPP v R &amp; T</w:t>
      </w:r>
      <w:r>
        <w:rPr>
          <w:rFonts w:ascii="Arial" w:hAnsi="Arial" w:cs="Arial"/>
          <w:i/>
          <w:sz w:val="20"/>
        </w:rPr>
        <w:t xml:space="preserve"> </w:t>
      </w:r>
      <w:r w:rsidRPr="003455A8">
        <w:rPr>
          <w:rFonts w:ascii="Arial" w:hAnsi="Arial" w:cs="Arial"/>
          <w:sz w:val="20"/>
        </w:rPr>
        <w:t>[</w:t>
      </w:r>
      <w:r>
        <w:rPr>
          <w:rFonts w:ascii="Arial" w:hAnsi="Arial" w:cs="Arial"/>
          <w:sz w:val="20"/>
        </w:rPr>
        <w:t>Supreme Court of Victoria-Cummins J, unreported, 15/08/1995] referred to}.</w:t>
      </w:r>
    </w:p>
    <w:p w14:paraId="47D91E4F" w14:textId="77777777" w:rsidR="00BE1AD5" w:rsidRDefault="00BE1AD5" w:rsidP="00BE1AD5">
      <w:pPr>
        <w:spacing w:before="60"/>
        <w:ind w:left="720" w:hanging="720"/>
        <w:jc w:val="both"/>
        <w:rPr>
          <w:rFonts w:ascii="Arial" w:hAnsi="Arial" w:cs="Arial"/>
          <w:sz w:val="20"/>
        </w:rPr>
      </w:pPr>
      <w:r>
        <w:rPr>
          <w:rFonts w:ascii="Arial" w:hAnsi="Arial" w:cs="Arial"/>
          <w:sz w:val="20"/>
        </w:rPr>
        <w:t>(ii)</w:t>
      </w:r>
      <w:r>
        <w:rPr>
          <w:rFonts w:ascii="Arial" w:hAnsi="Arial" w:cs="Arial"/>
          <w:sz w:val="20"/>
        </w:rPr>
        <w:tab/>
        <w:t>{At [35]-[37]} Section 26 of the CYPA does not oust the jurisdiction of the Supreme Court founded on both ss.18 &amp; 19 of the</w:t>
      </w:r>
      <w:r w:rsidRPr="00AE0485">
        <w:rPr>
          <w:rFonts w:ascii="Arial" w:hAnsi="Arial" w:cs="Arial"/>
          <w:i/>
          <w:iCs/>
          <w:sz w:val="20"/>
        </w:rPr>
        <w:t xml:space="preserve"> Supreme Court Act 1986</w:t>
      </w:r>
      <w:r>
        <w:rPr>
          <w:rFonts w:ascii="Arial" w:hAnsi="Arial" w:cs="Arial"/>
          <w:sz w:val="20"/>
        </w:rPr>
        <w:t xml:space="preserve"> and its inherent jurisdiction to make a suppression order.  The jurisdiction vested in the President of the Children’s Court by s.26 of the CYPA is a concurrent jurisdiction, it does not “cover the field”.</w:t>
      </w:r>
    </w:p>
    <w:p w14:paraId="6F6CA7FE" w14:textId="77777777" w:rsidR="00BE1AD5" w:rsidRDefault="00BE1AD5" w:rsidP="00BE1AD5">
      <w:pPr>
        <w:spacing w:before="60"/>
        <w:ind w:left="720" w:hanging="720"/>
        <w:jc w:val="both"/>
        <w:rPr>
          <w:rFonts w:ascii="Arial" w:hAnsi="Arial" w:cs="Arial"/>
          <w:sz w:val="20"/>
        </w:rPr>
      </w:pPr>
      <w:r>
        <w:rPr>
          <w:rFonts w:ascii="Arial" w:hAnsi="Arial" w:cs="Arial"/>
          <w:sz w:val="20"/>
        </w:rPr>
        <w:t>(iii)</w:t>
      </w:r>
      <w:r>
        <w:rPr>
          <w:rFonts w:ascii="Arial" w:hAnsi="Arial" w:cs="Arial"/>
          <w:sz w:val="20"/>
        </w:rPr>
        <w:tab/>
        <w:t xml:space="preserve">{At [39]-[43]} The principle protecting a young person from being identified in a criminal proceeding is well established and applies throughout the common law world.  The observations of Rehnquist J in </w:t>
      </w:r>
      <w:r w:rsidRPr="00B27FAA">
        <w:rPr>
          <w:rFonts w:ascii="Arial" w:hAnsi="Arial" w:cs="Arial"/>
          <w:i/>
          <w:sz w:val="20"/>
        </w:rPr>
        <w:t>Smith v Daily May Publishing Company</w:t>
      </w:r>
      <w:r>
        <w:rPr>
          <w:rFonts w:ascii="Arial" w:hAnsi="Arial" w:cs="Arial"/>
          <w:sz w:val="20"/>
        </w:rPr>
        <w:t xml:space="preserve"> (1979) US 97 at 106-108 apply with equal force in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w:t>
      </w:r>
    </w:p>
    <w:p w14:paraId="3675BFAC"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“While we have shown a special solicitude for freedom of speech and of the press, we have eschewed absolutes in favour of a more delicate calculus that carefully weighs the conflicting interests to determine which demands the greater protection under the particular circumstances presented.”</w:t>
      </w:r>
    </w:p>
    <w:p w14:paraId="5E4701D3"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 xml:space="preserve">“It is a hallmark of our juvenile justice system in the </w:t>
      </w:r>
      <w:smartTag w:uri="urn:schemas-microsoft-com:office:smarttags" w:element="place">
        <w:smartTag w:uri="urn:schemas-microsoft-com:office:smarttags" w:element="country-region">
          <w:r>
            <w:rPr>
              <w:rFonts w:ascii="Arial" w:hAnsi="Arial" w:cs="Arial"/>
              <w:sz w:val="20"/>
            </w:rPr>
            <w:t>United States</w:t>
          </w:r>
        </w:smartTag>
      </w:smartTag>
      <w:r>
        <w:rPr>
          <w:rFonts w:ascii="Arial" w:hAnsi="Arial" w:cs="Arial"/>
          <w:sz w:val="20"/>
        </w:rPr>
        <w:t xml:space="preserve"> that virtually from its inception at the end of the last century its proceedings have been conducted outside of the public’s full gaze and the youths brought before our juvenile courts have been shielded from publicity.”</w:t>
      </w:r>
    </w:p>
    <w:p w14:paraId="651DDB69"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“Publication of the names of juvenile offenders may seriously impair the rehabilitative goals of the juvenile justice system and handicap the youths’ prospects for adjustment in society and acceptance by the public.”</w:t>
      </w:r>
    </w:p>
    <w:p w14:paraId="45772A3B"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“By contrast, a prohibition against publication of the names of youthful offenders represents only a minimal interference with freedom of the press.”</w:t>
      </w:r>
    </w:p>
    <w:p w14:paraId="079BE02B" w14:textId="77777777" w:rsidR="00BE1AD5" w:rsidRDefault="00BE1AD5" w:rsidP="00BE1AD5">
      <w:pPr>
        <w:spacing w:before="60"/>
        <w:ind w:left="720" w:hanging="720"/>
        <w:jc w:val="both"/>
        <w:rPr>
          <w:rFonts w:ascii="Arial" w:hAnsi="Arial" w:cs="Arial"/>
          <w:sz w:val="20"/>
        </w:rPr>
      </w:pPr>
      <w:r>
        <w:rPr>
          <w:rFonts w:ascii="Arial" w:hAnsi="Arial" w:cs="Arial"/>
          <w:sz w:val="20"/>
        </w:rPr>
        <w:lastRenderedPageBreak/>
        <w:t>(iv)</w:t>
      </w:r>
      <w:r>
        <w:rPr>
          <w:rFonts w:ascii="Arial" w:hAnsi="Arial" w:cs="Arial"/>
          <w:sz w:val="20"/>
        </w:rPr>
        <w:tab/>
        <w:t>{At [46]} If the Supreme Court order was discharged, the applicant would still have to make an application to the President of the Children’s Court for permission under s.26 to identify the prisoners and publish a photograph of them.</w:t>
      </w:r>
    </w:p>
    <w:p w14:paraId="01F39715" w14:textId="77777777" w:rsidR="00BE1AD5" w:rsidRDefault="00BE1AD5" w:rsidP="00BE1AD5">
      <w:pPr>
        <w:spacing w:before="60"/>
        <w:ind w:left="720" w:hanging="720"/>
        <w:jc w:val="both"/>
        <w:rPr>
          <w:rFonts w:ascii="Arial" w:hAnsi="Arial" w:cs="Arial"/>
          <w:sz w:val="20"/>
        </w:rPr>
      </w:pPr>
      <w:r>
        <w:rPr>
          <w:rFonts w:ascii="Arial" w:hAnsi="Arial" w:cs="Arial"/>
          <w:sz w:val="20"/>
        </w:rPr>
        <w:t>(v)</w:t>
      </w:r>
      <w:r>
        <w:rPr>
          <w:rFonts w:ascii="Arial" w:hAnsi="Arial" w:cs="Arial"/>
          <w:sz w:val="20"/>
        </w:rPr>
        <w:tab/>
        <w:t>{At [49]} Bongiorno J thought it appropriate that a suppression order ought to be made.  When the Court of Appeal increased the sentence, rehabilitation was a factor relevant to the sentencing exercise.  The Supreme Court should continue to have control over the question of publication of the names of the prisoners.  When each sentence has been fully completed [i.e. not just the non-parole period], a different view may be taken but whilst the sentences are still operating it is inappropriate to remove the control of the Supreme Court over the question of publication of the identity of each prisoner.</w:t>
      </w:r>
    </w:p>
    <w:p w14:paraId="53F5C843" w14:textId="77777777" w:rsidR="00BE1AD5" w:rsidRDefault="00BE1AD5" w:rsidP="00BE1AD5">
      <w:pPr>
        <w:spacing w:before="120"/>
        <w:jc w:val="both"/>
        <w:rPr>
          <w:rFonts w:ascii="Arial" w:hAnsi="Arial" w:cs="Arial"/>
          <w:sz w:val="20"/>
        </w:rPr>
      </w:pPr>
      <w:r w:rsidRPr="007D0039">
        <w:rPr>
          <w:rFonts w:ascii="Arial" w:hAnsi="Arial" w:cs="Arial"/>
          <w:color w:val="000000"/>
          <w:sz w:val="20"/>
        </w:rPr>
        <w:t>As at September 2011, the suppression order made by Bongiorno J in this case remain</w:t>
      </w:r>
      <w:r>
        <w:rPr>
          <w:rFonts w:ascii="Arial" w:hAnsi="Arial" w:cs="Arial"/>
          <w:color w:val="000000"/>
          <w:sz w:val="20"/>
        </w:rPr>
        <w:t>ed</w:t>
      </w:r>
      <w:r w:rsidRPr="007D0039">
        <w:rPr>
          <w:rFonts w:ascii="Arial" w:hAnsi="Arial" w:cs="Arial"/>
          <w:color w:val="000000"/>
          <w:sz w:val="20"/>
        </w:rPr>
        <w:t xml:space="preserve"> on foot: see </w:t>
      </w:r>
      <w:r w:rsidRPr="007D0039">
        <w:rPr>
          <w:rFonts w:ascii="Arial" w:hAnsi="Arial" w:cs="Arial"/>
          <w:i/>
          <w:color w:val="000000"/>
          <w:sz w:val="20"/>
        </w:rPr>
        <w:t>R v SJK &amp; GAS</w:t>
      </w:r>
      <w:r w:rsidRPr="007D0039">
        <w:rPr>
          <w:rFonts w:ascii="Arial" w:hAnsi="Arial" w:cs="Arial"/>
          <w:color w:val="000000"/>
          <w:sz w:val="20"/>
        </w:rPr>
        <w:t xml:space="preserve"> [2011] VSC 431.</w:t>
      </w:r>
    </w:p>
    <w:p w14:paraId="1710A4C2" w14:textId="03811070" w:rsidR="00BE1AD5" w:rsidRPr="00E86FEF" w:rsidRDefault="00BE1AD5" w:rsidP="00BE1AD5">
      <w:pPr>
        <w:jc w:val="both"/>
        <w:rPr>
          <w:rFonts w:ascii="Arial" w:hAnsi="Arial" w:cs="Arial"/>
          <w:sz w:val="20"/>
          <w:szCs w:val="20"/>
        </w:rPr>
      </w:pPr>
    </w:p>
    <w:p w14:paraId="7C817B3F" w14:textId="5B300DB8" w:rsidR="00F36804" w:rsidRDefault="00A851F4" w:rsidP="001E79F7">
      <w:pPr>
        <w:jc w:val="both"/>
        <w:rPr>
          <w:rFonts w:ascii="Arial" w:hAnsi="Arial" w:cs="Arial"/>
          <w:sz w:val="20"/>
        </w:rPr>
      </w:pPr>
      <w:r>
        <w:rPr>
          <w:rFonts w:ascii="Arial" w:hAnsi="Arial" w:cs="Arial"/>
          <w:sz w:val="20"/>
        </w:rPr>
        <w:t>Any</w:t>
      </w:r>
      <w:r w:rsidR="00793910">
        <w:rPr>
          <w:rFonts w:ascii="Arial" w:hAnsi="Arial" w:cs="Arial"/>
          <w:sz w:val="20"/>
        </w:rPr>
        <w:t xml:space="preserve"> common law power </w:t>
      </w:r>
      <w:r w:rsidR="00BE1AD5">
        <w:rPr>
          <w:rFonts w:ascii="Arial" w:hAnsi="Arial" w:cs="Arial"/>
          <w:sz w:val="20"/>
        </w:rPr>
        <w:t xml:space="preserve">of courts </w:t>
      </w:r>
      <w:r w:rsidR="00700BCA">
        <w:rPr>
          <w:rFonts w:ascii="Arial" w:hAnsi="Arial" w:cs="Arial"/>
          <w:sz w:val="20"/>
        </w:rPr>
        <w:t>o</w:t>
      </w:r>
      <w:r w:rsidR="00B61BB8">
        <w:rPr>
          <w:rFonts w:ascii="Arial" w:hAnsi="Arial" w:cs="Arial"/>
          <w:sz w:val="20"/>
        </w:rPr>
        <w:t xml:space="preserve">r tribunals </w:t>
      </w:r>
      <w:r w:rsidR="00A5356E">
        <w:rPr>
          <w:rFonts w:ascii="Arial" w:hAnsi="Arial" w:cs="Arial"/>
          <w:sz w:val="20"/>
        </w:rPr>
        <w:t xml:space="preserve">other than the Supreme Court </w:t>
      </w:r>
      <w:r w:rsidR="00BE1AD5">
        <w:rPr>
          <w:rFonts w:ascii="Arial" w:hAnsi="Arial" w:cs="Arial"/>
          <w:sz w:val="20"/>
        </w:rPr>
        <w:t xml:space="preserve">to make suppression orders </w:t>
      </w:r>
      <w:r w:rsidR="00793910">
        <w:rPr>
          <w:rFonts w:ascii="Arial" w:hAnsi="Arial" w:cs="Arial"/>
          <w:sz w:val="20"/>
        </w:rPr>
        <w:t xml:space="preserve">has been </w:t>
      </w:r>
      <w:r w:rsidR="00D8096D">
        <w:rPr>
          <w:rFonts w:ascii="Arial" w:hAnsi="Arial" w:cs="Arial"/>
          <w:sz w:val="20"/>
        </w:rPr>
        <w:t>“</w:t>
      </w:r>
      <w:r w:rsidR="00793910">
        <w:rPr>
          <w:rFonts w:ascii="Arial" w:hAnsi="Arial" w:cs="Arial"/>
          <w:sz w:val="20"/>
        </w:rPr>
        <w:t>abrogated</w:t>
      </w:r>
      <w:r w:rsidR="00D8096D">
        <w:rPr>
          <w:rFonts w:ascii="Arial" w:hAnsi="Arial" w:cs="Arial"/>
          <w:sz w:val="20"/>
        </w:rPr>
        <w:t>”</w:t>
      </w:r>
      <w:r w:rsidR="00793910">
        <w:rPr>
          <w:rFonts w:ascii="Arial" w:hAnsi="Arial" w:cs="Arial"/>
          <w:sz w:val="20"/>
        </w:rPr>
        <w:t xml:space="preserve"> by s.5(</w:t>
      </w:r>
      <w:r w:rsidR="005460C0">
        <w:rPr>
          <w:rFonts w:ascii="Arial" w:hAnsi="Arial" w:cs="Arial"/>
          <w:sz w:val="20"/>
        </w:rPr>
        <w:t>2</w:t>
      </w:r>
      <w:r w:rsidR="003C5289">
        <w:rPr>
          <w:rFonts w:ascii="Arial" w:hAnsi="Arial" w:cs="Arial"/>
          <w:sz w:val="20"/>
        </w:rPr>
        <w:t>) of the</w:t>
      </w:r>
      <w:r w:rsidR="00BE1AD5">
        <w:rPr>
          <w:rFonts w:ascii="Arial" w:hAnsi="Arial" w:cs="Arial"/>
          <w:sz w:val="20"/>
        </w:rPr>
        <w:t xml:space="preserve"> </w:t>
      </w:r>
      <w:r w:rsidR="00640E33" w:rsidRPr="00AE0485">
        <w:rPr>
          <w:rFonts w:ascii="Arial" w:hAnsi="Arial" w:cs="Arial"/>
          <w:i/>
          <w:iCs/>
          <w:sz w:val="20"/>
        </w:rPr>
        <w:t>Open Courts Act 2013</w:t>
      </w:r>
      <w:r w:rsidR="007A4D20">
        <w:rPr>
          <w:rFonts w:ascii="Arial" w:hAnsi="Arial" w:cs="Arial"/>
          <w:i/>
          <w:iCs/>
          <w:sz w:val="20"/>
        </w:rPr>
        <w:t xml:space="preserve"> </w:t>
      </w:r>
      <w:r w:rsidR="007A4D20" w:rsidRPr="007A4D20">
        <w:rPr>
          <w:rFonts w:ascii="Arial" w:hAnsi="Arial" w:cs="Arial"/>
          <w:sz w:val="20"/>
        </w:rPr>
        <w:t>[‘OCA’]</w:t>
      </w:r>
      <w:r w:rsidR="002715BF">
        <w:rPr>
          <w:rFonts w:ascii="Arial" w:hAnsi="Arial" w:cs="Arial"/>
          <w:sz w:val="20"/>
        </w:rPr>
        <w:t xml:space="preserve">.  </w:t>
      </w:r>
      <w:r w:rsidR="00935AC0">
        <w:rPr>
          <w:rFonts w:ascii="Arial" w:hAnsi="Arial" w:cs="Arial"/>
          <w:sz w:val="20"/>
        </w:rPr>
        <w:t>Likewise</w:t>
      </w:r>
      <w:r w:rsidR="00C02A48">
        <w:rPr>
          <w:rFonts w:ascii="Arial" w:hAnsi="Arial" w:cs="Arial"/>
          <w:sz w:val="20"/>
        </w:rPr>
        <w:t>,</w:t>
      </w:r>
      <w:r w:rsidR="00935AC0">
        <w:rPr>
          <w:rFonts w:ascii="Arial" w:hAnsi="Arial" w:cs="Arial"/>
          <w:sz w:val="20"/>
        </w:rPr>
        <w:t xml:space="preserve"> s.5(3) provides that </w:t>
      </w:r>
      <w:r w:rsidR="00A24CD0">
        <w:rPr>
          <w:rFonts w:ascii="Arial" w:hAnsi="Arial" w:cs="Arial"/>
          <w:sz w:val="20"/>
        </w:rPr>
        <w:t>“A</w:t>
      </w:r>
      <w:r w:rsidR="007A4D20">
        <w:rPr>
          <w:rFonts w:ascii="Arial" w:hAnsi="Arial" w:cs="Arial"/>
          <w:sz w:val="20"/>
        </w:rPr>
        <w:t> </w:t>
      </w:r>
      <w:r w:rsidR="00A24CD0">
        <w:rPr>
          <w:rFonts w:ascii="Arial" w:hAnsi="Arial" w:cs="Arial"/>
          <w:sz w:val="20"/>
        </w:rPr>
        <w:t>court or tribunal [other than the Supreme Court] has no implied jurisdiction to make an order prohibitin</w:t>
      </w:r>
      <w:r w:rsidR="00D8096D">
        <w:rPr>
          <w:rFonts w:ascii="Arial" w:hAnsi="Arial" w:cs="Arial"/>
          <w:sz w:val="20"/>
        </w:rPr>
        <w:t>g or restricting the publication of information in connection with any proceeding.”</w:t>
      </w:r>
    </w:p>
    <w:p w14:paraId="7D4AB58F" w14:textId="1373D9A5" w:rsidR="00F36804" w:rsidRDefault="002D4403" w:rsidP="002D4403">
      <w:pPr>
        <w:spacing w:before="60"/>
        <w:jc w:val="both"/>
        <w:rPr>
          <w:rFonts w:ascii="Arial" w:hAnsi="Arial" w:cs="Arial"/>
          <w:sz w:val="20"/>
        </w:rPr>
      </w:pPr>
      <w:r>
        <w:rPr>
          <w:rFonts w:ascii="Arial" w:hAnsi="Arial" w:cs="Arial"/>
          <w:sz w:val="20"/>
        </w:rPr>
        <w:t xml:space="preserve">In </w:t>
      </w:r>
      <w:r w:rsidR="00F36804" w:rsidRPr="002D4403">
        <w:rPr>
          <w:rFonts w:ascii="Arial" w:hAnsi="Arial" w:cs="Arial"/>
          <w:i/>
          <w:iCs/>
          <w:sz w:val="20"/>
          <w:szCs w:val="20"/>
        </w:rPr>
        <w:t xml:space="preserve">DPP v </w:t>
      </w:r>
      <w:proofErr w:type="spellStart"/>
      <w:r w:rsidR="00F36804" w:rsidRPr="002D4403">
        <w:rPr>
          <w:rFonts w:ascii="Arial" w:hAnsi="Arial" w:cs="Arial"/>
          <w:i/>
          <w:iCs/>
          <w:sz w:val="20"/>
          <w:szCs w:val="20"/>
        </w:rPr>
        <w:t>Tuteru</w:t>
      </w:r>
      <w:proofErr w:type="spellEnd"/>
      <w:r w:rsidR="00F36804" w:rsidRPr="002D4403">
        <w:rPr>
          <w:rFonts w:ascii="Arial" w:hAnsi="Arial" w:cs="Arial"/>
          <w:i/>
          <w:iCs/>
          <w:sz w:val="20"/>
          <w:szCs w:val="20"/>
        </w:rPr>
        <w:t xml:space="preserve"> (Application for suppression order)</w:t>
      </w:r>
      <w:r w:rsidR="00F36804" w:rsidRPr="002D4403">
        <w:rPr>
          <w:rFonts w:ascii="Arial" w:hAnsi="Arial" w:cs="Arial"/>
          <w:sz w:val="20"/>
          <w:szCs w:val="20"/>
        </w:rPr>
        <w:t xml:space="preserve"> [2023] VSC 241 </w:t>
      </w:r>
      <w:r w:rsidR="00062290">
        <w:rPr>
          <w:rFonts w:ascii="Arial" w:hAnsi="Arial" w:cs="Arial"/>
          <w:sz w:val="20"/>
          <w:szCs w:val="20"/>
        </w:rPr>
        <w:t xml:space="preserve">– in </w:t>
      </w:r>
      <w:r w:rsidR="005B5090">
        <w:rPr>
          <w:rFonts w:ascii="Arial" w:hAnsi="Arial" w:cs="Arial"/>
          <w:sz w:val="20"/>
          <w:szCs w:val="20"/>
        </w:rPr>
        <w:t xml:space="preserve">the course of </w:t>
      </w:r>
      <w:r w:rsidR="0073273F">
        <w:rPr>
          <w:rFonts w:ascii="Arial" w:hAnsi="Arial" w:cs="Arial"/>
          <w:sz w:val="20"/>
          <w:szCs w:val="20"/>
        </w:rPr>
        <w:t>dismiss</w:t>
      </w:r>
      <w:r w:rsidR="00062290">
        <w:rPr>
          <w:rFonts w:ascii="Arial" w:hAnsi="Arial" w:cs="Arial"/>
          <w:sz w:val="20"/>
          <w:szCs w:val="20"/>
        </w:rPr>
        <w:t xml:space="preserve">ing </w:t>
      </w:r>
      <w:r w:rsidR="00076C19">
        <w:rPr>
          <w:rFonts w:ascii="Arial" w:hAnsi="Arial" w:cs="Arial"/>
          <w:sz w:val="20"/>
          <w:szCs w:val="20"/>
        </w:rPr>
        <w:t xml:space="preserve">the application </w:t>
      </w:r>
      <w:r w:rsidR="005B5090">
        <w:rPr>
          <w:rFonts w:ascii="Arial" w:hAnsi="Arial" w:cs="Arial"/>
          <w:sz w:val="20"/>
          <w:szCs w:val="20"/>
        </w:rPr>
        <w:t>–</w:t>
      </w:r>
      <w:r w:rsidR="00076C19">
        <w:rPr>
          <w:rFonts w:ascii="Arial" w:hAnsi="Arial" w:cs="Arial"/>
          <w:sz w:val="20"/>
          <w:szCs w:val="20"/>
        </w:rPr>
        <w:t xml:space="preserve"> </w:t>
      </w:r>
      <w:r w:rsidR="00763D83">
        <w:rPr>
          <w:rFonts w:ascii="Arial" w:hAnsi="Arial" w:cs="Arial"/>
          <w:sz w:val="20"/>
          <w:szCs w:val="20"/>
        </w:rPr>
        <w:t>Forbes</w:t>
      </w:r>
      <w:r w:rsidR="005B5090">
        <w:rPr>
          <w:rFonts w:ascii="Arial" w:hAnsi="Arial" w:cs="Arial"/>
          <w:sz w:val="20"/>
          <w:szCs w:val="20"/>
        </w:rPr>
        <w:t xml:space="preserve"> </w:t>
      </w:r>
      <w:r w:rsidR="00763D83">
        <w:rPr>
          <w:rFonts w:ascii="Arial" w:hAnsi="Arial" w:cs="Arial"/>
          <w:sz w:val="20"/>
          <w:szCs w:val="20"/>
        </w:rPr>
        <w:t>J said</w:t>
      </w:r>
      <w:r w:rsidR="00062290">
        <w:rPr>
          <w:rFonts w:ascii="Arial" w:hAnsi="Arial" w:cs="Arial"/>
          <w:sz w:val="20"/>
          <w:szCs w:val="20"/>
        </w:rPr>
        <w:t xml:space="preserve"> </w:t>
      </w:r>
      <w:r w:rsidR="00062290" w:rsidRPr="002D4403">
        <w:rPr>
          <w:rFonts w:ascii="Arial" w:hAnsi="Arial" w:cs="Arial"/>
          <w:sz w:val="20"/>
          <w:szCs w:val="20"/>
        </w:rPr>
        <w:t>at [11]-[1</w:t>
      </w:r>
      <w:r w:rsidR="009B2B5A">
        <w:rPr>
          <w:rFonts w:ascii="Arial" w:hAnsi="Arial" w:cs="Arial"/>
          <w:sz w:val="20"/>
          <w:szCs w:val="20"/>
        </w:rPr>
        <w:t>3</w:t>
      </w:r>
      <w:r w:rsidR="00062290" w:rsidRPr="002D4403">
        <w:rPr>
          <w:rFonts w:ascii="Arial" w:hAnsi="Arial" w:cs="Arial"/>
          <w:sz w:val="20"/>
          <w:szCs w:val="20"/>
        </w:rPr>
        <w:t>]</w:t>
      </w:r>
      <w:r w:rsidR="00763D83">
        <w:rPr>
          <w:rFonts w:ascii="Arial" w:hAnsi="Arial" w:cs="Arial"/>
          <w:sz w:val="20"/>
          <w:szCs w:val="20"/>
        </w:rPr>
        <w:t>:</w:t>
      </w:r>
    </w:p>
    <w:p w14:paraId="4788C70A" w14:textId="5E6CD4F8" w:rsidR="005A7811" w:rsidRDefault="0033638D" w:rsidP="00D3315D">
      <w:pPr>
        <w:spacing w:before="60"/>
        <w:ind w:left="567" w:right="567"/>
        <w:jc w:val="both"/>
        <w:rPr>
          <w:rFonts w:ascii="Arial" w:hAnsi="Arial" w:cs="Arial"/>
          <w:sz w:val="20"/>
          <w:szCs w:val="20"/>
        </w:rPr>
      </w:pPr>
      <w:r>
        <w:rPr>
          <w:rFonts w:ascii="Arial" w:hAnsi="Arial" w:cs="Arial"/>
          <w:sz w:val="20"/>
        </w:rPr>
        <w:t xml:space="preserve">[11] </w:t>
      </w:r>
      <w:r w:rsidR="00D3315D">
        <w:rPr>
          <w:rFonts w:ascii="Arial" w:hAnsi="Arial" w:cs="Arial"/>
          <w:sz w:val="20"/>
        </w:rPr>
        <w:t>“</w:t>
      </w:r>
      <w:r w:rsidR="00D3315D" w:rsidRPr="00D3315D">
        <w:rPr>
          <w:rFonts w:ascii="Arial" w:hAnsi="Arial" w:cs="Arial"/>
          <w:sz w:val="20"/>
          <w:szCs w:val="20"/>
        </w:rPr>
        <w:t xml:space="preserve">The </w:t>
      </w:r>
      <w:r w:rsidR="00B568D9">
        <w:rPr>
          <w:rFonts w:ascii="Arial" w:hAnsi="Arial" w:cs="Arial"/>
          <w:sz w:val="20"/>
          <w:szCs w:val="20"/>
        </w:rPr>
        <w:t xml:space="preserve">[Supreme] </w:t>
      </w:r>
      <w:r w:rsidR="00D3315D" w:rsidRPr="00D3315D">
        <w:rPr>
          <w:rFonts w:ascii="Arial" w:hAnsi="Arial" w:cs="Arial"/>
          <w:sz w:val="20"/>
          <w:szCs w:val="20"/>
        </w:rPr>
        <w:t>Court has inherent power to make orders necessary for the fair trial of an accused</w:t>
      </w:r>
      <w:r w:rsidR="00D3315D">
        <w:rPr>
          <w:rFonts w:ascii="Arial" w:hAnsi="Arial" w:cs="Arial"/>
          <w:sz w:val="20"/>
          <w:szCs w:val="20"/>
        </w:rPr>
        <w:t xml:space="preserve">: </w:t>
      </w:r>
      <w:r w:rsidR="00D3315D" w:rsidRPr="00D3315D">
        <w:rPr>
          <w:rFonts w:ascii="Arial" w:hAnsi="Arial" w:cs="Arial"/>
          <w:i/>
          <w:iCs/>
          <w:sz w:val="20"/>
          <w:szCs w:val="20"/>
        </w:rPr>
        <w:t xml:space="preserve">General Television Corporation Pty Ltd v Director of Public Prosecutions &amp; </w:t>
      </w:r>
      <w:proofErr w:type="spellStart"/>
      <w:r w:rsidR="00D3315D" w:rsidRPr="00D3315D">
        <w:rPr>
          <w:rFonts w:ascii="Arial" w:hAnsi="Arial" w:cs="Arial"/>
          <w:i/>
          <w:iCs/>
          <w:sz w:val="20"/>
          <w:szCs w:val="20"/>
        </w:rPr>
        <w:t>Ors</w:t>
      </w:r>
      <w:proofErr w:type="spellEnd"/>
      <w:r w:rsidR="00D3315D" w:rsidRPr="00D3315D">
        <w:rPr>
          <w:rFonts w:ascii="Arial" w:hAnsi="Arial" w:cs="Arial"/>
          <w:sz w:val="20"/>
          <w:szCs w:val="20"/>
        </w:rPr>
        <w:t xml:space="preserve"> [2008] VSCA 49; 19 VR 68 [21] citing in part </w:t>
      </w:r>
      <w:r w:rsidR="00D3315D" w:rsidRPr="00D3315D">
        <w:rPr>
          <w:rFonts w:ascii="Arial" w:hAnsi="Arial" w:cs="Arial"/>
          <w:i/>
          <w:iCs/>
          <w:sz w:val="20"/>
          <w:szCs w:val="20"/>
        </w:rPr>
        <w:t>John Fairfax and Sons v Police Tribunal of NSW</w:t>
      </w:r>
      <w:r w:rsidR="00D3315D" w:rsidRPr="00D3315D">
        <w:rPr>
          <w:rFonts w:ascii="Arial" w:hAnsi="Arial" w:cs="Arial"/>
          <w:sz w:val="20"/>
          <w:szCs w:val="20"/>
        </w:rPr>
        <w:t xml:space="preserve"> (1986) 5 NSWLR 465 [471].</w:t>
      </w:r>
      <w:r w:rsidR="00331F27">
        <w:rPr>
          <w:rFonts w:ascii="Arial" w:hAnsi="Arial" w:cs="Arial"/>
          <w:sz w:val="20"/>
          <w:szCs w:val="20"/>
        </w:rPr>
        <w:t xml:space="preserve">  </w:t>
      </w:r>
      <w:r w:rsidR="00331F27" w:rsidRPr="00D3315D">
        <w:rPr>
          <w:rFonts w:ascii="Arial" w:hAnsi="Arial" w:cs="Arial"/>
          <w:sz w:val="20"/>
          <w:szCs w:val="20"/>
        </w:rPr>
        <w:t xml:space="preserve">The applicant sought the order in reliance on the Court’s inherent jurisdiction and not pursuant to the </w:t>
      </w:r>
      <w:r w:rsidR="00331F27" w:rsidRPr="00331F27">
        <w:rPr>
          <w:rFonts w:ascii="Arial" w:hAnsi="Arial" w:cs="Arial"/>
          <w:i/>
          <w:iCs/>
          <w:sz w:val="20"/>
          <w:szCs w:val="20"/>
        </w:rPr>
        <w:t xml:space="preserve">Open Courts Act 2013 </w:t>
      </w:r>
      <w:r w:rsidR="00331F27" w:rsidRPr="00715F0C">
        <w:rPr>
          <w:rFonts w:ascii="Arial" w:hAnsi="Arial" w:cs="Arial"/>
          <w:sz w:val="20"/>
          <w:szCs w:val="20"/>
        </w:rPr>
        <w:t>(Vic)</w:t>
      </w:r>
      <w:r w:rsidR="00331F27" w:rsidRPr="00D3315D">
        <w:rPr>
          <w:rFonts w:ascii="Arial" w:hAnsi="Arial" w:cs="Arial"/>
          <w:sz w:val="20"/>
          <w:szCs w:val="20"/>
        </w:rPr>
        <w:t>. There was no issue as to the Court’s power to make the order if it was appropriate to do so.</w:t>
      </w:r>
    </w:p>
    <w:p w14:paraId="5DDC3A96" w14:textId="36914014" w:rsidR="005A7811" w:rsidRDefault="0033638D" w:rsidP="00D3315D">
      <w:pPr>
        <w:spacing w:before="60"/>
        <w:ind w:left="567" w:right="567"/>
        <w:jc w:val="both"/>
        <w:rPr>
          <w:rFonts w:ascii="Arial" w:hAnsi="Arial" w:cs="Arial"/>
          <w:sz w:val="20"/>
          <w:szCs w:val="20"/>
        </w:rPr>
      </w:pPr>
      <w:r>
        <w:rPr>
          <w:rFonts w:ascii="Arial" w:hAnsi="Arial" w:cs="Arial"/>
          <w:sz w:val="20"/>
          <w:szCs w:val="20"/>
        </w:rPr>
        <w:t xml:space="preserve">[12] </w:t>
      </w:r>
      <w:r w:rsidR="005A7811" w:rsidRPr="00D3315D">
        <w:rPr>
          <w:rFonts w:ascii="Arial" w:hAnsi="Arial" w:cs="Arial"/>
          <w:sz w:val="20"/>
          <w:szCs w:val="20"/>
        </w:rPr>
        <w:t>The relevant legal test for a defence application for a suppression order has been clearly stated on a number of occasions</w:t>
      </w:r>
      <w:r w:rsidR="00E4385F">
        <w:rPr>
          <w:rFonts w:ascii="Arial" w:hAnsi="Arial" w:cs="Arial"/>
          <w:sz w:val="20"/>
          <w:szCs w:val="20"/>
        </w:rPr>
        <w:t xml:space="preserve">.  </w:t>
      </w:r>
    </w:p>
    <w:p w14:paraId="51EE5A1B" w14:textId="6199755A" w:rsidR="00D3315D" w:rsidRPr="009941A8" w:rsidRDefault="005A7811" w:rsidP="00C252CA">
      <w:pPr>
        <w:spacing w:before="60"/>
        <w:ind w:left="1021" w:right="1021"/>
        <w:jc w:val="both"/>
        <w:rPr>
          <w:rFonts w:ascii="Arial" w:hAnsi="Arial" w:cs="Arial"/>
          <w:sz w:val="18"/>
          <w:szCs w:val="18"/>
        </w:rPr>
      </w:pPr>
      <w:r w:rsidRPr="009941A8">
        <w:rPr>
          <w:rFonts w:ascii="Arial" w:hAnsi="Arial" w:cs="Arial"/>
          <w:sz w:val="18"/>
          <w:szCs w:val="18"/>
        </w:rPr>
        <w:t>The order must be necessary to achieve the purpose of protecting the administration of justice. It will be satisfied where there is a real or substantial risk of prejudice to an accused person’s right to a fair trial that can only be ameliorated or avoided by the making of the order. The requirement for it to be necessary is deliberately a high hurdle</w:t>
      </w:r>
      <w:r w:rsidR="009941A8" w:rsidRPr="009941A8">
        <w:rPr>
          <w:rFonts w:ascii="Arial" w:hAnsi="Arial" w:cs="Arial"/>
          <w:sz w:val="18"/>
          <w:szCs w:val="18"/>
        </w:rPr>
        <w:t xml:space="preserve">: </w:t>
      </w:r>
      <w:r w:rsidR="009941A8" w:rsidRPr="009941A8">
        <w:rPr>
          <w:rFonts w:ascii="Arial" w:hAnsi="Arial" w:cs="Arial"/>
          <w:i/>
          <w:iCs/>
          <w:sz w:val="18"/>
          <w:szCs w:val="18"/>
        </w:rPr>
        <w:t>Roberts v The Queen (No 2)</w:t>
      </w:r>
      <w:r w:rsidR="009941A8" w:rsidRPr="009941A8">
        <w:rPr>
          <w:rFonts w:ascii="Arial" w:hAnsi="Arial" w:cs="Arial"/>
          <w:sz w:val="18"/>
          <w:szCs w:val="18"/>
        </w:rPr>
        <w:t xml:space="preserve"> [2020] VSCA 188 at [35].</w:t>
      </w:r>
    </w:p>
    <w:p w14:paraId="5258C15B" w14:textId="6FC6CC0A" w:rsidR="00D3315D" w:rsidRPr="00A30311" w:rsidRDefault="0033638D" w:rsidP="00D3315D">
      <w:pPr>
        <w:spacing w:before="60"/>
        <w:ind w:left="567" w:right="567"/>
        <w:jc w:val="both"/>
        <w:rPr>
          <w:rFonts w:ascii="Arial" w:hAnsi="Arial" w:cs="Arial"/>
          <w:sz w:val="20"/>
          <w:szCs w:val="20"/>
        </w:rPr>
      </w:pPr>
      <w:r>
        <w:rPr>
          <w:rFonts w:ascii="Arial" w:hAnsi="Arial" w:cs="Arial"/>
          <w:sz w:val="20"/>
          <w:szCs w:val="20"/>
        </w:rPr>
        <w:t xml:space="preserve">[13] </w:t>
      </w:r>
      <w:r w:rsidR="009B2B5A">
        <w:rPr>
          <w:rFonts w:ascii="Arial" w:hAnsi="Arial" w:cs="Arial"/>
          <w:sz w:val="20"/>
          <w:szCs w:val="20"/>
        </w:rPr>
        <w:t>Both the applicant [</w:t>
      </w:r>
      <w:proofErr w:type="spellStart"/>
      <w:r w:rsidR="009B2B5A">
        <w:rPr>
          <w:rFonts w:ascii="Arial" w:hAnsi="Arial" w:cs="Arial"/>
          <w:sz w:val="20"/>
          <w:szCs w:val="20"/>
        </w:rPr>
        <w:t>Tuteru</w:t>
      </w:r>
      <w:proofErr w:type="spellEnd"/>
      <w:r w:rsidR="009B2B5A">
        <w:rPr>
          <w:rFonts w:ascii="Arial" w:hAnsi="Arial" w:cs="Arial"/>
          <w:sz w:val="20"/>
          <w:szCs w:val="20"/>
        </w:rPr>
        <w:t>] and [Channel] Nine agreed that this is the relevant test to be applied.”</w:t>
      </w:r>
    </w:p>
    <w:p w14:paraId="795A36C8" w14:textId="77777777" w:rsidR="00D3315D" w:rsidRDefault="00D3315D" w:rsidP="001E79F7">
      <w:pPr>
        <w:jc w:val="both"/>
        <w:rPr>
          <w:rFonts w:ascii="Arial" w:hAnsi="Arial" w:cs="Arial"/>
          <w:sz w:val="20"/>
        </w:rPr>
      </w:pPr>
    </w:p>
    <w:p w14:paraId="6D153C63" w14:textId="2A9D48CB" w:rsidR="00793910" w:rsidRDefault="00793910" w:rsidP="001E79F7">
      <w:pPr>
        <w:jc w:val="both"/>
        <w:rPr>
          <w:rFonts w:ascii="Arial" w:hAnsi="Arial" w:cs="Arial"/>
          <w:sz w:val="20"/>
        </w:rPr>
      </w:pPr>
      <w:r>
        <w:rPr>
          <w:rFonts w:ascii="Arial" w:hAnsi="Arial" w:cs="Arial"/>
          <w:sz w:val="20"/>
        </w:rPr>
        <w:t xml:space="preserve">The statutory powers to make suppression orders </w:t>
      </w:r>
      <w:r w:rsidR="00640E33">
        <w:rPr>
          <w:rFonts w:ascii="Arial" w:hAnsi="Arial" w:cs="Arial"/>
          <w:sz w:val="20"/>
        </w:rPr>
        <w:t xml:space="preserve">previously </w:t>
      </w:r>
      <w:r>
        <w:rPr>
          <w:rFonts w:ascii="Arial" w:hAnsi="Arial" w:cs="Arial"/>
          <w:sz w:val="20"/>
        </w:rPr>
        <w:t xml:space="preserve">vested in the Supreme Court by ss.18-19 of the </w:t>
      </w:r>
      <w:r w:rsidRPr="003F02FB">
        <w:rPr>
          <w:rFonts w:ascii="Arial" w:hAnsi="Arial" w:cs="Arial"/>
          <w:i/>
          <w:iCs/>
          <w:sz w:val="20"/>
        </w:rPr>
        <w:t>Supreme Court Act 1986</w:t>
      </w:r>
      <w:r>
        <w:rPr>
          <w:rFonts w:ascii="Arial" w:hAnsi="Arial" w:cs="Arial"/>
          <w:sz w:val="20"/>
        </w:rPr>
        <w:t xml:space="preserve">, in the County Court by s.80 of the </w:t>
      </w:r>
      <w:r w:rsidRPr="003F02FB">
        <w:rPr>
          <w:rFonts w:ascii="Arial" w:hAnsi="Arial" w:cs="Arial"/>
          <w:i/>
          <w:iCs/>
          <w:sz w:val="20"/>
        </w:rPr>
        <w:t>County Court Act 1958</w:t>
      </w:r>
      <w:r>
        <w:rPr>
          <w:rFonts w:ascii="Arial" w:hAnsi="Arial" w:cs="Arial"/>
          <w:sz w:val="20"/>
        </w:rPr>
        <w:t xml:space="preserve"> and in the Magistrates’ Court by s.126 of the </w:t>
      </w:r>
      <w:r w:rsidRPr="00AE0485">
        <w:rPr>
          <w:rFonts w:ascii="Arial" w:hAnsi="Arial" w:cs="Arial"/>
          <w:i/>
          <w:iCs/>
          <w:sz w:val="20"/>
        </w:rPr>
        <w:t>Magistrates’ Court Act 1989</w:t>
      </w:r>
      <w:r>
        <w:rPr>
          <w:rFonts w:ascii="Arial" w:hAnsi="Arial" w:cs="Arial"/>
          <w:sz w:val="20"/>
        </w:rPr>
        <w:t xml:space="preserve"> have </w:t>
      </w:r>
      <w:r w:rsidR="00C70A3E">
        <w:rPr>
          <w:rFonts w:ascii="Arial" w:hAnsi="Arial" w:cs="Arial"/>
          <w:sz w:val="20"/>
        </w:rPr>
        <w:t xml:space="preserve">been repealed by ss.54, 45 &amp; 51 of the </w:t>
      </w:r>
      <w:r w:rsidR="00B467EC">
        <w:rPr>
          <w:rFonts w:ascii="Arial" w:hAnsi="Arial" w:cs="Arial"/>
          <w:sz w:val="20"/>
        </w:rPr>
        <w:t>OCA</w:t>
      </w:r>
      <w:r w:rsidR="00C70A3E">
        <w:rPr>
          <w:rFonts w:ascii="Arial" w:hAnsi="Arial" w:cs="Arial"/>
          <w:sz w:val="20"/>
        </w:rPr>
        <w:t xml:space="preserve"> respectively.</w:t>
      </w:r>
      <w:r w:rsidR="00A1211A">
        <w:rPr>
          <w:rFonts w:ascii="Arial" w:hAnsi="Arial" w:cs="Arial"/>
          <w:sz w:val="20"/>
        </w:rPr>
        <w:t xml:space="preserve">  </w:t>
      </w:r>
      <w:r>
        <w:rPr>
          <w:rFonts w:ascii="Arial" w:hAnsi="Arial" w:cs="Arial"/>
          <w:sz w:val="20"/>
        </w:rPr>
        <w:t xml:space="preserve">In lieu the Supreme Court, the County Court and the Magistrates’ Court </w:t>
      </w:r>
      <w:r w:rsidR="004B7B57">
        <w:rPr>
          <w:rFonts w:ascii="Arial" w:hAnsi="Arial" w:cs="Arial"/>
          <w:sz w:val="20"/>
        </w:rPr>
        <w:t xml:space="preserve">now have power under </w:t>
      </w:r>
      <w:r w:rsidR="00A352AC">
        <w:rPr>
          <w:rFonts w:ascii="Arial" w:hAnsi="Arial" w:cs="Arial"/>
          <w:sz w:val="20"/>
        </w:rPr>
        <w:t xml:space="preserve">s.17 of the </w:t>
      </w:r>
      <w:r w:rsidR="00B467EC">
        <w:rPr>
          <w:rFonts w:ascii="Arial" w:hAnsi="Arial" w:cs="Arial"/>
          <w:sz w:val="20"/>
        </w:rPr>
        <w:t>OCA</w:t>
      </w:r>
      <w:r w:rsidR="00A352AC">
        <w:rPr>
          <w:rFonts w:ascii="Arial" w:hAnsi="Arial" w:cs="Arial"/>
          <w:sz w:val="20"/>
        </w:rPr>
        <w:t xml:space="preserve"> to make a “proceeding suppression order” to prohibit or restrict the disclosure by publication or otherwise of-</w:t>
      </w:r>
    </w:p>
    <w:p w14:paraId="62BA9128" w14:textId="77777777" w:rsidR="00A352AC" w:rsidRDefault="00A352AC" w:rsidP="00A352AC">
      <w:pPr>
        <w:ind w:left="357" w:hanging="357"/>
        <w:jc w:val="both"/>
        <w:rPr>
          <w:rFonts w:ascii="Arial" w:hAnsi="Arial" w:cs="Arial"/>
          <w:sz w:val="20"/>
        </w:rPr>
      </w:pPr>
      <w:r>
        <w:rPr>
          <w:rFonts w:ascii="Arial" w:hAnsi="Arial" w:cs="Arial"/>
          <w:sz w:val="20"/>
        </w:rPr>
        <w:t>(a)</w:t>
      </w:r>
      <w:r>
        <w:rPr>
          <w:rFonts w:ascii="Arial" w:hAnsi="Arial" w:cs="Arial"/>
          <w:sz w:val="20"/>
        </w:rPr>
        <w:tab/>
        <w:t xml:space="preserve">a report of the whole or any part of a proceeding; </w:t>
      </w:r>
    </w:p>
    <w:p w14:paraId="2A5F9AA7" w14:textId="77777777" w:rsidR="00A352AC" w:rsidRDefault="00A352AC" w:rsidP="00A352AC">
      <w:pPr>
        <w:ind w:left="357" w:hanging="357"/>
        <w:jc w:val="both"/>
        <w:rPr>
          <w:rFonts w:ascii="Arial" w:hAnsi="Arial" w:cs="Arial"/>
          <w:sz w:val="20"/>
        </w:rPr>
      </w:pPr>
      <w:r>
        <w:rPr>
          <w:rFonts w:ascii="Arial" w:hAnsi="Arial" w:cs="Arial"/>
          <w:sz w:val="20"/>
        </w:rPr>
        <w:t>(b)</w:t>
      </w:r>
      <w:r>
        <w:rPr>
          <w:rFonts w:ascii="Arial" w:hAnsi="Arial" w:cs="Arial"/>
          <w:sz w:val="20"/>
        </w:rPr>
        <w:tab/>
        <w:t>any information derived from a proceeding.</w:t>
      </w:r>
    </w:p>
    <w:p w14:paraId="30BCBA75" w14:textId="5C33C4A4" w:rsidR="003C5289" w:rsidRDefault="001B3366" w:rsidP="001E79F7">
      <w:pPr>
        <w:jc w:val="both"/>
        <w:rPr>
          <w:rFonts w:ascii="Arial" w:hAnsi="Arial" w:cs="Arial"/>
          <w:sz w:val="20"/>
        </w:rPr>
      </w:pPr>
      <w:r>
        <w:rPr>
          <w:rFonts w:ascii="Arial" w:hAnsi="Arial" w:cs="Arial"/>
          <w:sz w:val="20"/>
        </w:rPr>
        <w:t xml:space="preserve">In </w:t>
      </w:r>
      <w:r w:rsidRPr="00784343">
        <w:rPr>
          <w:rFonts w:ascii="Arial" w:hAnsi="Arial" w:cs="Arial"/>
          <w:b/>
          <w:bCs/>
          <w:sz w:val="20"/>
          <w:shd w:val="clear" w:color="auto" w:fill="C5E0B3"/>
        </w:rPr>
        <w:t xml:space="preserve">section </w:t>
      </w:r>
      <w:r w:rsidR="00307CB5" w:rsidRPr="00784343">
        <w:rPr>
          <w:rFonts w:ascii="Arial" w:hAnsi="Arial" w:cs="Arial"/>
          <w:b/>
          <w:bCs/>
          <w:sz w:val="20"/>
          <w:shd w:val="clear" w:color="auto" w:fill="C5E0B3"/>
        </w:rPr>
        <w:t>2.8.4</w:t>
      </w:r>
      <w:r w:rsidR="00307CB5">
        <w:rPr>
          <w:rFonts w:ascii="Arial" w:hAnsi="Arial" w:cs="Arial"/>
          <w:sz w:val="20"/>
        </w:rPr>
        <w:t xml:space="preserve"> below the writer </w:t>
      </w:r>
      <w:r w:rsidR="002C0C8E">
        <w:rPr>
          <w:rFonts w:ascii="Arial" w:hAnsi="Arial" w:cs="Arial"/>
          <w:sz w:val="20"/>
        </w:rPr>
        <w:t>discusses the statutory power of the Children’s Court to make suppression orders.</w:t>
      </w:r>
    </w:p>
    <w:p w14:paraId="45DAE4F3" w14:textId="77777777" w:rsidR="001B3366" w:rsidRDefault="001B3366" w:rsidP="001E79F7">
      <w:pPr>
        <w:jc w:val="both"/>
        <w:rPr>
          <w:rFonts w:ascii="Arial" w:hAnsi="Arial" w:cs="Arial"/>
          <w:sz w:val="20"/>
        </w:rPr>
      </w:pPr>
    </w:p>
    <w:p w14:paraId="1F54E609" w14:textId="77777777" w:rsidR="00D757A5" w:rsidRDefault="00D757A5" w:rsidP="00D757A5">
      <w:pPr>
        <w:jc w:val="both"/>
        <w:rPr>
          <w:rFonts w:ascii="Arial" w:hAnsi="Arial" w:cs="Arial"/>
          <w:sz w:val="20"/>
        </w:rPr>
      </w:pPr>
      <w:r>
        <w:rPr>
          <w:rFonts w:ascii="Arial" w:hAnsi="Arial" w:cs="Arial"/>
          <w:sz w:val="20"/>
        </w:rPr>
        <w:t>Section 4 of the OCA – under the heading “</w:t>
      </w:r>
      <w:r w:rsidRPr="00A1211A">
        <w:rPr>
          <w:rFonts w:ascii="Arial" w:hAnsi="Arial" w:cs="Arial"/>
          <w:b/>
          <w:bCs/>
          <w:sz w:val="20"/>
        </w:rPr>
        <w:t>Principle of open justice prevails unless circumstances require displacement</w:t>
      </w:r>
      <w:r>
        <w:rPr>
          <w:rFonts w:ascii="Arial" w:hAnsi="Arial" w:cs="Arial"/>
          <w:sz w:val="20"/>
        </w:rPr>
        <w:t>” – provides:</w:t>
      </w:r>
    </w:p>
    <w:p w14:paraId="1709A2C4" w14:textId="77777777" w:rsidR="00D757A5" w:rsidRPr="00A1211A" w:rsidRDefault="00D757A5" w:rsidP="00C23CF0">
      <w:pPr>
        <w:pStyle w:val="ListParagraph"/>
        <w:numPr>
          <w:ilvl w:val="0"/>
          <w:numId w:val="30"/>
        </w:numPr>
        <w:spacing w:before="60"/>
        <w:ind w:right="567"/>
        <w:jc w:val="both"/>
        <w:rPr>
          <w:rFonts w:ascii="Arial" w:hAnsi="Arial" w:cs="Arial"/>
          <w:sz w:val="20"/>
        </w:rPr>
      </w:pPr>
      <w:bookmarkStart w:id="504" w:name="_Toc112931730"/>
      <w:r w:rsidRPr="00A1211A">
        <w:rPr>
          <w:rFonts w:ascii="Arial" w:hAnsi="Arial" w:cs="Arial"/>
          <w:sz w:val="20"/>
        </w:rPr>
        <w:t>A court or tribunal is to have regard to the</w:t>
      </w:r>
      <w:r>
        <w:rPr>
          <w:rFonts w:ascii="Arial" w:hAnsi="Arial" w:cs="Arial"/>
          <w:sz w:val="20"/>
        </w:rPr>
        <w:t xml:space="preserve"> </w:t>
      </w:r>
      <w:r w:rsidRPr="00A1211A">
        <w:rPr>
          <w:rFonts w:ascii="Arial" w:hAnsi="Arial" w:cs="Arial"/>
          <w:sz w:val="20"/>
        </w:rPr>
        <w:t>primacy of the principle of open justice and the free communication and disclosure of information in determining whether to make a suppression order.</w:t>
      </w:r>
    </w:p>
    <w:p w14:paraId="67B5F538" w14:textId="77777777" w:rsidR="00D757A5" w:rsidRPr="00A1211A" w:rsidRDefault="00D757A5" w:rsidP="00C23CF0">
      <w:pPr>
        <w:pStyle w:val="ListParagraph"/>
        <w:numPr>
          <w:ilvl w:val="0"/>
          <w:numId w:val="30"/>
        </w:numPr>
        <w:spacing w:before="60"/>
        <w:ind w:right="567"/>
        <w:jc w:val="both"/>
        <w:rPr>
          <w:rFonts w:ascii="Arial" w:hAnsi="Arial" w:cs="Arial"/>
          <w:sz w:val="20"/>
        </w:rPr>
      </w:pPr>
      <w:r w:rsidRPr="00A1211A">
        <w:rPr>
          <w:rFonts w:ascii="Arial" w:hAnsi="Arial" w:cs="Arial"/>
          <w:sz w:val="20"/>
        </w:rPr>
        <w:t>A court or tribunal is only to make a suppression order if satisfied that the specific</w:t>
      </w:r>
      <w:r>
        <w:rPr>
          <w:rFonts w:ascii="Arial" w:hAnsi="Arial" w:cs="Arial"/>
          <w:sz w:val="20"/>
        </w:rPr>
        <w:t xml:space="preserve"> </w:t>
      </w:r>
      <w:r w:rsidRPr="00A1211A">
        <w:rPr>
          <w:rFonts w:ascii="Arial" w:hAnsi="Arial" w:cs="Arial"/>
          <w:sz w:val="20"/>
        </w:rPr>
        <w:t>circumstances of a case make it</w:t>
      </w:r>
      <w:r>
        <w:rPr>
          <w:rFonts w:ascii="Arial" w:hAnsi="Arial" w:cs="Arial"/>
          <w:sz w:val="20"/>
        </w:rPr>
        <w:t xml:space="preserve"> </w:t>
      </w:r>
      <w:r w:rsidRPr="00A1211A">
        <w:rPr>
          <w:rFonts w:ascii="Arial" w:hAnsi="Arial" w:cs="Arial"/>
          <w:sz w:val="20"/>
        </w:rPr>
        <w:t>necessary to override or displace the principle of open justice and the free communication and disclosure of information.</w:t>
      </w:r>
    </w:p>
    <w:bookmarkEnd w:id="504"/>
    <w:p w14:paraId="4A8D5224" w14:textId="77777777" w:rsidR="00D757A5" w:rsidRDefault="00D757A5" w:rsidP="00D757A5">
      <w:pPr>
        <w:jc w:val="both"/>
        <w:rPr>
          <w:rFonts w:ascii="Arial" w:hAnsi="Arial" w:cs="Arial"/>
          <w:sz w:val="20"/>
        </w:rPr>
      </w:pPr>
    </w:p>
    <w:p w14:paraId="5349E069" w14:textId="77777777" w:rsidR="00C70A3E" w:rsidRDefault="00C70A3E" w:rsidP="001E79F7">
      <w:pPr>
        <w:jc w:val="both"/>
        <w:rPr>
          <w:rFonts w:ascii="Arial" w:hAnsi="Arial" w:cs="Arial"/>
          <w:sz w:val="20"/>
        </w:rPr>
      </w:pPr>
      <w:r>
        <w:rPr>
          <w:rFonts w:ascii="Arial" w:hAnsi="Arial" w:cs="Arial"/>
          <w:sz w:val="20"/>
        </w:rPr>
        <w:t xml:space="preserve">The grounds for making a </w:t>
      </w:r>
      <w:r w:rsidR="0083512F">
        <w:rPr>
          <w:rFonts w:ascii="Arial" w:hAnsi="Arial" w:cs="Arial"/>
          <w:sz w:val="20"/>
        </w:rPr>
        <w:t>“</w:t>
      </w:r>
      <w:r>
        <w:rPr>
          <w:rFonts w:ascii="Arial" w:hAnsi="Arial" w:cs="Arial"/>
          <w:sz w:val="20"/>
        </w:rPr>
        <w:t>proceeding suppression order</w:t>
      </w:r>
      <w:r w:rsidR="0083512F">
        <w:rPr>
          <w:rFonts w:ascii="Arial" w:hAnsi="Arial" w:cs="Arial"/>
          <w:sz w:val="20"/>
        </w:rPr>
        <w:t>”</w:t>
      </w:r>
      <w:r>
        <w:rPr>
          <w:rFonts w:ascii="Arial" w:hAnsi="Arial" w:cs="Arial"/>
          <w:sz w:val="20"/>
        </w:rPr>
        <w:t xml:space="preserve"> are set out in s.18(1) of the </w:t>
      </w:r>
      <w:r w:rsidR="006658F4">
        <w:rPr>
          <w:rFonts w:ascii="Arial" w:hAnsi="Arial" w:cs="Arial"/>
          <w:sz w:val="20"/>
        </w:rPr>
        <w:t>OCA</w:t>
      </w:r>
      <w:r>
        <w:rPr>
          <w:rFonts w:ascii="Arial" w:hAnsi="Arial" w:cs="Arial"/>
          <w:sz w:val="20"/>
        </w:rPr>
        <w:t xml:space="preserve"> and are identical to those in s.30(2) for the making </w:t>
      </w:r>
      <w:r w:rsidR="00F42304">
        <w:rPr>
          <w:rFonts w:ascii="Arial" w:hAnsi="Arial" w:cs="Arial"/>
          <w:sz w:val="20"/>
        </w:rPr>
        <w:t>of a closed court order.  So far as is relevant, s.18(1) provides:</w:t>
      </w:r>
    </w:p>
    <w:p w14:paraId="5433080A" w14:textId="77777777" w:rsidR="00C70A3E" w:rsidRDefault="00C70A3E" w:rsidP="00C70A3E">
      <w:pPr>
        <w:tabs>
          <w:tab w:val="left" w:pos="567"/>
        </w:tabs>
        <w:spacing w:before="60"/>
        <w:ind w:left="567" w:right="567"/>
        <w:jc w:val="both"/>
        <w:rPr>
          <w:rFonts w:ascii="Arial" w:hAnsi="Arial" w:cs="Arial"/>
          <w:sz w:val="20"/>
        </w:rPr>
      </w:pPr>
      <w:r>
        <w:rPr>
          <w:rFonts w:ascii="Arial" w:hAnsi="Arial" w:cs="Arial"/>
          <w:sz w:val="20"/>
        </w:rPr>
        <w:t>“A court…may make a proceeding sup</w:t>
      </w:r>
      <w:r w:rsidR="00685ADA">
        <w:rPr>
          <w:rFonts w:ascii="Arial" w:hAnsi="Arial" w:cs="Arial"/>
          <w:sz w:val="20"/>
        </w:rPr>
        <w:t>pres</w:t>
      </w:r>
      <w:r>
        <w:rPr>
          <w:rFonts w:ascii="Arial" w:hAnsi="Arial" w:cs="Arial"/>
          <w:sz w:val="20"/>
        </w:rPr>
        <w:t>sion order if satisfied as to one or more of the following grounds-</w:t>
      </w:r>
    </w:p>
    <w:p w14:paraId="44C8570D"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lastRenderedPageBreak/>
        <w:t>the order is necessary to prevent a real and substantial risk of prejudice to the proper administration of justice that cannot be prevented by other reasonably available means;</w:t>
      </w:r>
    </w:p>
    <w:p w14:paraId="54C06B62"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prevent prejudice to the interests of the Commonwealth or a State or Territory in relation to national or international security;</w:t>
      </w:r>
    </w:p>
    <w:p w14:paraId="74E46A63"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protect the safety of any person;</w:t>
      </w:r>
    </w:p>
    <w:p w14:paraId="79D2455B"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avoid causing undue distress or embarrassment to a complainant or witness in any criminal proceeding involving a sexual offence or a family violence offence;</w:t>
      </w:r>
    </w:p>
    <w:p w14:paraId="12BBBBC2"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avoid causing undue distress or embarrassment to a child who is a witness in any criminal proceeding…”</w:t>
      </w:r>
    </w:p>
    <w:p w14:paraId="471EB327" w14:textId="77777777" w:rsidR="003242FE" w:rsidRDefault="003242FE" w:rsidP="003242FE">
      <w:pPr>
        <w:jc w:val="both"/>
        <w:rPr>
          <w:rFonts w:ascii="Arial" w:hAnsi="Arial" w:cs="Arial"/>
          <w:sz w:val="20"/>
        </w:rPr>
      </w:pPr>
    </w:p>
    <w:p w14:paraId="7FCBC96A" w14:textId="77777777" w:rsidR="003242FE" w:rsidRDefault="003242FE" w:rsidP="00C719C4">
      <w:pPr>
        <w:jc w:val="both"/>
        <w:rPr>
          <w:rFonts w:ascii="Arial" w:hAnsi="Arial" w:cs="Arial"/>
          <w:sz w:val="20"/>
        </w:rPr>
      </w:pPr>
      <w:r>
        <w:rPr>
          <w:rFonts w:ascii="Arial" w:hAnsi="Arial" w:cs="Arial"/>
          <w:sz w:val="20"/>
        </w:rPr>
        <w:t xml:space="preserve">In </w:t>
      </w:r>
      <w:r>
        <w:rPr>
          <w:rFonts w:ascii="Arial" w:hAnsi="Arial" w:cs="Arial"/>
          <w:i/>
          <w:iCs/>
          <w:sz w:val="20"/>
        </w:rPr>
        <w:t xml:space="preserve">IMO an Application by “The Age” and </w:t>
      </w:r>
      <w:proofErr w:type="spellStart"/>
      <w:r>
        <w:rPr>
          <w:rFonts w:ascii="Arial" w:hAnsi="Arial" w:cs="Arial"/>
          <w:i/>
          <w:iCs/>
          <w:sz w:val="20"/>
        </w:rPr>
        <w:t>Ors</w:t>
      </w:r>
      <w:proofErr w:type="spellEnd"/>
      <w:r>
        <w:rPr>
          <w:rFonts w:ascii="Arial" w:hAnsi="Arial" w:cs="Arial"/>
          <w:i/>
          <w:iCs/>
          <w:sz w:val="20"/>
        </w:rPr>
        <w:t xml:space="preserve"> re: R v Carl Anthony Williams </w:t>
      </w:r>
      <w:r>
        <w:rPr>
          <w:rFonts w:ascii="Arial" w:hAnsi="Arial" w:cs="Arial"/>
          <w:sz w:val="20"/>
        </w:rPr>
        <w:t xml:space="preserve">[2004] VSC 413 at [14] Kellam J, citing dicta of McPherson J in </w:t>
      </w:r>
      <w:r w:rsidRPr="00CD5A68">
        <w:rPr>
          <w:rFonts w:ascii="Arial" w:hAnsi="Arial" w:cs="Arial"/>
          <w:i/>
          <w:sz w:val="20"/>
        </w:rPr>
        <w:t xml:space="preserve">Ex </w:t>
      </w:r>
      <w:proofErr w:type="spellStart"/>
      <w:r w:rsidRPr="00CD5A68">
        <w:rPr>
          <w:rFonts w:ascii="Arial" w:hAnsi="Arial" w:cs="Arial"/>
          <w:i/>
          <w:sz w:val="20"/>
        </w:rPr>
        <w:t>parte</w:t>
      </w:r>
      <w:proofErr w:type="spellEnd"/>
      <w:r w:rsidRPr="00CD5A68">
        <w:rPr>
          <w:rFonts w:ascii="Arial" w:hAnsi="Arial" w:cs="Arial"/>
          <w:i/>
          <w:sz w:val="20"/>
        </w:rPr>
        <w:t xml:space="preserve"> the Queensland Law Society</w:t>
      </w:r>
      <w:r>
        <w:rPr>
          <w:rFonts w:ascii="Arial" w:hAnsi="Arial" w:cs="Arial"/>
          <w:sz w:val="20"/>
        </w:rPr>
        <w:t xml:space="preserve"> [1984] </w:t>
      </w:r>
      <w:proofErr w:type="spellStart"/>
      <w:r>
        <w:rPr>
          <w:rFonts w:ascii="Arial" w:hAnsi="Arial" w:cs="Arial"/>
          <w:sz w:val="20"/>
        </w:rPr>
        <w:t>Qd</w:t>
      </w:r>
      <w:proofErr w:type="spellEnd"/>
      <w:r>
        <w:rPr>
          <w:rFonts w:ascii="Arial" w:hAnsi="Arial" w:cs="Arial"/>
          <w:sz w:val="20"/>
        </w:rPr>
        <w:t xml:space="preserve"> R 166 at 170 and of McHugh J in </w:t>
      </w:r>
      <w:r w:rsidRPr="00CD5A68">
        <w:rPr>
          <w:rFonts w:ascii="Arial" w:hAnsi="Arial" w:cs="Arial"/>
          <w:i/>
          <w:sz w:val="20"/>
        </w:rPr>
        <w:t>John Fairfax &amp; Sons Pty Ltd v Police Tribunal of NSW</w:t>
      </w:r>
      <w:r>
        <w:rPr>
          <w:rFonts w:ascii="Arial" w:hAnsi="Arial" w:cs="Arial"/>
          <w:i/>
          <w:sz w:val="20"/>
        </w:rPr>
        <w:t xml:space="preserve"> </w:t>
      </w:r>
      <w:r w:rsidRPr="00CD5A68">
        <w:rPr>
          <w:rFonts w:ascii="Arial" w:hAnsi="Arial" w:cs="Arial"/>
          <w:sz w:val="20"/>
        </w:rPr>
        <w:t>(1986) 5 NSWLR 465 at 477</w:t>
      </w:r>
      <w:r>
        <w:rPr>
          <w:rFonts w:ascii="Arial" w:hAnsi="Arial" w:cs="Arial"/>
          <w:sz w:val="20"/>
        </w:rPr>
        <w:t>, reiterated the ‘necessity’ test</w:t>
      </w:r>
      <w:r w:rsidR="00DE73E5">
        <w:rPr>
          <w:rFonts w:ascii="Arial" w:hAnsi="Arial" w:cs="Arial"/>
          <w:sz w:val="20"/>
        </w:rPr>
        <w:t xml:space="preserve"> for the application of s.18 of the </w:t>
      </w:r>
      <w:r w:rsidR="00DE73E5" w:rsidRPr="00AE0485">
        <w:rPr>
          <w:rFonts w:ascii="Arial" w:hAnsi="Arial" w:cs="Arial"/>
          <w:i/>
          <w:iCs/>
          <w:sz w:val="20"/>
        </w:rPr>
        <w:t>Supreme Court Act 1986</w:t>
      </w:r>
      <w:r w:rsidR="00DE73E5">
        <w:rPr>
          <w:rFonts w:ascii="Arial" w:hAnsi="Arial" w:cs="Arial"/>
          <w:sz w:val="20"/>
        </w:rPr>
        <w:t>:</w:t>
      </w:r>
    </w:p>
    <w:p w14:paraId="47FAD713" w14:textId="77777777" w:rsidR="003242FE" w:rsidRDefault="003242FE" w:rsidP="003242FE">
      <w:pPr>
        <w:spacing w:before="60"/>
        <w:ind w:left="567" w:right="567"/>
        <w:jc w:val="both"/>
        <w:rPr>
          <w:rFonts w:ascii="Arial" w:hAnsi="Arial" w:cs="Arial"/>
          <w:sz w:val="20"/>
        </w:rPr>
      </w:pPr>
      <w:r>
        <w:rPr>
          <w:rFonts w:ascii="Arial" w:hAnsi="Arial" w:cs="Arial"/>
          <w:sz w:val="20"/>
        </w:rPr>
        <w:t xml:space="preserve">“That [suppression] orders should be made in cases only of clear necessity is established beyond any argument by the decision of the Court of Appeal of the Supreme Court of Victoria in </w:t>
      </w:r>
      <w:r w:rsidRPr="00AD13DB">
        <w:rPr>
          <w:rFonts w:ascii="Arial" w:hAnsi="Arial" w:cs="Arial"/>
          <w:i/>
          <w:sz w:val="20"/>
        </w:rPr>
        <w:t>An Application by Chief Commissioner of Police (Vic) for leave to appeal</w:t>
      </w:r>
      <w:r>
        <w:rPr>
          <w:rFonts w:ascii="Arial" w:hAnsi="Arial" w:cs="Arial"/>
          <w:sz w:val="20"/>
        </w:rPr>
        <w:t xml:space="preserve"> [2004] VSCA 3 when the Court in a unanimous judgment stated that orders suppressing publication of court proceedings should be made only when ‘clearly necessary’ {at [30]}.  I observe that that decision was upheld by the High Court.”</w:t>
      </w:r>
    </w:p>
    <w:p w14:paraId="7D19DF92" w14:textId="208202A8" w:rsidR="003242FE" w:rsidRDefault="003242FE" w:rsidP="001E79F7">
      <w:pPr>
        <w:jc w:val="both"/>
        <w:rPr>
          <w:rFonts w:ascii="Arial" w:hAnsi="Arial" w:cs="Arial"/>
          <w:sz w:val="20"/>
        </w:rPr>
      </w:pPr>
    </w:p>
    <w:p w14:paraId="58E5B18F" w14:textId="50DB6DED" w:rsidR="00431BC7" w:rsidRDefault="00CE7BD0" w:rsidP="001E79F7">
      <w:pPr>
        <w:jc w:val="both"/>
        <w:rPr>
          <w:rFonts w:ascii="Arial" w:hAnsi="Arial" w:cs="Arial"/>
          <w:sz w:val="20"/>
        </w:rPr>
      </w:pPr>
      <w:r>
        <w:rPr>
          <w:rFonts w:ascii="Arial" w:hAnsi="Arial" w:cs="Arial"/>
          <w:sz w:val="20"/>
        </w:rPr>
        <w:t xml:space="preserve">In </w:t>
      </w:r>
      <w:r w:rsidRPr="00CE7BD0">
        <w:rPr>
          <w:rFonts w:ascii="Arial" w:hAnsi="Arial" w:cs="Arial"/>
          <w:i/>
          <w:iCs/>
          <w:sz w:val="20"/>
        </w:rPr>
        <w:t>WEQ (a pseudonym) v Medical Board of Australia</w:t>
      </w:r>
      <w:r>
        <w:rPr>
          <w:rFonts w:ascii="Arial" w:hAnsi="Arial" w:cs="Arial"/>
          <w:sz w:val="20"/>
        </w:rPr>
        <w:t xml:space="preserve"> [2021] VSCA 343 </w:t>
      </w:r>
      <w:r w:rsidR="00431BC7">
        <w:rPr>
          <w:rFonts w:ascii="Arial" w:hAnsi="Arial" w:cs="Arial"/>
          <w:sz w:val="20"/>
        </w:rPr>
        <w:t>a proceeding suppression order had been made in disciplinary proceedings in VCAT against the applicant medical practitioner.  The order – of lifetime duration – suppressed the identity of participants in a Family Court proceeding, family members and the regulator’s witnesses.  Holding that</w:t>
      </w:r>
      <w:r w:rsidR="007A4D20">
        <w:rPr>
          <w:rFonts w:ascii="Arial" w:hAnsi="Arial" w:cs="Arial"/>
          <w:sz w:val="20"/>
        </w:rPr>
        <w:t>–</w:t>
      </w:r>
    </w:p>
    <w:p w14:paraId="4BA7DA95" w14:textId="77777777" w:rsidR="00B05551" w:rsidRDefault="00431BC7" w:rsidP="00C23CF0">
      <w:pPr>
        <w:pStyle w:val="ListParagraph"/>
        <w:numPr>
          <w:ilvl w:val="0"/>
          <w:numId w:val="24"/>
        </w:numPr>
        <w:ind w:left="357" w:hanging="357"/>
        <w:jc w:val="both"/>
        <w:rPr>
          <w:rFonts w:ascii="Arial" w:hAnsi="Arial" w:cs="Arial"/>
          <w:sz w:val="20"/>
        </w:rPr>
      </w:pPr>
      <w:r w:rsidRPr="00B05551">
        <w:rPr>
          <w:rFonts w:ascii="Arial" w:hAnsi="Arial" w:cs="Arial"/>
          <w:sz w:val="20"/>
        </w:rPr>
        <w:t>the order was overly broad</w:t>
      </w:r>
      <w:r w:rsidR="00B05551">
        <w:rPr>
          <w:rFonts w:ascii="Arial" w:hAnsi="Arial" w:cs="Arial"/>
          <w:sz w:val="20"/>
        </w:rPr>
        <w:t xml:space="preserve">, going </w:t>
      </w:r>
      <w:r w:rsidR="00B05551" w:rsidRPr="00B05551">
        <w:rPr>
          <w:rFonts w:ascii="Arial" w:hAnsi="Arial" w:cs="Arial"/>
          <w:sz w:val="20"/>
        </w:rPr>
        <w:t>well beyond what was necessary in the interests of justice</w:t>
      </w:r>
      <w:r w:rsidR="00B05551">
        <w:rPr>
          <w:rFonts w:ascii="Arial" w:hAnsi="Arial" w:cs="Arial"/>
          <w:sz w:val="20"/>
        </w:rPr>
        <w:t>;</w:t>
      </w:r>
    </w:p>
    <w:p w14:paraId="6C2D5525" w14:textId="1D5F3D63" w:rsidR="00431BC7" w:rsidRPr="00B05551" w:rsidRDefault="00B05551" w:rsidP="00C23CF0">
      <w:pPr>
        <w:pStyle w:val="ListParagraph"/>
        <w:numPr>
          <w:ilvl w:val="0"/>
          <w:numId w:val="24"/>
        </w:numPr>
        <w:ind w:left="357" w:hanging="357"/>
        <w:jc w:val="both"/>
        <w:rPr>
          <w:rFonts w:ascii="Arial" w:hAnsi="Arial" w:cs="Arial"/>
          <w:sz w:val="20"/>
        </w:rPr>
      </w:pPr>
      <w:r>
        <w:rPr>
          <w:rFonts w:ascii="Arial" w:hAnsi="Arial" w:cs="Arial"/>
          <w:sz w:val="20"/>
        </w:rPr>
        <w:t>it</w:t>
      </w:r>
      <w:r w:rsidRPr="00B05551">
        <w:rPr>
          <w:rFonts w:ascii="Arial" w:hAnsi="Arial" w:cs="Arial"/>
          <w:sz w:val="20"/>
        </w:rPr>
        <w:t xml:space="preserve"> applied to significantly more information than </w:t>
      </w:r>
      <w:r w:rsidR="00431BC7" w:rsidRPr="00B05551">
        <w:rPr>
          <w:rFonts w:ascii="Arial" w:hAnsi="Arial" w:cs="Arial"/>
          <w:sz w:val="20"/>
        </w:rPr>
        <w:t>was necessary to achieve its purpose</w:t>
      </w:r>
      <w:r>
        <w:rPr>
          <w:rFonts w:ascii="Arial" w:hAnsi="Arial" w:cs="Arial"/>
          <w:sz w:val="20"/>
        </w:rPr>
        <w:t xml:space="preserve"> and was of longer duration that reasonably necessary</w:t>
      </w:r>
      <w:r w:rsidR="00431BC7" w:rsidRPr="00B05551">
        <w:rPr>
          <w:rFonts w:ascii="Arial" w:hAnsi="Arial" w:cs="Arial"/>
          <w:sz w:val="20"/>
        </w:rPr>
        <w:t>; and</w:t>
      </w:r>
    </w:p>
    <w:p w14:paraId="13F16204" w14:textId="536F182F" w:rsidR="00431BC7" w:rsidRPr="00431BC7" w:rsidRDefault="00431BC7" w:rsidP="00C23CF0">
      <w:pPr>
        <w:pStyle w:val="ListParagraph"/>
        <w:numPr>
          <w:ilvl w:val="0"/>
          <w:numId w:val="24"/>
        </w:numPr>
        <w:ind w:left="357" w:hanging="357"/>
        <w:jc w:val="both"/>
        <w:rPr>
          <w:rFonts w:ascii="Arial" w:hAnsi="Arial" w:cs="Arial"/>
          <w:sz w:val="20"/>
        </w:rPr>
      </w:pPr>
      <w:r>
        <w:rPr>
          <w:rFonts w:ascii="Arial" w:hAnsi="Arial" w:cs="Arial"/>
          <w:sz w:val="20"/>
        </w:rPr>
        <w:t xml:space="preserve">it was unnecessary to duplicate the Family Court suppression regime in s.121 </w:t>
      </w:r>
      <w:r w:rsidRPr="00431BC7">
        <w:rPr>
          <w:rFonts w:ascii="Arial" w:hAnsi="Arial" w:cs="Arial"/>
          <w:i/>
          <w:iCs/>
          <w:sz w:val="20"/>
        </w:rPr>
        <w:t>Family Law Act 1975</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w:t>
      </w:r>
    </w:p>
    <w:p w14:paraId="36AC9EDB" w14:textId="1364A2B5" w:rsidR="00CE7BD0" w:rsidRDefault="00431BC7" w:rsidP="001E79F7">
      <w:pPr>
        <w:jc w:val="both"/>
        <w:rPr>
          <w:rFonts w:ascii="Arial" w:hAnsi="Arial" w:cs="Arial"/>
          <w:sz w:val="20"/>
        </w:rPr>
      </w:pPr>
      <w:r>
        <w:rPr>
          <w:rFonts w:ascii="Arial" w:hAnsi="Arial" w:cs="Arial"/>
          <w:sz w:val="20"/>
        </w:rPr>
        <w:t xml:space="preserve">the Court of Appeal (Kyrou &amp; McLeish JJA) allowed the appeal </w:t>
      </w:r>
      <w:r w:rsidR="008D73DB">
        <w:rPr>
          <w:rFonts w:ascii="Arial" w:hAnsi="Arial" w:cs="Arial"/>
          <w:sz w:val="20"/>
        </w:rPr>
        <w:t>in part and vari</w:t>
      </w:r>
      <w:r>
        <w:rPr>
          <w:rFonts w:ascii="Arial" w:hAnsi="Arial" w:cs="Arial"/>
          <w:sz w:val="20"/>
        </w:rPr>
        <w:t>ed the order</w:t>
      </w:r>
      <w:r w:rsidR="00FB6B1B">
        <w:rPr>
          <w:rFonts w:ascii="Arial" w:hAnsi="Arial" w:cs="Arial"/>
          <w:sz w:val="20"/>
        </w:rPr>
        <w:t xml:space="preserve"> by revoking the </w:t>
      </w:r>
      <w:r w:rsidR="009C2698">
        <w:rPr>
          <w:rFonts w:ascii="Arial" w:hAnsi="Arial" w:cs="Arial"/>
          <w:sz w:val="20"/>
        </w:rPr>
        <w:t xml:space="preserve">confidentiality orders but </w:t>
      </w:r>
      <w:r w:rsidR="00FB6B1B">
        <w:rPr>
          <w:rFonts w:ascii="Arial" w:hAnsi="Arial" w:cs="Arial"/>
          <w:sz w:val="20"/>
        </w:rPr>
        <w:t>making an interim proceeding suppression order in narrower terms.</w:t>
      </w:r>
      <w:r w:rsidR="00B05551">
        <w:rPr>
          <w:rFonts w:ascii="Arial" w:hAnsi="Arial" w:cs="Arial"/>
          <w:sz w:val="20"/>
        </w:rPr>
        <w:t xml:space="preserve">  At</w:t>
      </w:r>
      <w:r w:rsidR="00157364">
        <w:rPr>
          <w:rFonts w:ascii="Arial" w:hAnsi="Arial" w:cs="Arial"/>
          <w:sz w:val="20"/>
        </w:rPr>
        <w:t> </w:t>
      </w:r>
      <w:r w:rsidR="00B05551">
        <w:rPr>
          <w:rFonts w:ascii="Arial" w:hAnsi="Arial" w:cs="Arial"/>
          <w:sz w:val="20"/>
        </w:rPr>
        <w:t>[59]</w:t>
      </w:r>
      <w:r w:rsidR="00157364">
        <w:rPr>
          <w:rFonts w:ascii="Arial" w:hAnsi="Arial" w:cs="Arial"/>
          <w:sz w:val="20"/>
        </w:rPr>
        <w:noBreakHyphen/>
      </w:r>
      <w:r w:rsidR="00B05551">
        <w:rPr>
          <w:rFonts w:ascii="Arial" w:hAnsi="Arial" w:cs="Arial"/>
          <w:sz w:val="20"/>
        </w:rPr>
        <w:t>[</w:t>
      </w:r>
      <w:r w:rsidR="00157364">
        <w:rPr>
          <w:rFonts w:ascii="Arial" w:hAnsi="Arial" w:cs="Arial"/>
          <w:sz w:val="20"/>
        </w:rPr>
        <w:t>67</w:t>
      </w:r>
      <w:r w:rsidR="00B05551">
        <w:rPr>
          <w:rFonts w:ascii="Arial" w:hAnsi="Arial" w:cs="Arial"/>
          <w:sz w:val="20"/>
        </w:rPr>
        <w:t>] the Court detailed the following principles (citations omitted):</w:t>
      </w:r>
    </w:p>
    <w:p w14:paraId="5BB8DA68" w14:textId="3DEE837D" w:rsidR="00B05551" w:rsidRDefault="00B05551" w:rsidP="00B05551">
      <w:pPr>
        <w:spacing w:before="60"/>
        <w:ind w:left="567" w:right="567"/>
        <w:jc w:val="both"/>
        <w:rPr>
          <w:rFonts w:ascii="Arial" w:hAnsi="Arial" w:cs="Arial"/>
          <w:sz w:val="20"/>
          <w:szCs w:val="20"/>
        </w:rPr>
      </w:pPr>
      <w:r>
        <w:rPr>
          <w:rFonts w:ascii="Arial" w:hAnsi="Arial" w:cs="Arial"/>
          <w:sz w:val="20"/>
          <w:szCs w:val="20"/>
        </w:rPr>
        <w:t xml:space="preserve">[59] </w:t>
      </w:r>
      <w:r w:rsidRPr="00B05551">
        <w:rPr>
          <w:rFonts w:ascii="Arial" w:hAnsi="Arial" w:cs="Arial"/>
          <w:sz w:val="20"/>
          <w:szCs w:val="20"/>
        </w:rPr>
        <w:t xml:space="preserve">“The principle of open justice is a fundamental rule of the common law and an essential part of the functioning of the Australian justice system.  Its purpose is </w:t>
      </w:r>
      <w:r w:rsidRPr="00B05551">
        <w:rPr>
          <w:rFonts w:ascii="Arial" w:eastAsia="Book Antiqua" w:hAnsi="Arial" w:cs="Arial"/>
          <w:sz w:val="20"/>
          <w:szCs w:val="20"/>
        </w:rPr>
        <w:t>to expose proceedings to ‘public and professional scrutiny’</w:t>
      </w:r>
      <w:r w:rsidRPr="00B05551">
        <w:rPr>
          <w:rFonts w:ascii="Arial" w:hAnsi="Arial" w:cs="Arial"/>
          <w:sz w:val="20"/>
          <w:szCs w:val="20"/>
        </w:rPr>
        <w:t xml:space="preserve"> and inform the public how judicial (or administrative) power is exercised, and on what evidential basis.  This enhances accountability, and assists in maintaining public confidence in the integrity and independence of courts and tribunals.</w:t>
      </w:r>
    </w:p>
    <w:p w14:paraId="023735C5" w14:textId="4AE5E957" w:rsidR="00B05551" w:rsidRDefault="00B05551" w:rsidP="00B05551">
      <w:pPr>
        <w:spacing w:before="60"/>
        <w:ind w:left="567" w:right="567"/>
        <w:jc w:val="both"/>
        <w:rPr>
          <w:rFonts w:ascii="Arial" w:hAnsi="Arial" w:cs="Arial"/>
          <w:sz w:val="20"/>
          <w:szCs w:val="20"/>
        </w:rPr>
      </w:pPr>
      <w:r>
        <w:rPr>
          <w:rFonts w:ascii="Arial" w:hAnsi="Arial" w:cs="Arial"/>
          <w:sz w:val="20"/>
          <w:szCs w:val="20"/>
        </w:rPr>
        <w:t xml:space="preserve">[60] </w:t>
      </w:r>
      <w:r w:rsidRPr="00B05551">
        <w:rPr>
          <w:rFonts w:ascii="Arial" w:hAnsi="Arial" w:cs="Arial"/>
          <w:sz w:val="20"/>
          <w:szCs w:val="20"/>
        </w:rPr>
        <w:t xml:space="preserve">An aspect of the principle of open justice is that what occurs in open court (or an open tribunal) may be publicised.  Persons present in an open court or tribunal may disseminate to others who were not present fair and accurate reports of the proceedings, including the names of the parties and witnesses and the evidence given.  It has been said that proceedings must </w:t>
      </w:r>
      <w:r w:rsidRPr="00B05551">
        <w:rPr>
          <w:rFonts w:ascii="Arial" w:eastAsia="Book Antiqua" w:hAnsi="Arial" w:cs="Arial"/>
          <w:sz w:val="20"/>
          <w:szCs w:val="20"/>
        </w:rPr>
        <w:t>be ‘exposed in their entirety to the cathartic glare of publicity’, subject only to limited exceptions ‘sparingly allowed’</w:t>
      </w:r>
      <w:r w:rsidRPr="00B05551">
        <w:rPr>
          <w:rFonts w:ascii="Arial" w:hAnsi="Arial" w:cs="Arial"/>
          <w:sz w:val="20"/>
          <w:szCs w:val="20"/>
        </w:rPr>
        <w:t>.</w:t>
      </w:r>
    </w:p>
    <w:p w14:paraId="71358A3D" w14:textId="2A6180A2" w:rsidR="00B05551" w:rsidRDefault="00B05551" w:rsidP="00B05551">
      <w:pPr>
        <w:spacing w:before="60"/>
        <w:ind w:left="567" w:right="567"/>
        <w:jc w:val="both"/>
        <w:rPr>
          <w:rFonts w:ascii="Arial" w:hAnsi="Arial" w:cs="Arial"/>
          <w:sz w:val="20"/>
          <w:szCs w:val="20"/>
        </w:rPr>
      </w:pPr>
      <w:r>
        <w:rPr>
          <w:rFonts w:ascii="Arial" w:hAnsi="Arial" w:cs="Arial"/>
          <w:sz w:val="20"/>
          <w:szCs w:val="20"/>
        </w:rPr>
        <w:t xml:space="preserve">[61] </w:t>
      </w:r>
      <w:r w:rsidRPr="00B05551">
        <w:rPr>
          <w:rFonts w:ascii="Arial" w:hAnsi="Arial" w:cs="Arial"/>
          <w:sz w:val="20"/>
          <w:szCs w:val="20"/>
        </w:rPr>
        <w:t>In disciplinary or criminal proceedings, this aspect of the principle of open justice assumes particular importance as there is a special public interest in the community knowing the outcome of such proceedings.  The publicity of disciplinary proceedings assists in protecting the public, signals to the relevant profession what is and is not acceptable professional conduct, and serves the purposes of specific and general deterrence.</w:t>
      </w:r>
    </w:p>
    <w:p w14:paraId="79909992" w14:textId="396D2498" w:rsidR="00B05551" w:rsidRDefault="00B05551" w:rsidP="00B05551">
      <w:pPr>
        <w:spacing w:before="60"/>
        <w:ind w:left="567" w:right="567"/>
        <w:jc w:val="both"/>
        <w:rPr>
          <w:rFonts w:ascii="Arial" w:eastAsia="Book Antiqua" w:hAnsi="Arial" w:cs="Arial"/>
          <w:sz w:val="20"/>
          <w:szCs w:val="20"/>
        </w:rPr>
      </w:pPr>
      <w:r>
        <w:rPr>
          <w:rFonts w:ascii="Arial" w:hAnsi="Arial" w:cs="Arial"/>
          <w:sz w:val="20"/>
          <w:szCs w:val="20"/>
        </w:rPr>
        <w:t xml:space="preserve">[62] </w:t>
      </w:r>
      <w:r w:rsidR="00157364" w:rsidRPr="00157364">
        <w:rPr>
          <w:rFonts w:ascii="Arial" w:hAnsi="Arial" w:cs="Arial"/>
          <w:sz w:val="20"/>
          <w:szCs w:val="20"/>
        </w:rPr>
        <w:t>The Act</w:t>
      </w:r>
      <w:r w:rsidR="00157364" w:rsidRPr="00157364">
        <w:rPr>
          <w:rFonts w:ascii="Arial" w:eastAsia="Book Antiqua" w:hAnsi="Arial" w:cs="Arial"/>
          <w:i/>
          <w:sz w:val="20"/>
          <w:szCs w:val="20"/>
        </w:rPr>
        <w:t xml:space="preserve"> </w:t>
      </w:r>
      <w:r w:rsidR="00157364" w:rsidRPr="00157364">
        <w:rPr>
          <w:rFonts w:ascii="Arial" w:hAnsi="Arial" w:cs="Arial"/>
          <w:sz w:val="20"/>
          <w:szCs w:val="20"/>
        </w:rPr>
        <w:t xml:space="preserve">recognises and reinforces the principle of open justice, in respect of the Tribunal, as well as the courts.  It provides for the primacy of the principle and authorises departure from it only in specified circumstances.  Relevantly for present purposes, s </w:t>
      </w:r>
      <w:r w:rsidR="00157364" w:rsidRPr="00157364">
        <w:rPr>
          <w:rFonts w:ascii="Arial" w:eastAsia="Book Antiqua" w:hAnsi="Arial" w:cs="Arial"/>
          <w:sz w:val="20"/>
          <w:szCs w:val="20"/>
        </w:rPr>
        <w:t xml:space="preserve">4(2) provides that a court or tribunal ‘is only to make a suppression order </w:t>
      </w:r>
      <w:r w:rsidR="00157364" w:rsidRPr="00157364">
        <w:rPr>
          <w:rFonts w:ascii="Arial" w:hAnsi="Arial" w:cs="Arial"/>
          <w:sz w:val="20"/>
          <w:szCs w:val="20"/>
        </w:rPr>
        <w:t xml:space="preserve">if satisfied that the specific circumstances of a case make it necessary to override or displace the principle of open justice and the free communication and disclosure of </w:t>
      </w:r>
      <w:r w:rsidR="00157364" w:rsidRPr="00157364">
        <w:rPr>
          <w:rFonts w:ascii="Arial" w:eastAsia="Book Antiqua" w:hAnsi="Arial" w:cs="Arial"/>
          <w:sz w:val="20"/>
          <w:szCs w:val="20"/>
        </w:rPr>
        <w:t>information’.</w:t>
      </w:r>
    </w:p>
    <w:p w14:paraId="4358F241" w14:textId="1AAB2F2F" w:rsidR="00157364" w:rsidRDefault="00157364" w:rsidP="00B05551">
      <w:pPr>
        <w:spacing w:before="60"/>
        <w:ind w:left="567" w:right="567"/>
        <w:jc w:val="both"/>
        <w:rPr>
          <w:rFonts w:ascii="Arial" w:hAnsi="Arial" w:cs="Arial"/>
          <w:sz w:val="20"/>
          <w:szCs w:val="20"/>
        </w:rPr>
      </w:pPr>
      <w:r>
        <w:rPr>
          <w:rFonts w:ascii="Arial" w:eastAsia="Book Antiqua" w:hAnsi="Arial" w:cs="Arial"/>
          <w:sz w:val="20"/>
          <w:szCs w:val="20"/>
        </w:rPr>
        <w:t xml:space="preserve">[63] </w:t>
      </w:r>
      <w:r w:rsidRPr="00157364">
        <w:rPr>
          <w:rFonts w:ascii="Arial" w:hAnsi="Arial" w:cs="Arial"/>
          <w:sz w:val="20"/>
          <w:szCs w:val="20"/>
        </w:rPr>
        <w:t xml:space="preserve">It is a particular type of suppression order, a proceeding suppression order, that is now in issue.  A proceeding suppression order is defined as an order prohibiting or restricting the disclosure of a report of all or part of a proceeding, or any information derived from the </w:t>
      </w:r>
      <w:r w:rsidRPr="00157364">
        <w:rPr>
          <w:rFonts w:ascii="Arial" w:hAnsi="Arial" w:cs="Arial"/>
          <w:sz w:val="20"/>
          <w:szCs w:val="20"/>
        </w:rPr>
        <w:lastRenderedPageBreak/>
        <w:t>proceeding.  The Act specifies the circumstances in which it is permissible to depart from the principle by making such an order.</w:t>
      </w:r>
    </w:p>
    <w:p w14:paraId="343DEFD2" w14:textId="59078524" w:rsidR="00157364" w:rsidRDefault="00157364" w:rsidP="00B05551">
      <w:pPr>
        <w:spacing w:before="60"/>
        <w:ind w:left="567" w:right="567"/>
        <w:jc w:val="both"/>
        <w:rPr>
          <w:rFonts w:ascii="Arial" w:hAnsi="Arial" w:cs="Arial"/>
          <w:sz w:val="20"/>
          <w:szCs w:val="20"/>
        </w:rPr>
      </w:pPr>
      <w:r>
        <w:rPr>
          <w:rFonts w:ascii="Arial" w:hAnsi="Arial" w:cs="Arial"/>
          <w:sz w:val="20"/>
          <w:szCs w:val="20"/>
        </w:rPr>
        <w:t xml:space="preserve">[64] </w:t>
      </w:r>
      <w:r w:rsidRPr="00157364">
        <w:rPr>
          <w:rFonts w:ascii="Arial" w:hAnsi="Arial" w:cs="Arial"/>
          <w:sz w:val="20"/>
          <w:szCs w:val="20"/>
        </w:rPr>
        <w:t xml:space="preserve">First, the power to make a proceeding suppression order depends on the court or tribunal being satisfied that the order is </w:t>
      </w:r>
      <w:r w:rsidRPr="00157364">
        <w:rPr>
          <w:rFonts w:ascii="Arial" w:eastAsia="Book Antiqua" w:hAnsi="Arial" w:cs="Arial"/>
          <w:sz w:val="20"/>
          <w:szCs w:val="20"/>
        </w:rPr>
        <w:t>‘</w:t>
      </w:r>
      <w:r w:rsidRPr="00157364">
        <w:rPr>
          <w:rFonts w:ascii="Arial" w:hAnsi="Arial" w:cs="Arial"/>
          <w:sz w:val="20"/>
          <w:szCs w:val="20"/>
        </w:rPr>
        <w:t>necessary</w:t>
      </w:r>
      <w:r w:rsidRPr="00157364">
        <w:rPr>
          <w:rFonts w:ascii="Arial" w:eastAsia="Book Antiqua" w:hAnsi="Arial" w:cs="Arial"/>
          <w:sz w:val="20"/>
          <w:szCs w:val="20"/>
        </w:rPr>
        <w:t>’</w:t>
      </w:r>
      <w:r w:rsidRPr="00157364">
        <w:rPr>
          <w:rFonts w:ascii="Arial" w:hAnsi="Arial" w:cs="Arial"/>
          <w:sz w:val="20"/>
          <w:szCs w:val="20"/>
        </w:rPr>
        <w:t xml:space="preserve"> to achieve at least one of a number of enumerated purposes set out in s 18 of the Act.  Necessity is a stringent standard, requiring a high degree of satisfaction; it is not enough that it would be reasonable or desirable to make an order for one of the purposes identified in s 18.</w:t>
      </w:r>
    </w:p>
    <w:p w14:paraId="108B9025" w14:textId="556E86AA" w:rsidR="00157364" w:rsidRDefault="00157364" w:rsidP="00B05551">
      <w:pPr>
        <w:spacing w:before="60"/>
        <w:ind w:left="567" w:right="567"/>
        <w:jc w:val="both"/>
        <w:rPr>
          <w:rFonts w:ascii="Arial" w:eastAsia="Book Antiqua" w:hAnsi="Arial" w:cs="Arial"/>
          <w:sz w:val="20"/>
          <w:szCs w:val="20"/>
        </w:rPr>
      </w:pPr>
      <w:r>
        <w:rPr>
          <w:rFonts w:ascii="Arial" w:hAnsi="Arial" w:cs="Arial"/>
          <w:sz w:val="20"/>
          <w:szCs w:val="20"/>
        </w:rPr>
        <w:t xml:space="preserve">[65] </w:t>
      </w:r>
      <w:r w:rsidRPr="00157364">
        <w:rPr>
          <w:rFonts w:ascii="Arial" w:hAnsi="Arial" w:cs="Arial"/>
          <w:sz w:val="20"/>
          <w:szCs w:val="20"/>
        </w:rPr>
        <w:t xml:space="preserve">Secondly, the requisite standard is to be satisfied on the basis of evidence or </w:t>
      </w:r>
      <w:r w:rsidRPr="00157364">
        <w:rPr>
          <w:rFonts w:ascii="Arial" w:eastAsia="Book Antiqua" w:hAnsi="Arial" w:cs="Arial"/>
          <w:sz w:val="20"/>
          <w:szCs w:val="20"/>
        </w:rPr>
        <w:t>‘sufficient credible information’ showing that the relevant ground is made out: s 14</w:t>
      </w:r>
      <w:r w:rsidRPr="00157364">
        <w:rPr>
          <w:rFonts w:ascii="Arial" w:hAnsi="Arial" w:cs="Arial"/>
          <w:sz w:val="20"/>
          <w:szCs w:val="20"/>
        </w:rPr>
        <w:t xml:space="preserve">.  This is a substantive requirement applicable even when an application is consented to or not opposed.  By reference to such information, the court or tribunal must </w:t>
      </w:r>
      <w:r w:rsidRPr="00157364">
        <w:rPr>
          <w:rFonts w:ascii="Arial" w:eastAsia="Book Antiqua" w:hAnsi="Arial" w:cs="Arial"/>
          <w:sz w:val="20"/>
          <w:szCs w:val="20"/>
        </w:rPr>
        <w:t>carefully ‘scrutinise the justification for, and the nature and scope of, the proposed order’.</w:t>
      </w:r>
    </w:p>
    <w:p w14:paraId="0C3100ED" w14:textId="79061921" w:rsidR="00157364" w:rsidRDefault="00157364" w:rsidP="00B05551">
      <w:pPr>
        <w:spacing w:before="60"/>
        <w:ind w:left="567" w:right="567"/>
        <w:jc w:val="both"/>
        <w:rPr>
          <w:rFonts w:ascii="Arial" w:hAnsi="Arial" w:cs="Arial"/>
          <w:sz w:val="20"/>
          <w:szCs w:val="20"/>
        </w:rPr>
      </w:pPr>
      <w:r>
        <w:rPr>
          <w:rFonts w:ascii="Arial" w:eastAsia="Book Antiqua" w:hAnsi="Arial" w:cs="Arial"/>
          <w:sz w:val="20"/>
          <w:szCs w:val="20"/>
        </w:rPr>
        <w:t xml:space="preserve">[66] </w:t>
      </w:r>
      <w:r w:rsidRPr="00157364">
        <w:rPr>
          <w:rFonts w:ascii="Arial" w:hAnsi="Arial" w:cs="Arial"/>
          <w:sz w:val="20"/>
          <w:szCs w:val="20"/>
        </w:rPr>
        <w:t xml:space="preserve">Thirdly, the duration and scope of any proceeding suppression order must not exceed what is necessary to achieve its purpose.  Any proceeding suppression </w:t>
      </w:r>
      <w:r w:rsidRPr="00157364">
        <w:rPr>
          <w:rFonts w:ascii="Arial" w:eastAsia="Book Antiqua" w:hAnsi="Arial" w:cs="Arial"/>
          <w:sz w:val="20"/>
          <w:szCs w:val="20"/>
        </w:rPr>
        <w:t xml:space="preserve">order must not exceed the duration ‘reasonably necessary’ to achieve the purpose for </w:t>
      </w:r>
      <w:r w:rsidRPr="00157364">
        <w:rPr>
          <w:rFonts w:ascii="Arial" w:hAnsi="Arial" w:cs="Arial"/>
          <w:sz w:val="20"/>
          <w:szCs w:val="20"/>
        </w:rPr>
        <w:t>which it is made: s 12(4).  Similarly, any order must not apply to (and so restrict the disclosure of) any more information than necessary to achieve the relevant purpose: s 13(1)(b).  The information to which the order does apply must be specified with sufficient particularity so that the scope of the order is readily apparent from its terms: s 13(1)(c).</w:t>
      </w:r>
    </w:p>
    <w:p w14:paraId="79FEED69" w14:textId="652517EB" w:rsidR="00157364" w:rsidRPr="00B05551" w:rsidRDefault="00157364" w:rsidP="00B05551">
      <w:pPr>
        <w:spacing w:before="60"/>
        <w:ind w:left="567" w:right="567"/>
        <w:jc w:val="both"/>
        <w:rPr>
          <w:rFonts w:ascii="Arial" w:hAnsi="Arial" w:cs="Arial"/>
          <w:sz w:val="20"/>
          <w:szCs w:val="20"/>
        </w:rPr>
      </w:pPr>
      <w:r>
        <w:rPr>
          <w:rFonts w:ascii="Arial" w:hAnsi="Arial" w:cs="Arial"/>
          <w:sz w:val="20"/>
          <w:szCs w:val="20"/>
        </w:rPr>
        <w:t xml:space="preserve">[67] </w:t>
      </w:r>
      <w:r w:rsidRPr="00157364">
        <w:rPr>
          <w:rFonts w:ascii="Arial" w:hAnsi="Arial" w:cs="Arial"/>
          <w:sz w:val="20"/>
          <w:szCs w:val="20"/>
        </w:rPr>
        <w:t>Fourthly, the court or tribunal that makes a proceeding suppression order (other than an interim order) must provide reasons setting out the ground(s) relied on, and justifying the duration and scope of the order: s 14A(1).</w:t>
      </w:r>
      <w:r>
        <w:rPr>
          <w:rFonts w:ascii="Arial" w:hAnsi="Arial" w:cs="Arial"/>
          <w:sz w:val="20"/>
          <w:szCs w:val="20"/>
        </w:rPr>
        <w:t>”</w:t>
      </w:r>
    </w:p>
    <w:p w14:paraId="3B54581B" w14:textId="39F89CAC" w:rsidR="009C2698" w:rsidRPr="00157364" w:rsidRDefault="001C37FC" w:rsidP="00157364">
      <w:pPr>
        <w:spacing w:before="60"/>
        <w:rPr>
          <w:rFonts w:ascii="Arial" w:hAnsi="Arial" w:cs="Arial"/>
          <w:sz w:val="20"/>
          <w:szCs w:val="20"/>
        </w:rPr>
      </w:pPr>
      <w:r>
        <w:rPr>
          <w:rFonts w:ascii="Arial" w:hAnsi="Arial" w:cs="Arial"/>
          <w:sz w:val="20"/>
          <w:szCs w:val="20"/>
        </w:rPr>
        <w:t>Finally, a</w:t>
      </w:r>
      <w:r w:rsidR="00157364" w:rsidRPr="00157364">
        <w:rPr>
          <w:rFonts w:ascii="Arial" w:hAnsi="Arial" w:cs="Arial"/>
          <w:sz w:val="20"/>
          <w:szCs w:val="20"/>
        </w:rPr>
        <w:t>t [93] the Court of Appeal</w:t>
      </w:r>
      <w:r w:rsidR="00157364">
        <w:rPr>
          <w:rFonts w:ascii="Arial" w:hAnsi="Arial" w:cs="Arial"/>
          <w:sz w:val="20"/>
          <w:szCs w:val="20"/>
        </w:rPr>
        <w:t xml:space="preserve"> commented on the relationship between a closed court order on the one hand and </w:t>
      </w:r>
      <w:r>
        <w:rPr>
          <w:rFonts w:ascii="Arial" w:hAnsi="Arial" w:cs="Arial"/>
          <w:sz w:val="20"/>
          <w:szCs w:val="20"/>
        </w:rPr>
        <w:t>any pseudonym and/or proceeding suppression order on the other hand:</w:t>
      </w:r>
    </w:p>
    <w:p w14:paraId="73BF567E" w14:textId="53058562" w:rsidR="001C37FC" w:rsidRPr="00B05551" w:rsidRDefault="001C37FC" w:rsidP="001C37FC">
      <w:pPr>
        <w:spacing w:before="60"/>
        <w:ind w:left="567" w:right="567"/>
        <w:jc w:val="both"/>
        <w:rPr>
          <w:rFonts w:ascii="Arial" w:hAnsi="Arial" w:cs="Arial"/>
          <w:sz w:val="20"/>
          <w:szCs w:val="20"/>
        </w:rPr>
      </w:pPr>
      <w:r>
        <w:rPr>
          <w:rFonts w:ascii="Arial" w:hAnsi="Arial" w:cs="Arial"/>
          <w:sz w:val="20"/>
          <w:szCs w:val="20"/>
        </w:rPr>
        <w:t>“</w:t>
      </w:r>
      <w:r w:rsidRPr="001C37FC">
        <w:rPr>
          <w:rFonts w:ascii="Arial" w:hAnsi="Arial" w:cs="Arial"/>
          <w:sz w:val="20"/>
          <w:szCs w:val="20"/>
        </w:rPr>
        <w:t>Relatedly, the existence and scope of any pseudonym and/or proceeding suppression order may affect whether it remains necessary to maintain a closed tribunal order in respect of the entire proceeding.  A closed tribunal order is subject to the strict necessity standard described above, in respect of the same enumerated grounds</w:t>
      </w:r>
      <w:r>
        <w:rPr>
          <w:rFonts w:ascii="Arial" w:hAnsi="Arial" w:cs="Arial"/>
          <w:sz w:val="20"/>
          <w:szCs w:val="20"/>
        </w:rPr>
        <w:t xml:space="preserve">: see ss.28(2) &amp; 30(2) of the Act.  </w:t>
      </w:r>
      <w:r w:rsidRPr="001C37FC">
        <w:rPr>
          <w:rFonts w:ascii="Arial" w:hAnsi="Arial" w:cs="Arial"/>
          <w:sz w:val="20"/>
          <w:szCs w:val="20"/>
        </w:rPr>
        <w:t>As a result, the requisite standard may no longer be attainable if a proceeding suppression order and/or a pseudonym order has already satisfied the purpose for which a closed tribunal order might otherwise be thought necessary.</w:t>
      </w:r>
      <w:r>
        <w:rPr>
          <w:rFonts w:ascii="Arial" w:hAnsi="Arial" w:cs="Arial"/>
          <w:sz w:val="20"/>
          <w:szCs w:val="20"/>
        </w:rPr>
        <w:t>”</w:t>
      </w:r>
    </w:p>
    <w:p w14:paraId="22D993CA" w14:textId="0D14FACD" w:rsidR="009C2698" w:rsidRDefault="009C2698" w:rsidP="00CE7BD0">
      <w:pPr>
        <w:ind w:right="48"/>
        <w:rPr>
          <w:rFonts w:ascii="Arial" w:hAnsi="Arial" w:cs="Arial"/>
          <w:sz w:val="20"/>
          <w:szCs w:val="20"/>
        </w:rPr>
      </w:pPr>
    </w:p>
    <w:p w14:paraId="56A2E564" w14:textId="6DE1A4E8" w:rsidR="007A4D20" w:rsidRPr="008359C2" w:rsidRDefault="007A4D20" w:rsidP="007A4D20">
      <w:pPr>
        <w:jc w:val="both"/>
        <w:rPr>
          <w:rFonts w:ascii="Arial" w:hAnsi="Arial" w:cs="Arial"/>
          <w:sz w:val="20"/>
        </w:rPr>
      </w:pPr>
      <w:r>
        <w:rPr>
          <w:rFonts w:ascii="Arial" w:hAnsi="Arial" w:cs="Arial"/>
          <w:sz w:val="20"/>
        </w:rPr>
        <w:t xml:space="preserve">In </w:t>
      </w:r>
      <w:r w:rsidRPr="00CE2851">
        <w:rPr>
          <w:rFonts w:ascii="Arial" w:hAnsi="Arial" w:cs="Arial"/>
          <w:i/>
          <w:iCs/>
          <w:sz w:val="20"/>
        </w:rPr>
        <w:t>Re WD (No 2)</w:t>
      </w:r>
      <w:r>
        <w:rPr>
          <w:rFonts w:ascii="Arial" w:hAnsi="Arial" w:cs="Arial"/>
          <w:sz w:val="20"/>
        </w:rPr>
        <w:t xml:space="preserve"> [2023] VSC 790 an application was filed in the Supreme Court by the Secretary to the Department of Families, Fairness and Housing for a proceeding suppression order pursuant to ss.17 &amp; 18(1)(c) of the OCA, a closed court order pursuant to s.30(1) of the OCA and declaratory relief.  The application sought to prevent disclosure</w:t>
      </w:r>
      <w:r w:rsidR="006478B8">
        <w:rPr>
          <w:rFonts w:ascii="Arial" w:hAnsi="Arial" w:cs="Arial"/>
          <w:sz w:val="20"/>
        </w:rPr>
        <w:t>,</w:t>
      </w:r>
      <w:r>
        <w:rPr>
          <w:rFonts w:ascii="Arial" w:hAnsi="Arial" w:cs="Arial"/>
          <w:sz w:val="20"/>
        </w:rPr>
        <w:t xml:space="preserve"> by publication or otherwise</w:t>
      </w:r>
      <w:r w:rsidR="006478B8">
        <w:rPr>
          <w:rFonts w:ascii="Arial" w:hAnsi="Arial" w:cs="Arial"/>
          <w:sz w:val="20"/>
        </w:rPr>
        <w:t>,</w:t>
      </w:r>
      <w:r>
        <w:rPr>
          <w:rFonts w:ascii="Arial" w:hAnsi="Arial" w:cs="Arial"/>
          <w:sz w:val="20"/>
        </w:rPr>
        <w:t xml:space="preserve"> of information that would tend to identity WD – a 12 year old girl who was the subject of a care by Secretary order and had been charged with murder – as the subject of proceedings in the Children’s Court and in the Supreme Court.  </w:t>
      </w:r>
      <w:r w:rsidRPr="008359C2">
        <w:rPr>
          <w:rFonts w:ascii="Arial" w:hAnsi="Arial" w:cs="Arial"/>
          <w:sz w:val="20"/>
          <w:szCs w:val="20"/>
        </w:rPr>
        <w:t>At the outset the Secretary withdrew her application for a closed court order under s</w:t>
      </w:r>
      <w:r>
        <w:rPr>
          <w:rFonts w:ascii="Arial" w:hAnsi="Arial" w:cs="Arial"/>
          <w:sz w:val="20"/>
          <w:szCs w:val="20"/>
        </w:rPr>
        <w:t>.</w:t>
      </w:r>
      <w:r w:rsidRPr="008359C2">
        <w:rPr>
          <w:rFonts w:ascii="Arial" w:hAnsi="Arial" w:cs="Arial"/>
          <w:sz w:val="20"/>
          <w:szCs w:val="20"/>
        </w:rPr>
        <w:t>30(1) of the O</w:t>
      </w:r>
      <w:r>
        <w:rPr>
          <w:rFonts w:ascii="Arial" w:hAnsi="Arial" w:cs="Arial"/>
          <w:sz w:val="20"/>
          <w:szCs w:val="20"/>
        </w:rPr>
        <w:t>CA and u</w:t>
      </w:r>
      <w:r w:rsidRPr="008359C2">
        <w:rPr>
          <w:rFonts w:ascii="Arial" w:hAnsi="Arial" w:cs="Arial"/>
          <w:sz w:val="20"/>
          <w:szCs w:val="20"/>
        </w:rPr>
        <w:t xml:space="preserve">ltimately Elliott J </w:t>
      </w:r>
      <w:r>
        <w:rPr>
          <w:rFonts w:ascii="Arial" w:hAnsi="Arial" w:cs="Arial"/>
          <w:sz w:val="20"/>
        </w:rPr>
        <w:t>– in a detailed and considered judgment – dismissed the Secretary’s application for a proceeding suppression order and for declaratory relief.  At [58]-[59]</w:t>
      </w:r>
      <w:r w:rsidR="0049367C">
        <w:rPr>
          <w:rFonts w:ascii="Arial" w:hAnsi="Arial" w:cs="Arial"/>
          <w:sz w:val="20"/>
        </w:rPr>
        <w:t xml:space="preserve"> &amp; [61]-[63]</w:t>
      </w:r>
      <w:r>
        <w:rPr>
          <w:rFonts w:ascii="Arial" w:hAnsi="Arial" w:cs="Arial"/>
          <w:sz w:val="20"/>
        </w:rPr>
        <w:t xml:space="preserve"> Elliott J discussed the operation of the OCA </w:t>
      </w:r>
      <w:r w:rsidR="0049367C">
        <w:rPr>
          <w:rFonts w:ascii="Arial" w:hAnsi="Arial" w:cs="Arial"/>
          <w:sz w:val="20"/>
        </w:rPr>
        <w:t>both</w:t>
      </w:r>
      <w:r>
        <w:rPr>
          <w:rFonts w:ascii="Arial" w:hAnsi="Arial" w:cs="Arial"/>
          <w:sz w:val="20"/>
        </w:rPr>
        <w:t xml:space="preserve"> general</w:t>
      </w:r>
      <w:r w:rsidR="0049367C">
        <w:rPr>
          <w:rFonts w:ascii="Arial" w:hAnsi="Arial" w:cs="Arial"/>
          <w:sz w:val="20"/>
        </w:rPr>
        <w:t>ly</w:t>
      </w:r>
      <w:r>
        <w:rPr>
          <w:rFonts w:ascii="Arial" w:hAnsi="Arial" w:cs="Arial"/>
          <w:sz w:val="20"/>
        </w:rPr>
        <w:t xml:space="preserve"> </w:t>
      </w:r>
      <w:r w:rsidR="0049367C">
        <w:rPr>
          <w:rFonts w:ascii="Arial" w:hAnsi="Arial" w:cs="Arial"/>
          <w:sz w:val="20"/>
        </w:rPr>
        <w:t xml:space="preserve">and in relation to suppression orders </w:t>
      </w:r>
      <w:r>
        <w:rPr>
          <w:rFonts w:ascii="Arial" w:hAnsi="Arial" w:cs="Arial"/>
          <w:sz w:val="20"/>
        </w:rPr>
        <w:t>as follows</w:t>
      </w:r>
      <w:r>
        <w:rPr>
          <w:rFonts w:ascii="Arial" w:hAnsi="Arial" w:cs="Arial"/>
          <w:color w:val="000000"/>
          <w:sz w:val="20"/>
        </w:rPr>
        <w:t>–</w:t>
      </w:r>
    </w:p>
    <w:p w14:paraId="42471D45" w14:textId="2A6B1BE4" w:rsidR="007A4D20" w:rsidRDefault="007A4D20" w:rsidP="007A4D20">
      <w:pPr>
        <w:spacing w:before="60"/>
        <w:ind w:left="567" w:right="567"/>
        <w:jc w:val="both"/>
        <w:rPr>
          <w:rFonts w:ascii="Arial" w:hAnsi="Arial" w:cs="Arial"/>
          <w:sz w:val="20"/>
          <w:szCs w:val="20"/>
        </w:rPr>
      </w:pPr>
      <w:r>
        <w:rPr>
          <w:rFonts w:ascii="Arial" w:hAnsi="Arial" w:cs="Arial"/>
          <w:color w:val="000000"/>
          <w:sz w:val="20"/>
        </w:rPr>
        <w:t>[58] “</w:t>
      </w:r>
      <w:r w:rsidR="006478B8">
        <w:rPr>
          <w:rFonts w:ascii="Arial" w:hAnsi="Arial" w:cs="Arial"/>
          <w:color w:val="000000"/>
          <w:sz w:val="20"/>
        </w:rPr>
        <w:t xml:space="preserve">The </w:t>
      </w:r>
      <w:r w:rsidR="006478B8" w:rsidRPr="006478B8">
        <w:rPr>
          <w:rFonts w:ascii="Arial" w:hAnsi="Arial" w:cs="Arial"/>
          <w:i/>
          <w:iCs/>
          <w:sz w:val="20"/>
          <w:szCs w:val="20"/>
        </w:rPr>
        <w:t>Open Courts Act</w:t>
      </w:r>
      <w:r w:rsidR="006478B8" w:rsidRPr="006478B8">
        <w:rPr>
          <w:rFonts w:ascii="Arial" w:hAnsi="Arial" w:cs="Arial"/>
          <w:sz w:val="20"/>
          <w:szCs w:val="20"/>
        </w:rPr>
        <w:t xml:space="preserve"> recognises and promotes the principle that open justice is a fundamental aspect of the Victorian legal system. This principle maintains the integrity and impartiality of courts and tribunals, and strengthens public confidence in the justice system</w:t>
      </w:r>
      <w:r w:rsidR="006478B8">
        <w:rPr>
          <w:rFonts w:ascii="Arial" w:hAnsi="Arial" w:cs="Arial"/>
          <w:sz w:val="20"/>
          <w:szCs w:val="20"/>
        </w:rPr>
        <w:t>: OCA s.1(aa)</w:t>
      </w:r>
      <w:r w:rsidR="006478B8" w:rsidRPr="006478B8">
        <w:rPr>
          <w:rFonts w:ascii="Arial" w:hAnsi="Arial" w:cs="Arial"/>
          <w:sz w:val="20"/>
          <w:szCs w:val="20"/>
        </w:rPr>
        <w:t>.</w:t>
      </w:r>
      <w:r w:rsidR="006478B8">
        <w:rPr>
          <w:rFonts w:ascii="Arial" w:hAnsi="Arial" w:cs="Arial"/>
          <w:sz w:val="20"/>
          <w:szCs w:val="20"/>
        </w:rPr>
        <w:t xml:space="preserve"> </w:t>
      </w:r>
      <w:r w:rsidR="006478B8" w:rsidRPr="006478B8">
        <w:rPr>
          <w:rFonts w:ascii="Arial" w:hAnsi="Arial" w:cs="Arial"/>
          <w:sz w:val="20"/>
          <w:szCs w:val="20"/>
        </w:rPr>
        <w:t>Accordingly, a court must have regard to the primacy of the principle of open justice and the free communication and disclosure of information in determining whether to make a suppression order</w:t>
      </w:r>
      <w:r w:rsidR="006478B8">
        <w:rPr>
          <w:rFonts w:ascii="Arial" w:hAnsi="Arial" w:cs="Arial"/>
          <w:sz w:val="20"/>
          <w:szCs w:val="20"/>
        </w:rPr>
        <w:t>: OCA s.4(1)</w:t>
      </w:r>
      <w:r w:rsidR="006478B8" w:rsidRPr="006478B8">
        <w:rPr>
          <w:rFonts w:ascii="Arial" w:hAnsi="Arial" w:cs="Arial"/>
          <w:sz w:val="20"/>
          <w:szCs w:val="20"/>
        </w:rPr>
        <w:t>. A court may only make a suppression order where it is necessary to override or displace the principle of open justice and the free communication and disclosure of information</w:t>
      </w:r>
      <w:r w:rsidR="006478B8">
        <w:rPr>
          <w:rFonts w:ascii="Arial" w:hAnsi="Arial" w:cs="Arial"/>
          <w:sz w:val="20"/>
          <w:szCs w:val="20"/>
        </w:rPr>
        <w:t>: OCA s.4(2)</w:t>
      </w:r>
      <w:r w:rsidR="006478B8" w:rsidRPr="006478B8">
        <w:rPr>
          <w:rFonts w:ascii="Arial" w:hAnsi="Arial" w:cs="Arial"/>
          <w:sz w:val="20"/>
          <w:szCs w:val="20"/>
        </w:rPr>
        <w:t>.</w:t>
      </w:r>
    </w:p>
    <w:p w14:paraId="6A19B52B" w14:textId="62D42331" w:rsidR="006478B8" w:rsidRPr="00381395" w:rsidRDefault="006478B8" w:rsidP="007A4D20">
      <w:pPr>
        <w:spacing w:before="60"/>
        <w:ind w:left="567" w:right="567"/>
        <w:jc w:val="both"/>
        <w:rPr>
          <w:rFonts w:ascii="Arial" w:hAnsi="Arial" w:cs="Arial"/>
          <w:color w:val="000000"/>
          <w:sz w:val="20"/>
        </w:rPr>
      </w:pPr>
      <w:r>
        <w:rPr>
          <w:rFonts w:ascii="Arial" w:hAnsi="Arial" w:cs="Arial"/>
          <w:sz w:val="20"/>
          <w:szCs w:val="20"/>
        </w:rPr>
        <w:t xml:space="preserve">[59] </w:t>
      </w:r>
      <w:r w:rsidRPr="006478B8">
        <w:rPr>
          <w:rFonts w:ascii="Arial" w:hAnsi="Arial" w:cs="Arial"/>
          <w:sz w:val="20"/>
          <w:szCs w:val="20"/>
        </w:rPr>
        <w:t>The importance of necessity in the context of the proper administration of justice was explained in an oft-quoted passage</w:t>
      </w:r>
      <w:r>
        <w:rPr>
          <w:rFonts w:ascii="Arial" w:hAnsi="Arial" w:cs="Arial"/>
          <w:sz w:val="20"/>
          <w:szCs w:val="20"/>
        </w:rPr>
        <w:t xml:space="preserve"> </w:t>
      </w:r>
      <w:r w:rsidR="0049367C">
        <w:rPr>
          <w:rFonts w:ascii="Arial" w:hAnsi="Arial" w:cs="Arial"/>
          <w:sz w:val="20"/>
          <w:szCs w:val="20"/>
        </w:rPr>
        <w:t xml:space="preserve">from </w:t>
      </w:r>
      <w:r w:rsidR="0049367C" w:rsidRPr="0049367C">
        <w:rPr>
          <w:rFonts w:ascii="Arial" w:hAnsi="Arial" w:cs="Arial"/>
          <w:i/>
          <w:iCs/>
          <w:sz w:val="20"/>
          <w:szCs w:val="20"/>
        </w:rPr>
        <w:t>John Fairfax &amp; Sons Ltd v Police Tribunal of New South Wales</w:t>
      </w:r>
      <w:r w:rsidR="0049367C">
        <w:rPr>
          <w:rFonts w:ascii="Arial" w:hAnsi="Arial" w:cs="Arial"/>
          <w:sz w:val="20"/>
          <w:szCs w:val="20"/>
        </w:rPr>
        <w:t xml:space="preserve"> (1986) 5 NSWLR 465, 476G-477B (McHugh JA, with whom Glass JA agreed):</w:t>
      </w:r>
    </w:p>
    <w:p w14:paraId="31C9556A" w14:textId="5CAE06BF" w:rsidR="0049367C" w:rsidRPr="00381395" w:rsidRDefault="0049367C" w:rsidP="0049367C">
      <w:pPr>
        <w:spacing w:before="60"/>
        <w:ind w:left="1021" w:right="1021"/>
        <w:jc w:val="both"/>
        <w:rPr>
          <w:rFonts w:ascii="Arial" w:hAnsi="Arial" w:cs="Arial"/>
          <w:color w:val="000000"/>
          <w:sz w:val="20"/>
        </w:rPr>
      </w:pPr>
      <w:r>
        <w:rPr>
          <w:rFonts w:ascii="Arial" w:hAnsi="Arial" w:cs="Arial"/>
          <w:color w:val="000000"/>
          <w:sz w:val="20"/>
        </w:rPr>
        <w:t>‘</w:t>
      </w:r>
      <w:r w:rsidRPr="0049367C">
        <w:rPr>
          <w:rFonts w:ascii="Arial" w:hAnsi="Arial" w:cs="Arial"/>
          <w:sz w:val="18"/>
          <w:szCs w:val="18"/>
        </w:rPr>
        <w:t xml:space="preserve">The fundamental rule of the common law is that the administration of justice must take place in open court. A court can only depart from this rule where its observance would frustrate the administration of justice or some other public interest for whose protection Parliament has modified the open justice rule. The principle of open justice also requires that nothing should be done to discourage the making of fair and accurate reports of what occurs in the courtroom. Accordingly, an order of a court prohibiting the publication of evidence is only valid if it is really necessary to secure the proper administration of justice in proceedings before it. Moreover, an order prohibiting publication of evidence must be </w:t>
      </w:r>
      <w:r w:rsidRPr="0049367C">
        <w:rPr>
          <w:rFonts w:ascii="Arial" w:hAnsi="Arial" w:cs="Arial"/>
          <w:sz w:val="18"/>
          <w:szCs w:val="18"/>
        </w:rPr>
        <w:lastRenderedPageBreak/>
        <w:t>clear in its terms and do no more than is necessary to achieve the due administration of justice. The making of the order must also be reasonably necessary; and there must be some material before the court upon which it can reasonably reach the conclusion that it is necessary to make an order prohibiting publication. Mere belief that the order is necessary is insufficient.</w:t>
      </w:r>
      <w:r>
        <w:rPr>
          <w:rFonts w:ascii="Arial" w:hAnsi="Arial" w:cs="Arial"/>
          <w:sz w:val="18"/>
          <w:szCs w:val="18"/>
        </w:rPr>
        <w:t>’ [emphasis added]</w:t>
      </w:r>
    </w:p>
    <w:p w14:paraId="35CBBD49" w14:textId="01877B58" w:rsidR="0049367C" w:rsidRPr="00381395" w:rsidRDefault="0049367C" w:rsidP="0049367C">
      <w:pPr>
        <w:spacing w:before="60"/>
        <w:ind w:left="567" w:right="567"/>
        <w:jc w:val="both"/>
        <w:rPr>
          <w:rFonts w:ascii="Arial" w:hAnsi="Arial" w:cs="Arial"/>
          <w:color w:val="000000"/>
          <w:sz w:val="20"/>
        </w:rPr>
      </w:pPr>
      <w:r>
        <w:rPr>
          <w:rFonts w:ascii="Arial" w:hAnsi="Arial" w:cs="Arial"/>
          <w:color w:val="000000"/>
          <w:sz w:val="20"/>
        </w:rPr>
        <w:t>…</w:t>
      </w:r>
    </w:p>
    <w:p w14:paraId="45937DC4" w14:textId="18C008E2" w:rsidR="0049367C" w:rsidRDefault="0049367C" w:rsidP="0049367C">
      <w:pPr>
        <w:spacing w:before="60"/>
        <w:ind w:left="567" w:right="567"/>
        <w:jc w:val="both"/>
        <w:rPr>
          <w:rFonts w:ascii="Arial" w:hAnsi="Arial" w:cs="Arial"/>
          <w:color w:val="000000"/>
          <w:sz w:val="20"/>
        </w:rPr>
      </w:pPr>
      <w:r>
        <w:rPr>
          <w:rFonts w:ascii="Arial" w:hAnsi="Arial" w:cs="Arial"/>
          <w:color w:val="000000"/>
          <w:sz w:val="20"/>
        </w:rPr>
        <w:t xml:space="preserve">[61] </w:t>
      </w:r>
      <w:r w:rsidR="003258E0" w:rsidRPr="003258E0">
        <w:rPr>
          <w:rFonts w:ascii="Arial" w:hAnsi="Arial" w:cs="Arial"/>
          <w:sz w:val="20"/>
          <w:szCs w:val="20"/>
        </w:rPr>
        <w:t>Numerous authorities have subsequently discussed the requirement of necessity in the context of section 18 of the Open Courts Act, which were recently summarised as follows</w:t>
      </w:r>
      <w:r w:rsidR="003258E0">
        <w:rPr>
          <w:rFonts w:ascii="Arial" w:hAnsi="Arial" w:cs="Arial"/>
          <w:sz w:val="20"/>
          <w:szCs w:val="20"/>
        </w:rPr>
        <w:t xml:space="preserve"> in </w:t>
      </w:r>
      <w:r w:rsidR="003258E0" w:rsidRPr="003258E0">
        <w:rPr>
          <w:rFonts w:ascii="Arial" w:hAnsi="Arial" w:cs="Arial"/>
          <w:i/>
          <w:iCs/>
          <w:sz w:val="20"/>
          <w:szCs w:val="20"/>
        </w:rPr>
        <w:t>Director of Public Prosecutions v EN</w:t>
      </w:r>
      <w:r w:rsidR="003258E0">
        <w:rPr>
          <w:rFonts w:ascii="Arial" w:hAnsi="Arial" w:cs="Arial"/>
          <w:sz w:val="20"/>
          <w:szCs w:val="20"/>
        </w:rPr>
        <w:t xml:space="preserve"> [2023] VSC 724 at [24]-[25]</w:t>
      </w:r>
      <w:r w:rsidR="003258E0" w:rsidRPr="003258E0">
        <w:rPr>
          <w:rFonts w:ascii="Arial" w:hAnsi="Arial" w:cs="Arial"/>
          <w:sz w:val="20"/>
          <w:szCs w:val="20"/>
        </w:rPr>
        <w:t>:</w:t>
      </w:r>
    </w:p>
    <w:p w14:paraId="28E2E8FB" w14:textId="282BF995" w:rsidR="00FE6664" w:rsidRDefault="003258E0" w:rsidP="003258E0">
      <w:pPr>
        <w:spacing w:before="60"/>
        <w:ind w:left="1021" w:right="1021"/>
        <w:jc w:val="both"/>
        <w:rPr>
          <w:rFonts w:ascii="Arial" w:hAnsi="Arial" w:cs="Arial"/>
          <w:sz w:val="18"/>
          <w:szCs w:val="18"/>
        </w:rPr>
      </w:pPr>
      <w:r>
        <w:rPr>
          <w:rFonts w:ascii="Arial" w:hAnsi="Arial" w:cs="Arial"/>
          <w:sz w:val="18"/>
          <w:szCs w:val="18"/>
        </w:rPr>
        <w:t>‘</w:t>
      </w:r>
      <w:r w:rsidRPr="003258E0">
        <w:rPr>
          <w:rFonts w:ascii="Arial" w:hAnsi="Arial" w:cs="Arial"/>
          <w:sz w:val="18"/>
          <w:szCs w:val="18"/>
        </w:rPr>
        <w:t xml:space="preserve">Each of the grounds outlined under section 18(1) [of the </w:t>
      </w:r>
      <w:r w:rsidRPr="00FE6664">
        <w:rPr>
          <w:rFonts w:ascii="Arial" w:hAnsi="Arial" w:cs="Arial"/>
          <w:i/>
          <w:iCs/>
          <w:sz w:val="18"/>
          <w:szCs w:val="18"/>
        </w:rPr>
        <w:t>Open Courts Act</w:t>
      </w:r>
      <w:r w:rsidRPr="003258E0">
        <w:rPr>
          <w:rFonts w:ascii="Arial" w:hAnsi="Arial" w:cs="Arial"/>
          <w:sz w:val="18"/>
          <w:szCs w:val="18"/>
        </w:rPr>
        <w:t xml:space="preserve">] require the court to be satisfied that a suppression order is “necessary” in the circumstances. The same test of necessity applies where a suppression order is sought pursuant to the court’s inherent jurisdiction. A suppression order will be necessary where, absent the order, </w:t>
      </w:r>
      <w:r w:rsidR="006B5C61">
        <w:rPr>
          <w:rFonts w:ascii="Arial" w:hAnsi="Arial" w:cs="Arial"/>
          <w:sz w:val="18"/>
          <w:szCs w:val="18"/>
        </w:rPr>
        <w:t>“</w:t>
      </w:r>
      <w:r w:rsidRPr="003258E0">
        <w:rPr>
          <w:rFonts w:ascii="Arial" w:hAnsi="Arial" w:cs="Arial"/>
          <w:sz w:val="18"/>
          <w:szCs w:val="18"/>
        </w:rPr>
        <w:t>particular unacceptable consequences will flow that ought be prevented to preserve the proper function of the court</w:t>
      </w:r>
      <w:r w:rsidR="006B5C61">
        <w:rPr>
          <w:rFonts w:ascii="Arial" w:hAnsi="Arial" w:cs="Arial"/>
          <w:sz w:val="18"/>
          <w:szCs w:val="18"/>
        </w:rPr>
        <w:t>”</w:t>
      </w:r>
      <w:r w:rsidRPr="003258E0">
        <w:rPr>
          <w:rFonts w:ascii="Arial" w:hAnsi="Arial" w:cs="Arial"/>
          <w:sz w:val="18"/>
          <w:szCs w:val="18"/>
        </w:rPr>
        <w:t xml:space="preserve">. Necessity in this context is a </w:t>
      </w:r>
      <w:r w:rsidR="006B5C61">
        <w:rPr>
          <w:rFonts w:ascii="Arial" w:hAnsi="Arial" w:cs="Arial"/>
          <w:sz w:val="18"/>
          <w:szCs w:val="18"/>
        </w:rPr>
        <w:t>“</w:t>
      </w:r>
      <w:r w:rsidRPr="003258E0">
        <w:rPr>
          <w:rFonts w:ascii="Arial" w:hAnsi="Arial" w:cs="Arial"/>
          <w:sz w:val="18"/>
          <w:szCs w:val="18"/>
        </w:rPr>
        <w:t>stringent standard</w:t>
      </w:r>
      <w:r w:rsidR="006B5C61">
        <w:rPr>
          <w:rFonts w:ascii="Arial" w:hAnsi="Arial" w:cs="Arial"/>
          <w:sz w:val="18"/>
          <w:szCs w:val="18"/>
        </w:rPr>
        <w:t>”</w:t>
      </w:r>
      <w:r w:rsidRPr="003258E0">
        <w:rPr>
          <w:rFonts w:ascii="Arial" w:hAnsi="Arial" w:cs="Arial"/>
          <w:sz w:val="18"/>
          <w:szCs w:val="18"/>
        </w:rPr>
        <w:t xml:space="preserve"> requiring a high degree of satisfaction. It is insufficient that the making of a suppression order is merely </w:t>
      </w:r>
      <w:r w:rsidR="006B5C61">
        <w:rPr>
          <w:rFonts w:ascii="Arial" w:hAnsi="Arial" w:cs="Arial"/>
          <w:sz w:val="18"/>
          <w:szCs w:val="18"/>
        </w:rPr>
        <w:t>“</w:t>
      </w:r>
      <w:r w:rsidRPr="003258E0">
        <w:rPr>
          <w:rFonts w:ascii="Arial" w:hAnsi="Arial" w:cs="Arial"/>
          <w:sz w:val="18"/>
          <w:szCs w:val="18"/>
        </w:rPr>
        <w:t>convenient, reasonable or sensible</w:t>
      </w:r>
      <w:r w:rsidR="006B5C61">
        <w:rPr>
          <w:rFonts w:ascii="Arial" w:hAnsi="Arial" w:cs="Arial"/>
          <w:sz w:val="18"/>
          <w:szCs w:val="18"/>
        </w:rPr>
        <w:t>”</w:t>
      </w:r>
      <w:r w:rsidRPr="003258E0">
        <w:rPr>
          <w:rFonts w:ascii="Arial" w:hAnsi="Arial" w:cs="Arial"/>
          <w:sz w:val="18"/>
          <w:szCs w:val="18"/>
        </w:rPr>
        <w:t>. It is also not enough that a failure to make a suppression order may result in embarrassment, shame or humiliation for an applicant. The applicant bears the onus of persuading the court that the suppression order sought is necessary.</w:t>
      </w:r>
    </w:p>
    <w:p w14:paraId="22525E81" w14:textId="2B395DE7" w:rsidR="003258E0" w:rsidRPr="00371371" w:rsidRDefault="003258E0" w:rsidP="003258E0">
      <w:pPr>
        <w:spacing w:before="60"/>
        <w:ind w:left="1021" w:right="1021"/>
        <w:jc w:val="both"/>
        <w:rPr>
          <w:rFonts w:ascii="Arial" w:hAnsi="Arial" w:cs="Arial"/>
          <w:color w:val="000000"/>
          <w:sz w:val="18"/>
          <w:szCs w:val="22"/>
        </w:rPr>
      </w:pPr>
      <w:r w:rsidRPr="003258E0">
        <w:rPr>
          <w:rFonts w:ascii="Arial" w:hAnsi="Arial" w:cs="Arial"/>
          <w:sz w:val="18"/>
          <w:szCs w:val="18"/>
        </w:rPr>
        <w:t xml:space="preserve">Insofar as the </w:t>
      </w:r>
      <w:r w:rsidR="006B5C61">
        <w:rPr>
          <w:rFonts w:ascii="Arial" w:hAnsi="Arial" w:cs="Arial"/>
          <w:sz w:val="18"/>
          <w:szCs w:val="18"/>
        </w:rPr>
        <w:t>“</w:t>
      </w:r>
      <w:r w:rsidRPr="003258E0">
        <w:rPr>
          <w:rFonts w:ascii="Arial" w:hAnsi="Arial" w:cs="Arial"/>
          <w:sz w:val="18"/>
          <w:szCs w:val="18"/>
        </w:rPr>
        <w:t>necessity</w:t>
      </w:r>
      <w:r w:rsidR="006B5C61">
        <w:rPr>
          <w:rFonts w:ascii="Arial" w:hAnsi="Arial" w:cs="Arial"/>
          <w:sz w:val="18"/>
          <w:szCs w:val="18"/>
        </w:rPr>
        <w:t>”</w:t>
      </w:r>
      <w:r w:rsidRPr="003258E0">
        <w:rPr>
          <w:rFonts w:ascii="Arial" w:hAnsi="Arial" w:cs="Arial"/>
          <w:sz w:val="18"/>
          <w:szCs w:val="18"/>
        </w:rPr>
        <w:t xml:space="preserve"> test is directed towards the ground of safety of any person, it requires the establishment of a causal link between the absence of the order and some increased risk to the person concerned. Thus, if the level of danger faced by a person would not be materially advanced were a suppression order not to be made, it is unlikely that such an order could truly be considered </w:t>
      </w:r>
      <w:r w:rsidR="006B5C61">
        <w:rPr>
          <w:rFonts w:ascii="Arial" w:hAnsi="Arial" w:cs="Arial"/>
          <w:sz w:val="18"/>
          <w:szCs w:val="18"/>
        </w:rPr>
        <w:t>“</w:t>
      </w:r>
      <w:r w:rsidRPr="003258E0">
        <w:rPr>
          <w:rFonts w:ascii="Arial" w:hAnsi="Arial" w:cs="Arial"/>
          <w:sz w:val="18"/>
          <w:szCs w:val="18"/>
        </w:rPr>
        <w:t>necessary</w:t>
      </w:r>
      <w:r w:rsidR="006B5C61">
        <w:rPr>
          <w:rFonts w:ascii="Arial" w:hAnsi="Arial" w:cs="Arial"/>
          <w:sz w:val="18"/>
          <w:szCs w:val="18"/>
        </w:rPr>
        <w:t>”</w:t>
      </w:r>
      <w:r w:rsidRPr="003258E0">
        <w:rPr>
          <w:rFonts w:ascii="Arial" w:hAnsi="Arial" w:cs="Arial"/>
          <w:sz w:val="18"/>
          <w:szCs w:val="18"/>
        </w:rPr>
        <w:t xml:space="preserve">. </w:t>
      </w:r>
      <w:r w:rsidR="00A90526">
        <w:rPr>
          <w:rFonts w:ascii="Arial" w:hAnsi="Arial" w:cs="Arial"/>
          <w:sz w:val="18"/>
          <w:szCs w:val="18"/>
        </w:rPr>
        <w:t>(C</w:t>
      </w:r>
      <w:r w:rsidRPr="003258E0">
        <w:rPr>
          <w:rFonts w:ascii="Arial" w:hAnsi="Arial" w:cs="Arial"/>
          <w:sz w:val="18"/>
          <w:szCs w:val="18"/>
        </w:rPr>
        <w:t>itations omitted</w:t>
      </w:r>
      <w:r w:rsidR="00A90526">
        <w:rPr>
          <w:rFonts w:ascii="Arial" w:hAnsi="Arial" w:cs="Arial"/>
          <w:sz w:val="18"/>
          <w:szCs w:val="18"/>
        </w:rPr>
        <w:t>)</w:t>
      </w:r>
    </w:p>
    <w:p w14:paraId="192B52FE" w14:textId="5B732EB5" w:rsidR="0049367C" w:rsidRDefault="0049367C" w:rsidP="0049367C">
      <w:pPr>
        <w:spacing w:before="60"/>
        <w:ind w:left="567" w:right="567"/>
        <w:jc w:val="both"/>
        <w:rPr>
          <w:rFonts w:ascii="Arial" w:hAnsi="Arial" w:cs="Arial"/>
          <w:color w:val="000000"/>
          <w:sz w:val="20"/>
        </w:rPr>
      </w:pPr>
      <w:r>
        <w:rPr>
          <w:rFonts w:ascii="Arial" w:hAnsi="Arial" w:cs="Arial"/>
          <w:color w:val="000000"/>
          <w:sz w:val="20"/>
        </w:rPr>
        <w:t xml:space="preserve">[62] </w:t>
      </w:r>
      <w:r w:rsidR="00371371" w:rsidRPr="003258E0">
        <w:rPr>
          <w:rFonts w:ascii="Arial" w:hAnsi="Arial" w:cs="Arial"/>
          <w:sz w:val="20"/>
          <w:szCs w:val="20"/>
        </w:rPr>
        <w:t>In relation to what is encapsulated by the phrase “safety of any person”:</w:t>
      </w:r>
    </w:p>
    <w:p w14:paraId="2DCD20F2" w14:textId="3C6D2440" w:rsidR="00371371" w:rsidRPr="00371371" w:rsidRDefault="00371371" w:rsidP="00371371">
      <w:pPr>
        <w:spacing w:before="60"/>
        <w:ind w:left="1021" w:right="1021"/>
        <w:jc w:val="both"/>
        <w:rPr>
          <w:rFonts w:ascii="Arial" w:hAnsi="Arial" w:cs="Arial"/>
          <w:color w:val="000000"/>
          <w:sz w:val="18"/>
          <w:szCs w:val="22"/>
        </w:rPr>
      </w:pPr>
      <w:r>
        <w:rPr>
          <w:rFonts w:ascii="Arial" w:hAnsi="Arial" w:cs="Arial"/>
          <w:color w:val="000000"/>
          <w:sz w:val="18"/>
          <w:szCs w:val="22"/>
        </w:rPr>
        <w:t>‘</w:t>
      </w:r>
      <w:r w:rsidRPr="00371371">
        <w:rPr>
          <w:rFonts w:ascii="Arial" w:hAnsi="Arial" w:cs="Arial"/>
          <w:sz w:val="18"/>
          <w:szCs w:val="18"/>
        </w:rPr>
        <w:t xml:space="preserve">Safety in the context of section 18(1)(c) is to be given a broad construction, and the provision has been held to encompass risks to both physical and psychological safety. However, an important distinction can be drawn between </w:t>
      </w:r>
      <w:r w:rsidR="006B5C61">
        <w:rPr>
          <w:rFonts w:ascii="Arial" w:hAnsi="Arial" w:cs="Arial"/>
          <w:sz w:val="18"/>
          <w:szCs w:val="18"/>
        </w:rPr>
        <w:t>“</w:t>
      </w:r>
      <w:r w:rsidRPr="00371371">
        <w:rPr>
          <w:rFonts w:ascii="Arial" w:hAnsi="Arial" w:cs="Arial"/>
          <w:sz w:val="18"/>
          <w:szCs w:val="18"/>
        </w:rPr>
        <w:t>harm</w:t>
      </w:r>
      <w:r w:rsidR="006B5C61">
        <w:rPr>
          <w:rFonts w:ascii="Arial" w:hAnsi="Arial" w:cs="Arial"/>
          <w:sz w:val="18"/>
          <w:szCs w:val="18"/>
        </w:rPr>
        <w:t>”</w:t>
      </w:r>
      <w:r w:rsidRPr="00371371">
        <w:rPr>
          <w:rFonts w:ascii="Arial" w:hAnsi="Arial" w:cs="Arial"/>
          <w:sz w:val="18"/>
          <w:szCs w:val="18"/>
        </w:rPr>
        <w:t xml:space="preserve"> and </w:t>
      </w:r>
      <w:r w:rsidR="006B5C61">
        <w:rPr>
          <w:rFonts w:ascii="Arial" w:hAnsi="Arial" w:cs="Arial"/>
          <w:sz w:val="18"/>
          <w:szCs w:val="18"/>
        </w:rPr>
        <w:t>“</w:t>
      </w:r>
      <w:r w:rsidRPr="00371371">
        <w:rPr>
          <w:rFonts w:ascii="Arial" w:hAnsi="Arial" w:cs="Arial"/>
          <w:sz w:val="18"/>
          <w:szCs w:val="18"/>
        </w:rPr>
        <w:t>safety</w:t>
      </w:r>
      <w:r w:rsidR="006B5C61">
        <w:rPr>
          <w:rFonts w:ascii="Arial" w:hAnsi="Arial" w:cs="Arial"/>
          <w:sz w:val="18"/>
          <w:szCs w:val="18"/>
        </w:rPr>
        <w:t>”</w:t>
      </w:r>
      <w:r w:rsidRPr="00371371">
        <w:rPr>
          <w:rFonts w:ascii="Arial" w:hAnsi="Arial" w:cs="Arial"/>
          <w:sz w:val="18"/>
          <w:szCs w:val="18"/>
        </w:rPr>
        <w:t xml:space="preserve">, the latter concept being a </w:t>
      </w:r>
      <w:r w:rsidR="006B5C61">
        <w:rPr>
          <w:rFonts w:ascii="Arial" w:hAnsi="Arial" w:cs="Arial"/>
          <w:sz w:val="18"/>
          <w:szCs w:val="18"/>
        </w:rPr>
        <w:t>“</w:t>
      </w:r>
      <w:r w:rsidRPr="00371371">
        <w:rPr>
          <w:rFonts w:ascii="Arial" w:hAnsi="Arial" w:cs="Arial"/>
          <w:sz w:val="18"/>
          <w:szCs w:val="18"/>
        </w:rPr>
        <w:t>conclusion informed by the nature, imminence and degree of likelihood of apprehended harm</w:t>
      </w:r>
      <w:r w:rsidR="006B5C61">
        <w:rPr>
          <w:rFonts w:ascii="Arial" w:hAnsi="Arial" w:cs="Arial"/>
          <w:sz w:val="18"/>
          <w:szCs w:val="18"/>
        </w:rPr>
        <w:t>”</w:t>
      </w:r>
      <w:r>
        <w:rPr>
          <w:rFonts w:ascii="Arial" w:hAnsi="Arial" w:cs="Arial"/>
          <w:sz w:val="18"/>
          <w:szCs w:val="18"/>
        </w:rPr>
        <w:t>: ibid. at [27] (</w:t>
      </w:r>
      <w:r w:rsidR="00A90526">
        <w:rPr>
          <w:rFonts w:ascii="Arial" w:hAnsi="Arial" w:cs="Arial"/>
          <w:sz w:val="18"/>
          <w:szCs w:val="18"/>
        </w:rPr>
        <w:t>C</w:t>
      </w:r>
      <w:r>
        <w:rPr>
          <w:rFonts w:ascii="Arial" w:hAnsi="Arial" w:cs="Arial"/>
          <w:sz w:val="18"/>
          <w:szCs w:val="18"/>
        </w:rPr>
        <w:t>itations omitted)</w:t>
      </w:r>
      <w:r w:rsidRPr="00371371">
        <w:rPr>
          <w:rFonts w:ascii="Arial" w:hAnsi="Arial" w:cs="Arial"/>
          <w:sz w:val="18"/>
          <w:szCs w:val="18"/>
        </w:rPr>
        <w:t>.</w:t>
      </w:r>
    </w:p>
    <w:p w14:paraId="06212E05" w14:textId="43A203A2" w:rsidR="0049367C" w:rsidRDefault="00371371" w:rsidP="00C252CA">
      <w:pPr>
        <w:spacing w:before="60"/>
        <w:ind w:left="567" w:right="567"/>
        <w:jc w:val="both"/>
        <w:rPr>
          <w:rFonts w:ascii="Arial" w:hAnsi="Arial" w:cs="Arial"/>
          <w:color w:val="000000"/>
          <w:sz w:val="20"/>
        </w:rPr>
      </w:pPr>
      <w:r w:rsidRPr="003258E0">
        <w:rPr>
          <w:rFonts w:ascii="Arial" w:hAnsi="Arial" w:cs="Arial"/>
          <w:sz w:val="20"/>
          <w:szCs w:val="20"/>
        </w:rPr>
        <w:t>Accordingly, section 18(1)(c) will not be enlivened unless the court is satisfied of the existence of a possibility of harm of such gravity and likelihood that the risk to the person would range above the level that could reasonably be regarded as acceptable if a suppression order were not made</w:t>
      </w:r>
      <w:r>
        <w:rPr>
          <w:rFonts w:ascii="Arial" w:hAnsi="Arial" w:cs="Arial"/>
          <w:sz w:val="20"/>
          <w:szCs w:val="20"/>
        </w:rPr>
        <w:t xml:space="preserve">: </w:t>
      </w:r>
      <w:r w:rsidRPr="00C252CA">
        <w:rPr>
          <w:rFonts w:ascii="Arial" w:hAnsi="Arial" w:cs="Arial"/>
          <w:i/>
          <w:iCs/>
          <w:sz w:val="20"/>
          <w:szCs w:val="20"/>
        </w:rPr>
        <w:t>AB v CD</w:t>
      </w:r>
      <w:r>
        <w:rPr>
          <w:rFonts w:ascii="Arial" w:hAnsi="Arial" w:cs="Arial"/>
          <w:sz w:val="20"/>
          <w:szCs w:val="20"/>
        </w:rPr>
        <w:t xml:space="preserve"> (2019) 364 ALR 202, 205-206</w:t>
      </w:r>
      <w:r w:rsidRPr="003258E0">
        <w:rPr>
          <w:rFonts w:ascii="Arial" w:hAnsi="Arial" w:cs="Arial"/>
          <w:sz w:val="20"/>
          <w:szCs w:val="20"/>
        </w:rPr>
        <w:t>.</w:t>
      </w:r>
    </w:p>
    <w:p w14:paraId="74DA9DBC" w14:textId="7AC18AE0" w:rsidR="00371371" w:rsidRPr="00381395" w:rsidRDefault="00371371" w:rsidP="0049367C">
      <w:pPr>
        <w:spacing w:before="60"/>
        <w:ind w:left="567" w:right="567"/>
        <w:jc w:val="both"/>
        <w:rPr>
          <w:rFonts w:ascii="Arial" w:hAnsi="Arial" w:cs="Arial"/>
          <w:color w:val="000000"/>
          <w:sz w:val="20"/>
        </w:rPr>
      </w:pPr>
      <w:r>
        <w:rPr>
          <w:rFonts w:ascii="Arial" w:hAnsi="Arial" w:cs="Arial"/>
          <w:color w:val="000000"/>
          <w:sz w:val="20"/>
        </w:rPr>
        <w:t xml:space="preserve">[63] </w:t>
      </w:r>
      <w:r w:rsidRPr="003258E0">
        <w:rPr>
          <w:rFonts w:ascii="Arial" w:hAnsi="Arial" w:cs="Arial"/>
          <w:sz w:val="20"/>
          <w:szCs w:val="20"/>
        </w:rPr>
        <w:t>The nature, extent and scope of the order sought will also be germane to the ultimate disposition of any application for suppression or non-publication. In other words, the degree of derogation from the principle of open justice that would be involved in the making of the suppression order that is sought is a relevant consideration</w:t>
      </w:r>
      <w:r w:rsidR="00A90526">
        <w:rPr>
          <w:rFonts w:ascii="Arial" w:hAnsi="Arial" w:cs="Arial"/>
          <w:sz w:val="20"/>
          <w:szCs w:val="20"/>
        </w:rPr>
        <w:t xml:space="preserve">: </w:t>
      </w:r>
      <w:r w:rsidR="00A90526" w:rsidRPr="00A90526">
        <w:rPr>
          <w:rFonts w:ascii="Arial" w:hAnsi="Arial" w:cs="Arial"/>
          <w:i/>
          <w:iCs/>
          <w:sz w:val="20"/>
          <w:szCs w:val="20"/>
        </w:rPr>
        <w:t>Attorney-General v Khan (Suppression Order)</w:t>
      </w:r>
      <w:r w:rsidR="00A90526">
        <w:rPr>
          <w:rFonts w:ascii="Arial" w:hAnsi="Arial" w:cs="Arial"/>
          <w:sz w:val="20"/>
          <w:szCs w:val="20"/>
        </w:rPr>
        <w:t xml:space="preserve"> [2022] VSC 627, [3]; </w:t>
      </w:r>
      <w:r w:rsidR="00A90526" w:rsidRPr="00A90526">
        <w:rPr>
          <w:rFonts w:ascii="Arial" w:hAnsi="Arial" w:cs="Arial"/>
          <w:i/>
          <w:iCs/>
          <w:sz w:val="20"/>
          <w:szCs w:val="20"/>
        </w:rPr>
        <w:t>ABC v D1</w:t>
      </w:r>
      <w:r w:rsidR="00A90526">
        <w:rPr>
          <w:rFonts w:ascii="Arial" w:hAnsi="Arial" w:cs="Arial"/>
          <w:sz w:val="20"/>
          <w:szCs w:val="20"/>
        </w:rPr>
        <w:t xml:space="preserve"> [2007] VSC 480, [36]</w:t>
      </w:r>
      <w:r w:rsidRPr="003258E0">
        <w:rPr>
          <w:rFonts w:ascii="Arial" w:hAnsi="Arial" w:cs="Arial"/>
          <w:sz w:val="20"/>
          <w:szCs w:val="20"/>
        </w:rPr>
        <w:t>. The extent to which the subject matter of a proposed suppression order has already been the subject of reporting or other publication may also be a relevant factor. On the question of utility of a suppression order and prior publications:</w:t>
      </w:r>
    </w:p>
    <w:p w14:paraId="3B4CA4D6" w14:textId="085D5C0E" w:rsidR="00C252CA" w:rsidRPr="00A90526" w:rsidRDefault="00C252CA" w:rsidP="00C252CA">
      <w:pPr>
        <w:spacing w:before="60"/>
        <w:ind w:left="1021" w:right="1021"/>
        <w:jc w:val="both"/>
        <w:rPr>
          <w:rFonts w:ascii="Arial" w:hAnsi="Arial" w:cs="Arial"/>
          <w:color w:val="000000"/>
          <w:sz w:val="18"/>
          <w:szCs w:val="18"/>
        </w:rPr>
      </w:pPr>
      <w:r>
        <w:rPr>
          <w:rFonts w:ascii="Arial" w:hAnsi="Arial" w:cs="Arial"/>
          <w:color w:val="000000"/>
          <w:sz w:val="18"/>
          <w:szCs w:val="22"/>
        </w:rPr>
        <w:t>‘</w:t>
      </w:r>
      <w:r w:rsidRPr="00C252CA">
        <w:rPr>
          <w:rFonts w:ascii="Arial" w:hAnsi="Arial" w:cs="Arial"/>
          <w:sz w:val="18"/>
          <w:szCs w:val="18"/>
        </w:rPr>
        <w:t xml:space="preserve">In addition to necessity, the utility or efficacy of a suppression order is also a relevant consideration. If it cannot be said that a suppression order would have the effect of materially reducing the risk to the safety of a person, it is unlikely that the order will be made. Thus, in circumstances where a suppression order would have little practical effect because a proceeding has already garnered significant publicity and it would be difficult to stem any further publication of the matters sought to be suppressed, a court will </w:t>
      </w:r>
      <w:r w:rsidRPr="00A90526">
        <w:rPr>
          <w:rFonts w:ascii="Arial" w:hAnsi="Arial" w:cs="Arial"/>
          <w:sz w:val="18"/>
          <w:szCs w:val="18"/>
        </w:rPr>
        <w:t xml:space="preserve">generally refuse to make a suppression order.’ </w:t>
      </w:r>
      <w:r w:rsidR="00A90526" w:rsidRPr="00A90526">
        <w:rPr>
          <w:rFonts w:ascii="Arial" w:hAnsi="Arial" w:cs="Arial"/>
          <w:i/>
          <w:iCs/>
          <w:sz w:val="18"/>
          <w:szCs w:val="18"/>
        </w:rPr>
        <w:t>Director of Public Prosecutions v EN</w:t>
      </w:r>
      <w:r w:rsidR="00A90526" w:rsidRPr="00A90526">
        <w:rPr>
          <w:rFonts w:ascii="Arial" w:hAnsi="Arial" w:cs="Arial"/>
          <w:sz w:val="18"/>
          <w:szCs w:val="18"/>
        </w:rPr>
        <w:t xml:space="preserve"> [2023] VSC 724 at [26] </w:t>
      </w:r>
      <w:r w:rsidRPr="00A90526">
        <w:rPr>
          <w:rFonts w:ascii="Arial" w:hAnsi="Arial" w:cs="Arial"/>
          <w:sz w:val="18"/>
          <w:szCs w:val="18"/>
        </w:rPr>
        <w:t>(Citations omitted.)</w:t>
      </w:r>
    </w:p>
    <w:p w14:paraId="6F5C0062" w14:textId="06C6DC78" w:rsidR="00A90526" w:rsidRDefault="00A90526" w:rsidP="00A90526">
      <w:pPr>
        <w:spacing w:before="60"/>
        <w:ind w:left="567" w:right="567"/>
        <w:jc w:val="both"/>
        <w:rPr>
          <w:rFonts w:ascii="Arial" w:hAnsi="Arial" w:cs="Arial"/>
          <w:color w:val="000000"/>
          <w:sz w:val="20"/>
        </w:rPr>
      </w:pPr>
      <w:r w:rsidRPr="003258E0">
        <w:rPr>
          <w:rFonts w:ascii="Arial" w:hAnsi="Arial" w:cs="Arial"/>
          <w:sz w:val="20"/>
          <w:szCs w:val="20"/>
        </w:rPr>
        <w:t>Another relevant matter in determining whether a suppression order is necessary to protect the safety of any person is the availability of care and treatment for the person, together with any protective measures that are or can be put in place</w:t>
      </w:r>
      <w:r>
        <w:rPr>
          <w:rFonts w:ascii="Arial" w:hAnsi="Arial" w:cs="Arial"/>
          <w:sz w:val="20"/>
          <w:szCs w:val="20"/>
        </w:rPr>
        <w:t xml:space="preserve">: </w:t>
      </w:r>
      <w:r w:rsidR="0087070F" w:rsidRPr="003258E0">
        <w:rPr>
          <w:rFonts w:ascii="Arial" w:hAnsi="Arial" w:cs="Arial"/>
          <w:i/>
          <w:iCs/>
          <w:sz w:val="20"/>
          <w:szCs w:val="20"/>
        </w:rPr>
        <w:t>Director of Public Prosecutions v EN</w:t>
      </w:r>
      <w:r w:rsidR="0087070F">
        <w:rPr>
          <w:rFonts w:ascii="Arial" w:hAnsi="Arial" w:cs="Arial"/>
          <w:sz w:val="20"/>
          <w:szCs w:val="20"/>
        </w:rPr>
        <w:t xml:space="preserve"> [2023] VSC 724 at [28], citing </w:t>
      </w:r>
      <w:r w:rsidR="0087070F" w:rsidRPr="006B5C61">
        <w:rPr>
          <w:rFonts w:ascii="Arial" w:hAnsi="Arial" w:cs="Arial"/>
          <w:i/>
          <w:iCs/>
          <w:sz w:val="20"/>
          <w:szCs w:val="20"/>
        </w:rPr>
        <w:t>Cooper v Herald &amp; Weekly Times Pty Ltd</w:t>
      </w:r>
      <w:r w:rsidR="0087070F">
        <w:rPr>
          <w:rFonts w:ascii="Arial" w:hAnsi="Arial" w:cs="Arial"/>
          <w:sz w:val="20"/>
          <w:szCs w:val="20"/>
        </w:rPr>
        <w:t xml:space="preserve"> [2013] VSC 589, [15] (Ferguson J).</w:t>
      </w:r>
    </w:p>
    <w:p w14:paraId="6945CCB9" w14:textId="4555EA0F" w:rsidR="0049367C" w:rsidRDefault="0049367C" w:rsidP="00CE7BD0">
      <w:pPr>
        <w:ind w:right="48"/>
        <w:rPr>
          <w:rFonts w:ascii="Arial" w:hAnsi="Arial" w:cs="Arial"/>
          <w:sz w:val="16"/>
          <w:szCs w:val="16"/>
        </w:rPr>
      </w:pPr>
    </w:p>
    <w:p w14:paraId="0C010CFB" w14:textId="43513A13" w:rsidR="0087070F" w:rsidRDefault="0087070F" w:rsidP="007046CF">
      <w:pPr>
        <w:jc w:val="both"/>
        <w:rPr>
          <w:rFonts w:ascii="Arial" w:hAnsi="Arial" w:cs="Arial"/>
          <w:sz w:val="16"/>
          <w:szCs w:val="16"/>
        </w:rPr>
      </w:pPr>
      <w:r>
        <w:rPr>
          <w:rFonts w:ascii="Arial" w:hAnsi="Arial" w:cs="Arial"/>
          <w:sz w:val="20"/>
        </w:rPr>
        <w:t>At [116]-[125] Elliott J detailed eight separate matters which established that the suppression order sought by the Secretary was not necessary to protect WD’s safety, his Honour stating at [115]:</w:t>
      </w:r>
    </w:p>
    <w:p w14:paraId="1D2B812B" w14:textId="0277A713" w:rsidR="007046CF" w:rsidRPr="00381395" w:rsidRDefault="007046CF" w:rsidP="007046CF">
      <w:pPr>
        <w:spacing w:before="60"/>
        <w:ind w:left="567" w:right="567"/>
        <w:jc w:val="both"/>
        <w:rPr>
          <w:rFonts w:ascii="Arial" w:hAnsi="Arial" w:cs="Arial"/>
          <w:color w:val="000000"/>
          <w:sz w:val="20"/>
        </w:rPr>
      </w:pPr>
      <w:r>
        <w:rPr>
          <w:rFonts w:ascii="Arial" w:hAnsi="Arial" w:cs="Arial"/>
          <w:color w:val="000000"/>
          <w:sz w:val="20"/>
        </w:rPr>
        <w:t xml:space="preserve">“For several reasons, even if the court is not precluded from making the suppression order sought by the Secretary by virtue of section 8(1A) of the </w:t>
      </w:r>
      <w:r w:rsidRPr="007046CF">
        <w:rPr>
          <w:rFonts w:ascii="Arial" w:hAnsi="Arial" w:cs="Arial"/>
          <w:i/>
          <w:iCs/>
          <w:color w:val="000000"/>
          <w:sz w:val="20"/>
        </w:rPr>
        <w:t>Open Courts Act</w:t>
      </w:r>
      <w:r>
        <w:rPr>
          <w:rFonts w:ascii="Arial" w:hAnsi="Arial" w:cs="Arial"/>
          <w:color w:val="000000"/>
          <w:sz w:val="20"/>
        </w:rPr>
        <w:t xml:space="preserve">, I do not consider that a proceeding suppression order in the terms sought by the Secretary is necessary to protect the safety of WD.  To the contrary, any risk to WD’s physical and psychological </w:t>
      </w:r>
      <w:r>
        <w:rPr>
          <w:rFonts w:ascii="Arial" w:hAnsi="Arial" w:cs="Arial"/>
          <w:color w:val="000000"/>
          <w:sz w:val="20"/>
        </w:rPr>
        <w:lastRenderedPageBreak/>
        <w:t>wellbeing that may arise from media reporting on the alleged offending and any increased potential for WD to be identified as the subject of such reporting can be sufficiently mitigated or ameliorated through other means, such that it cannot be said that a suppression order is truly necessary.”</w:t>
      </w:r>
    </w:p>
    <w:p w14:paraId="6B75ACA2" w14:textId="77777777" w:rsidR="0087070F" w:rsidRPr="003258E0" w:rsidRDefault="0087070F" w:rsidP="00CE7BD0">
      <w:pPr>
        <w:ind w:right="48"/>
        <w:rPr>
          <w:rFonts w:ascii="Arial" w:hAnsi="Arial" w:cs="Arial"/>
          <w:sz w:val="16"/>
          <w:szCs w:val="16"/>
        </w:rPr>
      </w:pPr>
    </w:p>
    <w:p w14:paraId="0C7A85BB" w14:textId="738B4407" w:rsidR="008B6E33" w:rsidRDefault="009C333B" w:rsidP="001601CE">
      <w:pPr>
        <w:jc w:val="both"/>
        <w:rPr>
          <w:rFonts w:ascii="Arial" w:hAnsi="Arial" w:cs="Arial"/>
          <w:sz w:val="20"/>
        </w:rPr>
      </w:pPr>
      <w:r>
        <w:rPr>
          <w:rFonts w:ascii="Arial" w:hAnsi="Arial" w:cs="Arial"/>
          <w:sz w:val="20"/>
        </w:rPr>
        <w:t xml:space="preserve">For a </w:t>
      </w:r>
      <w:r w:rsidR="00DF58AB">
        <w:rPr>
          <w:rFonts w:ascii="Arial" w:hAnsi="Arial" w:cs="Arial"/>
          <w:sz w:val="20"/>
        </w:rPr>
        <w:t xml:space="preserve">further </w:t>
      </w:r>
      <w:r>
        <w:rPr>
          <w:rFonts w:ascii="Arial" w:hAnsi="Arial" w:cs="Arial"/>
          <w:sz w:val="20"/>
        </w:rPr>
        <w:t xml:space="preserve">discussion </w:t>
      </w:r>
      <w:r w:rsidR="00DF58AB">
        <w:rPr>
          <w:rFonts w:ascii="Arial" w:hAnsi="Arial" w:cs="Arial"/>
          <w:sz w:val="20"/>
        </w:rPr>
        <w:t xml:space="preserve">(partly redacted) </w:t>
      </w:r>
      <w:r>
        <w:rPr>
          <w:rFonts w:ascii="Arial" w:hAnsi="Arial" w:cs="Arial"/>
          <w:sz w:val="20"/>
        </w:rPr>
        <w:t xml:space="preserve">of ss.17(b) and 18(1)(a) &amp; (c) of the </w:t>
      </w:r>
      <w:r w:rsidRPr="00AE0485">
        <w:rPr>
          <w:rFonts w:ascii="Arial" w:hAnsi="Arial" w:cs="Arial"/>
          <w:i/>
          <w:iCs/>
          <w:sz w:val="20"/>
        </w:rPr>
        <w:t>Open Courts Act 2013</w:t>
      </w:r>
      <w:r>
        <w:rPr>
          <w:rFonts w:ascii="Arial" w:hAnsi="Arial" w:cs="Arial"/>
          <w:sz w:val="20"/>
        </w:rPr>
        <w:t xml:space="preserve"> – including whether or not a non-publication order was necessary to prevent prejudice to the ad</w:t>
      </w:r>
      <w:r w:rsidRPr="009C333B">
        <w:rPr>
          <w:rFonts w:ascii="Arial" w:hAnsi="Arial" w:cs="Arial"/>
          <w:sz w:val="20"/>
        </w:rPr>
        <w:t>ministration of justice</w:t>
      </w:r>
      <w:r>
        <w:rPr>
          <w:rFonts w:ascii="Arial" w:hAnsi="Arial" w:cs="Arial"/>
          <w:sz w:val="20"/>
        </w:rPr>
        <w:t xml:space="preserve"> or was </w:t>
      </w:r>
      <w:r w:rsidRPr="009C333B">
        <w:rPr>
          <w:rFonts w:ascii="Arial" w:hAnsi="Arial" w:cs="Arial"/>
          <w:sz w:val="20"/>
        </w:rPr>
        <w:t>necessary to protect safety of any person</w:t>
      </w:r>
      <w:r>
        <w:rPr>
          <w:rFonts w:ascii="Arial" w:hAnsi="Arial" w:cs="Arial"/>
          <w:sz w:val="20"/>
        </w:rPr>
        <w:t xml:space="preserve"> </w:t>
      </w:r>
      <w:r w:rsidR="00143EF9">
        <w:rPr>
          <w:rFonts w:ascii="Arial" w:hAnsi="Arial" w:cs="Arial"/>
          <w:sz w:val="20"/>
        </w:rPr>
        <w:t xml:space="preserve">– </w:t>
      </w:r>
      <w:r>
        <w:rPr>
          <w:rFonts w:ascii="Arial" w:hAnsi="Arial" w:cs="Arial"/>
          <w:sz w:val="20"/>
        </w:rPr>
        <w:t>see</w:t>
      </w:r>
      <w:r w:rsidR="00143EF9">
        <w:rPr>
          <w:rFonts w:ascii="Arial" w:hAnsi="Arial" w:cs="Arial"/>
          <w:sz w:val="20"/>
        </w:rPr>
        <w:t xml:space="preserve"> </w:t>
      </w:r>
      <w:r w:rsidRPr="00617CC1">
        <w:rPr>
          <w:rFonts w:ascii="Arial" w:hAnsi="Arial" w:cs="Arial"/>
          <w:i/>
          <w:sz w:val="20"/>
        </w:rPr>
        <w:t>AB (a pseudonym) v CD (a pseudonym) &amp; EF (a pseudonym)</w:t>
      </w:r>
      <w:r>
        <w:rPr>
          <w:rFonts w:ascii="Arial" w:hAnsi="Arial" w:cs="Arial"/>
          <w:sz w:val="20"/>
        </w:rPr>
        <w:t xml:space="preserve"> </w:t>
      </w:r>
      <w:r w:rsidR="00617CC1">
        <w:rPr>
          <w:rFonts w:ascii="Arial" w:hAnsi="Arial" w:cs="Arial"/>
          <w:sz w:val="20"/>
        </w:rPr>
        <w:t>[2019] VSCA 28 esp. at [64]-[80] &amp; [85]-[89]</w:t>
      </w:r>
      <w:r w:rsidR="004919C0">
        <w:rPr>
          <w:rFonts w:ascii="Arial" w:hAnsi="Arial" w:cs="Arial"/>
          <w:sz w:val="20"/>
        </w:rPr>
        <w:t>.  S</w:t>
      </w:r>
      <w:r w:rsidR="006B7966">
        <w:rPr>
          <w:rFonts w:ascii="Arial" w:hAnsi="Arial" w:cs="Arial"/>
          <w:sz w:val="20"/>
        </w:rPr>
        <w:t xml:space="preserve">ee also </w:t>
      </w:r>
      <w:bookmarkStart w:id="505" w:name="_Hlk114472383"/>
      <w:proofErr w:type="spellStart"/>
      <w:r w:rsidR="006B7966" w:rsidRPr="006B7966">
        <w:rPr>
          <w:rFonts w:ascii="Arial" w:hAnsi="Arial" w:cs="Arial"/>
          <w:i/>
          <w:iCs/>
          <w:sz w:val="20"/>
        </w:rPr>
        <w:t>Madafferi</w:t>
      </w:r>
      <w:proofErr w:type="spellEnd"/>
      <w:r w:rsidR="006B7966" w:rsidRPr="006B7966">
        <w:rPr>
          <w:rFonts w:ascii="Arial" w:hAnsi="Arial" w:cs="Arial"/>
          <w:i/>
          <w:iCs/>
          <w:sz w:val="20"/>
        </w:rPr>
        <w:t xml:space="preserve"> v The Queen</w:t>
      </w:r>
      <w:r w:rsidR="006B7966">
        <w:rPr>
          <w:rFonts w:ascii="Arial" w:hAnsi="Arial" w:cs="Arial"/>
          <w:sz w:val="20"/>
        </w:rPr>
        <w:t xml:space="preserve"> [2022] VSCA 189</w:t>
      </w:r>
      <w:r w:rsidR="00C8399C">
        <w:rPr>
          <w:rFonts w:ascii="Arial" w:hAnsi="Arial" w:cs="Arial"/>
          <w:sz w:val="20"/>
        </w:rPr>
        <w:t xml:space="preserve">; </w:t>
      </w:r>
      <w:bookmarkStart w:id="506" w:name="_Hlk118894363"/>
      <w:r w:rsidR="00C8399C" w:rsidRPr="00C8399C">
        <w:rPr>
          <w:rFonts w:ascii="Arial" w:hAnsi="Arial" w:cs="Arial"/>
          <w:i/>
          <w:iCs/>
          <w:sz w:val="20"/>
        </w:rPr>
        <w:t>Attorney-General v Khan (suppression order)</w:t>
      </w:r>
      <w:r w:rsidR="00C8399C">
        <w:rPr>
          <w:rFonts w:ascii="Arial" w:hAnsi="Arial" w:cs="Arial"/>
          <w:sz w:val="20"/>
        </w:rPr>
        <w:t xml:space="preserve"> [2022] VSC 627</w:t>
      </w:r>
      <w:bookmarkEnd w:id="506"/>
      <w:r w:rsidR="008B6E33">
        <w:rPr>
          <w:rFonts w:ascii="Arial" w:hAnsi="Arial" w:cs="Arial"/>
          <w:sz w:val="20"/>
        </w:rPr>
        <w:t xml:space="preserve">; </w:t>
      </w:r>
      <w:r w:rsidR="008B6E33" w:rsidRPr="008B6E33">
        <w:rPr>
          <w:rFonts w:ascii="Arial" w:hAnsi="Arial" w:cs="Arial"/>
          <w:i/>
          <w:iCs/>
          <w:sz w:val="20"/>
        </w:rPr>
        <w:t xml:space="preserve">Arico v The </w:t>
      </w:r>
      <w:r w:rsidR="008B6E33">
        <w:rPr>
          <w:rFonts w:ascii="Arial" w:hAnsi="Arial" w:cs="Arial"/>
          <w:i/>
          <w:iCs/>
          <w:sz w:val="20"/>
        </w:rPr>
        <w:t>King</w:t>
      </w:r>
      <w:r w:rsidR="008B6E33">
        <w:rPr>
          <w:rFonts w:ascii="Arial" w:hAnsi="Arial" w:cs="Arial"/>
          <w:sz w:val="20"/>
        </w:rPr>
        <w:t xml:space="preserve"> [2023] VSCA 31</w:t>
      </w:r>
      <w:r w:rsidR="007F440B">
        <w:rPr>
          <w:rFonts w:ascii="Arial" w:hAnsi="Arial" w:cs="Arial"/>
          <w:sz w:val="20"/>
        </w:rPr>
        <w:t xml:space="preserve">; </w:t>
      </w:r>
      <w:bookmarkStart w:id="507" w:name="_Hlk141160750"/>
      <w:r w:rsidR="007F440B" w:rsidRPr="007F440B">
        <w:rPr>
          <w:rFonts w:ascii="Arial" w:hAnsi="Arial" w:cs="Arial"/>
          <w:i/>
          <w:iCs/>
          <w:sz w:val="20"/>
        </w:rPr>
        <w:t>Stewart v Good Shepherd Australia New Zealand</w:t>
      </w:r>
      <w:r w:rsidR="007F440B">
        <w:rPr>
          <w:rFonts w:ascii="Arial" w:hAnsi="Arial" w:cs="Arial"/>
          <w:sz w:val="20"/>
        </w:rPr>
        <w:t xml:space="preserve"> [2023] VSC 351</w:t>
      </w:r>
      <w:r w:rsidR="00E86FEF">
        <w:rPr>
          <w:rFonts w:ascii="Arial" w:hAnsi="Arial" w:cs="Arial"/>
          <w:sz w:val="20"/>
        </w:rPr>
        <w:t xml:space="preserve">; </w:t>
      </w:r>
      <w:r w:rsidR="00E86FEF" w:rsidRPr="00E86FEF">
        <w:rPr>
          <w:rFonts w:ascii="Arial" w:hAnsi="Arial" w:cs="Arial"/>
          <w:i/>
          <w:iCs/>
          <w:color w:val="000000"/>
          <w:sz w:val="20"/>
          <w:szCs w:val="20"/>
        </w:rPr>
        <w:t>Attorney</w:t>
      </w:r>
      <w:r w:rsidR="00E86FEF">
        <w:rPr>
          <w:rFonts w:ascii="Arial" w:hAnsi="Arial" w:cs="Arial"/>
          <w:i/>
          <w:iCs/>
          <w:color w:val="000000"/>
          <w:sz w:val="20"/>
          <w:szCs w:val="20"/>
        </w:rPr>
        <w:noBreakHyphen/>
      </w:r>
      <w:r w:rsidR="00E86FEF" w:rsidRPr="00E86FEF">
        <w:rPr>
          <w:rFonts w:ascii="Arial" w:hAnsi="Arial" w:cs="Arial"/>
          <w:i/>
          <w:iCs/>
          <w:color w:val="000000"/>
          <w:sz w:val="20"/>
          <w:szCs w:val="20"/>
        </w:rPr>
        <w:t>General v Hadashah Sa’adat Khan (No 5)</w:t>
      </w:r>
      <w:r w:rsidR="00E86FEF" w:rsidRPr="00E86FEF">
        <w:rPr>
          <w:rFonts w:ascii="Arial" w:hAnsi="Arial" w:cs="Arial"/>
          <w:color w:val="000000"/>
          <w:sz w:val="20"/>
          <w:szCs w:val="20"/>
        </w:rPr>
        <w:t xml:space="preserve"> [2024] VSC 92.</w:t>
      </w:r>
      <w:bookmarkEnd w:id="507"/>
    </w:p>
    <w:p w14:paraId="02AC8E32" w14:textId="6ABD3678" w:rsidR="008B6E33" w:rsidRDefault="008B6E33" w:rsidP="00CE7BD0">
      <w:pPr>
        <w:jc w:val="both"/>
        <w:rPr>
          <w:rFonts w:ascii="Arial" w:hAnsi="Arial" w:cs="Arial"/>
          <w:sz w:val="20"/>
        </w:rPr>
      </w:pPr>
    </w:p>
    <w:bookmarkEnd w:id="505"/>
    <w:p w14:paraId="77DF7BA9" w14:textId="50419D06" w:rsidR="00C373E8" w:rsidRDefault="00C373E8" w:rsidP="001E79F7">
      <w:pPr>
        <w:jc w:val="both"/>
        <w:rPr>
          <w:rFonts w:ascii="Arial" w:hAnsi="Arial" w:cs="Arial"/>
          <w:sz w:val="20"/>
        </w:rPr>
      </w:pPr>
      <w:r>
        <w:rPr>
          <w:rFonts w:ascii="Arial" w:hAnsi="Arial" w:cs="Arial"/>
          <w:sz w:val="20"/>
        </w:rPr>
        <w:t xml:space="preserve">In </w:t>
      </w:r>
      <w:r w:rsidR="00A90526">
        <w:rPr>
          <w:rFonts w:ascii="Arial" w:hAnsi="Arial" w:cs="Arial"/>
          <w:sz w:val="20"/>
        </w:rPr>
        <w:t xml:space="preserve">the afore-mentioned case of </w:t>
      </w:r>
      <w:r w:rsidRPr="00C373E8">
        <w:rPr>
          <w:rFonts w:ascii="Arial" w:hAnsi="Arial" w:cs="Arial"/>
          <w:i/>
          <w:iCs/>
          <w:sz w:val="20"/>
        </w:rPr>
        <w:t>Director of Public Prosecutions v EN</w:t>
      </w:r>
      <w:r>
        <w:rPr>
          <w:rFonts w:ascii="Arial" w:hAnsi="Arial" w:cs="Arial"/>
          <w:sz w:val="20"/>
        </w:rPr>
        <w:t xml:space="preserve"> [2023] VSC 724 an application was made by EN for a proceeding suppression order pursuant to s.17 of the OCA.  </w:t>
      </w:r>
      <w:r w:rsidR="00990D19">
        <w:rPr>
          <w:rFonts w:ascii="Arial" w:hAnsi="Arial" w:cs="Arial"/>
          <w:sz w:val="20"/>
        </w:rPr>
        <w:t xml:space="preserve">EN – who was suffering from complex mental health conditions – had been charged with murder of her infant son.  </w:t>
      </w:r>
      <w:r w:rsidR="00070B6F">
        <w:rPr>
          <w:rFonts w:ascii="Arial" w:hAnsi="Arial" w:cs="Arial"/>
          <w:sz w:val="20"/>
        </w:rPr>
        <w:t>She had also applied for a pseudonym order providing for both EN and her deceased son to be referred to with the use of pseudonyms.  In refusing the former while granting the latter Elliott J said at [19]-[20] &amp; [49]-[50]:</w:t>
      </w:r>
    </w:p>
    <w:p w14:paraId="72FF3F72" w14:textId="117A5184" w:rsidR="00070B6F" w:rsidRDefault="00070B6F" w:rsidP="00070B6F">
      <w:pPr>
        <w:spacing w:before="60"/>
        <w:ind w:left="567" w:right="567"/>
        <w:jc w:val="both"/>
        <w:rPr>
          <w:rFonts w:ascii="Arial" w:hAnsi="Arial" w:cs="Arial"/>
          <w:color w:val="000000"/>
          <w:sz w:val="20"/>
        </w:rPr>
      </w:pPr>
      <w:r>
        <w:rPr>
          <w:rFonts w:ascii="Arial" w:hAnsi="Arial" w:cs="Arial"/>
          <w:color w:val="000000"/>
          <w:sz w:val="20"/>
        </w:rPr>
        <w:t>[19] In considering an application for a suppression order, the court is required to have regard to the primacy of the principle of open justice and the free communication and disclosure of information: see s.4(1) of the OCA.  The court may only make a suppression order if satisfied that the specific circumstances of a case make it necessary to override or displace these objectives: see s.4(2) of the OCA.</w:t>
      </w:r>
    </w:p>
    <w:p w14:paraId="76D25CAD" w14:textId="2A46B15D" w:rsidR="00070B6F" w:rsidRDefault="00070B6F" w:rsidP="00070B6F">
      <w:pPr>
        <w:spacing w:before="60"/>
        <w:ind w:left="567" w:right="567"/>
        <w:jc w:val="both"/>
        <w:rPr>
          <w:rFonts w:ascii="Arial" w:hAnsi="Arial" w:cs="Arial"/>
          <w:color w:val="000000"/>
          <w:sz w:val="20"/>
        </w:rPr>
      </w:pPr>
      <w:r>
        <w:rPr>
          <w:rFonts w:ascii="Arial" w:hAnsi="Arial" w:cs="Arial"/>
          <w:color w:val="000000"/>
          <w:sz w:val="20"/>
        </w:rPr>
        <w:t xml:space="preserve">[20] Although the principle of open justice does not provide an absolute requirement that all cases be heard in public, any order restraining, restricting or postponing the report of a court proceeding or any part of a court proceeding will be exceptional: </w:t>
      </w:r>
      <w:r w:rsidRPr="00821023">
        <w:rPr>
          <w:rFonts w:ascii="Arial" w:hAnsi="Arial" w:cs="Arial"/>
          <w:i/>
          <w:iCs/>
          <w:color w:val="000000"/>
          <w:sz w:val="20"/>
        </w:rPr>
        <w:t>News Digital Media v Mokbel</w:t>
      </w:r>
      <w:r>
        <w:rPr>
          <w:rFonts w:ascii="Arial" w:hAnsi="Arial" w:cs="Arial"/>
          <w:color w:val="000000"/>
          <w:sz w:val="20"/>
        </w:rPr>
        <w:t xml:space="preserve"> (2010) 30 VR 248, 259 [35]</w:t>
      </w:r>
      <w:r w:rsidR="00821023">
        <w:rPr>
          <w:rFonts w:ascii="Arial" w:hAnsi="Arial" w:cs="Arial"/>
          <w:color w:val="000000"/>
          <w:sz w:val="20"/>
        </w:rPr>
        <w:t xml:space="preserve">, [a case concerning] a suppression order made under antecedent legislation, namely s.18 of the </w:t>
      </w:r>
      <w:r w:rsidR="00821023" w:rsidRPr="00821023">
        <w:rPr>
          <w:rFonts w:ascii="Arial" w:hAnsi="Arial" w:cs="Arial"/>
          <w:i/>
          <w:iCs/>
          <w:color w:val="000000"/>
          <w:sz w:val="20"/>
        </w:rPr>
        <w:t>Supreme Court Act 1986</w:t>
      </w:r>
      <w:r w:rsidR="00821023">
        <w:rPr>
          <w:rFonts w:ascii="Arial" w:hAnsi="Arial" w:cs="Arial"/>
          <w:color w:val="000000"/>
          <w:sz w:val="20"/>
        </w:rPr>
        <w:t xml:space="preserve"> (Vic) (now repealed).  Further, because of the salience of the principle of open justice, ordinarily courts must construe any statutory provision which permits suppression of publication of any part of a proceeding narrowly and strictly: </w:t>
      </w:r>
      <w:r w:rsidR="00821023" w:rsidRPr="00821023">
        <w:rPr>
          <w:rFonts w:ascii="Arial" w:hAnsi="Arial" w:cs="Arial"/>
          <w:i/>
          <w:iCs/>
          <w:color w:val="000000"/>
          <w:sz w:val="20"/>
        </w:rPr>
        <w:t>Herald &amp; Weekly Times Pty Ltd v Director of Public Prosecutions</w:t>
      </w:r>
      <w:r w:rsidR="00821023">
        <w:rPr>
          <w:rFonts w:ascii="Arial" w:hAnsi="Arial" w:cs="Arial"/>
          <w:color w:val="000000"/>
          <w:sz w:val="20"/>
        </w:rPr>
        <w:t xml:space="preserve"> (2007) 170 A Crim R 313,318 [22], citing </w:t>
      </w:r>
      <w:r w:rsidR="00821023" w:rsidRPr="00821023">
        <w:rPr>
          <w:rFonts w:ascii="Arial" w:hAnsi="Arial" w:cs="Arial"/>
          <w:i/>
          <w:iCs/>
          <w:color w:val="000000"/>
          <w:sz w:val="20"/>
        </w:rPr>
        <w:t>Re Applications by Chief Commissioner of Police</w:t>
      </w:r>
      <w:r w:rsidR="00821023">
        <w:rPr>
          <w:rFonts w:ascii="Arial" w:hAnsi="Arial" w:cs="Arial"/>
          <w:color w:val="000000"/>
          <w:sz w:val="20"/>
        </w:rPr>
        <w:t xml:space="preserve"> (2004) 9 VR 275, 288 [30]. As was observed in </w:t>
      </w:r>
      <w:r w:rsidR="00821023" w:rsidRPr="00821023">
        <w:rPr>
          <w:rFonts w:ascii="Arial" w:hAnsi="Arial" w:cs="Arial"/>
          <w:i/>
          <w:iCs/>
          <w:color w:val="000000"/>
          <w:sz w:val="20"/>
        </w:rPr>
        <w:t>John Fairfax &amp; Sons Ltd v Police Tribunal of New South Wales</w:t>
      </w:r>
      <w:r w:rsidR="00821023">
        <w:rPr>
          <w:rFonts w:ascii="Arial" w:hAnsi="Arial" w:cs="Arial"/>
          <w:color w:val="000000"/>
          <w:sz w:val="20"/>
        </w:rPr>
        <w:t xml:space="preserve"> (1986) 5 NSWLR 465, 476G-477A:</w:t>
      </w:r>
    </w:p>
    <w:p w14:paraId="5B885077" w14:textId="1C813AAA" w:rsidR="00821023" w:rsidRPr="00821023" w:rsidRDefault="00821023" w:rsidP="00821023">
      <w:pPr>
        <w:spacing w:before="60"/>
        <w:ind w:left="1021" w:right="1021"/>
        <w:jc w:val="both"/>
        <w:rPr>
          <w:rFonts w:ascii="Arial" w:hAnsi="Arial" w:cs="Arial"/>
          <w:color w:val="000000"/>
          <w:sz w:val="18"/>
          <w:szCs w:val="22"/>
        </w:rPr>
      </w:pPr>
      <w:r w:rsidRPr="00821023">
        <w:rPr>
          <w:rFonts w:ascii="Arial" w:hAnsi="Arial" w:cs="Arial"/>
          <w:color w:val="000000"/>
          <w:sz w:val="18"/>
          <w:szCs w:val="22"/>
        </w:rPr>
        <w:t xml:space="preserve">‘The fundamental rule of the common law is that the administration of justice </w:t>
      </w:r>
      <w:r>
        <w:rPr>
          <w:rFonts w:ascii="Arial" w:hAnsi="Arial" w:cs="Arial"/>
          <w:color w:val="000000"/>
          <w:sz w:val="18"/>
          <w:szCs w:val="22"/>
        </w:rPr>
        <w:t xml:space="preserve">must take place in open court.  A court can only depart from this rule where its observance would frustrate the administration of justice or some other public interest for whose protection Parliament has modified the open justice rule.  The principle of open justice </w:t>
      </w:r>
      <w:r w:rsidR="003E5D29">
        <w:rPr>
          <w:rFonts w:ascii="Arial" w:hAnsi="Arial" w:cs="Arial"/>
          <w:color w:val="000000"/>
          <w:sz w:val="18"/>
          <w:szCs w:val="22"/>
        </w:rPr>
        <w:t xml:space="preserve">also requires that nothing should be done to discourage the making of fair and accurate reports of what occurs in a courtroom.  </w:t>
      </w:r>
      <w:r w:rsidR="003E5D29" w:rsidRPr="003E5D29">
        <w:rPr>
          <w:rFonts w:ascii="Arial" w:hAnsi="Arial" w:cs="Arial"/>
          <w:i/>
          <w:iCs/>
          <w:color w:val="000000"/>
          <w:sz w:val="18"/>
          <w:szCs w:val="22"/>
        </w:rPr>
        <w:t>Accordingly, an order of a court prohibiting the publication of evidence is only valid if it is really necessary to secure the proper administration of justice in proceedings before it.</w:t>
      </w:r>
      <w:r w:rsidR="003E5D29">
        <w:rPr>
          <w:rFonts w:ascii="Arial" w:hAnsi="Arial" w:cs="Arial"/>
          <w:color w:val="000000"/>
          <w:sz w:val="18"/>
          <w:szCs w:val="22"/>
        </w:rPr>
        <w:t>’” (Emphasis added)</w:t>
      </w:r>
    </w:p>
    <w:p w14:paraId="22BF7F3F" w14:textId="750F0038" w:rsidR="00070B6F" w:rsidRDefault="00070B6F" w:rsidP="00070B6F">
      <w:pPr>
        <w:spacing w:before="60"/>
        <w:ind w:left="567" w:right="567"/>
        <w:jc w:val="both"/>
        <w:rPr>
          <w:rFonts w:ascii="Arial" w:hAnsi="Arial" w:cs="Arial"/>
          <w:color w:val="000000"/>
          <w:sz w:val="20"/>
        </w:rPr>
      </w:pPr>
      <w:r>
        <w:rPr>
          <w:rFonts w:ascii="Arial" w:hAnsi="Arial" w:cs="Arial"/>
          <w:color w:val="000000"/>
          <w:sz w:val="20"/>
        </w:rPr>
        <w:t>…</w:t>
      </w:r>
    </w:p>
    <w:p w14:paraId="53B7EA1C" w14:textId="20425DBB" w:rsidR="00070B6F" w:rsidRDefault="00070B6F" w:rsidP="00070B6F">
      <w:pPr>
        <w:spacing w:before="60"/>
        <w:ind w:left="567" w:right="567"/>
        <w:jc w:val="both"/>
        <w:rPr>
          <w:rFonts w:ascii="Arial" w:hAnsi="Arial" w:cs="Arial"/>
          <w:color w:val="000000"/>
          <w:sz w:val="20"/>
        </w:rPr>
      </w:pPr>
      <w:r>
        <w:rPr>
          <w:rFonts w:ascii="Arial" w:hAnsi="Arial" w:cs="Arial"/>
          <w:color w:val="000000"/>
          <w:sz w:val="20"/>
        </w:rPr>
        <w:t xml:space="preserve">[49] “In summary, I do not consider that a proceeding suppression order in the form sought is necessary to protect EN’s safety so as to warrant the significant departure from the principle of open justice that such an order would entail.  It must follow that there is no basis to make an order either pursuant to the </w:t>
      </w:r>
      <w:r w:rsidRPr="00070B6F">
        <w:rPr>
          <w:rFonts w:ascii="Arial" w:hAnsi="Arial" w:cs="Arial"/>
          <w:i/>
          <w:iCs/>
          <w:color w:val="000000"/>
          <w:sz w:val="20"/>
        </w:rPr>
        <w:t>Open Courts Act</w:t>
      </w:r>
      <w:r>
        <w:rPr>
          <w:rFonts w:ascii="Arial" w:hAnsi="Arial" w:cs="Arial"/>
          <w:color w:val="000000"/>
          <w:sz w:val="20"/>
        </w:rPr>
        <w:t>, or the inherent jurisdiction of the court as the order sought is not necessary to secure the proper administration of justice with respect to the proceeding: see [20] above.</w:t>
      </w:r>
    </w:p>
    <w:p w14:paraId="2D1290F2" w14:textId="70FB4D8E" w:rsidR="00070B6F" w:rsidRPr="004235AF" w:rsidRDefault="00070B6F" w:rsidP="00070B6F">
      <w:pPr>
        <w:spacing w:before="60"/>
        <w:ind w:left="567" w:right="567"/>
        <w:jc w:val="both"/>
        <w:rPr>
          <w:rFonts w:ascii="Arial" w:hAnsi="Arial" w:cs="Arial"/>
          <w:color w:val="000000"/>
          <w:sz w:val="20"/>
        </w:rPr>
      </w:pPr>
      <w:r>
        <w:rPr>
          <w:rFonts w:ascii="Arial" w:hAnsi="Arial" w:cs="Arial"/>
          <w:color w:val="000000"/>
          <w:sz w:val="20"/>
        </w:rPr>
        <w:t xml:space="preserve">[50] </w:t>
      </w:r>
      <w:r w:rsidR="003E5D29">
        <w:rPr>
          <w:rFonts w:ascii="Arial" w:hAnsi="Arial" w:cs="Arial"/>
          <w:color w:val="000000"/>
          <w:sz w:val="20"/>
        </w:rPr>
        <w:t>In relation to EN’s application for a pseudonym order, as acknowledged by both the prosecution and the ABC, different considerations apply in this context.  Although the necessity of such an order must be proven, it is generally sufficient to establish a real risk that a person will suffer psychological or physical harm in the absence of the order.  Having regard to the opinions and observations of Dr Deacon and the matters disclosed I the subpoenaed medical records from Justice Health, I am satisfied that there is cogent evidence of a genuinely and reasonably held fear of both psychological and physical harm on EN’s part if media reporting of the alleged offending which identifies EN is permitted.  Orders for the use of a pseudonym will reduce the risk, as well as the degree and severity, of any such harm.”</w:t>
      </w:r>
    </w:p>
    <w:p w14:paraId="702B9E28" w14:textId="77777777" w:rsidR="00C373E8" w:rsidRDefault="00C373E8" w:rsidP="001E79F7">
      <w:pPr>
        <w:jc w:val="both"/>
        <w:rPr>
          <w:rFonts w:ascii="Arial" w:hAnsi="Arial" w:cs="Arial"/>
          <w:sz w:val="20"/>
        </w:rPr>
      </w:pPr>
    </w:p>
    <w:p w14:paraId="0DD0E034" w14:textId="5CACAABF" w:rsidR="008D7F1E" w:rsidRDefault="007F5E7D" w:rsidP="001601CE">
      <w:pPr>
        <w:jc w:val="both"/>
        <w:rPr>
          <w:rFonts w:ascii="Arial" w:hAnsi="Arial" w:cs="Arial"/>
          <w:sz w:val="20"/>
        </w:rPr>
      </w:pPr>
      <w:r>
        <w:rPr>
          <w:rFonts w:ascii="Arial" w:hAnsi="Arial" w:cs="Arial"/>
          <w:sz w:val="20"/>
        </w:rPr>
        <w:t xml:space="preserve">In </w:t>
      </w:r>
      <w:r w:rsidRPr="007F5E7D">
        <w:rPr>
          <w:rFonts w:ascii="Arial" w:hAnsi="Arial" w:cs="Arial"/>
          <w:i/>
          <w:iCs/>
          <w:sz w:val="20"/>
        </w:rPr>
        <w:t>Director of Public Prosecutions v HR</w:t>
      </w:r>
      <w:r>
        <w:rPr>
          <w:rFonts w:ascii="Arial" w:hAnsi="Arial" w:cs="Arial"/>
          <w:sz w:val="20"/>
        </w:rPr>
        <w:t xml:space="preserve"> [2024] VSC 467 </w:t>
      </w:r>
      <w:r w:rsidR="001601CE">
        <w:rPr>
          <w:rFonts w:ascii="Arial" w:hAnsi="Arial" w:cs="Arial"/>
          <w:sz w:val="20"/>
        </w:rPr>
        <w:t xml:space="preserve">HR had been committed for trial on a charge of attempted murder of her daughter D who suffers from severe autism spectrum disorder and attends a </w:t>
      </w:r>
      <w:r w:rsidR="001601CE">
        <w:rPr>
          <w:rFonts w:ascii="Arial" w:hAnsi="Arial" w:cs="Arial"/>
          <w:sz w:val="20"/>
        </w:rPr>
        <w:lastRenderedPageBreak/>
        <w:t xml:space="preserve">specialist school.  The DPP applied for a proceeding suppression order under ss.17, 18(1)(d) &amp; (e) of </w:t>
      </w:r>
      <w:r w:rsidR="001601CE" w:rsidRPr="001601CE">
        <w:rPr>
          <w:rFonts w:ascii="Arial" w:hAnsi="Arial" w:cs="Arial"/>
          <w:i/>
          <w:iCs/>
          <w:sz w:val="20"/>
        </w:rPr>
        <w:t>Open Courts Act 2013</w:t>
      </w:r>
      <w:r w:rsidR="001601CE">
        <w:rPr>
          <w:rFonts w:ascii="Arial" w:hAnsi="Arial" w:cs="Arial"/>
          <w:sz w:val="20"/>
        </w:rPr>
        <w:t xml:space="preserve"> to prevent disclosure in a report of, or information derived from, the Supreme Court trial proceeding or the earlier Magistrates’ Court committal proceeding that contains particulars that would be likely to lead to the identification of the child D.  The application was </w:t>
      </w:r>
      <w:r w:rsidR="00A9388B">
        <w:rPr>
          <w:rFonts w:ascii="Arial" w:hAnsi="Arial" w:cs="Arial"/>
          <w:sz w:val="20"/>
        </w:rPr>
        <w:t>supported by D’s father</w:t>
      </w:r>
      <w:r w:rsidR="00731350">
        <w:rPr>
          <w:rFonts w:ascii="Arial" w:hAnsi="Arial" w:cs="Arial"/>
          <w:sz w:val="20"/>
        </w:rPr>
        <w:t xml:space="preserve"> and was unopposed by HR and any media organisation</w:t>
      </w:r>
      <w:r w:rsidR="001601CE">
        <w:rPr>
          <w:rFonts w:ascii="Arial" w:hAnsi="Arial" w:cs="Arial"/>
          <w:sz w:val="20"/>
        </w:rPr>
        <w:t xml:space="preserve">.  Elliott J was satisfied that D was captured by the relevant provisions </w:t>
      </w:r>
      <w:r w:rsidR="00A9388B">
        <w:rPr>
          <w:rFonts w:ascii="Arial" w:hAnsi="Arial" w:cs="Arial"/>
          <w:sz w:val="20"/>
        </w:rPr>
        <w:t>of the OCA and that an order was necessary to avoid causing her undue distress or embarrassment.  Accordingly</w:t>
      </w:r>
      <w:r w:rsidR="008D7F1E">
        <w:rPr>
          <w:rFonts w:ascii="Arial" w:hAnsi="Arial" w:cs="Arial"/>
          <w:sz w:val="20"/>
        </w:rPr>
        <w:t>,</w:t>
      </w:r>
      <w:r w:rsidR="00A9388B">
        <w:rPr>
          <w:rFonts w:ascii="Arial" w:hAnsi="Arial" w:cs="Arial"/>
          <w:sz w:val="20"/>
        </w:rPr>
        <w:t xml:space="preserve"> his Honour made a proceeding suppression order substantially in the terms sought for a period of 5 years from the date it was made or 12 months after the conclusion of the Supreme Court trial</w:t>
      </w:r>
      <w:r w:rsidR="00731350">
        <w:rPr>
          <w:rFonts w:ascii="Arial" w:hAnsi="Arial" w:cs="Arial"/>
          <w:sz w:val="20"/>
        </w:rPr>
        <w:t>,</w:t>
      </w:r>
      <w:r w:rsidR="00A9388B">
        <w:rPr>
          <w:rFonts w:ascii="Arial" w:hAnsi="Arial" w:cs="Arial"/>
          <w:sz w:val="20"/>
        </w:rPr>
        <w:t xml:space="preserve"> which</w:t>
      </w:r>
      <w:r w:rsidR="008D7F1E">
        <w:rPr>
          <w:rFonts w:ascii="Arial" w:hAnsi="Arial" w:cs="Arial"/>
          <w:sz w:val="20"/>
        </w:rPr>
        <w:t>ever</w:t>
      </w:r>
      <w:r w:rsidR="00A9388B">
        <w:rPr>
          <w:rFonts w:ascii="Arial" w:hAnsi="Arial" w:cs="Arial"/>
          <w:sz w:val="20"/>
        </w:rPr>
        <w:t xml:space="preserve"> occurs first.  In his judgment his Honour addressed two particular issues relating to the construction of ss.18(1)(d) &amp; (e) in the context of</w:t>
      </w:r>
      <w:r w:rsidR="008D7F1E">
        <w:rPr>
          <w:rFonts w:ascii="Arial" w:hAnsi="Arial" w:cs="Arial"/>
          <w:sz w:val="20"/>
        </w:rPr>
        <w:t>–</w:t>
      </w:r>
    </w:p>
    <w:p w14:paraId="2D00045B" w14:textId="2BAB2220" w:rsidR="008D7F1E" w:rsidRDefault="00731350" w:rsidP="008D7F1E">
      <w:pPr>
        <w:pStyle w:val="ListParagraph"/>
        <w:numPr>
          <w:ilvl w:val="0"/>
          <w:numId w:val="53"/>
        </w:numPr>
        <w:ind w:left="357" w:hanging="357"/>
        <w:jc w:val="both"/>
        <w:rPr>
          <w:rFonts w:ascii="Arial" w:hAnsi="Arial" w:cs="Arial"/>
          <w:sz w:val="20"/>
        </w:rPr>
      </w:pPr>
      <w:r>
        <w:rPr>
          <w:rFonts w:ascii="Arial" w:hAnsi="Arial" w:cs="Arial"/>
          <w:sz w:val="20"/>
        </w:rPr>
        <w:t>D’s severe disability</w:t>
      </w:r>
      <w:r w:rsidRPr="008D7F1E">
        <w:rPr>
          <w:rFonts w:ascii="Arial" w:hAnsi="Arial" w:cs="Arial"/>
          <w:sz w:val="20"/>
        </w:rPr>
        <w:t xml:space="preserve"> </w:t>
      </w:r>
      <w:r w:rsidR="00A9388B" w:rsidRPr="008D7F1E">
        <w:rPr>
          <w:rFonts w:ascii="Arial" w:hAnsi="Arial" w:cs="Arial"/>
          <w:sz w:val="20"/>
        </w:rPr>
        <w:t xml:space="preserve">resulting in her not having made a complaint </w:t>
      </w:r>
      <w:r w:rsidR="008D7F1E" w:rsidRPr="008D7F1E">
        <w:rPr>
          <w:rFonts w:ascii="Arial" w:hAnsi="Arial" w:cs="Arial"/>
          <w:sz w:val="20"/>
        </w:rPr>
        <w:t>or any other form of statement to police</w:t>
      </w:r>
      <w:r w:rsidR="008D7F1E">
        <w:rPr>
          <w:rFonts w:ascii="Arial" w:hAnsi="Arial" w:cs="Arial"/>
          <w:sz w:val="20"/>
        </w:rPr>
        <w:t>;</w:t>
      </w:r>
      <w:r w:rsidR="008D7F1E" w:rsidRPr="008D7F1E">
        <w:rPr>
          <w:rFonts w:ascii="Arial" w:hAnsi="Arial" w:cs="Arial"/>
          <w:sz w:val="20"/>
        </w:rPr>
        <w:t xml:space="preserve"> and</w:t>
      </w:r>
    </w:p>
    <w:p w14:paraId="0C39B55D" w14:textId="06AD22FC" w:rsidR="001601CE" w:rsidRPr="008D7F1E" w:rsidRDefault="008D7F1E" w:rsidP="008D7F1E">
      <w:pPr>
        <w:pStyle w:val="ListParagraph"/>
        <w:numPr>
          <w:ilvl w:val="0"/>
          <w:numId w:val="53"/>
        </w:numPr>
        <w:ind w:left="357" w:hanging="357"/>
        <w:jc w:val="both"/>
        <w:rPr>
          <w:rFonts w:ascii="Arial" w:hAnsi="Arial" w:cs="Arial"/>
          <w:sz w:val="20"/>
        </w:rPr>
      </w:pPr>
      <w:r w:rsidRPr="008D7F1E">
        <w:rPr>
          <w:rFonts w:ascii="Arial" w:hAnsi="Arial" w:cs="Arial"/>
          <w:sz w:val="20"/>
        </w:rPr>
        <w:t>the prosecution not expecting to call her as a witness</w:t>
      </w:r>
      <w:r>
        <w:rPr>
          <w:rFonts w:ascii="Arial" w:hAnsi="Arial" w:cs="Arial"/>
          <w:sz w:val="20"/>
        </w:rPr>
        <w:t xml:space="preserve"> at the trial</w:t>
      </w:r>
      <w:r w:rsidRPr="008D7F1E">
        <w:rPr>
          <w:rFonts w:ascii="Arial" w:hAnsi="Arial" w:cs="Arial"/>
          <w:sz w:val="20"/>
        </w:rPr>
        <w:t>.</w:t>
      </w:r>
    </w:p>
    <w:p w14:paraId="26B55236" w14:textId="229DE9A5" w:rsidR="001601CE" w:rsidRDefault="00731350" w:rsidP="00731350">
      <w:pPr>
        <w:spacing w:before="60"/>
        <w:jc w:val="both"/>
        <w:rPr>
          <w:rFonts w:ascii="Arial" w:hAnsi="Arial" w:cs="Arial"/>
          <w:sz w:val="20"/>
        </w:rPr>
      </w:pPr>
      <w:r>
        <w:rPr>
          <w:rFonts w:ascii="Arial" w:hAnsi="Arial" w:cs="Arial"/>
          <w:sz w:val="20"/>
        </w:rPr>
        <w:t>At [22]</w:t>
      </w:r>
      <w:r w:rsidR="006E1304">
        <w:rPr>
          <w:rFonts w:ascii="Arial" w:hAnsi="Arial" w:cs="Arial"/>
          <w:sz w:val="20"/>
        </w:rPr>
        <w:t xml:space="preserve"> Elliott J held – for reasons detailed at [23]-[24] – that “there is no basis for construing ‘complainant’ [in s.18(1)(d) OCA] as including someone who has not made a complaint”.</w:t>
      </w:r>
    </w:p>
    <w:p w14:paraId="59F8B1FB" w14:textId="040080C6" w:rsidR="006E1304" w:rsidRDefault="006E1304" w:rsidP="00731350">
      <w:pPr>
        <w:spacing w:before="60"/>
        <w:jc w:val="both"/>
        <w:rPr>
          <w:rFonts w:ascii="Arial" w:hAnsi="Arial" w:cs="Arial"/>
          <w:sz w:val="20"/>
        </w:rPr>
      </w:pPr>
      <w:r>
        <w:rPr>
          <w:rFonts w:ascii="Arial" w:hAnsi="Arial" w:cs="Arial"/>
          <w:sz w:val="20"/>
        </w:rPr>
        <w:t>However, his Honour held at [33] – for reasons detailed at [28]-[34] – that D “is properly considered a ‘witness’ within the meaning of paragraphs (d) and (e) of section 18(1) of the OCA, notwithstanding that it is not intended that she give any evidence in the proceeding”.</w:t>
      </w:r>
      <w:r w:rsidR="00B9626D">
        <w:rPr>
          <w:rFonts w:ascii="Arial" w:hAnsi="Arial" w:cs="Arial"/>
          <w:sz w:val="20"/>
        </w:rPr>
        <w:t xml:space="preserve">  In particular his Honour said at [30]:</w:t>
      </w:r>
    </w:p>
    <w:p w14:paraId="112BC664" w14:textId="68EB9FDD" w:rsidR="006F3E94" w:rsidRPr="004235AF" w:rsidRDefault="006F3E94" w:rsidP="006F3E94">
      <w:pPr>
        <w:spacing w:before="60"/>
        <w:ind w:left="567" w:right="567"/>
        <w:jc w:val="both"/>
        <w:rPr>
          <w:rFonts w:ascii="Arial" w:hAnsi="Arial" w:cs="Arial"/>
          <w:color w:val="000000"/>
          <w:sz w:val="20"/>
        </w:rPr>
      </w:pPr>
      <w:r>
        <w:rPr>
          <w:rFonts w:ascii="Arial" w:hAnsi="Arial" w:cs="Arial"/>
          <w:color w:val="000000"/>
          <w:sz w:val="20"/>
        </w:rPr>
        <w:t xml:space="preserve">“The natural and ordinary meaning of ‘witness’ when used as a noun is a person who is present or sufficiently proximate and sees, hears, feels or otherwise perceives an act, occurrence or thing.  In a different statutory </w:t>
      </w:r>
      <w:r w:rsidR="00CE3BD2">
        <w:rPr>
          <w:rFonts w:ascii="Arial" w:hAnsi="Arial" w:cs="Arial"/>
          <w:color w:val="000000"/>
          <w:sz w:val="20"/>
        </w:rPr>
        <w:t>context,</w:t>
      </w:r>
      <w:r>
        <w:rPr>
          <w:rFonts w:ascii="Arial" w:hAnsi="Arial" w:cs="Arial"/>
          <w:color w:val="000000"/>
          <w:sz w:val="20"/>
        </w:rPr>
        <w:t xml:space="preserve"> it has been held that the normal meaning of ‘witness’ is a person who is a spectator of an incident or who is present at an incident: </w:t>
      </w:r>
      <w:r w:rsidRPr="006F3E94">
        <w:rPr>
          <w:rFonts w:ascii="Arial" w:hAnsi="Arial" w:cs="Arial"/>
          <w:i/>
          <w:iCs/>
          <w:color w:val="000000"/>
          <w:sz w:val="20"/>
        </w:rPr>
        <w:t>In the Estate of Charles Gibson</w:t>
      </w:r>
      <w:r>
        <w:rPr>
          <w:rFonts w:ascii="Arial" w:hAnsi="Arial" w:cs="Arial"/>
          <w:i/>
          <w:iCs/>
          <w:color w:val="000000"/>
          <w:sz w:val="20"/>
        </w:rPr>
        <w:t xml:space="preserve"> </w:t>
      </w:r>
      <w:r w:rsidRPr="006F3E94">
        <w:rPr>
          <w:rFonts w:ascii="Arial" w:hAnsi="Arial" w:cs="Arial"/>
          <w:i/>
          <w:iCs/>
          <w:color w:val="000000"/>
          <w:sz w:val="20"/>
        </w:rPr>
        <w:t>(</w:t>
      </w:r>
      <w:proofErr w:type="spellStart"/>
      <w:r w:rsidRPr="006F3E94">
        <w:rPr>
          <w:rFonts w:ascii="Arial" w:hAnsi="Arial" w:cs="Arial"/>
          <w:i/>
          <w:iCs/>
          <w:color w:val="000000"/>
          <w:sz w:val="20"/>
        </w:rPr>
        <w:t>dec</w:t>
      </w:r>
      <w:r w:rsidR="00B83B38">
        <w:rPr>
          <w:rFonts w:ascii="Arial" w:hAnsi="Arial" w:cs="Arial"/>
          <w:i/>
          <w:iCs/>
          <w:color w:val="000000"/>
          <w:sz w:val="20"/>
        </w:rPr>
        <w:t>’</w:t>
      </w:r>
      <w:r w:rsidRPr="006F3E94">
        <w:rPr>
          <w:rFonts w:ascii="Arial" w:hAnsi="Arial" w:cs="Arial"/>
          <w:i/>
          <w:iCs/>
          <w:color w:val="000000"/>
          <w:sz w:val="20"/>
        </w:rPr>
        <w:t>d</w:t>
      </w:r>
      <w:proofErr w:type="spellEnd"/>
      <w:r w:rsidRPr="006F3E94">
        <w:rPr>
          <w:rFonts w:ascii="Arial" w:hAnsi="Arial" w:cs="Arial"/>
          <w:i/>
          <w:iCs/>
          <w:color w:val="000000"/>
          <w:sz w:val="20"/>
        </w:rPr>
        <w:t>)</w:t>
      </w:r>
      <w:r>
        <w:rPr>
          <w:rFonts w:ascii="Arial" w:hAnsi="Arial" w:cs="Arial"/>
          <w:color w:val="000000"/>
          <w:sz w:val="20"/>
        </w:rPr>
        <w:t xml:space="preserve"> [1949] P 436, 436.7 (Pearce J), in determining whether a blind person was a witness to a will.  There is nothing in the provisions in question or in the OCA more generally (including the expressly stated main purposes) that would indicate that ‘witness’ should be given a narrower or different meaning to its natural and ordinary meaning.”</w:t>
      </w:r>
    </w:p>
    <w:p w14:paraId="0DCA8FE0" w14:textId="77777777" w:rsidR="006F3E94" w:rsidRDefault="006F3E94" w:rsidP="001E79F7">
      <w:pPr>
        <w:jc w:val="both"/>
        <w:rPr>
          <w:rFonts w:ascii="Arial" w:hAnsi="Arial" w:cs="Arial"/>
          <w:sz w:val="20"/>
        </w:rPr>
      </w:pPr>
    </w:p>
    <w:p w14:paraId="7CF74091" w14:textId="34BDCB43" w:rsidR="0083512F" w:rsidRDefault="0083512F" w:rsidP="001E79F7">
      <w:pPr>
        <w:jc w:val="both"/>
        <w:rPr>
          <w:rFonts w:ascii="Arial" w:hAnsi="Arial" w:cs="Arial"/>
          <w:sz w:val="20"/>
        </w:rPr>
      </w:pPr>
      <w:r>
        <w:rPr>
          <w:rFonts w:ascii="Arial" w:hAnsi="Arial" w:cs="Arial"/>
          <w:sz w:val="20"/>
        </w:rPr>
        <w:t xml:space="preserve">Section 19 of the OCA allows a </w:t>
      </w:r>
      <w:r w:rsidR="00FE3D21">
        <w:rPr>
          <w:rFonts w:ascii="Arial" w:hAnsi="Arial" w:cs="Arial"/>
          <w:sz w:val="20"/>
        </w:rPr>
        <w:t>“</w:t>
      </w:r>
      <w:r>
        <w:rPr>
          <w:rFonts w:ascii="Arial" w:hAnsi="Arial" w:cs="Arial"/>
          <w:sz w:val="20"/>
        </w:rPr>
        <w:t>court</w:t>
      </w:r>
      <w:r w:rsidR="00FE3D21">
        <w:rPr>
          <w:rFonts w:ascii="Arial" w:hAnsi="Arial" w:cs="Arial"/>
          <w:sz w:val="20"/>
        </w:rPr>
        <w:t>”</w:t>
      </w:r>
      <w:r>
        <w:rPr>
          <w:rFonts w:ascii="Arial" w:hAnsi="Arial" w:cs="Arial"/>
          <w:sz w:val="20"/>
        </w:rPr>
        <w:t xml:space="preserve"> to make a </w:t>
      </w:r>
      <w:r w:rsidR="00FE3D21">
        <w:rPr>
          <w:rFonts w:ascii="Arial" w:hAnsi="Arial" w:cs="Arial"/>
          <w:sz w:val="20"/>
        </w:rPr>
        <w:t>“</w:t>
      </w:r>
      <w:r>
        <w:rPr>
          <w:rFonts w:ascii="Arial" w:hAnsi="Arial" w:cs="Arial"/>
          <w:sz w:val="20"/>
        </w:rPr>
        <w:t>proceeding suppression order</w:t>
      </w:r>
      <w:r w:rsidR="00FE3D21">
        <w:rPr>
          <w:rFonts w:ascii="Arial" w:hAnsi="Arial" w:cs="Arial"/>
          <w:sz w:val="20"/>
        </w:rPr>
        <w:t>”</w:t>
      </w:r>
      <w:r>
        <w:rPr>
          <w:rFonts w:ascii="Arial" w:hAnsi="Arial" w:cs="Arial"/>
          <w:sz w:val="20"/>
        </w:rPr>
        <w:t>-</w:t>
      </w:r>
    </w:p>
    <w:p w14:paraId="3474F2A3"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its own motion; or</w:t>
      </w:r>
    </w:p>
    <w:p w14:paraId="058D29B7"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application of a party to the proceeding; or</w:t>
      </w:r>
    </w:p>
    <w:p w14:paraId="1386046F"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application by any other person considered by the court to have a sufficient interest in the making of the order.</w:t>
      </w:r>
    </w:p>
    <w:p w14:paraId="1764DD95" w14:textId="77777777" w:rsidR="0083512F" w:rsidRPr="004235AF" w:rsidRDefault="0083512F" w:rsidP="001E79F7">
      <w:pPr>
        <w:jc w:val="both"/>
        <w:rPr>
          <w:rFonts w:ascii="Arial" w:hAnsi="Arial" w:cs="Arial"/>
          <w:color w:val="000000"/>
          <w:sz w:val="20"/>
        </w:rPr>
      </w:pPr>
    </w:p>
    <w:p w14:paraId="13956D01" w14:textId="1A2D9A43" w:rsidR="00855962" w:rsidRPr="004235AF" w:rsidRDefault="00855962" w:rsidP="001E79F7">
      <w:pPr>
        <w:jc w:val="both"/>
        <w:rPr>
          <w:rFonts w:ascii="Arial" w:hAnsi="Arial" w:cs="Arial"/>
          <w:color w:val="000000"/>
          <w:sz w:val="20"/>
        </w:rPr>
      </w:pPr>
      <w:r w:rsidRPr="004235AF">
        <w:rPr>
          <w:rFonts w:ascii="Arial" w:hAnsi="Arial" w:cs="Arial"/>
          <w:color w:val="000000"/>
          <w:sz w:val="20"/>
        </w:rPr>
        <w:t xml:space="preserve">In </w:t>
      </w:r>
      <w:r w:rsidRPr="004235AF">
        <w:rPr>
          <w:rFonts w:ascii="Arial" w:hAnsi="Arial" w:cs="Arial"/>
          <w:i/>
          <w:color w:val="000000"/>
          <w:sz w:val="20"/>
        </w:rPr>
        <w:t>DPP v QPX</w:t>
      </w:r>
      <w:r w:rsidRPr="004235AF">
        <w:rPr>
          <w:rFonts w:ascii="Arial" w:hAnsi="Arial" w:cs="Arial"/>
          <w:color w:val="000000"/>
          <w:sz w:val="20"/>
        </w:rPr>
        <w:t xml:space="preserve"> [2014] VSC 211 Bongiorno JA made a 5 year proceeding suppression order </w:t>
      </w:r>
      <w:r w:rsidR="00AE75DD" w:rsidRPr="004235AF">
        <w:rPr>
          <w:rFonts w:ascii="Arial" w:hAnsi="Arial" w:cs="Arial"/>
          <w:color w:val="000000"/>
          <w:sz w:val="20"/>
        </w:rPr>
        <w:t>preventing disclosure of the identit</w:t>
      </w:r>
      <w:r w:rsidR="009B5C8F" w:rsidRPr="004235AF">
        <w:rPr>
          <w:rFonts w:ascii="Arial" w:hAnsi="Arial" w:cs="Arial"/>
          <w:color w:val="000000"/>
          <w:sz w:val="20"/>
        </w:rPr>
        <w:t>y</w:t>
      </w:r>
      <w:r w:rsidR="00AE75DD" w:rsidRPr="004235AF">
        <w:rPr>
          <w:rFonts w:ascii="Arial" w:hAnsi="Arial" w:cs="Arial"/>
          <w:color w:val="000000"/>
          <w:sz w:val="20"/>
        </w:rPr>
        <w:t xml:space="preserve"> of the accused who had pleaded guilty to infanticide and </w:t>
      </w:r>
      <w:r w:rsidR="009B5C8F" w:rsidRPr="004235AF">
        <w:rPr>
          <w:rFonts w:ascii="Arial" w:hAnsi="Arial" w:cs="Arial"/>
          <w:color w:val="000000"/>
          <w:sz w:val="20"/>
        </w:rPr>
        <w:t xml:space="preserve">the identities of </w:t>
      </w:r>
      <w:r w:rsidR="00AE75DD" w:rsidRPr="004235AF">
        <w:rPr>
          <w:rFonts w:ascii="Arial" w:hAnsi="Arial" w:cs="Arial"/>
          <w:color w:val="000000"/>
          <w:sz w:val="20"/>
        </w:rPr>
        <w:t xml:space="preserve">the three related children.  His Honour had expert evidence from a </w:t>
      </w:r>
      <w:r w:rsidR="009B5C8F" w:rsidRPr="004235AF">
        <w:rPr>
          <w:rFonts w:ascii="Arial" w:hAnsi="Arial" w:cs="Arial"/>
          <w:color w:val="000000"/>
          <w:sz w:val="20"/>
        </w:rPr>
        <w:t xml:space="preserve">psychiatrist who had examined the accused as well as a </w:t>
      </w:r>
      <w:r w:rsidR="00AE75DD" w:rsidRPr="004235AF">
        <w:rPr>
          <w:rFonts w:ascii="Arial" w:hAnsi="Arial" w:cs="Arial"/>
          <w:color w:val="000000"/>
          <w:sz w:val="20"/>
        </w:rPr>
        <w:t xml:space="preserve">senior psychologist </w:t>
      </w:r>
      <w:r w:rsidR="004235AF">
        <w:rPr>
          <w:rFonts w:ascii="Arial" w:hAnsi="Arial" w:cs="Arial"/>
          <w:color w:val="000000"/>
          <w:sz w:val="20"/>
        </w:rPr>
        <w:t xml:space="preserve">which </w:t>
      </w:r>
      <w:r w:rsidR="009B5C8F" w:rsidRPr="004235AF">
        <w:rPr>
          <w:rFonts w:ascii="Arial" w:hAnsi="Arial" w:cs="Arial"/>
          <w:color w:val="000000"/>
          <w:sz w:val="20"/>
        </w:rPr>
        <w:t>express</w:t>
      </w:r>
      <w:r w:rsidR="004235AF">
        <w:rPr>
          <w:rFonts w:ascii="Arial" w:hAnsi="Arial" w:cs="Arial"/>
          <w:color w:val="000000"/>
          <w:sz w:val="20"/>
        </w:rPr>
        <w:t>ed</w:t>
      </w:r>
      <w:r w:rsidR="009B5C8F" w:rsidRPr="004235AF">
        <w:rPr>
          <w:rFonts w:ascii="Arial" w:hAnsi="Arial" w:cs="Arial"/>
          <w:color w:val="000000"/>
          <w:sz w:val="20"/>
        </w:rPr>
        <w:t xml:space="preserve"> opinions</w:t>
      </w:r>
      <w:r w:rsidR="00AE75DD" w:rsidRPr="004235AF">
        <w:rPr>
          <w:rFonts w:ascii="Arial" w:hAnsi="Arial" w:cs="Arial"/>
          <w:color w:val="000000"/>
          <w:sz w:val="20"/>
        </w:rPr>
        <w:t xml:space="preserve">, </w:t>
      </w:r>
      <w:r w:rsidR="00AE75DD" w:rsidRPr="004235AF">
        <w:rPr>
          <w:rFonts w:ascii="Arial" w:hAnsi="Arial" w:cs="Arial"/>
          <w:i/>
          <w:color w:val="000000"/>
          <w:sz w:val="20"/>
        </w:rPr>
        <w:t>inter alia</w:t>
      </w:r>
      <w:r w:rsidR="00AE75DD" w:rsidRPr="004235AF">
        <w:rPr>
          <w:rFonts w:ascii="Arial" w:hAnsi="Arial" w:cs="Arial"/>
          <w:color w:val="000000"/>
          <w:sz w:val="20"/>
        </w:rPr>
        <w:t xml:space="preserve">, about the potential </w:t>
      </w:r>
      <w:r w:rsidR="00D47400" w:rsidRPr="004235AF">
        <w:rPr>
          <w:rFonts w:ascii="Arial" w:hAnsi="Arial" w:cs="Arial"/>
          <w:color w:val="000000"/>
          <w:sz w:val="20"/>
        </w:rPr>
        <w:t xml:space="preserve">negative </w:t>
      </w:r>
      <w:r w:rsidR="00AE75DD" w:rsidRPr="004235AF">
        <w:rPr>
          <w:rFonts w:ascii="Arial" w:hAnsi="Arial" w:cs="Arial"/>
          <w:color w:val="000000"/>
          <w:sz w:val="20"/>
        </w:rPr>
        <w:t xml:space="preserve">impact of </w:t>
      </w:r>
      <w:r w:rsidR="009B5C8F" w:rsidRPr="004235AF">
        <w:rPr>
          <w:rFonts w:ascii="Arial" w:hAnsi="Arial" w:cs="Arial"/>
          <w:color w:val="000000"/>
          <w:sz w:val="20"/>
        </w:rPr>
        <w:t>disclosure on the psychological health of the accused and the surviving children.  At</w:t>
      </w:r>
      <w:r w:rsidR="00070B6F">
        <w:rPr>
          <w:rFonts w:ascii="Arial" w:hAnsi="Arial" w:cs="Arial"/>
          <w:color w:val="000000"/>
          <w:sz w:val="20"/>
        </w:rPr>
        <w:t> </w:t>
      </w:r>
      <w:r w:rsidR="009B5C8F" w:rsidRPr="004235AF">
        <w:rPr>
          <w:rFonts w:ascii="Arial" w:hAnsi="Arial" w:cs="Arial"/>
          <w:color w:val="000000"/>
          <w:sz w:val="20"/>
        </w:rPr>
        <w:t>[15] his Honour said:</w:t>
      </w:r>
    </w:p>
    <w:p w14:paraId="66838AF7" w14:textId="77777777" w:rsidR="009B5C8F" w:rsidRPr="004235AF" w:rsidRDefault="009B5C8F" w:rsidP="009B5C8F">
      <w:pPr>
        <w:spacing w:before="60"/>
        <w:ind w:left="567" w:right="567"/>
        <w:jc w:val="both"/>
        <w:rPr>
          <w:rFonts w:ascii="Arial" w:hAnsi="Arial" w:cs="Arial"/>
          <w:color w:val="000000"/>
          <w:sz w:val="20"/>
        </w:rPr>
      </w:pPr>
      <w:r w:rsidRPr="004235AF">
        <w:rPr>
          <w:rFonts w:ascii="Arial" w:hAnsi="Arial" w:cs="Arial"/>
          <w:color w:val="000000"/>
          <w:sz w:val="20"/>
        </w:rPr>
        <w:t xml:space="preserve">“The grounds upon which a suppression order relevant to this case might be made are set out in s 18 of the [OCA].  They include the ground set out in s 18(1)(c), that the order is necessary to protect the safety of any person.  </w:t>
      </w:r>
      <w:r w:rsidRPr="004235AF">
        <w:rPr>
          <w:rFonts w:ascii="Arial" w:hAnsi="Arial" w:cs="Arial"/>
          <w:color w:val="000000"/>
          <w:sz w:val="20"/>
          <w:szCs w:val="20"/>
        </w:rPr>
        <w:t xml:space="preserve">Accordingly, the order must be </w:t>
      </w:r>
      <w:r w:rsidRPr="004235AF">
        <w:rPr>
          <w:rFonts w:ascii="Arial" w:hAnsi="Arial" w:cs="Arial"/>
          <w:i/>
          <w:iCs/>
          <w:color w:val="000000"/>
          <w:sz w:val="20"/>
          <w:szCs w:val="20"/>
        </w:rPr>
        <w:t>necessary</w:t>
      </w:r>
      <w:r w:rsidR="00867BE2" w:rsidRPr="004235AF">
        <w:rPr>
          <w:rFonts w:ascii="Arial" w:hAnsi="Arial" w:cs="Arial"/>
          <w:iCs/>
          <w:color w:val="000000"/>
          <w:sz w:val="20"/>
          <w:szCs w:val="20"/>
        </w:rPr>
        <w:t>,</w:t>
      </w:r>
      <w:r w:rsidRPr="004235AF">
        <w:rPr>
          <w:rFonts w:ascii="Arial" w:hAnsi="Arial" w:cs="Arial"/>
          <w:i/>
          <w:iCs/>
          <w:color w:val="000000"/>
          <w:sz w:val="20"/>
          <w:szCs w:val="20"/>
        </w:rPr>
        <w:t xml:space="preserve"> </w:t>
      </w:r>
      <w:r w:rsidRPr="004235AF">
        <w:rPr>
          <w:rFonts w:ascii="Arial" w:hAnsi="Arial" w:cs="Arial"/>
          <w:color w:val="000000"/>
          <w:sz w:val="20"/>
          <w:szCs w:val="20"/>
        </w:rPr>
        <w:t xml:space="preserve">not merely ‘convenient, reasonable or sensible’: </w:t>
      </w:r>
      <w:r w:rsidRPr="004235AF">
        <w:rPr>
          <w:rFonts w:ascii="Arial" w:hAnsi="Arial" w:cs="Arial"/>
          <w:i/>
          <w:color w:val="000000"/>
          <w:sz w:val="20"/>
          <w:szCs w:val="20"/>
        </w:rPr>
        <w:t>Hogan v Australian Crime Commission</w:t>
      </w:r>
      <w:r w:rsidRPr="004235AF">
        <w:rPr>
          <w:rFonts w:ascii="Arial" w:hAnsi="Arial" w:cs="Arial"/>
          <w:color w:val="000000"/>
          <w:sz w:val="20"/>
          <w:szCs w:val="20"/>
        </w:rPr>
        <w:t xml:space="preserve"> (2010) 240 CLR 651, [31]–[33].</w:t>
      </w:r>
      <w:r w:rsidRPr="004235AF">
        <w:rPr>
          <w:rFonts w:ascii="Arial" w:hAnsi="Arial" w:cs="Arial"/>
          <w:color w:val="000000"/>
          <w:sz w:val="20"/>
        </w:rPr>
        <w:t xml:space="preserve">  Without the order, the safety of a person or persons must be endangered.  The protection of a person's safety implies the defending or shielding of that person from injury or danger.  That danger might involve danger of physical harm or it might involve danger to a person's psychological health or a combination of both.  There is no warrant to qualify the meaning of the word ‘safety’ in s</w:t>
      </w:r>
      <w:r w:rsidR="004235AF">
        <w:rPr>
          <w:rFonts w:ascii="Arial" w:hAnsi="Arial" w:cs="Arial"/>
          <w:color w:val="000000"/>
          <w:sz w:val="20"/>
        </w:rPr>
        <w:t>.</w:t>
      </w:r>
      <w:r w:rsidRPr="004235AF">
        <w:rPr>
          <w:rFonts w:ascii="Arial" w:hAnsi="Arial" w:cs="Arial"/>
          <w:color w:val="000000"/>
          <w:sz w:val="20"/>
        </w:rPr>
        <w:t>18(1)(c) by confining it to physical safety.  Psychological harm to a person may be as serious or worse than physical harm.  In any event psychological harm may well create a serious danger of physical harm, as the evidence in this case suggests.”</w:t>
      </w:r>
    </w:p>
    <w:p w14:paraId="5F770A22" w14:textId="77777777" w:rsidR="00AE75DD" w:rsidRDefault="00AE75DD" w:rsidP="001E79F7">
      <w:pPr>
        <w:jc w:val="both"/>
        <w:rPr>
          <w:rFonts w:ascii="Arial" w:hAnsi="Arial" w:cs="Arial"/>
          <w:sz w:val="20"/>
        </w:rPr>
      </w:pPr>
    </w:p>
    <w:p w14:paraId="74CCA379" w14:textId="77777777" w:rsidR="00E96234" w:rsidRDefault="00E96234" w:rsidP="00E96234">
      <w:pPr>
        <w:jc w:val="both"/>
        <w:rPr>
          <w:rFonts w:ascii="Arial" w:hAnsi="Arial" w:cs="Arial"/>
          <w:sz w:val="20"/>
        </w:rPr>
      </w:pPr>
      <w:r>
        <w:rPr>
          <w:rFonts w:ascii="Arial" w:hAnsi="Arial" w:cs="Arial"/>
          <w:sz w:val="20"/>
        </w:rPr>
        <w:t xml:space="preserve">In </w:t>
      </w:r>
      <w:r w:rsidRPr="00255605">
        <w:rPr>
          <w:rFonts w:ascii="Arial" w:hAnsi="Arial" w:cs="Arial"/>
          <w:i/>
          <w:sz w:val="20"/>
        </w:rPr>
        <w:t>Re Williams (a pseudonym) (No 2)</w:t>
      </w:r>
      <w:r>
        <w:rPr>
          <w:rFonts w:ascii="Arial" w:hAnsi="Arial" w:cs="Arial"/>
          <w:sz w:val="20"/>
        </w:rPr>
        <w:t xml:space="preserve"> [2016] VSC 364, in the course of hearing a bail application by an adult facing serious criminal charges Maxwell ACJ on his own motion concluded that a </w:t>
      </w:r>
      <w:r w:rsidR="003D128A">
        <w:rPr>
          <w:rFonts w:ascii="Arial" w:hAnsi="Arial" w:cs="Arial"/>
          <w:sz w:val="20"/>
        </w:rPr>
        <w:t>“</w:t>
      </w:r>
      <w:r>
        <w:rPr>
          <w:rFonts w:ascii="Arial" w:hAnsi="Arial" w:cs="Arial"/>
          <w:sz w:val="20"/>
        </w:rPr>
        <w:t>proceeding suppression order</w:t>
      </w:r>
      <w:r w:rsidR="003D128A">
        <w:rPr>
          <w:rFonts w:ascii="Arial" w:hAnsi="Arial" w:cs="Arial"/>
          <w:sz w:val="20"/>
        </w:rPr>
        <w:t>”</w:t>
      </w:r>
      <w:r>
        <w:rPr>
          <w:rFonts w:ascii="Arial" w:hAnsi="Arial" w:cs="Arial"/>
          <w:sz w:val="20"/>
        </w:rPr>
        <w:t xml:space="preserve"> should be made under s.19(1)(a) of the OCA in order “to prevent a real and substantial risk of prejudice to the proper administration of justice [which] cannot be prevented by other reasonably available mean</w:t>
      </w:r>
      <w:r w:rsidR="003D128A">
        <w:rPr>
          <w:rFonts w:ascii="Arial" w:hAnsi="Arial" w:cs="Arial"/>
          <w:sz w:val="20"/>
        </w:rPr>
        <w:t xml:space="preserve">s”: s.18(1)(a).  Exercising a </w:t>
      </w:r>
      <w:r>
        <w:rPr>
          <w:rFonts w:ascii="Arial" w:hAnsi="Arial" w:cs="Arial"/>
          <w:sz w:val="20"/>
        </w:rPr>
        <w:t xml:space="preserve">right under s.19(2)(e) to appear and be heard on the hearing of the subsequent application by the DPP for a suppression order, counsel for The Herald and Weekly Times Pty Ltd ingenuously advised the Court that his client “only had an interest in opposing </w:t>
      </w:r>
      <w:r>
        <w:rPr>
          <w:rFonts w:ascii="Arial" w:hAnsi="Arial" w:cs="Arial"/>
          <w:sz w:val="20"/>
        </w:rPr>
        <w:lastRenderedPageBreak/>
        <w:t>the [suppression] application in the event that bail was to be granted”.  At [14] &amp; [16] Maxwell ACJ was strongly critical of this one-sided approach to reporting:</w:t>
      </w:r>
    </w:p>
    <w:p w14:paraId="69A85317" w14:textId="77777777" w:rsidR="00E96234" w:rsidRDefault="00E96234" w:rsidP="00E96234">
      <w:pPr>
        <w:tabs>
          <w:tab w:val="left" w:pos="567"/>
        </w:tabs>
        <w:spacing w:before="60"/>
        <w:ind w:left="567" w:right="567"/>
        <w:jc w:val="both"/>
        <w:rPr>
          <w:rFonts w:ascii="Arial" w:hAnsi="Arial" w:cs="Arial"/>
          <w:sz w:val="20"/>
        </w:rPr>
      </w:pPr>
      <w:r>
        <w:rPr>
          <w:rFonts w:ascii="Arial" w:hAnsi="Arial" w:cs="Arial"/>
          <w:sz w:val="20"/>
        </w:rPr>
        <w:t>“If it is important for the community to know that bail has been granted in a case where there are concerns about interference with witnesses, it must be equally important for the community to know that bail has been refused precisely because of those concerns...</w:t>
      </w:r>
    </w:p>
    <w:p w14:paraId="79887630" w14:textId="77777777" w:rsidR="00E96234" w:rsidRDefault="00E96234" w:rsidP="00E96234">
      <w:pPr>
        <w:tabs>
          <w:tab w:val="left" w:pos="567"/>
        </w:tabs>
        <w:spacing w:before="60"/>
        <w:ind w:left="567" w:right="567"/>
        <w:jc w:val="both"/>
        <w:rPr>
          <w:rFonts w:ascii="Arial" w:hAnsi="Arial" w:cs="Arial"/>
          <w:sz w:val="20"/>
        </w:rPr>
      </w:pPr>
      <w:r>
        <w:rPr>
          <w:rFonts w:ascii="Arial" w:hAnsi="Arial" w:cs="Arial"/>
          <w:sz w:val="20"/>
        </w:rPr>
        <w:t xml:space="preserve">The public interest would be much better served, in my view, if the community was made aware of the full range of bail decisions which are made including, in particular, decisions to refuse bail and decisions to grant bail subject to onerous conditions.  Promoting that awareness is a shared responsibility of the Court and the media: </w:t>
      </w:r>
      <w:r w:rsidRPr="00755FF0">
        <w:rPr>
          <w:rFonts w:ascii="Arial" w:hAnsi="Arial" w:cs="Arial"/>
          <w:i/>
          <w:sz w:val="20"/>
        </w:rPr>
        <w:t xml:space="preserve">WCB v The Queen </w:t>
      </w:r>
      <w:r>
        <w:rPr>
          <w:rFonts w:ascii="Arial" w:hAnsi="Arial" w:cs="Arial"/>
          <w:sz w:val="20"/>
        </w:rPr>
        <w:t>(2010) 29 VR 483, 492 [27].  Properly informed in that way, the community would be entitled to have a high degree of confidence in the careful and conscientious decision-making undertaken on their behalf.”</w:t>
      </w:r>
    </w:p>
    <w:p w14:paraId="032B11AB" w14:textId="77777777" w:rsidR="00E96234" w:rsidRDefault="00E96234" w:rsidP="001E79F7">
      <w:pPr>
        <w:jc w:val="both"/>
        <w:rPr>
          <w:rFonts w:ascii="Arial" w:hAnsi="Arial" w:cs="Arial"/>
          <w:sz w:val="20"/>
        </w:rPr>
      </w:pPr>
    </w:p>
    <w:p w14:paraId="54020A10" w14:textId="0A539EFF" w:rsidR="00955865" w:rsidRDefault="0083512F" w:rsidP="00955865">
      <w:pPr>
        <w:jc w:val="both"/>
        <w:rPr>
          <w:rFonts w:ascii="Arial" w:hAnsi="Arial" w:cs="Arial"/>
          <w:sz w:val="20"/>
        </w:rPr>
      </w:pPr>
      <w:r>
        <w:rPr>
          <w:rFonts w:ascii="Arial" w:hAnsi="Arial" w:cs="Arial"/>
          <w:sz w:val="20"/>
        </w:rPr>
        <w:t>Section 20 of the OC</w:t>
      </w:r>
      <w:r w:rsidR="00FE3D21">
        <w:rPr>
          <w:rFonts w:ascii="Arial" w:hAnsi="Arial" w:cs="Arial"/>
          <w:sz w:val="20"/>
        </w:rPr>
        <w:t>A</w:t>
      </w:r>
      <w:r>
        <w:rPr>
          <w:rFonts w:ascii="Arial" w:hAnsi="Arial" w:cs="Arial"/>
          <w:sz w:val="20"/>
        </w:rPr>
        <w:t xml:space="preserve"> empowers a </w:t>
      </w:r>
      <w:r w:rsidR="00FE3D21">
        <w:rPr>
          <w:rFonts w:ascii="Arial" w:hAnsi="Arial" w:cs="Arial"/>
          <w:sz w:val="20"/>
        </w:rPr>
        <w:t>“</w:t>
      </w:r>
      <w:r>
        <w:rPr>
          <w:rFonts w:ascii="Arial" w:hAnsi="Arial" w:cs="Arial"/>
          <w:sz w:val="20"/>
        </w:rPr>
        <w:t>court</w:t>
      </w:r>
      <w:r w:rsidR="00FE3D21">
        <w:rPr>
          <w:rFonts w:ascii="Arial" w:hAnsi="Arial" w:cs="Arial"/>
          <w:sz w:val="20"/>
        </w:rPr>
        <w:t>”</w:t>
      </w:r>
      <w:r>
        <w:rPr>
          <w:rFonts w:ascii="Arial" w:hAnsi="Arial" w:cs="Arial"/>
          <w:sz w:val="20"/>
        </w:rPr>
        <w:t xml:space="preserve"> to make </w:t>
      </w:r>
      <w:r w:rsidR="00026D60">
        <w:rPr>
          <w:rFonts w:ascii="Arial" w:hAnsi="Arial" w:cs="Arial"/>
          <w:sz w:val="20"/>
        </w:rPr>
        <w:t xml:space="preserve">an </w:t>
      </w:r>
      <w:r>
        <w:rPr>
          <w:rFonts w:ascii="Arial" w:hAnsi="Arial" w:cs="Arial"/>
          <w:sz w:val="20"/>
        </w:rPr>
        <w:t>interim order in any application for a “proceeding suppression order”.</w:t>
      </w:r>
      <w:r w:rsidR="00B63241">
        <w:rPr>
          <w:rFonts w:ascii="Arial" w:hAnsi="Arial" w:cs="Arial"/>
          <w:sz w:val="20"/>
        </w:rPr>
        <w:t xml:space="preserve">  </w:t>
      </w:r>
      <w:r w:rsidR="00955865">
        <w:rPr>
          <w:rFonts w:ascii="Arial" w:hAnsi="Arial" w:cs="Arial"/>
          <w:sz w:val="20"/>
        </w:rPr>
        <w:t>In addition, s.26 of the OCA gives the Magistrates’ Court power to make a “broad suppression order” prohibiting the publication of any specified material, or any material of a specified kind, relevant to a proceeding that is pending in the Court if in its opinion it is necessary to do so in order not to-</w:t>
      </w:r>
    </w:p>
    <w:p w14:paraId="6D48DF40" w14:textId="77777777" w:rsidR="00955865" w:rsidRDefault="00955865" w:rsidP="00955865">
      <w:pPr>
        <w:ind w:left="357" w:hanging="357"/>
        <w:jc w:val="both"/>
        <w:rPr>
          <w:rFonts w:ascii="Arial" w:hAnsi="Arial" w:cs="Arial"/>
          <w:sz w:val="20"/>
        </w:rPr>
      </w:pPr>
      <w:r>
        <w:rPr>
          <w:rFonts w:ascii="Arial" w:hAnsi="Arial" w:cs="Arial"/>
          <w:sz w:val="20"/>
        </w:rPr>
        <w:t>(a)</w:t>
      </w:r>
      <w:r>
        <w:rPr>
          <w:rFonts w:ascii="Arial" w:hAnsi="Arial" w:cs="Arial"/>
          <w:sz w:val="20"/>
        </w:rPr>
        <w:tab/>
        <w:t>prejudice the administration of justice; or</w:t>
      </w:r>
    </w:p>
    <w:p w14:paraId="1FA9997B" w14:textId="77777777" w:rsidR="00955865" w:rsidRDefault="00955865" w:rsidP="00955865">
      <w:pPr>
        <w:ind w:left="357" w:hanging="357"/>
        <w:jc w:val="both"/>
        <w:rPr>
          <w:rFonts w:ascii="Arial" w:hAnsi="Arial" w:cs="Arial"/>
          <w:sz w:val="20"/>
        </w:rPr>
      </w:pPr>
      <w:r>
        <w:rPr>
          <w:rFonts w:ascii="Arial" w:hAnsi="Arial" w:cs="Arial"/>
          <w:sz w:val="20"/>
        </w:rPr>
        <w:t>(b)</w:t>
      </w:r>
      <w:r>
        <w:rPr>
          <w:rFonts w:ascii="Arial" w:hAnsi="Arial" w:cs="Arial"/>
          <w:sz w:val="20"/>
        </w:rPr>
        <w:tab/>
        <w:t>endanger the safety of any person.</w:t>
      </w:r>
    </w:p>
    <w:p w14:paraId="4871C7A5" w14:textId="77777777" w:rsidR="00955865" w:rsidRDefault="00955865" w:rsidP="00955865">
      <w:pPr>
        <w:jc w:val="both"/>
        <w:rPr>
          <w:rFonts w:ascii="Arial" w:hAnsi="Arial" w:cs="Arial"/>
          <w:sz w:val="20"/>
        </w:rPr>
      </w:pPr>
    </w:p>
    <w:p w14:paraId="5004D51D" w14:textId="77777777" w:rsidR="00026D60" w:rsidRDefault="00026D60" w:rsidP="00783267">
      <w:pPr>
        <w:keepNext/>
        <w:keepLines/>
        <w:spacing w:after="120"/>
        <w:jc w:val="both"/>
        <w:rPr>
          <w:rFonts w:ascii="Arial" w:hAnsi="Arial" w:cs="Arial"/>
          <w:sz w:val="20"/>
        </w:rPr>
      </w:pPr>
      <w:r>
        <w:rPr>
          <w:rFonts w:ascii="Arial" w:hAnsi="Arial" w:cs="Arial"/>
          <w:sz w:val="20"/>
        </w:rPr>
        <w:t>The following provisions of the OC</w:t>
      </w:r>
      <w:r w:rsidR="00FE3D21">
        <w:rPr>
          <w:rFonts w:ascii="Arial" w:hAnsi="Arial" w:cs="Arial"/>
          <w:sz w:val="20"/>
        </w:rPr>
        <w:t>A</w:t>
      </w:r>
      <w:r>
        <w:rPr>
          <w:rFonts w:ascii="Arial" w:hAnsi="Arial" w:cs="Arial"/>
          <w:sz w:val="20"/>
        </w:rPr>
        <w:t xml:space="preserve"> also apply to </w:t>
      </w:r>
      <w:r w:rsidR="00955865">
        <w:rPr>
          <w:rFonts w:ascii="Arial" w:hAnsi="Arial" w:cs="Arial"/>
          <w:sz w:val="20"/>
        </w:rPr>
        <w:t>suppression orders</w:t>
      </w:r>
      <w:r>
        <w:rPr>
          <w:rFonts w:ascii="Arial" w:hAnsi="Arial" w:cs="Arial"/>
          <w:sz w:val="20"/>
        </w:rPr>
        <w:t>:</w:t>
      </w:r>
    </w:p>
    <w:tbl>
      <w:tblPr>
        <w:tblW w:w="9072" w:type="dxa"/>
        <w:tblInd w:w="1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633"/>
        <w:gridCol w:w="7439"/>
      </w:tblGrid>
      <w:tr w:rsidR="00026D60" w14:paraId="09B56B5A" w14:textId="77777777" w:rsidTr="00955865">
        <w:tc>
          <w:tcPr>
            <w:tcW w:w="900" w:type="pct"/>
            <w:tcBorders>
              <w:bottom w:val="single" w:sz="18" w:space="0" w:color="auto"/>
            </w:tcBorders>
          </w:tcPr>
          <w:p w14:paraId="6470A102" w14:textId="77777777" w:rsidR="00026D60" w:rsidRDefault="00026D60" w:rsidP="0057464B">
            <w:pPr>
              <w:keepNext/>
              <w:keepLines/>
              <w:jc w:val="center"/>
              <w:rPr>
                <w:rFonts w:ascii="Arial" w:hAnsi="Arial" w:cs="Arial"/>
                <w:b/>
                <w:bCs/>
                <w:sz w:val="20"/>
              </w:rPr>
            </w:pPr>
            <w:r>
              <w:rPr>
                <w:rFonts w:ascii="Arial" w:hAnsi="Arial" w:cs="Arial"/>
                <w:b/>
                <w:bCs/>
                <w:sz w:val="20"/>
              </w:rPr>
              <w:t>SECTION</w:t>
            </w:r>
          </w:p>
        </w:tc>
        <w:tc>
          <w:tcPr>
            <w:tcW w:w="4324" w:type="pct"/>
            <w:tcBorders>
              <w:bottom w:val="single" w:sz="18" w:space="0" w:color="auto"/>
            </w:tcBorders>
          </w:tcPr>
          <w:p w14:paraId="4FDDC402" w14:textId="77777777" w:rsidR="00026D60" w:rsidRDefault="00026D60" w:rsidP="0057464B">
            <w:pPr>
              <w:keepNext/>
              <w:keepLines/>
              <w:jc w:val="center"/>
              <w:rPr>
                <w:rFonts w:ascii="Arial" w:hAnsi="Arial" w:cs="Arial"/>
                <w:b/>
                <w:bCs/>
                <w:sz w:val="20"/>
              </w:rPr>
            </w:pPr>
            <w:r>
              <w:rPr>
                <w:rFonts w:ascii="Arial" w:hAnsi="Arial" w:cs="Arial"/>
                <w:b/>
                <w:bCs/>
                <w:sz w:val="20"/>
              </w:rPr>
              <w:t>SUBJECT MATTER</w:t>
            </w:r>
          </w:p>
        </w:tc>
      </w:tr>
      <w:tr w:rsidR="00026D60" w14:paraId="09C275DB" w14:textId="77777777" w:rsidTr="00955865">
        <w:tc>
          <w:tcPr>
            <w:tcW w:w="900" w:type="pct"/>
            <w:tcBorders>
              <w:top w:val="single" w:sz="18" w:space="0" w:color="auto"/>
              <w:bottom w:val="single" w:sz="4" w:space="0" w:color="auto"/>
            </w:tcBorders>
          </w:tcPr>
          <w:p w14:paraId="0FE42162" w14:textId="77777777" w:rsidR="00026D60" w:rsidRDefault="00026D60" w:rsidP="00026D60">
            <w:pPr>
              <w:jc w:val="center"/>
              <w:rPr>
                <w:rFonts w:ascii="Arial" w:hAnsi="Arial" w:cs="Arial"/>
                <w:sz w:val="20"/>
              </w:rPr>
            </w:pPr>
            <w:r>
              <w:rPr>
                <w:rFonts w:ascii="Arial" w:hAnsi="Arial" w:cs="Arial"/>
                <w:sz w:val="20"/>
              </w:rPr>
              <w:t>21</w:t>
            </w:r>
            <w:r w:rsidR="00955865">
              <w:rPr>
                <w:rFonts w:ascii="Arial" w:hAnsi="Arial" w:cs="Arial"/>
                <w:sz w:val="20"/>
              </w:rPr>
              <w:t>, 26(2), 26(3) &amp; 26(4)</w:t>
            </w:r>
          </w:p>
        </w:tc>
        <w:tc>
          <w:tcPr>
            <w:tcW w:w="4324" w:type="pct"/>
            <w:tcBorders>
              <w:top w:val="single" w:sz="18" w:space="0" w:color="auto"/>
              <w:bottom w:val="single" w:sz="4" w:space="0" w:color="auto"/>
            </w:tcBorders>
          </w:tcPr>
          <w:p w14:paraId="3DE15D3B" w14:textId="77777777" w:rsidR="00026D60" w:rsidRDefault="00955865" w:rsidP="0057464B">
            <w:pPr>
              <w:jc w:val="both"/>
              <w:rPr>
                <w:rFonts w:ascii="Arial" w:hAnsi="Arial" w:cs="Arial"/>
                <w:sz w:val="20"/>
              </w:rPr>
            </w:pPr>
            <w:r>
              <w:rPr>
                <w:rFonts w:ascii="Arial" w:hAnsi="Arial" w:cs="Arial"/>
                <w:sz w:val="20"/>
              </w:rPr>
              <w:t xml:space="preserve">Where a </w:t>
            </w:r>
            <w:r w:rsidR="00026D60">
              <w:rPr>
                <w:rFonts w:ascii="Arial" w:hAnsi="Arial" w:cs="Arial"/>
                <w:sz w:val="20"/>
              </w:rPr>
              <w:t>suppression order applies</w:t>
            </w:r>
            <w:r>
              <w:rPr>
                <w:rFonts w:ascii="Arial" w:hAnsi="Arial" w:cs="Arial"/>
                <w:sz w:val="20"/>
              </w:rPr>
              <w:t>.</w:t>
            </w:r>
          </w:p>
        </w:tc>
      </w:tr>
      <w:tr w:rsidR="00026D60" w14:paraId="439BD301" w14:textId="77777777" w:rsidTr="00955865">
        <w:tc>
          <w:tcPr>
            <w:tcW w:w="900" w:type="pct"/>
            <w:tcBorders>
              <w:top w:val="single" w:sz="4" w:space="0" w:color="auto"/>
            </w:tcBorders>
          </w:tcPr>
          <w:p w14:paraId="043008BC" w14:textId="77777777" w:rsidR="00026D60" w:rsidRDefault="00026D60" w:rsidP="0057464B">
            <w:pPr>
              <w:jc w:val="center"/>
              <w:rPr>
                <w:rFonts w:ascii="Arial" w:hAnsi="Arial" w:cs="Arial"/>
                <w:sz w:val="20"/>
              </w:rPr>
            </w:pPr>
            <w:r>
              <w:rPr>
                <w:rFonts w:ascii="Arial" w:hAnsi="Arial" w:cs="Arial"/>
                <w:sz w:val="20"/>
              </w:rPr>
              <w:t>22</w:t>
            </w:r>
            <w:r w:rsidR="00955865">
              <w:rPr>
                <w:rFonts w:ascii="Arial" w:hAnsi="Arial" w:cs="Arial"/>
                <w:sz w:val="20"/>
              </w:rPr>
              <w:t>, 26(5)</w:t>
            </w:r>
          </w:p>
        </w:tc>
        <w:tc>
          <w:tcPr>
            <w:tcW w:w="4324" w:type="pct"/>
            <w:tcBorders>
              <w:top w:val="single" w:sz="4" w:space="0" w:color="auto"/>
            </w:tcBorders>
          </w:tcPr>
          <w:p w14:paraId="41CBD449" w14:textId="77777777" w:rsidR="00026D60" w:rsidRDefault="00026D60" w:rsidP="0057464B">
            <w:pPr>
              <w:jc w:val="both"/>
              <w:rPr>
                <w:rFonts w:ascii="Arial" w:hAnsi="Arial" w:cs="Arial"/>
                <w:sz w:val="20"/>
              </w:rPr>
            </w:pPr>
            <w:r>
              <w:rPr>
                <w:rFonts w:ascii="Arial" w:hAnsi="Arial" w:cs="Arial"/>
                <w:sz w:val="20"/>
              </w:rPr>
              <w:t>Provides exceptions for the conduct of the proceeding, recovery or enforcement of any penalty imposed in the proceeding or informing persons of the existence of suppression orders or interim orders</w:t>
            </w:r>
          </w:p>
        </w:tc>
      </w:tr>
      <w:tr w:rsidR="00026D60" w14:paraId="13BF8FF9" w14:textId="77777777" w:rsidTr="00955865">
        <w:tc>
          <w:tcPr>
            <w:tcW w:w="900" w:type="pct"/>
          </w:tcPr>
          <w:p w14:paraId="4BFAA913" w14:textId="77777777" w:rsidR="00026D60" w:rsidRDefault="00026D60" w:rsidP="0057464B">
            <w:pPr>
              <w:jc w:val="center"/>
              <w:rPr>
                <w:rFonts w:ascii="Arial" w:hAnsi="Arial" w:cs="Arial"/>
                <w:sz w:val="20"/>
              </w:rPr>
            </w:pPr>
            <w:r>
              <w:rPr>
                <w:rFonts w:ascii="Arial" w:hAnsi="Arial" w:cs="Arial"/>
                <w:sz w:val="20"/>
              </w:rPr>
              <w:t>23</w:t>
            </w:r>
            <w:r w:rsidR="00955865">
              <w:rPr>
                <w:rFonts w:ascii="Arial" w:hAnsi="Arial" w:cs="Arial"/>
                <w:sz w:val="20"/>
              </w:rPr>
              <w:t>, 27</w:t>
            </w:r>
          </w:p>
        </w:tc>
        <w:tc>
          <w:tcPr>
            <w:tcW w:w="4324" w:type="pct"/>
          </w:tcPr>
          <w:p w14:paraId="6A352454" w14:textId="77777777" w:rsidR="00026D60" w:rsidRDefault="008A673E" w:rsidP="0057464B">
            <w:pPr>
              <w:jc w:val="both"/>
              <w:rPr>
                <w:rFonts w:ascii="Arial" w:hAnsi="Arial" w:cs="Arial"/>
                <w:sz w:val="20"/>
              </w:rPr>
            </w:pPr>
            <w:r>
              <w:rPr>
                <w:rFonts w:ascii="Arial" w:hAnsi="Arial" w:cs="Arial"/>
                <w:sz w:val="20"/>
              </w:rPr>
              <w:t>Offence to contravene proceeding suppression order</w:t>
            </w:r>
            <w:r w:rsidR="00955865">
              <w:rPr>
                <w:rFonts w:ascii="Arial" w:hAnsi="Arial" w:cs="Arial"/>
                <w:sz w:val="20"/>
              </w:rPr>
              <w:t>, broad suppression order</w:t>
            </w:r>
            <w:r>
              <w:rPr>
                <w:rFonts w:ascii="Arial" w:hAnsi="Arial" w:cs="Arial"/>
                <w:sz w:val="20"/>
              </w:rPr>
              <w:t xml:space="preserve"> or interim order.  Maximum penalty for an individual is level 6 imprisonment or 600 </w:t>
            </w:r>
            <w:proofErr w:type="spellStart"/>
            <w:r>
              <w:rPr>
                <w:rFonts w:ascii="Arial" w:hAnsi="Arial" w:cs="Arial"/>
                <w:sz w:val="20"/>
              </w:rPr>
              <w:t>p.u</w:t>
            </w:r>
            <w:proofErr w:type="spellEnd"/>
            <w:r>
              <w:rPr>
                <w:rFonts w:ascii="Arial" w:hAnsi="Arial" w:cs="Arial"/>
                <w:sz w:val="20"/>
              </w:rPr>
              <w:t xml:space="preserve">. or other.  Maximum penalty for a body corporate 3000 </w:t>
            </w:r>
            <w:proofErr w:type="spellStart"/>
            <w:r>
              <w:rPr>
                <w:rFonts w:ascii="Arial" w:hAnsi="Arial" w:cs="Arial"/>
                <w:sz w:val="20"/>
              </w:rPr>
              <w:t>p.u</w:t>
            </w:r>
            <w:proofErr w:type="spellEnd"/>
            <w:r>
              <w:rPr>
                <w:rFonts w:ascii="Arial" w:hAnsi="Arial" w:cs="Arial"/>
                <w:sz w:val="20"/>
              </w:rPr>
              <w:t>.</w:t>
            </w:r>
          </w:p>
        </w:tc>
      </w:tr>
    </w:tbl>
    <w:p w14:paraId="676D5ED3" w14:textId="77777777" w:rsidR="00C632AD" w:rsidRDefault="00C632AD" w:rsidP="00C632AD">
      <w:pPr>
        <w:jc w:val="both"/>
        <w:rPr>
          <w:rFonts w:ascii="Arial" w:hAnsi="Arial" w:cs="Arial"/>
          <w:sz w:val="20"/>
        </w:rPr>
      </w:pPr>
    </w:p>
    <w:p w14:paraId="69DBBCD6" w14:textId="77777777" w:rsidR="00C632AD" w:rsidRPr="000E6664" w:rsidRDefault="00C632AD" w:rsidP="00C632AD">
      <w:pPr>
        <w:jc w:val="both"/>
        <w:rPr>
          <w:rFonts w:ascii="Arial" w:hAnsi="Arial" w:cs="Arial"/>
          <w:color w:val="000000"/>
          <w:sz w:val="20"/>
        </w:rPr>
      </w:pPr>
      <w:r>
        <w:rPr>
          <w:rFonts w:ascii="Arial" w:hAnsi="Arial" w:cs="Arial"/>
          <w:sz w:val="20"/>
        </w:rPr>
        <w:t xml:space="preserve">For a discussion of some relevant authorities and relevant considerations for the exercise of a judicial discretion to order suppression pursuant to s.17 of the OCA [formerly s.126 of the </w:t>
      </w:r>
      <w:r w:rsidRPr="00AE0485">
        <w:rPr>
          <w:rFonts w:ascii="Arial" w:hAnsi="Arial" w:cs="Arial"/>
          <w:i/>
          <w:iCs/>
          <w:sz w:val="20"/>
        </w:rPr>
        <w:t>Magistrates’ Court Act 1989</w:t>
      </w:r>
      <w:r>
        <w:rPr>
          <w:rFonts w:ascii="Arial" w:hAnsi="Arial" w:cs="Arial"/>
          <w:sz w:val="20"/>
        </w:rPr>
        <w:t xml:space="preserve">], see the judgment of Williams J in </w:t>
      </w:r>
      <w:r>
        <w:rPr>
          <w:rFonts w:ascii="Arial" w:hAnsi="Arial" w:cs="Arial"/>
          <w:i/>
          <w:iCs/>
          <w:sz w:val="20"/>
        </w:rPr>
        <w:t>The Age Company Ltd v Dupas</w:t>
      </w:r>
      <w:r>
        <w:rPr>
          <w:rFonts w:ascii="Arial" w:hAnsi="Arial" w:cs="Arial"/>
          <w:sz w:val="20"/>
        </w:rPr>
        <w:t xml:space="preserve"> [2003] VSC 312 at [10], [21], [28]-[33] &amp; [34]-[40], the judgment of Hansen J in </w:t>
      </w:r>
      <w:r>
        <w:rPr>
          <w:rFonts w:ascii="Arial" w:hAnsi="Arial" w:cs="Arial"/>
          <w:i/>
          <w:iCs/>
          <w:sz w:val="20"/>
        </w:rPr>
        <w:t>AB v The Magistrates' Court of Victoria</w:t>
      </w:r>
      <w:r>
        <w:rPr>
          <w:rFonts w:ascii="Arial" w:hAnsi="Arial" w:cs="Arial"/>
          <w:sz w:val="20"/>
        </w:rPr>
        <w:t xml:space="preserve"> [2003] VSC 378 at [22] &amp; [30]-[37], the judgment of Kaye J in </w:t>
      </w:r>
      <w:r>
        <w:rPr>
          <w:rFonts w:ascii="Arial" w:hAnsi="Arial" w:cs="Arial"/>
          <w:i/>
          <w:iCs/>
          <w:sz w:val="20"/>
        </w:rPr>
        <w:t xml:space="preserve">The Age Co Ltd &amp; </w:t>
      </w:r>
      <w:proofErr w:type="spellStart"/>
      <w:r>
        <w:rPr>
          <w:rFonts w:ascii="Arial" w:hAnsi="Arial" w:cs="Arial"/>
          <w:i/>
          <w:iCs/>
          <w:sz w:val="20"/>
        </w:rPr>
        <w:t>Ors</w:t>
      </w:r>
      <w:proofErr w:type="spellEnd"/>
      <w:r>
        <w:rPr>
          <w:rFonts w:ascii="Arial" w:hAnsi="Arial" w:cs="Arial"/>
          <w:i/>
          <w:iCs/>
          <w:sz w:val="20"/>
        </w:rPr>
        <w:t xml:space="preserve"> v The Magistrates' Court of Victoria &amp; </w:t>
      </w:r>
      <w:proofErr w:type="spellStart"/>
      <w:r>
        <w:rPr>
          <w:rFonts w:ascii="Arial" w:hAnsi="Arial" w:cs="Arial"/>
          <w:i/>
          <w:iCs/>
          <w:sz w:val="20"/>
        </w:rPr>
        <w:t>Ors</w:t>
      </w:r>
      <w:proofErr w:type="spellEnd"/>
      <w:r>
        <w:rPr>
          <w:rFonts w:ascii="Arial" w:hAnsi="Arial" w:cs="Arial"/>
          <w:sz w:val="20"/>
        </w:rPr>
        <w:t xml:space="preserve"> [2004] VSC 10 at [12]-[13] &amp; [19]-[20]; the judgment of Kaye J in </w:t>
      </w:r>
      <w:r w:rsidRPr="003963D6">
        <w:rPr>
          <w:rFonts w:ascii="Arial" w:hAnsi="Arial" w:cs="Arial"/>
          <w:i/>
          <w:sz w:val="20"/>
        </w:rPr>
        <w:t>DPP (</w:t>
      </w:r>
      <w:proofErr w:type="spellStart"/>
      <w:r w:rsidRPr="003963D6">
        <w:rPr>
          <w:rFonts w:ascii="Arial" w:hAnsi="Arial" w:cs="Arial"/>
          <w:i/>
          <w:sz w:val="20"/>
        </w:rPr>
        <w:t>Cth</w:t>
      </w:r>
      <w:proofErr w:type="spellEnd"/>
      <w:r w:rsidRPr="003963D6">
        <w:rPr>
          <w:rFonts w:ascii="Arial" w:hAnsi="Arial" w:cs="Arial"/>
          <w:i/>
          <w:sz w:val="20"/>
        </w:rPr>
        <w:t xml:space="preserve">) v </w:t>
      </w:r>
      <w:proofErr w:type="spellStart"/>
      <w:r w:rsidRPr="003963D6">
        <w:rPr>
          <w:rFonts w:ascii="Arial" w:hAnsi="Arial" w:cs="Arial"/>
          <w:i/>
          <w:sz w:val="20"/>
        </w:rPr>
        <w:t>Corcoris</w:t>
      </w:r>
      <w:proofErr w:type="spellEnd"/>
      <w:r w:rsidRPr="003963D6">
        <w:rPr>
          <w:rFonts w:ascii="Arial" w:hAnsi="Arial" w:cs="Arial"/>
          <w:i/>
          <w:sz w:val="20"/>
        </w:rPr>
        <w:t xml:space="preserve"> and The Age (No.2)</w:t>
      </w:r>
      <w:r>
        <w:rPr>
          <w:rFonts w:ascii="Arial" w:hAnsi="Arial" w:cs="Arial"/>
          <w:sz w:val="20"/>
        </w:rPr>
        <w:t xml:space="preserve"> [2005] VSC 142 and the judgment of Whelan J in </w:t>
      </w:r>
      <w:r>
        <w:rPr>
          <w:rFonts w:ascii="Arial" w:hAnsi="Arial" w:cs="Arial"/>
          <w:i/>
          <w:iCs/>
          <w:sz w:val="20"/>
        </w:rPr>
        <w:t>Herald &amp; Weekly Times Ltd v Magistrates' Court of Victoria</w:t>
      </w:r>
      <w:r>
        <w:rPr>
          <w:rFonts w:ascii="Arial" w:hAnsi="Arial" w:cs="Arial"/>
          <w:sz w:val="20"/>
        </w:rPr>
        <w:t xml:space="preserve"> [2004] VSC 194 at [10]-[18] &amp; [22].  See also </w:t>
      </w:r>
      <w:r>
        <w:rPr>
          <w:rFonts w:ascii="Arial" w:hAnsi="Arial" w:cs="Arial"/>
          <w:i/>
          <w:iCs/>
          <w:sz w:val="20"/>
        </w:rPr>
        <w:t xml:space="preserve">Herald &amp; Weekly Times Ltd &amp; Others v </w:t>
      </w:r>
      <w:r w:rsidRPr="000E6664">
        <w:rPr>
          <w:rFonts w:ascii="Arial" w:hAnsi="Arial" w:cs="Arial"/>
          <w:i/>
          <w:iCs/>
          <w:color w:val="000000"/>
          <w:sz w:val="20"/>
        </w:rPr>
        <w:t>Magistrates' Court of Victo</w:t>
      </w:r>
      <w:r w:rsidRPr="000E6664">
        <w:rPr>
          <w:rFonts w:ascii="Arial" w:hAnsi="Arial" w:cs="Arial"/>
          <w:i/>
          <w:iCs/>
          <w:color w:val="000000"/>
          <w:sz w:val="20"/>
          <w:szCs w:val="20"/>
        </w:rPr>
        <w:t>ria</w:t>
      </w:r>
      <w:r w:rsidRPr="000E6664">
        <w:rPr>
          <w:rFonts w:ascii="Arial" w:hAnsi="Arial" w:cs="Arial"/>
          <w:color w:val="000000"/>
          <w:sz w:val="20"/>
          <w:szCs w:val="20"/>
        </w:rPr>
        <w:t xml:space="preserve"> [1999] 2 VR 672; </w:t>
      </w:r>
      <w:r w:rsidRPr="000E6664">
        <w:rPr>
          <w:rFonts w:ascii="Arial" w:hAnsi="Arial" w:cs="Arial"/>
          <w:i/>
          <w:color w:val="000000"/>
          <w:sz w:val="20"/>
          <w:szCs w:val="20"/>
        </w:rPr>
        <w:t>Commonwealth DPP v Magistrates' Court of Victoria</w:t>
      </w:r>
      <w:r w:rsidRPr="000E6664">
        <w:rPr>
          <w:rFonts w:ascii="Arial" w:hAnsi="Arial" w:cs="Arial"/>
          <w:color w:val="000000"/>
          <w:sz w:val="20"/>
          <w:szCs w:val="20"/>
        </w:rPr>
        <w:t xml:space="preserve"> [2011] VSC 593.</w:t>
      </w:r>
    </w:p>
    <w:p w14:paraId="2DE84512" w14:textId="77777777" w:rsidR="00C632AD" w:rsidRDefault="00C632AD" w:rsidP="00C632AD">
      <w:pPr>
        <w:jc w:val="both"/>
        <w:rPr>
          <w:rFonts w:ascii="Arial" w:hAnsi="Arial" w:cs="Arial"/>
          <w:sz w:val="20"/>
        </w:rPr>
      </w:pPr>
    </w:p>
    <w:p w14:paraId="42AE8986" w14:textId="4777BD09" w:rsidR="00C632AD" w:rsidRDefault="00C632AD" w:rsidP="00C632AD">
      <w:pPr>
        <w:jc w:val="both"/>
        <w:rPr>
          <w:rFonts w:ascii="Arial" w:hAnsi="Arial" w:cs="Arial"/>
          <w:color w:val="000000"/>
          <w:sz w:val="20"/>
        </w:rPr>
      </w:pPr>
      <w:r>
        <w:rPr>
          <w:rFonts w:ascii="Arial" w:hAnsi="Arial" w:cs="Arial"/>
          <w:sz w:val="20"/>
        </w:rPr>
        <w:t xml:space="preserve">For a discussion of the powers of a Supreme Court judge to make suppression orders whether pursuant to s.17 of the OCA [formerly ss.18-19 of the </w:t>
      </w:r>
      <w:r w:rsidRPr="00AE0485">
        <w:rPr>
          <w:rFonts w:ascii="Arial" w:hAnsi="Arial" w:cs="Arial"/>
          <w:i/>
          <w:iCs/>
          <w:sz w:val="20"/>
        </w:rPr>
        <w:t>Supreme Court Act 1958</w:t>
      </w:r>
      <w:r>
        <w:rPr>
          <w:rFonts w:ascii="Arial" w:hAnsi="Arial" w:cs="Arial"/>
          <w:sz w:val="20"/>
        </w:rPr>
        <w:t xml:space="preserve">] or in its former inherent jurisdiction, see the joint judgment of </w:t>
      </w:r>
      <w:proofErr w:type="spellStart"/>
      <w:r>
        <w:rPr>
          <w:rFonts w:ascii="Arial" w:hAnsi="Arial" w:cs="Arial"/>
          <w:sz w:val="20"/>
        </w:rPr>
        <w:t>Winneke</w:t>
      </w:r>
      <w:proofErr w:type="spellEnd"/>
      <w:r>
        <w:rPr>
          <w:rFonts w:ascii="Arial" w:hAnsi="Arial" w:cs="Arial"/>
          <w:sz w:val="20"/>
        </w:rPr>
        <w:t xml:space="preserve"> P, Ormiston &amp; Vincent JJA in </w:t>
      </w:r>
      <w:r>
        <w:rPr>
          <w:rFonts w:ascii="Arial" w:hAnsi="Arial" w:cs="Arial"/>
          <w:i/>
          <w:iCs/>
          <w:sz w:val="20"/>
        </w:rPr>
        <w:t>In the Matter of an Application by Chief Commissioner of Police (Vic.) for Leave to Appeal</w:t>
      </w:r>
      <w:r>
        <w:rPr>
          <w:rFonts w:ascii="Arial" w:hAnsi="Arial" w:cs="Arial"/>
          <w:sz w:val="20"/>
        </w:rPr>
        <w:t xml:space="preserve"> [2004] VSCA 3 at [2]-[3] &amp; [23]-[47] and its references to judgments of the Supreme Court of Canada in </w:t>
      </w:r>
      <w:r>
        <w:rPr>
          <w:rFonts w:ascii="Arial" w:hAnsi="Arial" w:cs="Arial"/>
          <w:i/>
          <w:iCs/>
          <w:sz w:val="20"/>
        </w:rPr>
        <w:t xml:space="preserve">R v </w:t>
      </w:r>
      <w:proofErr w:type="spellStart"/>
      <w:r>
        <w:rPr>
          <w:rFonts w:ascii="Arial" w:hAnsi="Arial" w:cs="Arial"/>
          <w:i/>
          <w:iCs/>
          <w:sz w:val="20"/>
        </w:rPr>
        <w:t>Mentuck</w:t>
      </w:r>
      <w:proofErr w:type="spellEnd"/>
      <w:r>
        <w:rPr>
          <w:rFonts w:ascii="Arial" w:hAnsi="Arial" w:cs="Arial"/>
          <w:sz w:val="20"/>
        </w:rPr>
        <w:t xml:space="preserve"> [2001] 3 SCR 442 &amp; </w:t>
      </w:r>
      <w:r>
        <w:rPr>
          <w:rFonts w:ascii="Arial" w:hAnsi="Arial" w:cs="Arial"/>
          <w:i/>
          <w:iCs/>
          <w:sz w:val="20"/>
        </w:rPr>
        <w:t xml:space="preserve">R v O.N.E. </w:t>
      </w:r>
      <w:r>
        <w:rPr>
          <w:rFonts w:ascii="Arial" w:hAnsi="Arial" w:cs="Arial"/>
          <w:sz w:val="20"/>
        </w:rPr>
        <w:t xml:space="preserve">[2001] 3 SCR 487. [This decision of the Victorian Court of Appeal was upheld by the High Court of Australia.]  See also </w:t>
      </w:r>
      <w:r>
        <w:rPr>
          <w:rFonts w:ascii="Arial" w:hAnsi="Arial" w:cs="Arial"/>
          <w:i/>
          <w:sz w:val="20"/>
        </w:rPr>
        <w:t>BK v ADB</w:t>
      </w:r>
      <w:r>
        <w:rPr>
          <w:rFonts w:ascii="Arial" w:hAnsi="Arial" w:cs="Arial"/>
          <w:sz w:val="20"/>
        </w:rPr>
        <w:t xml:space="preserve"> [2003] VSC 129 per Nettle J; </w:t>
      </w:r>
      <w:r>
        <w:rPr>
          <w:rFonts w:ascii="Arial" w:hAnsi="Arial" w:cs="Arial"/>
          <w:i/>
          <w:iCs/>
          <w:sz w:val="20"/>
        </w:rPr>
        <w:t>R v Goldman</w:t>
      </w:r>
      <w:r>
        <w:rPr>
          <w:rFonts w:ascii="Arial" w:hAnsi="Arial" w:cs="Arial"/>
          <w:sz w:val="20"/>
        </w:rPr>
        <w:t xml:space="preserve"> [2004] VSC 167 at [15]-[31] per Redlich J; </w:t>
      </w:r>
      <w:r>
        <w:rPr>
          <w:rFonts w:ascii="Arial" w:hAnsi="Arial" w:cs="Arial"/>
          <w:i/>
          <w:iCs/>
          <w:sz w:val="20"/>
        </w:rPr>
        <w:t xml:space="preserve">DPP v Carl Williams &amp; </w:t>
      </w:r>
      <w:proofErr w:type="spellStart"/>
      <w:r>
        <w:rPr>
          <w:rFonts w:ascii="Arial" w:hAnsi="Arial" w:cs="Arial"/>
          <w:i/>
          <w:iCs/>
          <w:sz w:val="20"/>
        </w:rPr>
        <w:t>Ors</w:t>
      </w:r>
      <w:proofErr w:type="spellEnd"/>
      <w:r>
        <w:rPr>
          <w:rFonts w:ascii="Arial" w:hAnsi="Arial" w:cs="Arial"/>
          <w:sz w:val="20"/>
        </w:rPr>
        <w:t xml:space="preserve"> [2004] VSC 209 at [15]-[20] per Cummins J; </w:t>
      </w:r>
      <w:r w:rsidRPr="003446EC">
        <w:rPr>
          <w:rFonts w:ascii="Arial" w:hAnsi="Arial" w:cs="Arial"/>
          <w:i/>
          <w:sz w:val="20"/>
        </w:rPr>
        <w:t>AB v Attorney-General</w:t>
      </w:r>
      <w:r>
        <w:rPr>
          <w:rFonts w:ascii="Arial" w:hAnsi="Arial" w:cs="Arial"/>
          <w:sz w:val="20"/>
        </w:rPr>
        <w:t xml:space="preserve"> [2005] VSC 180 per Hargrave J; </w:t>
      </w:r>
      <w:r w:rsidRPr="00C047EE">
        <w:rPr>
          <w:rFonts w:ascii="Arial" w:hAnsi="Arial" w:cs="Arial"/>
          <w:i/>
          <w:sz w:val="20"/>
        </w:rPr>
        <w:t>R v Condello (Ruling 2)</w:t>
      </w:r>
      <w:r>
        <w:rPr>
          <w:rFonts w:ascii="Arial" w:hAnsi="Arial" w:cs="Arial"/>
          <w:sz w:val="20"/>
        </w:rPr>
        <w:t xml:space="preserve"> [2006] VSC 27 per Osborn J; ANN v ABC &amp; XYZ (No 1) [2006] VSC 348 per Hollingworth J; </w:t>
      </w:r>
      <w:r w:rsidRPr="002F50C4">
        <w:rPr>
          <w:rFonts w:ascii="Arial" w:hAnsi="Arial" w:cs="Arial"/>
          <w:i/>
          <w:sz w:val="20"/>
        </w:rPr>
        <w:t>R v Strawhorn (No 2)</w:t>
      </w:r>
      <w:r>
        <w:rPr>
          <w:rFonts w:ascii="Arial" w:hAnsi="Arial" w:cs="Arial"/>
          <w:sz w:val="20"/>
        </w:rPr>
        <w:t xml:space="preserve"> [2006] VSC 433 (</w:t>
      </w:r>
      <w:proofErr w:type="spellStart"/>
      <w:r>
        <w:rPr>
          <w:rFonts w:ascii="Arial" w:hAnsi="Arial" w:cs="Arial"/>
          <w:sz w:val="20"/>
        </w:rPr>
        <w:t>Habersberger</w:t>
      </w:r>
      <w:proofErr w:type="spellEnd"/>
      <w:r>
        <w:rPr>
          <w:rFonts w:ascii="Arial" w:hAnsi="Arial" w:cs="Arial"/>
          <w:sz w:val="20"/>
        </w:rPr>
        <w:t xml:space="preserve"> J); </w:t>
      </w:r>
      <w:r w:rsidRPr="004248AC">
        <w:rPr>
          <w:rFonts w:ascii="Arial" w:hAnsi="Arial" w:cs="Arial"/>
          <w:i/>
          <w:sz w:val="20"/>
        </w:rPr>
        <w:t>The Queen v G</w:t>
      </w:r>
      <w:r>
        <w:rPr>
          <w:rFonts w:ascii="Arial" w:hAnsi="Arial" w:cs="Arial"/>
          <w:sz w:val="20"/>
        </w:rPr>
        <w:t xml:space="preserve"> [2007] VSC 503 [Edited Version] (Whelan J); </w:t>
      </w:r>
      <w:r w:rsidRPr="00C53B12">
        <w:rPr>
          <w:rFonts w:ascii="Arial" w:hAnsi="Arial" w:cs="Arial"/>
          <w:i/>
          <w:sz w:val="20"/>
        </w:rPr>
        <w:t>General Television Corporation Pty Ltd v DPP &amp; Others</w:t>
      </w:r>
      <w:r>
        <w:rPr>
          <w:rFonts w:ascii="Arial" w:hAnsi="Arial" w:cs="Arial"/>
          <w:sz w:val="20"/>
        </w:rPr>
        <w:t xml:space="preserve"> [2008] VSCA 49 at [21]-[22]; </w:t>
      </w:r>
      <w:r w:rsidRPr="008D3F79">
        <w:rPr>
          <w:rFonts w:ascii="Arial" w:hAnsi="Arial" w:cs="Arial"/>
          <w:i/>
          <w:sz w:val="20"/>
        </w:rPr>
        <w:t>AX v Stern</w:t>
      </w:r>
      <w:r>
        <w:rPr>
          <w:rFonts w:ascii="Arial" w:hAnsi="Arial" w:cs="Arial"/>
          <w:sz w:val="20"/>
        </w:rPr>
        <w:t xml:space="preserve"> [2008] VSC 400 at</w:t>
      </w:r>
      <w:r w:rsidR="00FE6642">
        <w:rPr>
          <w:rFonts w:ascii="Arial" w:hAnsi="Arial" w:cs="Arial"/>
          <w:sz w:val="20"/>
        </w:rPr>
        <w:t xml:space="preserve"> </w:t>
      </w:r>
      <w:r>
        <w:rPr>
          <w:rFonts w:ascii="Arial" w:hAnsi="Arial" w:cs="Arial"/>
          <w:sz w:val="20"/>
        </w:rPr>
        <w:t xml:space="preserve">[4]-[7] per Warren CJ; </w:t>
      </w:r>
      <w:r w:rsidRPr="008D3F79">
        <w:rPr>
          <w:rFonts w:ascii="Arial" w:hAnsi="Arial" w:cs="Arial"/>
          <w:i/>
          <w:sz w:val="20"/>
        </w:rPr>
        <w:t>BY v Australian Red Cross Society &amp; Others</w:t>
      </w:r>
      <w:r>
        <w:rPr>
          <w:rFonts w:ascii="Arial" w:hAnsi="Arial" w:cs="Arial"/>
          <w:sz w:val="20"/>
        </w:rPr>
        <w:t xml:space="preserve"> [unreported, Supreme Court of Victoria-Vincent J, 31/10/1991]; </w:t>
      </w:r>
      <w:r w:rsidRPr="008D3F79">
        <w:rPr>
          <w:rFonts w:ascii="Arial" w:hAnsi="Arial" w:cs="Arial"/>
          <w:i/>
          <w:sz w:val="20"/>
          <w:szCs w:val="20"/>
        </w:rPr>
        <w:t xml:space="preserve">ABC v D1 &amp; </w:t>
      </w:r>
      <w:proofErr w:type="spellStart"/>
      <w:r w:rsidRPr="008D3F79">
        <w:rPr>
          <w:rFonts w:ascii="Arial" w:hAnsi="Arial" w:cs="Arial"/>
          <w:i/>
          <w:sz w:val="20"/>
          <w:szCs w:val="20"/>
        </w:rPr>
        <w:t>Ors</w:t>
      </w:r>
      <w:proofErr w:type="spellEnd"/>
      <w:r w:rsidRPr="008D3F79">
        <w:rPr>
          <w:rFonts w:ascii="Arial" w:hAnsi="Arial" w:cs="Arial"/>
          <w:i/>
          <w:sz w:val="20"/>
          <w:szCs w:val="20"/>
        </w:rPr>
        <w:t xml:space="preserve">; Ex </w:t>
      </w:r>
      <w:proofErr w:type="spellStart"/>
      <w:r w:rsidRPr="008D3F79">
        <w:rPr>
          <w:rFonts w:ascii="Arial" w:hAnsi="Arial" w:cs="Arial"/>
          <w:i/>
          <w:sz w:val="20"/>
          <w:szCs w:val="20"/>
        </w:rPr>
        <w:t>Parte</w:t>
      </w:r>
      <w:proofErr w:type="spellEnd"/>
      <w:r w:rsidRPr="008D3F79">
        <w:rPr>
          <w:rFonts w:ascii="Arial" w:hAnsi="Arial" w:cs="Arial"/>
          <w:i/>
          <w:sz w:val="20"/>
          <w:szCs w:val="20"/>
        </w:rPr>
        <w:t xml:space="preserve"> The Herald &amp; Weekly Times Limited </w:t>
      </w:r>
      <w:r w:rsidRPr="008D3F79">
        <w:rPr>
          <w:rFonts w:ascii="Arial" w:hAnsi="Arial" w:cs="Arial"/>
          <w:sz w:val="20"/>
        </w:rPr>
        <w:t>[</w:t>
      </w:r>
      <w:r w:rsidRPr="008D3F79">
        <w:rPr>
          <w:rFonts w:ascii="Arial" w:hAnsi="Arial" w:cs="Arial"/>
          <w:noProof/>
          <w:sz w:val="20"/>
        </w:rPr>
        <w:t>2007</w:t>
      </w:r>
      <w:r w:rsidRPr="008D3F79">
        <w:rPr>
          <w:rFonts w:ascii="Arial" w:hAnsi="Arial" w:cs="Arial"/>
          <w:sz w:val="20"/>
        </w:rPr>
        <w:t xml:space="preserve">] VSC </w:t>
      </w:r>
      <w:bookmarkStart w:id="508" w:name="COVvsc"/>
      <w:bookmarkEnd w:id="508"/>
      <w:r>
        <w:rPr>
          <w:rFonts w:ascii="Arial" w:hAnsi="Arial" w:cs="Arial"/>
          <w:sz w:val="20"/>
        </w:rPr>
        <w:t xml:space="preserve">480 at [65]-[71] per Forrest J; </w:t>
      </w:r>
      <w:r w:rsidRPr="008D3F79">
        <w:rPr>
          <w:rFonts w:ascii="Arial" w:hAnsi="Arial" w:cs="Arial"/>
          <w:i/>
          <w:sz w:val="20"/>
        </w:rPr>
        <w:t>AB v D1</w:t>
      </w:r>
      <w:r>
        <w:rPr>
          <w:rFonts w:ascii="Arial" w:hAnsi="Arial" w:cs="Arial"/>
          <w:sz w:val="20"/>
        </w:rPr>
        <w:t xml:space="preserve"> [2008] VSC 371 per </w:t>
      </w:r>
      <w:r w:rsidRPr="00B46EF1">
        <w:rPr>
          <w:rFonts w:ascii="Arial" w:hAnsi="Arial" w:cs="Arial"/>
          <w:color w:val="000000"/>
          <w:sz w:val="20"/>
        </w:rPr>
        <w:t xml:space="preserve">Kyrou J; </w:t>
      </w:r>
      <w:r w:rsidRPr="00B46EF1">
        <w:rPr>
          <w:rFonts w:ascii="Arial" w:hAnsi="Arial" w:cs="Arial"/>
          <w:i/>
          <w:color w:val="000000"/>
          <w:sz w:val="20"/>
        </w:rPr>
        <w:t>R v Mokbel (Ruling No.2)</w:t>
      </w:r>
      <w:r w:rsidRPr="00B46EF1">
        <w:rPr>
          <w:rFonts w:ascii="Arial" w:hAnsi="Arial" w:cs="Arial"/>
          <w:color w:val="000000"/>
          <w:sz w:val="20"/>
        </w:rPr>
        <w:t xml:space="preserve"> [2009] VSC 652 per Kaye J; </w:t>
      </w:r>
      <w:r w:rsidRPr="00B46EF1">
        <w:rPr>
          <w:rFonts w:ascii="Arial" w:hAnsi="Arial" w:cs="Arial"/>
          <w:i/>
          <w:color w:val="000000"/>
          <w:sz w:val="20"/>
        </w:rPr>
        <w:t>R v Mokbel (Ruling No.3)</w:t>
      </w:r>
      <w:r>
        <w:rPr>
          <w:rFonts w:ascii="Arial" w:hAnsi="Arial" w:cs="Arial"/>
          <w:color w:val="000000"/>
          <w:sz w:val="20"/>
        </w:rPr>
        <w:t xml:space="preserve"> [2009] VSC </w:t>
      </w:r>
      <w:r w:rsidRPr="000E6664">
        <w:rPr>
          <w:rFonts w:ascii="Arial" w:hAnsi="Arial" w:cs="Arial"/>
          <w:color w:val="000000"/>
          <w:sz w:val="20"/>
        </w:rPr>
        <w:t xml:space="preserve">653 per Kaye J; </w:t>
      </w:r>
      <w:r w:rsidRPr="000E6664">
        <w:rPr>
          <w:rFonts w:ascii="Arial" w:hAnsi="Arial" w:cs="Arial"/>
          <w:i/>
          <w:color w:val="000000"/>
          <w:sz w:val="20"/>
        </w:rPr>
        <w:t>Lew v Priester (No.2)</w:t>
      </w:r>
      <w:r w:rsidRPr="000E6664">
        <w:rPr>
          <w:rFonts w:ascii="Arial" w:hAnsi="Arial" w:cs="Arial"/>
          <w:color w:val="000000"/>
          <w:sz w:val="20"/>
        </w:rPr>
        <w:t xml:space="preserve"> [2012] VSC 153 per Davies J</w:t>
      </w:r>
      <w:r>
        <w:rPr>
          <w:rFonts w:ascii="Arial" w:hAnsi="Arial" w:cs="Arial"/>
          <w:color w:val="000000"/>
          <w:sz w:val="20"/>
        </w:rPr>
        <w:t xml:space="preserve">; </w:t>
      </w:r>
      <w:r w:rsidRPr="00F80A55">
        <w:rPr>
          <w:rFonts w:ascii="Arial" w:hAnsi="Arial" w:cs="Arial"/>
          <w:i/>
          <w:iCs/>
          <w:color w:val="000000"/>
          <w:sz w:val="20"/>
        </w:rPr>
        <w:t>Victorian Institute of Teaching v QDP</w:t>
      </w:r>
      <w:r>
        <w:rPr>
          <w:rFonts w:ascii="Arial" w:hAnsi="Arial" w:cs="Arial"/>
          <w:color w:val="000000"/>
          <w:sz w:val="20"/>
        </w:rPr>
        <w:t xml:space="preserve"> [2021] VSC 844 per McDonald J</w:t>
      </w:r>
      <w:r w:rsidR="00FE6642">
        <w:rPr>
          <w:rFonts w:ascii="Arial" w:hAnsi="Arial" w:cs="Arial"/>
          <w:color w:val="000000"/>
          <w:sz w:val="20"/>
        </w:rPr>
        <w:t xml:space="preserve">; </w:t>
      </w:r>
      <w:r w:rsidR="00FE6642" w:rsidRPr="00FE6642">
        <w:rPr>
          <w:rFonts w:ascii="Arial" w:hAnsi="Arial" w:cs="Arial"/>
          <w:i/>
          <w:iCs/>
          <w:color w:val="000000"/>
          <w:sz w:val="20"/>
        </w:rPr>
        <w:t xml:space="preserve">Peers v </w:t>
      </w:r>
      <w:r w:rsidR="00FE6642" w:rsidRPr="00FE6642">
        <w:rPr>
          <w:rFonts w:ascii="Arial" w:hAnsi="Arial" w:cs="Arial"/>
          <w:i/>
          <w:iCs/>
          <w:color w:val="000000"/>
          <w:sz w:val="20"/>
        </w:rPr>
        <w:lastRenderedPageBreak/>
        <w:t>AHPRA</w:t>
      </w:r>
      <w:r w:rsidR="00FE6642">
        <w:rPr>
          <w:rFonts w:ascii="Arial" w:hAnsi="Arial" w:cs="Arial"/>
          <w:color w:val="000000"/>
          <w:sz w:val="20"/>
        </w:rPr>
        <w:t xml:space="preserve"> [2024] VSC 110 at [17]-[32] per Gorton J</w:t>
      </w:r>
      <w:r w:rsidR="0002118A">
        <w:rPr>
          <w:rFonts w:ascii="Arial" w:hAnsi="Arial" w:cs="Arial"/>
          <w:color w:val="000000"/>
          <w:sz w:val="20"/>
        </w:rPr>
        <w:t xml:space="preserve">; </w:t>
      </w:r>
      <w:r w:rsidR="0002118A" w:rsidRPr="0002118A">
        <w:rPr>
          <w:rFonts w:ascii="Arial" w:hAnsi="Arial" w:cs="Arial"/>
          <w:i/>
          <w:iCs/>
          <w:color w:val="000000"/>
          <w:sz w:val="20"/>
        </w:rPr>
        <w:t>Mongan v The King (suppression application)</w:t>
      </w:r>
      <w:r w:rsidR="0002118A">
        <w:rPr>
          <w:rFonts w:ascii="Arial" w:hAnsi="Arial" w:cs="Arial"/>
          <w:color w:val="000000"/>
          <w:sz w:val="20"/>
        </w:rPr>
        <w:t xml:space="preserve"> [2024] VSCA 125 at [12]-[13]</w:t>
      </w:r>
      <w:r>
        <w:rPr>
          <w:rFonts w:ascii="Arial" w:hAnsi="Arial" w:cs="Arial"/>
          <w:color w:val="000000"/>
          <w:sz w:val="20"/>
        </w:rPr>
        <w:t>.</w:t>
      </w:r>
    </w:p>
    <w:p w14:paraId="3CDEA62F" w14:textId="251120FF" w:rsidR="00C632AD" w:rsidRDefault="00C632AD" w:rsidP="00C632AD">
      <w:pPr>
        <w:jc w:val="both"/>
        <w:rPr>
          <w:rFonts w:ascii="Arial" w:hAnsi="Arial" w:cs="Arial"/>
          <w:color w:val="000000"/>
          <w:sz w:val="20"/>
        </w:rPr>
      </w:pPr>
    </w:p>
    <w:p w14:paraId="449A1E02" w14:textId="77777777" w:rsidR="00C632AD" w:rsidRPr="00B63241" w:rsidRDefault="00C632AD" w:rsidP="00C632AD">
      <w:pPr>
        <w:jc w:val="both"/>
        <w:rPr>
          <w:rFonts w:ascii="Arial" w:hAnsi="Arial" w:cs="Arial"/>
          <w:color w:val="000000"/>
          <w:sz w:val="20"/>
          <w:szCs w:val="20"/>
        </w:rPr>
      </w:pPr>
      <w:r w:rsidRPr="00B63241">
        <w:rPr>
          <w:rFonts w:ascii="Arial" w:eastAsia="Book Antiqua" w:hAnsi="Arial" w:cs="Arial"/>
          <w:iCs/>
          <w:sz w:val="20"/>
          <w:szCs w:val="20"/>
        </w:rPr>
        <w:t>For a discussion of the power to make suppression orders under s.75 of the</w:t>
      </w:r>
      <w:r w:rsidRPr="00B63241">
        <w:rPr>
          <w:rFonts w:ascii="Arial" w:eastAsia="Book Antiqua" w:hAnsi="Arial" w:cs="Arial"/>
          <w:i/>
          <w:sz w:val="20"/>
          <w:szCs w:val="20"/>
        </w:rPr>
        <w:t xml:space="preserve"> Crimes (Mental Impairment and Unfitness to be Tried) Act 1997 </w:t>
      </w:r>
      <w:r w:rsidRPr="00B63241">
        <w:rPr>
          <w:rFonts w:ascii="Arial" w:hAnsi="Arial" w:cs="Arial"/>
          <w:sz w:val="20"/>
          <w:szCs w:val="20"/>
        </w:rPr>
        <w:t xml:space="preserve">(Vic) see </w:t>
      </w:r>
      <w:r w:rsidRPr="00B63241">
        <w:rPr>
          <w:rFonts w:ascii="Arial" w:eastAsia="Book Antiqua" w:hAnsi="Arial" w:cs="Arial"/>
          <w:i/>
          <w:sz w:val="20"/>
          <w:szCs w:val="20"/>
        </w:rPr>
        <w:t>Re XY</w:t>
      </w:r>
      <w:r w:rsidRPr="00B63241">
        <w:rPr>
          <w:rFonts w:ascii="Arial" w:hAnsi="Arial" w:cs="Arial"/>
          <w:sz w:val="20"/>
          <w:szCs w:val="20"/>
        </w:rPr>
        <w:t xml:space="preserve"> [2018] VSC 456</w:t>
      </w:r>
      <w:r>
        <w:rPr>
          <w:rFonts w:ascii="Arial" w:hAnsi="Arial" w:cs="Arial"/>
          <w:sz w:val="20"/>
          <w:szCs w:val="20"/>
        </w:rPr>
        <w:t xml:space="preserve"> at</w:t>
      </w:r>
      <w:r w:rsidRPr="00B63241">
        <w:rPr>
          <w:rFonts w:ascii="Arial" w:hAnsi="Arial" w:cs="Arial"/>
          <w:sz w:val="20"/>
          <w:szCs w:val="20"/>
        </w:rPr>
        <w:t xml:space="preserve"> [8] per Croucher J;</w:t>
      </w:r>
      <w:r w:rsidRPr="00B63241">
        <w:rPr>
          <w:rFonts w:ascii="Arial" w:hAnsi="Arial" w:cs="Arial"/>
          <w:sz w:val="20"/>
        </w:rPr>
        <w:t xml:space="preserve"> </w:t>
      </w:r>
      <w:r w:rsidRPr="00B63241">
        <w:rPr>
          <w:rFonts w:ascii="Arial" w:eastAsia="Book Antiqua" w:hAnsi="Arial" w:cs="Arial"/>
          <w:i/>
          <w:sz w:val="20"/>
          <w:szCs w:val="20"/>
        </w:rPr>
        <w:t>Re XY (No</w:t>
      </w:r>
      <w:r>
        <w:rPr>
          <w:rFonts w:ascii="Arial" w:eastAsia="Book Antiqua" w:hAnsi="Arial" w:cs="Arial"/>
          <w:i/>
          <w:sz w:val="20"/>
          <w:szCs w:val="20"/>
        </w:rPr>
        <w:t> </w:t>
      </w:r>
      <w:r w:rsidRPr="00B63241">
        <w:rPr>
          <w:rFonts w:ascii="Arial" w:eastAsia="Book Antiqua" w:hAnsi="Arial" w:cs="Arial"/>
          <w:i/>
          <w:sz w:val="20"/>
          <w:szCs w:val="20"/>
        </w:rPr>
        <w:t>3)</w:t>
      </w:r>
      <w:r w:rsidRPr="00B63241">
        <w:rPr>
          <w:rFonts w:ascii="Arial" w:hAnsi="Arial" w:cs="Arial"/>
          <w:sz w:val="20"/>
          <w:szCs w:val="20"/>
        </w:rPr>
        <w:t xml:space="preserve"> [2020] VSC 195</w:t>
      </w:r>
      <w:r>
        <w:rPr>
          <w:rFonts w:ascii="Arial" w:hAnsi="Arial" w:cs="Arial"/>
          <w:sz w:val="20"/>
          <w:szCs w:val="20"/>
        </w:rPr>
        <w:t xml:space="preserve"> at</w:t>
      </w:r>
      <w:r w:rsidRPr="00B63241">
        <w:rPr>
          <w:rFonts w:ascii="Arial" w:hAnsi="Arial" w:cs="Arial"/>
          <w:sz w:val="20"/>
          <w:szCs w:val="20"/>
        </w:rPr>
        <w:t xml:space="preserve"> [61] </w:t>
      </w:r>
      <w:r>
        <w:rPr>
          <w:rFonts w:ascii="Arial" w:hAnsi="Arial" w:cs="Arial"/>
          <w:sz w:val="20"/>
          <w:szCs w:val="20"/>
        </w:rPr>
        <w:t xml:space="preserve">per </w:t>
      </w:r>
      <w:r w:rsidRPr="00B63241">
        <w:rPr>
          <w:rFonts w:ascii="Arial" w:hAnsi="Arial" w:cs="Arial"/>
          <w:sz w:val="20"/>
          <w:szCs w:val="20"/>
        </w:rPr>
        <w:t>Taylor J</w:t>
      </w:r>
      <w:r>
        <w:rPr>
          <w:rFonts w:ascii="Arial" w:hAnsi="Arial" w:cs="Arial"/>
          <w:sz w:val="20"/>
          <w:szCs w:val="20"/>
        </w:rPr>
        <w:t xml:space="preserve">; </w:t>
      </w:r>
      <w:r w:rsidRPr="00B63241">
        <w:rPr>
          <w:rFonts w:ascii="Arial" w:hAnsi="Arial" w:cs="Arial"/>
          <w:i/>
          <w:iCs/>
          <w:color w:val="000000"/>
          <w:sz w:val="20"/>
          <w:szCs w:val="20"/>
        </w:rPr>
        <w:t>Re XY (No</w:t>
      </w:r>
      <w:r>
        <w:rPr>
          <w:rFonts w:ascii="Arial" w:hAnsi="Arial" w:cs="Arial"/>
          <w:i/>
          <w:iCs/>
          <w:color w:val="000000"/>
          <w:sz w:val="20"/>
          <w:szCs w:val="20"/>
        </w:rPr>
        <w:t> </w:t>
      </w:r>
      <w:r w:rsidRPr="00B63241">
        <w:rPr>
          <w:rFonts w:ascii="Arial" w:hAnsi="Arial" w:cs="Arial"/>
          <w:i/>
          <w:iCs/>
          <w:color w:val="000000"/>
          <w:sz w:val="20"/>
          <w:szCs w:val="20"/>
        </w:rPr>
        <w:t>4)</w:t>
      </w:r>
      <w:r w:rsidRPr="00B63241">
        <w:rPr>
          <w:rFonts w:ascii="Arial" w:hAnsi="Arial" w:cs="Arial"/>
          <w:color w:val="000000"/>
          <w:sz w:val="20"/>
          <w:szCs w:val="20"/>
        </w:rPr>
        <w:t xml:space="preserve"> [2022] VSC 21 at [41]-[48]</w:t>
      </w:r>
      <w:r>
        <w:rPr>
          <w:rFonts w:ascii="Arial" w:hAnsi="Arial" w:cs="Arial"/>
          <w:color w:val="000000"/>
          <w:sz w:val="20"/>
          <w:szCs w:val="20"/>
        </w:rPr>
        <w:t xml:space="preserve"> per Elliott J; </w:t>
      </w:r>
      <w:bookmarkStart w:id="509" w:name="_Hlk104199916"/>
      <w:r w:rsidRPr="001A03B6">
        <w:rPr>
          <w:rFonts w:ascii="Arial" w:hAnsi="Arial" w:cs="Arial"/>
          <w:i/>
          <w:iCs/>
          <w:color w:val="000000"/>
          <w:sz w:val="20"/>
          <w:szCs w:val="20"/>
        </w:rPr>
        <w:t>Re AB</w:t>
      </w:r>
      <w:r>
        <w:rPr>
          <w:rFonts w:ascii="Arial" w:hAnsi="Arial" w:cs="Arial"/>
          <w:color w:val="000000"/>
          <w:sz w:val="20"/>
          <w:szCs w:val="20"/>
        </w:rPr>
        <w:t xml:space="preserve"> [2022] VSC 235 at [30]-[48] per Tinney J</w:t>
      </w:r>
      <w:r w:rsidRPr="00B63241">
        <w:rPr>
          <w:rFonts w:ascii="Arial" w:hAnsi="Arial" w:cs="Arial"/>
          <w:color w:val="000000"/>
          <w:sz w:val="20"/>
          <w:szCs w:val="20"/>
        </w:rPr>
        <w:t>.</w:t>
      </w:r>
      <w:bookmarkEnd w:id="509"/>
    </w:p>
    <w:p w14:paraId="677E10C2" w14:textId="77777777" w:rsidR="00C632AD" w:rsidRDefault="00C632AD" w:rsidP="00C632AD">
      <w:pPr>
        <w:jc w:val="both"/>
        <w:rPr>
          <w:rFonts w:ascii="Arial" w:hAnsi="Arial" w:cs="Arial"/>
          <w:sz w:val="20"/>
        </w:rPr>
      </w:pPr>
    </w:p>
    <w:p w14:paraId="18A0E8F0" w14:textId="39C6D889" w:rsidR="00314FEE" w:rsidRPr="002559FB" w:rsidRDefault="00314FEE" w:rsidP="00C632AD">
      <w:pPr>
        <w:jc w:val="both"/>
        <w:rPr>
          <w:rFonts w:ascii="Arial" w:hAnsi="Arial" w:cs="Arial"/>
          <w:sz w:val="20"/>
          <w:szCs w:val="20"/>
        </w:rPr>
      </w:pPr>
      <w:r w:rsidRPr="002559FB">
        <w:rPr>
          <w:rFonts w:ascii="Arial" w:hAnsi="Arial" w:cs="Arial"/>
          <w:sz w:val="20"/>
          <w:szCs w:val="20"/>
        </w:rPr>
        <w:t xml:space="preserve">For a discussion of the power to make suppression orders under </w:t>
      </w:r>
      <w:r w:rsidR="00B14A0C" w:rsidRPr="002559FB">
        <w:rPr>
          <w:rFonts w:ascii="Arial" w:hAnsi="Arial" w:cs="Arial"/>
          <w:sz w:val="20"/>
          <w:szCs w:val="20"/>
        </w:rPr>
        <w:t xml:space="preserve">section 93.2 of the </w:t>
      </w:r>
      <w:r w:rsidR="00B14A0C" w:rsidRPr="002559FB">
        <w:rPr>
          <w:rFonts w:ascii="Arial" w:hAnsi="Arial" w:cs="Arial"/>
          <w:i/>
          <w:iCs/>
          <w:sz w:val="20"/>
          <w:szCs w:val="20"/>
        </w:rPr>
        <w:t>Criminal Code Act 1995</w:t>
      </w:r>
      <w:r w:rsidR="00B14A0C" w:rsidRPr="002559FB">
        <w:rPr>
          <w:rFonts w:ascii="Arial" w:hAnsi="Arial" w:cs="Arial"/>
          <w:sz w:val="20"/>
          <w:szCs w:val="20"/>
        </w:rPr>
        <w:t xml:space="preserve"> (</w:t>
      </w:r>
      <w:proofErr w:type="spellStart"/>
      <w:r w:rsidR="00B14A0C" w:rsidRPr="002559FB">
        <w:rPr>
          <w:rFonts w:ascii="Arial" w:hAnsi="Arial" w:cs="Arial"/>
          <w:sz w:val="20"/>
          <w:szCs w:val="20"/>
        </w:rPr>
        <w:t>Cth</w:t>
      </w:r>
      <w:proofErr w:type="spellEnd"/>
      <w:r w:rsidR="00B14A0C" w:rsidRPr="002559FB">
        <w:rPr>
          <w:rFonts w:ascii="Arial" w:hAnsi="Arial" w:cs="Arial"/>
          <w:sz w:val="20"/>
          <w:szCs w:val="20"/>
        </w:rPr>
        <w:t xml:space="preserve">) see </w:t>
      </w:r>
      <w:r w:rsidRPr="002559FB">
        <w:rPr>
          <w:rFonts w:ascii="Arial" w:hAnsi="Arial" w:cs="Arial"/>
          <w:i/>
          <w:iCs/>
          <w:sz w:val="20"/>
          <w:szCs w:val="20"/>
        </w:rPr>
        <w:t>Attorney-General v Temssah</w:t>
      </w:r>
      <w:r w:rsidRPr="002559FB">
        <w:rPr>
          <w:rFonts w:ascii="Arial" w:hAnsi="Arial" w:cs="Arial"/>
          <w:sz w:val="20"/>
          <w:szCs w:val="20"/>
        </w:rPr>
        <w:t xml:space="preserve"> [2024] VSC 172 at [</w:t>
      </w:r>
      <w:r w:rsidR="00B14A0C" w:rsidRPr="002559FB">
        <w:rPr>
          <w:rFonts w:ascii="Arial" w:hAnsi="Arial" w:cs="Arial"/>
          <w:sz w:val="20"/>
          <w:szCs w:val="20"/>
        </w:rPr>
        <w:t>12</w:t>
      </w:r>
      <w:r w:rsidRPr="002559FB">
        <w:rPr>
          <w:rFonts w:ascii="Arial" w:hAnsi="Arial" w:cs="Arial"/>
          <w:sz w:val="20"/>
          <w:szCs w:val="20"/>
        </w:rPr>
        <w:t>]-[</w:t>
      </w:r>
      <w:r w:rsidR="002559FB">
        <w:rPr>
          <w:rFonts w:ascii="Arial" w:hAnsi="Arial" w:cs="Arial"/>
          <w:sz w:val="20"/>
          <w:szCs w:val="20"/>
        </w:rPr>
        <w:t>36</w:t>
      </w:r>
      <w:r w:rsidRPr="002559FB">
        <w:rPr>
          <w:rFonts w:ascii="Arial" w:hAnsi="Arial" w:cs="Arial"/>
          <w:sz w:val="20"/>
          <w:szCs w:val="20"/>
        </w:rPr>
        <w:t>].</w:t>
      </w:r>
      <w:r w:rsidR="00B14A0C" w:rsidRPr="002559FB">
        <w:rPr>
          <w:rFonts w:ascii="Arial" w:hAnsi="Arial" w:cs="Arial"/>
          <w:sz w:val="20"/>
          <w:szCs w:val="20"/>
        </w:rPr>
        <w:t xml:space="preserve">  See also </w:t>
      </w:r>
      <w:r w:rsidR="00B14A0C" w:rsidRPr="002559FB">
        <w:rPr>
          <w:rFonts w:ascii="Arial" w:hAnsi="Arial" w:cs="Arial"/>
          <w:i/>
          <w:iCs/>
          <w:sz w:val="20"/>
          <w:szCs w:val="20"/>
        </w:rPr>
        <w:t xml:space="preserve">R v </w:t>
      </w:r>
      <w:proofErr w:type="spellStart"/>
      <w:r w:rsidR="00B14A0C" w:rsidRPr="002559FB">
        <w:rPr>
          <w:rFonts w:ascii="Arial" w:hAnsi="Arial" w:cs="Arial"/>
          <w:i/>
          <w:iCs/>
          <w:sz w:val="20"/>
          <w:szCs w:val="20"/>
        </w:rPr>
        <w:t>Benbrika</w:t>
      </w:r>
      <w:proofErr w:type="spellEnd"/>
      <w:r w:rsidR="00B14A0C" w:rsidRPr="002559FB">
        <w:rPr>
          <w:rFonts w:ascii="Arial" w:hAnsi="Arial" w:cs="Arial"/>
          <w:i/>
          <w:iCs/>
          <w:sz w:val="20"/>
          <w:szCs w:val="20"/>
        </w:rPr>
        <w:t xml:space="preserve"> &amp; </w:t>
      </w:r>
      <w:proofErr w:type="spellStart"/>
      <w:r w:rsidR="00B14A0C" w:rsidRPr="002559FB">
        <w:rPr>
          <w:rFonts w:ascii="Arial" w:hAnsi="Arial" w:cs="Arial"/>
          <w:i/>
          <w:iCs/>
          <w:sz w:val="20"/>
          <w:szCs w:val="20"/>
        </w:rPr>
        <w:t>Ors</w:t>
      </w:r>
      <w:proofErr w:type="spellEnd"/>
      <w:r w:rsidR="00B14A0C" w:rsidRPr="002559FB">
        <w:rPr>
          <w:rFonts w:ascii="Arial" w:hAnsi="Arial" w:cs="Arial"/>
          <w:i/>
          <w:iCs/>
          <w:sz w:val="20"/>
          <w:szCs w:val="20"/>
        </w:rPr>
        <w:t xml:space="preserve"> (Ruling 1)</w:t>
      </w:r>
      <w:r w:rsidR="00B14A0C" w:rsidRPr="002559FB">
        <w:rPr>
          <w:rFonts w:ascii="Arial" w:hAnsi="Arial" w:cs="Arial"/>
          <w:sz w:val="20"/>
          <w:szCs w:val="20"/>
        </w:rPr>
        <w:t xml:space="preserve"> [2007] VSC 141</w:t>
      </w:r>
      <w:r w:rsidR="002559FB">
        <w:rPr>
          <w:rFonts w:ascii="Arial" w:hAnsi="Arial" w:cs="Arial"/>
          <w:sz w:val="20"/>
          <w:szCs w:val="20"/>
        </w:rPr>
        <w:t xml:space="preserve">; </w:t>
      </w:r>
      <w:r w:rsidR="004F293B" w:rsidRPr="004F293B">
        <w:rPr>
          <w:rFonts w:ascii="Arial" w:hAnsi="Arial" w:cs="Arial"/>
          <w:i/>
          <w:iCs/>
          <w:sz w:val="20"/>
          <w:szCs w:val="20"/>
        </w:rPr>
        <w:t>R v Lodhi</w:t>
      </w:r>
      <w:r w:rsidR="004F293B">
        <w:rPr>
          <w:rFonts w:ascii="Arial" w:hAnsi="Arial" w:cs="Arial"/>
          <w:sz w:val="20"/>
          <w:szCs w:val="20"/>
        </w:rPr>
        <w:t xml:space="preserve"> [2006] NSWSC 596 upheld on appeal (2006) NSWLR 573.</w:t>
      </w:r>
    </w:p>
    <w:p w14:paraId="7BE45172" w14:textId="3A0BEC55" w:rsidR="00314FEE" w:rsidRPr="00B14A0C" w:rsidRDefault="00314FEE" w:rsidP="00C632AD">
      <w:pPr>
        <w:jc w:val="both"/>
        <w:rPr>
          <w:rFonts w:ascii="Arial" w:hAnsi="Arial" w:cs="Arial"/>
          <w:sz w:val="20"/>
          <w:szCs w:val="20"/>
        </w:rPr>
      </w:pPr>
    </w:p>
    <w:p w14:paraId="6A55E11A" w14:textId="50AF9B44" w:rsidR="00C632AD" w:rsidRPr="009C333B" w:rsidRDefault="00C632AD" w:rsidP="00C632AD">
      <w:pPr>
        <w:jc w:val="both"/>
        <w:rPr>
          <w:rFonts w:ascii="Arial" w:hAnsi="Arial" w:cs="Arial"/>
          <w:sz w:val="20"/>
        </w:rPr>
      </w:pPr>
      <w:r>
        <w:rPr>
          <w:rFonts w:ascii="Arial" w:hAnsi="Arial" w:cs="Arial"/>
          <w:sz w:val="20"/>
        </w:rPr>
        <w:t xml:space="preserve">In </w:t>
      </w:r>
      <w:r w:rsidRPr="009C333B">
        <w:rPr>
          <w:rFonts w:ascii="Arial" w:hAnsi="Arial" w:cs="Arial"/>
          <w:i/>
          <w:sz w:val="20"/>
        </w:rPr>
        <w:t>AB (a pseudonym) v CD (a pseudonym)</w:t>
      </w:r>
      <w:r>
        <w:rPr>
          <w:rFonts w:ascii="Arial" w:hAnsi="Arial" w:cs="Arial"/>
          <w:i/>
          <w:sz w:val="20"/>
        </w:rPr>
        <w:t>;</w:t>
      </w:r>
      <w:r w:rsidRPr="009C333B">
        <w:rPr>
          <w:rFonts w:ascii="Arial" w:hAnsi="Arial" w:cs="Arial"/>
          <w:i/>
          <w:sz w:val="20"/>
        </w:rPr>
        <w:t xml:space="preserve"> EF (a pseudonym) v CD (a pseudonym)</w:t>
      </w:r>
      <w:r w:rsidRPr="009C333B">
        <w:rPr>
          <w:rFonts w:ascii="Arial" w:hAnsi="Arial" w:cs="Arial"/>
          <w:sz w:val="20"/>
        </w:rPr>
        <w:t xml:space="preserve"> </w:t>
      </w:r>
      <w:r>
        <w:rPr>
          <w:rFonts w:ascii="Arial" w:hAnsi="Arial" w:cs="Arial"/>
          <w:sz w:val="20"/>
        </w:rPr>
        <w:t xml:space="preserve">[2019] HCA 6 Nettle J invoked s.77RE(1)(a) of the </w:t>
      </w:r>
      <w:r w:rsidRPr="00AE0485">
        <w:rPr>
          <w:rFonts w:ascii="Arial" w:hAnsi="Arial" w:cs="Arial"/>
          <w:i/>
          <w:iCs/>
          <w:sz w:val="20"/>
        </w:rPr>
        <w:t>Judiciary Act 1903</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to make non-publication orders in circumstances where the risk of harm to children associated with a party to the proceeding were held to be “acute”.</w:t>
      </w:r>
    </w:p>
    <w:p w14:paraId="7BA9A198" w14:textId="77777777" w:rsidR="00C632AD" w:rsidRDefault="00C632AD" w:rsidP="00C632AD">
      <w:pPr>
        <w:jc w:val="both"/>
        <w:rPr>
          <w:rFonts w:ascii="Arial" w:hAnsi="Arial" w:cs="Arial"/>
          <w:sz w:val="20"/>
        </w:rPr>
      </w:pPr>
    </w:p>
    <w:p w14:paraId="35A94DCA" w14:textId="77777777" w:rsidR="00C632AD" w:rsidRDefault="00C632AD" w:rsidP="00C632AD">
      <w:pPr>
        <w:jc w:val="both"/>
        <w:rPr>
          <w:rFonts w:ascii="Arial" w:hAnsi="Arial" w:cs="Arial"/>
          <w:sz w:val="20"/>
        </w:rPr>
      </w:pPr>
      <w:r>
        <w:rPr>
          <w:rFonts w:ascii="Arial" w:hAnsi="Arial" w:cs="Arial"/>
          <w:sz w:val="20"/>
        </w:rPr>
        <w:t xml:space="preserve">In </w:t>
      </w:r>
      <w:bookmarkStart w:id="510" w:name="_Hlk13649355"/>
      <w:r w:rsidRPr="00B32CBA">
        <w:rPr>
          <w:rFonts w:ascii="Arial" w:hAnsi="Arial" w:cs="Arial"/>
          <w:i/>
          <w:iCs/>
          <w:sz w:val="20"/>
        </w:rPr>
        <w:t>Chairperson of the Royal Commission into the Management of Police Informants v Chief Commissioner of Victoria Police</w:t>
      </w:r>
      <w:r>
        <w:rPr>
          <w:rFonts w:ascii="Arial" w:hAnsi="Arial" w:cs="Arial"/>
          <w:sz w:val="20"/>
        </w:rPr>
        <w:t xml:space="preserve"> [2019] VSCA 154 </w:t>
      </w:r>
      <w:bookmarkEnd w:id="510"/>
      <w:r>
        <w:rPr>
          <w:rFonts w:ascii="Arial" w:hAnsi="Arial" w:cs="Arial"/>
          <w:sz w:val="20"/>
        </w:rPr>
        <w:t xml:space="preserve">the Court of Appeal (Whelan, Beach &amp; Weinberg JJA) allowed in part an application to vacate or vary suppression orders, holding that revocation of the orders entirely would increase risk but varying the orders to </w:t>
      </w:r>
      <w:r w:rsidRPr="00933B98">
        <w:rPr>
          <w:rFonts w:ascii="Arial" w:hAnsi="Arial" w:cs="Arial"/>
          <w:sz w:val="20"/>
        </w:rPr>
        <w:t>permit disclosure to and by the Royal Commission in accordance with</w:t>
      </w:r>
      <w:r>
        <w:rPr>
          <w:rFonts w:ascii="Arial" w:hAnsi="Arial" w:cs="Arial"/>
          <w:sz w:val="20"/>
        </w:rPr>
        <w:t xml:space="preserve"> the</w:t>
      </w:r>
      <w:r w:rsidRPr="00933B98">
        <w:rPr>
          <w:rFonts w:ascii="Arial" w:hAnsi="Arial" w:cs="Arial"/>
          <w:sz w:val="20"/>
        </w:rPr>
        <w:t xml:space="preserve"> </w:t>
      </w:r>
      <w:r w:rsidRPr="00AE0485">
        <w:rPr>
          <w:rFonts w:ascii="Arial" w:hAnsi="Arial" w:cs="Arial"/>
          <w:i/>
          <w:iCs/>
          <w:sz w:val="20"/>
        </w:rPr>
        <w:t>Inquiries Act 2014</w:t>
      </w:r>
      <w:r w:rsidRPr="00933B98">
        <w:rPr>
          <w:rFonts w:ascii="Arial" w:hAnsi="Arial" w:cs="Arial"/>
          <w:sz w:val="20"/>
        </w:rPr>
        <w:t xml:space="preserve"> and the </w:t>
      </w:r>
      <w:r w:rsidRPr="00AE0485">
        <w:rPr>
          <w:rFonts w:ascii="Arial" w:hAnsi="Arial" w:cs="Arial"/>
          <w:i/>
          <w:iCs/>
          <w:sz w:val="20"/>
        </w:rPr>
        <w:t>Witness Protection Act 1991</w:t>
      </w:r>
      <w:r>
        <w:rPr>
          <w:rFonts w:ascii="Arial" w:hAnsi="Arial" w:cs="Arial"/>
          <w:sz w:val="20"/>
        </w:rPr>
        <w:t xml:space="preserve">.  In this process the Court applied </w:t>
      </w:r>
      <w:r w:rsidRPr="00AC01DC">
        <w:rPr>
          <w:rFonts w:ascii="Arial" w:hAnsi="Arial" w:cs="Arial"/>
          <w:i/>
          <w:iCs/>
          <w:sz w:val="20"/>
        </w:rPr>
        <w:t>AB v CD</w:t>
      </w:r>
      <w:r w:rsidRPr="00933B98">
        <w:rPr>
          <w:rFonts w:ascii="Arial" w:hAnsi="Arial" w:cs="Arial"/>
          <w:sz w:val="20"/>
        </w:rPr>
        <w:t xml:space="preserve"> [2019] VSCA 28</w:t>
      </w:r>
      <w:r>
        <w:rPr>
          <w:rFonts w:ascii="Arial" w:hAnsi="Arial" w:cs="Arial"/>
          <w:sz w:val="20"/>
        </w:rPr>
        <w:t xml:space="preserve"> and</w:t>
      </w:r>
      <w:r w:rsidRPr="00933B98">
        <w:rPr>
          <w:rFonts w:ascii="Arial" w:hAnsi="Arial" w:cs="Arial"/>
          <w:sz w:val="20"/>
        </w:rPr>
        <w:t xml:space="preserve"> </w:t>
      </w:r>
      <w:r w:rsidRPr="00AC01DC">
        <w:rPr>
          <w:rFonts w:ascii="Arial" w:hAnsi="Arial" w:cs="Arial"/>
          <w:i/>
          <w:iCs/>
          <w:sz w:val="20"/>
        </w:rPr>
        <w:t>AB v CD; EF v CD</w:t>
      </w:r>
      <w:r w:rsidRPr="00933B98">
        <w:rPr>
          <w:rFonts w:ascii="Arial" w:hAnsi="Arial" w:cs="Arial"/>
          <w:sz w:val="20"/>
        </w:rPr>
        <w:t xml:space="preserve"> [2019] HCA 6</w:t>
      </w:r>
      <w:r>
        <w:rPr>
          <w:rFonts w:ascii="Arial" w:hAnsi="Arial" w:cs="Arial"/>
          <w:sz w:val="20"/>
        </w:rPr>
        <w:t>.</w:t>
      </w:r>
    </w:p>
    <w:p w14:paraId="1ADE9100" w14:textId="77777777" w:rsidR="00C632AD" w:rsidRPr="001E79F7" w:rsidRDefault="00C632AD" w:rsidP="00C632AD">
      <w:pPr>
        <w:jc w:val="both"/>
        <w:rPr>
          <w:rFonts w:ascii="Arial" w:hAnsi="Arial" w:cs="Arial"/>
          <w:sz w:val="20"/>
        </w:rPr>
      </w:pPr>
    </w:p>
    <w:p w14:paraId="4C8049DD" w14:textId="44850E92" w:rsidR="00C632AD" w:rsidRDefault="00C632AD" w:rsidP="00C632AD">
      <w:pPr>
        <w:pStyle w:val="Heading3"/>
        <w:keepNext/>
        <w:widowControl/>
        <w:spacing w:after="120" w:line="240" w:lineRule="auto"/>
        <w:rPr>
          <w:rFonts w:ascii="Arial" w:hAnsi="Arial" w:cs="Arial"/>
          <w:b/>
          <w:bCs/>
          <w:sz w:val="20"/>
        </w:rPr>
      </w:pPr>
      <w:bookmarkStart w:id="511" w:name="_2.8.3_Does_the"/>
      <w:bookmarkStart w:id="512" w:name="_2.8.3_The_relationship"/>
      <w:bookmarkStart w:id="513" w:name="_2.8.3_‘Take-down’_orders"/>
      <w:bookmarkEnd w:id="511"/>
      <w:bookmarkEnd w:id="512"/>
      <w:bookmarkEnd w:id="513"/>
      <w:r>
        <w:rPr>
          <w:rFonts w:ascii="Arial" w:hAnsi="Arial" w:cs="Arial"/>
          <w:b/>
          <w:bCs/>
          <w:sz w:val="20"/>
        </w:rPr>
        <w:t>2.8.3</w:t>
      </w:r>
      <w:r>
        <w:rPr>
          <w:rFonts w:ascii="Arial" w:hAnsi="Arial" w:cs="Arial"/>
          <w:b/>
          <w:bCs/>
          <w:sz w:val="20"/>
        </w:rPr>
        <w:tab/>
      </w:r>
      <w:r w:rsidR="00692D54">
        <w:rPr>
          <w:rFonts w:ascii="Arial" w:hAnsi="Arial" w:cs="Arial"/>
          <w:b/>
          <w:bCs/>
          <w:sz w:val="20"/>
        </w:rPr>
        <w:t>‘Take</w:t>
      </w:r>
      <w:r w:rsidR="008D7980">
        <w:rPr>
          <w:rFonts w:ascii="Arial" w:hAnsi="Arial" w:cs="Arial"/>
          <w:b/>
          <w:bCs/>
          <w:sz w:val="20"/>
        </w:rPr>
        <w:t>-</w:t>
      </w:r>
      <w:r w:rsidR="00692D54">
        <w:rPr>
          <w:rFonts w:ascii="Arial" w:hAnsi="Arial" w:cs="Arial"/>
          <w:b/>
          <w:bCs/>
          <w:sz w:val="20"/>
        </w:rPr>
        <w:t>down’ orders</w:t>
      </w:r>
    </w:p>
    <w:p w14:paraId="28012E52" w14:textId="68DFF5D6" w:rsidR="008D7980" w:rsidRDefault="001F5D53" w:rsidP="008D7980">
      <w:pPr>
        <w:jc w:val="both"/>
        <w:rPr>
          <w:rFonts w:ascii="Arial" w:hAnsi="Arial" w:cs="Arial"/>
          <w:color w:val="000000"/>
          <w:sz w:val="20"/>
          <w:szCs w:val="20"/>
        </w:rPr>
      </w:pPr>
      <w:r>
        <w:rPr>
          <w:rFonts w:ascii="Arial" w:hAnsi="Arial" w:cs="Arial"/>
          <w:sz w:val="20"/>
        </w:rPr>
        <w:t>A ‘take</w:t>
      </w:r>
      <w:r w:rsidR="008D7980">
        <w:rPr>
          <w:rFonts w:ascii="Arial" w:hAnsi="Arial" w:cs="Arial"/>
          <w:sz w:val="20"/>
        </w:rPr>
        <w:t>-</w:t>
      </w:r>
      <w:r>
        <w:rPr>
          <w:rFonts w:ascii="Arial" w:hAnsi="Arial" w:cs="Arial"/>
          <w:sz w:val="20"/>
        </w:rPr>
        <w:t>down’ order is an order that a person remove material that has been published in print or on</w:t>
      </w:r>
      <w:r>
        <w:rPr>
          <w:rFonts w:ascii="Arial" w:hAnsi="Arial" w:cs="Arial"/>
          <w:sz w:val="20"/>
        </w:rPr>
        <w:noBreakHyphen/>
        <w:t xml:space="preserve">line.  A </w:t>
      </w:r>
      <w:r w:rsidR="001E5D57">
        <w:rPr>
          <w:rFonts w:ascii="Arial" w:hAnsi="Arial" w:cs="Arial"/>
          <w:sz w:val="20"/>
        </w:rPr>
        <w:t>detailed</w:t>
      </w:r>
      <w:r>
        <w:rPr>
          <w:rFonts w:ascii="Arial" w:hAnsi="Arial" w:cs="Arial"/>
          <w:sz w:val="20"/>
        </w:rPr>
        <w:t xml:space="preserve"> discussion of ‘take</w:t>
      </w:r>
      <w:r w:rsidR="008D7980">
        <w:rPr>
          <w:rFonts w:ascii="Arial" w:hAnsi="Arial" w:cs="Arial"/>
          <w:sz w:val="20"/>
        </w:rPr>
        <w:t>-</w:t>
      </w:r>
      <w:r>
        <w:rPr>
          <w:rFonts w:ascii="Arial" w:hAnsi="Arial" w:cs="Arial"/>
          <w:sz w:val="20"/>
        </w:rPr>
        <w:t xml:space="preserve">down’ orders </w:t>
      </w:r>
      <w:r w:rsidR="00C76FAC">
        <w:rPr>
          <w:rFonts w:ascii="Arial" w:hAnsi="Arial" w:cs="Arial"/>
          <w:sz w:val="20"/>
        </w:rPr>
        <w:t>may be found</w:t>
      </w:r>
      <w:r>
        <w:rPr>
          <w:rFonts w:ascii="Arial" w:hAnsi="Arial" w:cs="Arial"/>
          <w:sz w:val="20"/>
        </w:rPr>
        <w:t xml:space="preserve"> in Chapter 14 of a report entitled “</w:t>
      </w:r>
      <w:r w:rsidRPr="008D7980">
        <w:rPr>
          <w:rFonts w:ascii="Arial" w:hAnsi="Arial" w:cs="Arial"/>
          <w:b/>
          <w:bCs/>
          <w:sz w:val="20"/>
        </w:rPr>
        <w:t>Contempt of Court</w:t>
      </w:r>
      <w:r>
        <w:rPr>
          <w:rFonts w:ascii="Arial" w:hAnsi="Arial" w:cs="Arial"/>
          <w:sz w:val="20"/>
        </w:rPr>
        <w:t xml:space="preserve">” </w:t>
      </w:r>
      <w:r w:rsidR="001E5D57">
        <w:rPr>
          <w:rFonts w:ascii="Arial" w:hAnsi="Arial" w:cs="Arial"/>
          <w:sz w:val="20"/>
        </w:rPr>
        <w:t>which was</w:t>
      </w:r>
      <w:r>
        <w:rPr>
          <w:rFonts w:ascii="Arial" w:hAnsi="Arial" w:cs="Arial"/>
          <w:sz w:val="20"/>
        </w:rPr>
        <w:t xml:space="preserve"> published by the Victorian Law Reform Commission </w:t>
      </w:r>
      <w:r w:rsidR="007D6088">
        <w:rPr>
          <w:rFonts w:ascii="Arial" w:hAnsi="Arial" w:cs="Arial"/>
          <w:sz w:val="20"/>
        </w:rPr>
        <w:t xml:space="preserve">[VLRC] </w:t>
      </w:r>
      <w:r>
        <w:rPr>
          <w:rFonts w:ascii="Arial" w:hAnsi="Arial" w:cs="Arial"/>
          <w:sz w:val="20"/>
        </w:rPr>
        <w:t>on 22/11/2021</w:t>
      </w:r>
      <w:r w:rsidR="000F1534">
        <w:rPr>
          <w:rFonts w:ascii="Arial" w:hAnsi="Arial" w:cs="Arial"/>
          <w:sz w:val="20"/>
        </w:rPr>
        <w:t>: see </w:t>
      </w:r>
      <w:hyperlink r:id="rId11" w:history="1">
        <w:r w:rsidR="000F1534" w:rsidRPr="000F1534">
          <w:rPr>
            <w:rStyle w:val="Hyperlink"/>
            <w:rFonts w:ascii="Arial" w:hAnsi="Arial" w:cs="Arial"/>
            <w:sz w:val="20"/>
          </w:rPr>
          <w:t>https://www.lawreform.vic.gov.au/publication/contempt-of-court-report/14-take-down-orders/</w:t>
        </w:r>
      </w:hyperlink>
      <w:r>
        <w:rPr>
          <w:rFonts w:ascii="Arial" w:hAnsi="Arial" w:cs="Arial"/>
          <w:sz w:val="20"/>
        </w:rPr>
        <w:t>.</w:t>
      </w:r>
      <w:r w:rsidR="008D7980">
        <w:rPr>
          <w:rFonts w:ascii="Arial" w:hAnsi="Arial" w:cs="Arial"/>
          <w:sz w:val="20"/>
        </w:rPr>
        <w:t xml:space="preserve">  </w:t>
      </w:r>
      <w:r w:rsidR="008D7980" w:rsidRPr="001F5D53">
        <w:rPr>
          <w:rFonts w:ascii="Arial" w:hAnsi="Arial" w:cs="Arial"/>
          <w:color w:val="000000"/>
          <w:sz w:val="20"/>
          <w:szCs w:val="20"/>
        </w:rPr>
        <w:t xml:space="preserve">The </w:t>
      </w:r>
      <w:r w:rsidR="007D6088">
        <w:rPr>
          <w:rFonts w:ascii="Arial" w:hAnsi="Arial" w:cs="Arial"/>
          <w:color w:val="000000"/>
          <w:sz w:val="20"/>
          <w:szCs w:val="20"/>
        </w:rPr>
        <w:t xml:space="preserve">primary </w:t>
      </w:r>
      <w:r w:rsidR="008D7980" w:rsidRPr="001F5D53">
        <w:rPr>
          <w:rFonts w:ascii="Arial" w:hAnsi="Arial" w:cs="Arial"/>
          <w:color w:val="000000"/>
          <w:sz w:val="20"/>
          <w:szCs w:val="20"/>
        </w:rPr>
        <w:t>purpose of a take</w:t>
      </w:r>
      <w:r w:rsidR="008D7980">
        <w:rPr>
          <w:rFonts w:ascii="Arial" w:hAnsi="Arial" w:cs="Arial"/>
          <w:color w:val="000000"/>
          <w:sz w:val="20"/>
          <w:szCs w:val="20"/>
        </w:rPr>
        <w:t>-</w:t>
      </w:r>
      <w:r w:rsidR="008D7980" w:rsidRPr="001F5D53">
        <w:rPr>
          <w:rFonts w:ascii="Arial" w:hAnsi="Arial" w:cs="Arial"/>
          <w:color w:val="000000"/>
          <w:sz w:val="20"/>
          <w:szCs w:val="20"/>
        </w:rPr>
        <w:t>down order is to limit the harm caused by a breach of a restriction on publication.</w:t>
      </w:r>
      <w:r w:rsidR="007D6088">
        <w:rPr>
          <w:rFonts w:ascii="Arial" w:hAnsi="Arial" w:cs="Arial"/>
          <w:color w:val="000000"/>
          <w:sz w:val="20"/>
          <w:szCs w:val="20"/>
        </w:rPr>
        <w:t xml:space="preserve"> </w:t>
      </w:r>
      <w:r w:rsidR="008D7980" w:rsidRPr="001F5D53">
        <w:rPr>
          <w:rFonts w:ascii="Arial" w:hAnsi="Arial" w:cs="Arial"/>
          <w:color w:val="000000"/>
          <w:sz w:val="20"/>
          <w:szCs w:val="20"/>
        </w:rPr>
        <w:t xml:space="preserve"> It is a remedy rather than a form of punishment.</w:t>
      </w:r>
    </w:p>
    <w:p w14:paraId="552133D3" w14:textId="75CE0303" w:rsidR="008D7980" w:rsidRDefault="008D7980" w:rsidP="008D7980">
      <w:pPr>
        <w:jc w:val="both"/>
        <w:rPr>
          <w:rFonts w:ascii="Arial" w:hAnsi="Arial" w:cs="Arial"/>
          <w:color w:val="000000"/>
          <w:sz w:val="20"/>
          <w:szCs w:val="20"/>
        </w:rPr>
      </w:pPr>
    </w:p>
    <w:p w14:paraId="46DD0CDD" w14:textId="032BFDED" w:rsidR="00AD721F" w:rsidRDefault="008D7980" w:rsidP="008D7980">
      <w:pPr>
        <w:jc w:val="both"/>
        <w:rPr>
          <w:rFonts w:ascii="Arial" w:hAnsi="Arial" w:cs="Arial"/>
          <w:color w:val="000000"/>
          <w:sz w:val="20"/>
          <w:szCs w:val="20"/>
        </w:rPr>
      </w:pPr>
      <w:r w:rsidRPr="001F5D53">
        <w:rPr>
          <w:rFonts w:ascii="Arial" w:hAnsi="Arial" w:cs="Arial"/>
          <w:color w:val="000000"/>
          <w:sz w:val="20"/>
          <w:szCs w:val="20"/>
        </w:rPr>
        <w:t xml:space="preserve">Take-down orders can be used to require material to be taken down that was lawful when first published but </w:t>
      </w:r>
      <w:r w:rsidR="007D6088">
        <w:rPr>
          <w:rFonts w:ascii="Arial" w:hAnsi="Arial" w:cs="Arial"/>
          <w:color w:val="000000"/>
          <w:sz w:val="20"/>
          <w:szCs w:val="20"/>
        </w:rPr>
        <w:t xml:space="preserve">which </w:t>
      </w:r>
      <w:r w:rsidRPr="001F5D53">
        <w:rPr>
          <w:rFonts w:ascii="Arial" w:hAnsi="Arial" w:cs="Arial"/>
          <w:color w:val="000000"/>
          <w:sz w:val="20"/>
          <w:szCs w:val="20"/>
        </w:rPr>
        <w:t xml:space="preserve">now breaches a restriction on publication (for example, because a </w:t>
      </w:r>
      <w:r>
        <w:rPr>
          <w:rFonts w:ascii="Arial" w:hAnsi="Arial" w:cs="Arial"/>
          <w:color w:val="000000"/>
          <w:sz w:val="20"/>
          <w:szCs w:val="20"/>
        </w:rPr>
        <w:t xml:space="preserve">child </w:t>
      </w:r>
      <w:r w:rsidR="00F167F8">
        <w:rPr>
          <w:rFonts w:ascii="Arial" w:hAnsi="Arial" w:cs="Arial"/>
          <w:color w:val="000000"/>
          <w:sz w:val="20"/>
          <w:szCs w:val="20"/>
        </w:rPr>
        <w:t xml:space="preserve">referred to in the publication </w:t>
      </w:r>
      <w:r>
        <w:rPr>
          <w:rFonts w:ascii="Arial" w:hAnsi="Arial" w:cs="Arial"/>
          <w:color w:val="000000"/>
          <w:sz w:val="20"/>
          <w:szCs w:val="20"/>
        </w:rPr>
        <w:t>has now been charged with a criminal offence</w:t>
      </w:r>
      <w:r w:rsidRPr="001F5D53">
        <w:rPr>
          <w:rFonts w:ascii="Arial" w:hAnsi="Arial" w:cs="Arial"/>
          <w:color w:val="000000"/>
          <w:sz w:val="20"/>
          <w:szCs w:val="20"/>
        </w:rPr>
        <w:t>).</w:t>
      </w:r>
      <w:r>
        <w:rPr>
          <w:rFonts w:ascii="Arial" w:hAnsi="Arial" w:cs="Arial"/>
          <w:color w:val="000000"/>
          <w:sz w:val="20"/>
          <w:szCs w:val="20"/>
        </w:rPr>
        <w:t xml:space="preserve">  </w:t>
      </w:r>
      <w:r w:rsidRPr="001F5D53">
        <w:rPr>
          <w:rFonts w:ascii="Arial" w:hAnsi="Arial" w:cs="Arial"/>
          <w:color w:val="000000"/>
          <w:sz w:val="20"/>
          <w:szCs w:val="20"/>
        </w:rPr>
        <w:t xml:space="preserve">Take-down orders are also used to remove material proved to be in breach of a restriction on publication. </w:t>
      </w:r>
      <w:r w:rsidR="003618B5">
        <w:rPr>
          <w:rFonts w:ascii="Arial" w:hAnsi="Arial" w:cs="Arial"/>
          <w:color w:val="000000"/>
          <w:sz w:val="20"/>
          <w:szCs w:val="20"/>
        </w:rPr>
        <w:t xml:space="preserve"> For example, t</w:t>
      </w:r>
      <w:r w:rsidRPr="001F5D53">
        <w:rPr>
          <w:rFonts w:ascii="Arial" w:hAnsi="Arial" w:cs="Arial"/>
          <w:color w:val="000000"/>
          <w:sz w:val="20"/>
          <w:szCs w:val="20"/>
        </w:rPr>
        <w:t>he Supreme Court of Victoria and the County Court of Victoria can make take-down orders under their powers to control court proceedings and protect a fair trial</w:t>
      </w:r>
      <w:r>
        <w:rPr>
          <w:rFonts w:ascii="Arial" w:hAnsi="Arial" w:cs="Arial"/>
          <w:color w:val="000000"/>
          <w:sz w:val="20"/>
          <w:szCs w:val="20"/>
        </w:rPr>
        <w:t>: see</w:t>
      </w:r>
      <w:r w:rsidR="0001019E">
        <w:rPr>
          <w:rFonts w:ascii="Arial" w:hAnsi="Arial" w:cs="Arial"/>
          <w:color w:val="000000"/>
          <w:sz w:val="20"/>
          <w:szCs w:val="20"/>
        </w:rPr>
        <w:t> </w:t>
      </w:r>
      <w:r w:rsidRPr="008D7980">
        <w:rPr>
          <w:rFonts w:ascii="Arial" w:hAnsi="Arial" w:cs="Arial"/>
          <w:i/>
          <w:iCs/>
          <w:color w:val="000000"/>
          <w:sz w:val="20"/>
          <w:szCs w:val="20"/>
        </w:rPr>
        <w:t>DPP (</w:t>
      </w:r>
      <w:proofErr w:type="spellStart"/>
      <w:r w:rsidRPr="008D7980">
        <w:rPr>
          <w:rFonts w:ascii="Arial" w:hAnsi="Arial" w:cs="Arial"/>
          <w:i/>
          <w:iCs/>
          <w:color w:val="000000"/>
          <w:sz w:val="20"/>
          <w:szCs w:val="20"/>
        </w:rPr>
        <w:t>Cth</w:t>
      </w:r>
      <w:proofErr w:type="spellEnd"/>
      <w:r w:rsidRPr="008D7980">
        <w:rPr>
          <w:rFonts w:ascii="Arial" w:hAnsi="Arial" w:cs="Arial"/>
          <w:i/>
          <w:iCs/>
          <w:color w:val="000000"/>
          <w:sz w:val="20"/>
          <w:szCs w:val="20"/>
        </w:rPr>
        <w:t>) v Brady</w:t>
      </w:r>
      <w:r>
        <w:rPr>
          <w:rFonts w:ascii="Arial" w:hAnsi="Arial" w:cs="Arial"/>
          <w:i/>
          <w:iCs/>
          <w:color w:val="000000"/>
          <w:sz w:val="20"/>
          <w:szCs w:val="20"/>
        </w:rPr>
        <w:t xml:space="preserve"> </w:t>
      </w:r>
      <w:r w:rsidRPr="008D7980">
        <w:rPr>
          <w:rFonts w:ascii="Arial" w:hAnsi="Arial" w:cs="Arial"/>
          <w:color w:val="000000"/>
          <w:sz w:val="20"/>
          <w:szCs w:val="20"/>
        </w:rPr>
        <w:t>[2015] VSC 246 [75], (2015) 252 A Crim R 50; </w:t>
      </w:r>
      <w:r w:rsidRPr="008D7980">
        <w:rPr>
          <w:rFonts w:ascii="Arial" w:hAnsi="Arial" w:cs="Arial"/>
          <w:i/>
          <w:iCs/>
          <w:color w:val="000000"/>
          <w:sz w:val="20"/>
          <w:szCs w:val="20"/>
        </w:rPr>
        <w:t>News Digital Media Pty Ltd v Mokbel </w:t>
      </w:r>
      <w:r w:rsidRPr="008D7980">
        <w:rPr>
          <w:rFonts w:ascii="Arial" w:hAnsi="Arial" w:cs="Arial"/>
          <w:color w:val="000000"/>
          <w:sz w:val="20"/>
          <w:szCs w:val="20"/>
        </w:rPr>
        <w:t>[2010] VSCA 51, (2010) 30 VR 248 [63]–[67].</w:t>
      </w:r>
    </w:p>
    <w:p w14:paraId="19522687" w14:textId="77777777" w:rsidR="00AD721F" w:rsidRDefault="00AD721F" w:rsidP="008D7980">
      <w:pPr>
        <w:jc w:val="both"/>
        <w:rPr>
          <w:rFonts w:ascii="Arial" w:hAnsi="Arial" w:cs="Arial"/>
          <w:color w:val="000000"/>
          <w:sz w:val="20"/>
          <w:szCs w:val="20"/>
        </w:rPr>
      </w:pPr>
    </w:p>
    <w:p w14:paraId="1E14CD84" w14:textId="1CED0869" w:rsidR="007D6088" w:rsidRPr="003618B5" w:rsidRDefault="007D6088" w:rsidP="007D6088">
      <w:pPr>
        <w:jc w:val="both"/>
        <w:rPr>
          <w:rFonts w:ascii="Arial" w:hAnsi="Arial" w:cs="Arial"/>
          <w:color w:val="000000"/>
          <w:sz w:val="16"/>
          <w:szCs w:val="16"/>
        </w:rPr>
      </w:pPr>
      <w:r>
        <w:rPr>
          <w:rFonts w:ascii="Arial" w:hAnsi="Arial" w:cs="Arial"/>
          <w:color w:val="000000"/>
          <w:sz w:val="20"/>
          <w:szCs w:val="20"/>
        </w:rPr>
        <w:t xml:space="preserve">In its overview of </w:t>
      </w:r>
      <w:r w:rsidRPr="007D6088">
        <w:rPr>
          <w:rFonts w:ascii="Arial" w:hAnsi="Arial" w:cs="Arial"/>
          <w:b/>
          <w:bCs/>
          <w:color w:val="000000"/>
          <w:sz w:val="20"/>
          <w:szCs w:val="20"/>
        </w:rPr>
        <w:t>‘take-down’ orders</w:t>
      </w:r>
      <w:r>
        <w:rPr>
          <w:rFonts w:ascii="Arial" w:hAnsi="Arial" w:cs="Arial"/>
          <w:color w:val="000000"/>
          <w:sz w:val="20"/>
          <w:szCs w:val="20"/>
        </w:rPr>
        <w:t xml:space="preserve"> the VLRC report noted</w:t>
      </w:r>
      <w:r w:rsidR="001E0142">
        <w:rPr>
          <w:rFonts w:ascii="Arial" w:hAnsi="Arial" w:cs="Arial"/>
          <w:color w:val="000000"/>
          <w:sz w:val="20"/>
          <w:szCs w:val="20"/>
        </w:rPr>
        <w:t xml:space="preserve"> [emphasis added]</w:t>
      </w:r>
      <w:r>
        <w:rPr>
          <w:rFonts w:ascii="Arial" w:hAnsi="Arial" w:cs="Arial"/>
          <w:color w:val="000000"/>
          <w:sz w:val="20"/>
          <w:szCs w:val="20"/>
        </w:rPr>
        <w:t>:</w:t>
      </w:r>
    </w:p>
    <w:p w14:paraId="4D687369" w14:textId="57A5DBF8" w:rsidR="007D6088" w:rsidRPr="001E0142" w:rsidRDefault="007D6088" w:rsidP="00C23CF0">
      <w:pPr>
        <w:pStyle w:val="ListParagraph"/>
        <w:numPr>
          <w:ilvl w:val="0"/>
          <w:numId w:val="37"/>
        </w:numPr>
        <w:spacing w:before="60"/>
        <w:ind w:left="357" w:hanging="357"/>
        <w:jc w:val="both"/>
        <w:rPr>
          <w:rFonts w:ascii="Arial" w:hAnsi="Arial" w:cs="Arial"/>
          <w:color w:val="000000"/>
          <w:sz w:val="20"/>
        </w:rPr>
      </w:pPr>
      <w:r w:rsidRPr="007D6088">
        <w:rPr>
          <w:rFonts w:ascii="Arial" w:hAnsi="Arial" w:cs="Arial"/>
          <w:b/>
          <w:bCs/>
          <w:color w:val="000000"/>
          <w:sz w:val="20"/>
          <w:szCs w:val="16"/>
          <w:shd w:val="clear" w:color="auto" w:fill="FEFEFE"/>
        </w:rPr>
        <w:t>Courts can order a person to remove material that has been published.</w:t>
      </w:r>
    </w:p>
    <w:p w14:paraId="1F1D06F0" w14:textId="50C269FA"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Take-down orders can limit the harm caused by breaches of restrictions on publication. They may be more useful in the online age as it becomes harder to prevent publication.</w:t>
      </w:r>
    </w:p>
    <w:p w14:paraId="379FF1B1"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Take-down orders require the removal of material by online intermediaries and owners of public websites where third parties can comment.</w:t>
      </w:r>
    </w:p>
    <w:p w14:paraId="0E07D83D"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 xml:space="preserve">The </w:t>
      </w:r>
      <w:r w:rsidRPr="00D15F9A">
        <w:rPr>
          <w:rFonts w:ascii="Arial" w:hAnsi="Arial" w:cs="Arial"/>
          <w:i/>
          <w:iCs/>
          <w:color w:val="000000"/>
          <w:sz w:val="20"/>
        </w:rPr>
        <w:t>Open Courts Act 2013</w:t>
      </w:r>
      <w:r>
        <w:rPr>
          <w:rFonts w:ascii="Arial" w:hAnsi="Arial" w:cs="Arial"/>
          <w:color w:val="000000"/>
          <w:sz w:val="20"/>
        </w:rPr>
        <w:t xml:space="preserve"> </w:t>
      </w:r>
      <w:r w:rsidRPr="003618B5">
        <w:rPr>
          <w:rFonts w:ascii="Arial" w:hAnsi="Arial" w:cs="Arial"/>
          <w:color w:val="000000"/>
          <w:sz w:val="20"/>
        </w:rPr>
        <w:t>should state the powers of courts to order that publications be taken down and the procedure for applying for such orders.</w:t>
      </w:r>
    </w:p>
    <w:p w14:paraId="5DFF53D5"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Since they restrict freedom of expression, such orders should only be made when necessary and no other measures can be taken.</w:t>
      </w:r>
    </w:p>
    <w:p w14:paraId="273FEAA5"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 xml:space="preserve">These powers should be available to take down material breaching a restriction on publication or on the grounds currently in the </w:t>
      </w:r>
      <w:r>
        <w:rPr>
          <w:rFonts w:ascii="Arial" w:hAnsi="Arial" w:cs="Arial"/>
          <w:color w:val="000000"/>
          <w:sz w:val="20"/>
        </w:rPr>
        <w:t>OCA</w:t>
      </w:r>
      <w:r w:rsidRPr="003618B5">
        <w:rPr>
          <w:rFonts w:ascii="Arial" w:hAnsi="Arial" w:cs="Arial"/>
          <w:color w:val="000000"/>
          <w:sz w:val="20"/>
        </w:rPr>
        <w:t xml:space="preserve"> in respect of suppression orders.</w:t>
      </w:r>
    </w:p>
    <w:p w14:paraId="5A1994BB"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A court should be able to make an interim take-down order in urgent cases.</w:t>
      </w:r>
    </w:p>
    <w:p w14:paraId="226BAD24" w14:textId="77777777" w:rsidR="007D6088" w:rsidRDefault="007D6088" w:rsidP="007D6088">
      <w:pPr>
        <w:jc w:val="both"/>
        <w:rPr>
          <w:rFonts w:ascii="Arial" w:hAnsi="Arial" w:cs="Arial"/>
          <w:color w:val="000000"/>
          <w:sz w:val="20"/>
          <w:szCs w:val="20"/>
        </w:rPr>
      </w:pPr>
    </w:p>
    <w:p w14:paraId="2713C30A" w14:textId="1D99FBE0" w:rsidR="0001019E" w:rsidRDefault="0001019E" w:rsidP="008D7980">
      <w:pPr>
        <w:jc w:val="both"/>
        <w:rPr>
          <w:rFonts w:ascii="Arial" w:hAnsi="Arial" w:cs="Arial"/>
          <w:color w:val="000000"/>
          <w:sz w:val="20"/>
          <w:szCs w:val="20"/>
        </w:rPr>
      </w:pPr>
      <w:r>
        <w:rPr>
          <w:rFonts w:ascii="Arial" w:hAnsi="Arial" w:cs="Arial"/>
          <w:color w:val="000000"/>
          <w:sz w:val="20"/>
          <w:szCs w:val="20"/>
        </w:rPr>
        <w:t>As the VLRC report note</w:t>
      </w:r>
      <w:r w:rsidR="007D6088">
        <w:rPr>
          <w:rFonts w:ascii="Arial" w:hAnsi="Arial" w:cs="Arial"/>
          <w:color w:val="000000"/>
          <w:sz w:val="20"/>
          <w:szCs w:val="20"/>
        </w:rPr>
        <w:t>d</w:t>
      </w:r>
      <w:r>
        <w:rPr>
          <w:rFonts w:ascii="Arial" w:hAnsi="Arial" w:cs="Arial"/>
          <w:color w:val="000000"/>
          <w:sz w:val="20"/>
          <w:szCs w:val="20"/>
        </w:rPr>
        <w:t xml:space="preserve"> at [14.6]:</w:t>
      </w:r>
    </w:p>
    <w:p w14:paraId="76D30953" w14:textId="125C2174" w:rsidR="0001019E" w:rsidRDefault="0001019E" w:rsidP="00D10311">
      <w:pPr>
        <w:tabs>
          <w:tab w:val="left" w:pos="567"/>
        </w:tabs>
        <w:spacing w:before="60"/>
        <w:ind w:left="567" w:right="567"/>
        <w:jc w:val="both"/>
        <w:rPr>
          <w:rFonts w:ascii="Arial" w:hAnsi="Arial" w:cs="Arial"/>
          <w:sz w:val="20"/>
        </w:rPr>
      </w:pPr>
      <w:r>
        <w:rPr>
          <w:rFonts w:ascii="Arial" w:hAnsi="Arial" w:cs="Arial"/>
          <w:color w:val="000000"/>
          <w:sz w:val="20"/>
          <w:szCs w:val="20"/>
        </w:rPr>
        <w:t xml:space="preserve">“A </w:t>
      </w:r>
      <w:r w:rsidR="00AD721F" w:rsidRPr="00FE4659">
        <w:rPr>
          <w:rFonts w:ascii="Arial" w:hAnsi="Arial" w:cs="Arial"/>
          <w:color w:val="000000"/>
          <w:sz w:val="20"/>
          <w:szCs w:val="20"/>
        </w:rPr>
        <w:t>suppression order made under the</w:t>
      </w:r>
      <w:r w:rsidR="001E5D57" w:rsidRPr="00FE4659">
        <w:rPr>
          <w:rFonts w:ascii="Arial" w:hAnsi="Arial" w:cs="Arial"/>
          <w:color w:val="000000"/>
          <w:sz w:val="20"/>
          <w:szCs w:val="20"/>
        </w:rPr>
        <w:t xml:space="preserve"> </w:t>
      </w:r>
      <w:r w:rsidR="00AD721F" w:rsidRPr="00FE4659">
        <w:rPr>
          <w:rFonts w:ascii="Arial" w:hAnsi="Arial" w:cs="Arial"/>
          <w:i/>
          <w:iCs/>
          <w:color w:val="000000"/>
          <w:sz w:val="20"/>
          <w:szCs w:val="20"/>
        </w:rPr>
        <w:t>Open Courts Act 2013</w:t>
      </w:r>
      <w:r w:rsidR="00AD721F" w:rsidRPr="00FE4659">
        <w:rPr>
          <w:rFonts w:ascii="Arial" w:hAnsi="Arial" w:cs="Arial"/>
          <w:color w:val="000000"/>
          <w:sz w:val="20"/>
          <w:szCs w:val="20"/>
        </w:rPr>
        <w:t xml:space="preserve"> could </w:t>
      </w:r>
      <w:r>
        <w:rPr>
          <w:rFonts w:ascii="Arial" w:hAnsi="Arial" w:cs="Arial"/>
          <w:color w:val="000000"/>
          <w:sz w:val="20"/>
          <w:szCs w:val="20"/>
        </w:rPr>
        <w:t xml:space="preserve">also </w:t>
      </w:r>
      <w:r w:rsidR="00AD721F" w:rsidRPr="00FE4659">
        <w:rPr>
          <w:rFonts w:ascii="Arial" w:hAnsi="Arial" w:cs="Arial"/>
          <w:color w:val="000000"/>
          <w:sz w:val="20"/>
          <w:szCs w:val="20"/>
        </w:rPr>
        <w:t xml:space="preserve">operate as a </w:t>
      </w:r>
      <w:r>
        <w:rPr>
          <w:rFonts w:ascii="Arial" w:hAnsi="Arial" w:cs="Arial"/>
          <w:color w:val="000000"/>
          <w:sz w:val="20"/>
          <w:szCs w:val="20"/>
        </w:rPr>
        <w:t>‘</w:t>
      </w:r>
      <w:r w:rsidR="00AD721F" w:rsidRPr="00FE4659">
        <w:rPr>
          <w:rFonts w:ascii="Arial" w:hAnsi="Arial" w:cs="Arial"/>
          <w:color w:val="000000"/>
          <w:sz w:val="20"/>
          <w:szCs w:val="20"/>
        </w:rPr>
        <w:t>take-down</w:t>
      </w:r>
      <w:r>
        <w:rPr>
          <w:rFonts w:ascii="Arial" w:hAnsi="Arial" w:cs="Arial"/>
          <w:color w:val="000000"/>
          <w:sz w:val="20"/>
          <w:szCs w:val="20"/>
        </w:rPr>
        <w:t>’</w:t>
      </w:r>
      <w:r w:rsidR="00AD721F" w:rsidRPr="00FE4659">
        <w:rPr>
          <w:rFonts w:ascii="Arial" w:hAnsi="Arial" w:cs="Arial"/>
          <w:color w:val="000000"/>
          <w:sz w:val="20"/>
          <w:szCs w:val="20"/>
        </w:rPr>
        <w:t xml:space="preserve"> order</w:t>
      </w:r>
      <w:r>
        <w:rPr>
          <w:rFonts w:ascii="Arial" w:hAnsi="Arial" w:cs="Arial"/>
          <w:color w:val="000000"/>
          <w:sz w:val="20"/>
          <w:szCs w:val="20"/>
        </w:rPr>
        <w:t>,</w:t>
      </w:r>
      <w:r w:rsidR="00AD721F" w:rsidRPr="00FE4659">
        <w:rPr>
          <w:rFonts w:ascii="Arial" w:hAnsi="Arial" w:cs="Arial"/>
          <w:color w:val="000000"/>
          <w:sz w:val="20"/>
          <w:szCs w:val="20"/>
        </w:rPr>
        <w:t xml:space="preserve"> on the basis that ‘publication’ is interpreted as continuing for as long as the material is made available: see, for example, </w:t>
      </w:r>
      <w:r w:rsidR="00AD721F" w:rsidRPr="00FE4659">
        <w:rPr>
          <w:rFonts w:ascii="Arial" w:hAnsi="Arial" w:cs="Arial"/>
          <w:i/>
          <w:iCs/>
          <w:color w:val="000000"/>
          <w:sz w:val="20"/>
          <w:szCs w:val="20"/>
        </w:rPr>
        <w:t xml:space="preserve">News Digital Media Pty Ltd v Mokbel </w:t>
      </w:r>
      <w:r w:rsidR="00AD721F" w:rsidRPr="00FE4659">
        <w:rPr>
          <w:rFonts w:ascii="Arial" w:hAnsi="Arial" w:cs="Arial"/>
          <w:color w:val="000000"/>
          <w:sz w:val="20"/>
          <w:szCs w:val="20"/>
        </w:rPr>
        <w:t>[2010] VSCA 51 [63]</w:t>
      </w:r>
      <w:r w:rsidR="00FE4659" w:rsidRPr="00FE4659">
        <w:rPr>
          <w:rFonts w:ascii="Arial" w:hAnsi="Arial" w:cs="Arial"/>
          <w:color w:val="000000"/>
          <w:sz w:val="20"/>
          <w:szCs w:val="20"/>
        </w:rPr>
        <w:t>-</w:t>
      </w:r>
      <w:r w:rsidR="00AD721F" w:rsidRPr="00FE4659">
        <w:rPr>
          <w:rFonts w:ascii="Arial" w:hAnsi="Arial" w:cs="Arial"/>
          <w:color w:val="000000"/>
          <w:sz w:val="20"/>
          <w:szCs w:val="20"/>
        </w:rPr>
        <w:t>[67]</w:t>
      </w:r>
      <w:r w:rsidR="00FE4659" w:rsidRPr="00FE4659">
        <w:rPr>
          <w:rFonts w:ascii="Arial" w:hAnsi="Arial" w:cs="Arial"/>
          <w:color w:val="000000"/>
          <w:sz w:val="20"/>
          <w:szCs w:val="20"/>
        </w:rPr>
        <w:t>; Judicial College of Victoria, ‘6.3 Broad Suppression Orders’</w:t>
      </w:r>
      <w:r w:rsidR="003618B5">
        <w:rPr>
          <w:rFonts w:ascii="Arial" w:hAnsi="Arial" w:cs="Arial"/>
          <w:color w:val="000000"/>
          <w:sz w:val="20"/>
          <w:szCs w:val="20"/>
        </w:rPr>
        <w:t xml:space="preserve"> </w:t>
      </w:r>
      <w:r w:rsidR="00FE4659">
        <w:rPr>
          <w:rFonts w:ascii="Arial" w:hAnsi="Arial" w:cs="Arial"/>
          <w:color w:val="000000"/>
          <w:sz w:val="20"/>
          <w:szCs w:val="20"/>
        </w:rPr>
        <w:t>0</w:t>
      </w:r>
      <w:r w:rsidR="00FE4659" w:rsidRPr="00FE4659">
        <w:rPr>
          <w:rFonts w:ascii="Arial" w:hAnsi="Arial" w:cs="Arial"/>
          <w:color w:val="000000"/>
          <w:sz w:val="20"/>
          <w:szCs w:val="20"/>
        </w:rPr>
        <w:t>6</w:t>
      </w:r>
      <w:r w:rsidR="00FE4659">
        <w:rPr>
          <w:rFonts w:ascii="Arial" w:hAnsi="Arial" w:cs="Arial"/>
          <w:color w:val="000000"/>
          <w:sz w:val="20"/>
          <w:szCs w:val="20"/>
        </w:rPr>
        <w:t>/02/</w:t>
      </w:r>
      <w:r w:rsidR="00FE4659" w:rsidRPr="00FE4659">
        <w:rPr>
          <w:rFonts w:ascii="Arial" w:hAnsi="Arial" w:cs="Arial"/>
          <w:color w:val="000000"/>
          <w:sz w:val="20"/>
          <w:szCs w:val="20"/>
        </w:rPr>
        <w:t>2019) [16]–[20]</w:t>
      </w:r>
      <w:r w:rsidR="00FE4659">
        <w:rPr>
          <w:rFonts w:ascii="Arial" w:hAnsi="Arial" w:cs="Arial"/>
          <w:color w:val="000000"/>
          <w:sz w:val="20"/>
          <w:szCs w:val="20"/>
        </w:rPr>
        <w:t>:</w:t>
      </w:r>
      <w:r w:rsidR="00FE4659" w:rsidRPr="00FE4659">
        <w:rPr>
          <w:rFonts w:ascii="Arial" w:hAnsi="Arial" w:cs="Arial"/>
          <w:color w:val="000000"/>
          <w:sz w:val="20"/>
          <w:szCs w:val="20"/>
        </w:rPr>
        <w:t xml:space="preserve"> &lt;</w:t>
      </w:r>
      <w:hyperlink r:id="rId12" w:history="1">
        <w:r w:rsidR="00FE4659" w:rsidRPr="009E39F3">
          <w:rPr>
            <w:rStyle w:val="Hyperlink"/>
            <w:rFonts w:ascii="Arial" w:hAnsi="Arial" w:cs="Arial"/>
            <w:sz w:val="20"/>
            <w:szCs w:val="20"/>
          </w:rPr>
          <w:t>http://www.judicialcollege.vic.edu.au/bench-books-open-courts-</w:t>
        </w:r>
        <w:r w:rsidR="00FE4659" w:rsidRPr="009E39F3">
          <w:rPr>
            <w:rStyle w:val="Hyperlink"/>
            <w:rFonts w:ascii="Arial" w:hAnsi="Arial" w:cs="Arial"/>
            <w:sz w:val="20"/>
            <w:szCs w:val="20"/>
          </w:rPr>
          <w:lastRenderedPageBreak/>
          <w:t>bench-book</w:t>
        </w:r>
      </w:hyperlink>
      <w:r w:rsidR="00FE4659" w:rsidRPr="00FE4659">
        <w:rPr>
          <w:rFonts w:ascii="Arial" w:hAnsi="Arial" w:cs="Arial"/>
          <w:color w:val="000000"/>
          <w:sz w:val="20"/>
          <w:szCs w:val="20"/>
        </w:rPr>
        <w:t>&gt;</w:t>
      </w:r>
      <w:r w:rsidR="00FE4659">
        <w:rPr>
          <w:rFonts w:ascii="Arial" w:hAnsi="Arial" w:cs="Arial"/>
          <w:color w:val="000000"/>
          <w:sz w:val="20"/>
          <w:szCs w:val="20"/>
        </w:rPr>
        <w:t xml:space="preserve">. </w:t>
      </w:r>
      <w:r>
        <w:rPr>
          <w:rFonts w:ascii="Arial" w:hAnsi="Arial" w:cs="Arial"/>
          <w:color w:val="000000"/>
          <w:sz w:val="20"/>
          <w:szCs w:val="20"/>
        </w:rPr>
        <w:t>Therefore,</w:t>
      </w:r>
      <w:r w:rsidR="00AD721F" w:rsidRPr="001F5D53">
        <w:rPr>
          <w:rFonts w:ascii="Arial" w:hAnsi="Arial" w:cs="Arial"/>
          <w:color w:val="000000"/>
          <w:sz w:val="20"/>
          <w:szCs w:val="20"/>
        </w:rPr>
        <w:t xml:space="preserve"> a suppression order made under the </w:t>
      </w:r>
      <w:r w:rsidR="00AD721F">
        <w:rPr>
          <w:rFonts w:ascii="Arial" w:hAnsi="Arial" w:cs="Arial"/>
          <w:color w:val="000000"/>
          <w:sz w:val="20"/>
          <w:szCs w:val="20"/>
        </w:rPr>
        <w:t>OCA</w:t>
      </w:r>
      <w:r w:rsidR="00AD721F" w:rsidRPr="001F5D53">
        <w:rPr>
          <w:rFonts w:ascii="Arial" w:hAnsi="Arial" w:cs="Arial"/>
          <w:color w:val="000000"/>
          <w:sz w:val="20"/>
          <w:szCs w:val="20"/>
        </w:rPr>
        <w:t xml:space="preserve"> may require material maintained on the internet to be taken down</w:t>
      </w:r>
      <w:r w:rsidR="00AD721F">
        <w:rPr>
          <w:rFonts w:ascii="Arial" w:hAnsi="Arial" w:cs="Arial"/>
          <w:color w:val="000000"/>
          <w:sz w:val="20"/>
          <w:szCs w:val="20"/>
        </w:rPr>
        <w:t>: see ss.3, 17 &amp; 26</w:t>
      </w:r>
      <w:r w:rsidR="00AD721F" w:rsidRPr="001F5D53">
        <w:rPr>
          <w:rFonts w:ascii="Arial" w:hAnsi="Arial" w:cs="Arial"/>
          <w:color w:val="000000"/>
          <w:sz w:val="20"/>
          <w:szCs w:val="20"/>
        </w:rPr>
        <w:t>.</w:t>
      </w:r>
      <w:r>
        <w:rPr>
          <w:rFonts w:ascii="Arial" w:hAnsi="Arial" w:cs="Arial"/>
          <w:color w:val="000000"/>
          <w:sz w:val="20"/>
          <w:szCs w:val="20"/>
        </w:rPr>
        <w:t>”</w:t>
      </w:r>
    </w:p>
    <w:p w14:paraId="75AC66CC" w14:textId="77777777" w:rsidR="001E5D57" w:rsidRDefault="001E5D57" w:rsidP="008D7980">
      <w:pPr>
        <w:jc w:val="both"/>
        <w:rPr>
          <w:rFonts w:ascii="Arial" w:hAnsi="Arial" w:cs="Arial"/>
          <w:color w:val="000000"/>
          <w:sz w:val="20"/>
          <w:szCs w:val="20"/>
        </w:rPr>
      </w:pPr>
    </w:p>
    <w:p w14:paraId="36403A73" w14:textId="1967269F" w:rsidR="001E5D57" w:rsidRDefault="001E5D57" w:rsidP="008D7980">
      <w:pPr>
        <w:jc w:val="both"/>
        <w:rPr>
          <w:rFonts w:ascii="Arial" w:hAnsi="Arial" w:cs="Arial"/>
          <w:color w:val="000000"/>
          <w:sz w:val="20"/>
          <w:szCs w:val="20"/>
        </w:rPr>
      </w:pPr>
      <w:r>
        <w:rPr>
          <w:rFonts w:ascii="Arial" w:hAnsi="Arial" w:cs="Arial"/>
          <w:color w:val="000000"/>
          <w:sz w:val="20"/>
          <w:szCs w:val="20"/>
        </w:rPr>
        <w:t xml:space="preserve">The VLRC report noted at </w:t>
      </w:r>
      <w:r w:rsidR="003618B5">
        <w:rPr>
          <w:rFonts w:ascii="Arial" w:hAnsi="Arial" w:cs="Arial"/>
          <w:color w:val="000000"/>
          <w:sz w:val="20"/>
          <w:szCs w:val="20"/>
        </w:rPr>
        <w:t>[</w:t>
      </w:r>
      <w:r>
        <w:rPr>
          <w:rFonts w:ascii="Arial" w:hAnsi="Arial" w:cs="Arial"/>
          <w:color w:val="000000"/>
          <w:sz w:val="20"/>
          <w:szCs w:val="20"/>
        </w:rPr>
        <w:t>14.7</w:t>
      </w:r>
      <w:r w:rsidR="003618B5">
        <w:rPr>
          <w:rFonts w:ascii="Arial" w:hAnsi="Arial" w:cs="Arial"/>
          <w:color w:val="000000"/>
          <w:sz w:val="20"/>
          <w:szCs w:val="20"/>
        </w:rPr>
        <w:t>]</w:t>
      </w:r>
      <w:r>
        <w:rPr>
          <w:rFonts w:ascii="Arial" w:hAnsi="Arial" w:cs="Arial"/>
          <w:color w:val="000000"/>
          <w:sz w:val="20"/>
          <w:szCs w:val="20"/>
        </w:rPr>
        <w:t xml:space="preserve"> that “courts consider a number of factors in deciding whether a take-down order is needed:</w:t>
      </w:r>
    </w:p>
    <w:p w14:paraId="3D2858A8" w14:textId="53775720"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when the original publication was published and the currency of the material</w:t>
      </w:r>
      <w:r>
        <w:rPr>
          <w:rFonts w:ascii="Arial" w:hAnsi="Arial" w:cs="Arial"/>
          <w:color w:val="000000"/>
          <w:sz w:val="20"/>
        </w:rPr>
        <w:t>;</w:t>
      </w:r>
    </w:p>
    <w:p w14:paraId="2456360D" w14:textId="4A2EAE66"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whether the article is forced upon a visitor to the website</w:t>
      </w:r>
      <w:r>
        <w:rPr>
          <w:rFonts w:ascii="Arial" w:hAnsi="Arial" w:cs="Arial"/>
          <w:color w:val="000000"/>
          <w:sz w:val="20"/>
        </w:rPr>
        <w:t>;</w:t>
      </w:r>
    </w:p>
    <w:p w14:paraId="7BE54BDA" w14:textId="443EB2FA"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permanency of the publication and whether a cached version would be available after the publication is taken down</w:t>
      </w:r>
      <w:r>
        <w:rPr>
          <w:rFonts w:ascii="Arial" w:hAnsi="Arial" w:cs="Arial"/>
          <w:color w:val="000000"/>
          <w:sz w:val="20"/>
        </w:rPr>
        <w:t>;</w:t>
      </w:r>
    </w:p>
    <w:p w14:paraId="3464EF6C" w14:textId="568E2A7C"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if the material is taken down from a more reliable website subject to the take-down order, whether more obscure publications may be given greater prominence in a search result</w:t>
      </w:r>
      <w:r>
        <w:rPr>
          <w:rFonts w:ascii="Arial" w:hAnsi="Arial" w:cs="Arial"/>
          <w:color w:val="000000"/>
          <w:sz w:val="20"/>
        </w:rPr>
        <w:t>;</w:t>
      </w:r>
    </w:p>
    <w:p w14:paraId="2700C053" w14:textId="6C7B8722"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likelihood that jurors, subject to criminal sanction, will undertake research about the trial and will comply with jury directions</w:t>
      </w:r>
      <w:r>
        <w:rPr>
          <w:rFonts w:ascii="Arial" w:hAnsi="Arial" w:cs="Arial"/>
          <w:color w:val="000000"/>
          <w:sz w:val="20"/>
        </w:rPr>
        <w:t>;</w:t>
      </w:r>
    </w:p>
    <w:p w14:paraId="59FC1E02" w14:textId="277AA7C3"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impossibility of identifying all websites which might have published the material, some of which would be unidentifiable or controlled from overseas.</w:t>
      </w:r>
    </w:p>
    <w:p w14:paraId="27829897" w14:textId="13BAB2A7" w:rsidR="001E5D57" w:rsidRPr="001E5D57" w:rsidRDefault="001E5D57" w:rsidP="001E5D57">
      <w:pPr>
        <w:jc w:val="both"/>
        <w:rPr>
          <w:rFonts w:ascii="Arial" w:hAnsi="Arial" w:cs="Arial"/>
          <w:color w:val="000000"/>
          <w:sz w:val="20"/>
        </w:rPr>
      </w:pPr>
      <w:r>
        <w:rPr>
          <w:rFonts w:ascii="Arial" w:hAnsi="Arial" w:cs="Arial"/>
          <w:color w:val="000000"/>
          <w:sz w:val="20"/>
        </w:rPr>
        <w:t xml:space="preserve">See, </w:t>
      </w:r>
      <w:proofErr w:type="spellStart"/>
      <w:r w:rsidRPr="001E5D57">
        <w:rPr>
          <w:rFonts w:ascii="Arial" w:hAnsi="Arial" w:cs="Arial"/>
          <w:color w:val="000000"/>
          <w:sz w:val="20"/>
          <w:szCs w:val="20"/>
        </w:rPr>
        <w:t>eg</w:t>
      </w:r>
      <w:proofErr w:type="spellEnd"/>
      <w:r w:rsidRPr="001E5D57">
        <w:rPr>
          <w:rFonts w:ascii="Arial" w:hAnsi="Arial" w:cs="Arial"/>
          <w:color w:val="000000"/>
          <w:sz w:val="20"/>
          <w:szCs w:val="20"/>
        </w:rPr>
        <w:t>,</w:t>
      </w:r>
      <w:r>
        <w:rPr>
          <w:rFonts w:ascii="Arial" w:hAnsi="Arial" w:cs="Arial"/>
          <w:color w:val="000000"/>
          <w:sz w:val="20"/>
          <w:szCs w:val="20"/>
        </w:rPr>
        <w:t xml:space="preserve"> </w:t>
      </w:r>
      <w:r w:rsidRPr="001E5D57">
        <w:rPr>
          <w:rFonts w:ascii="Arial" w:hAnsi="Arial" w:cs="Arial"/>
          <w:i/>
          <w:iCs/>
          <w:color w:val="000000"/>
          <w:sz w:val="20"/>
          <w:szCs w:val="20"/>
        </w:rPr>
        <w:t xml:space="preserve">Nationwide News Pty Ltd v </w:t>
      </w:r>
      <w:proofErr w:type="spellStart"/>
      <w:r w:rsidRPr="001E5D57">
        <w:rPr>
          <w:rFonts w:ascii="Arial" w:hAnsi="Arial" w:cs="Arial"/>
          <w:i/>
          <w:iCs/>
          <w:color w:val="000000"/>
          <w:sz w:val="20"/>
          <w:szCs w:val="20"/>
        </w:rPr>
        <w:t>Qaumi</w:t>
      </w:r>
      <w:proofErr w:type="spellEnd"/>
      <w:r w:rsidRPr="001E5D57">
        <w:rPr>
          <w:rFonts w:ascii="Arial" w:hAnsi="Arial" w:cs="Arial"/>
          <w:i/>
          <w:iCs/>
          <w:color w:val="000000"/>
          <w:sz w:val="20"/>
          <w:szCs w:val="20"/>
        </w:rPr>
        <w:t> </w:t>
      </w:r>
      <w:r w:rsidRPr="001E5D57">
        <w:rPr>
          <w:rFonts w:ascii="Arial" w:hAnsi="Arial" w:cs="Arial"/>
          <w:color w:val="000000"/>
          <w:sz w:val="20"/>
          <w:szCs w:val="20"/>
        </w:rPr>
        <w:t>[2016] NSWCCA 97, (2016) 93 NSWLR 384 [83]–[90]; </w:t>
      </w:r>
      <w:r w:rsidRPr="001E5D57">
        <w:rPr>
          <w:rFonts w:ascii="Arial" w:hAnsi="Arial" w:cs="Arial"/>
          <w:i/>
          <w:iCs/>
          <w:color w:val="000000"/>
          <w:sz w:val="20"/>
          <w:szCs w:val="20"/>
        </w:rPr>
        <w:t>DPP (</w:t>
      </w:r>
      <w:proofErr w:type="spellStart"/>
      <w:r w:rsidRPr="001E5D57">
        <w:rPr>
          <w:rFonts w:ascii="Arial" w:hAnsi="Arial" w:cs="Arial"/>
          <w:i/>
          <w:iCs/>
          <w:color w:val="000000"/>
          <w:sz w:val="20"/>
          <w:szCs w:val="20"/>
        </w:rPr>
        <w:t>Cth</w:t>
      </w:r>
      <w:proofErr w:type="spellEnd"/>
      <w:r w:rsidRPr="001E5D57">
        <w:rPr>
          <w:rFonts w:ascii="Arial" w:hAnsi="Arial" w:cs="Arial"/>
          <w:i/>
          <w:iCs/>
          <w:color w:val="000000"/>
          <w:sz w:val="20"/>
          <w:szCs w:val="20"/>
        </w:rPr>
        <w:t>) v Brady</w:t>
      </w:r>
      <w:r w:rsidRPr="001E5D57">
        <w:rPr>
          <w:rFonts w:ascii="Arial" w:hAnsi="Arial" w:cs="Arial"/>
          <w:color w:val="000000"/>
          <w:sz w:val="20"/>
          <w:szCs w:val="20"/>
        </w:rPr>
        <w:t> [2015] VSC 246 [75]; </w:t>
      </w:r>
      <w:r w:rsidRPr="001E5D57">
        <w:rPr>
          <w:rFonts w:ascii="Arial" w:hAnsi="Arial" w:cs="Arial"/>
          <w:i/>
          <w:iCs/>
          <w:color w:val="000000"/>
          <w:sz w:val="20"/>
          <w:szCs w:val="20"/>
        </w:rPr>
        <w:t>Fairfax Digital Australia and New Zealand Pty Ltd v Ibrahim </w:t>
      </w:r>
      <w:r w:rsidRPr="001E5D57">
        <w:rPr>
          <w:rFonts w:ascii="Arial" w:hAnsi="Arial" w:cs="Arial"/>
          <w:color w:val="000000"/>
          <w:sz w:val="20"/>
          <w:szCs w:val="20"/>
        </w:rPr>
        <w:t>[2012] NSWCCA 125, (2012) 83 NSWLR 52 [74]–[79]; </w:t>
      </w:r>
      <w:r w:rsidRPr="001E5D57">
        <w:rPr>
          <w:rFonts w:ascii="Arial" w:hAnsi="Arial" w:cs="Arial"/>
          <w:i/>
          <w:iCs/>
          <w:color w:val="000000"/>
          <w:sz w:val="20"/>
          <w:szCs w:val="20"/>
        </w:rPr>
        <w:t>News Digital Media Pty Ltd v Mokbel </w:t>
      </w:r>
      <w:r w:rsidRPr="001E5D57">
        <w:rPr>
          <w:rFonts w:ascii="Arial" w:hAnsi="Arial" w:cs="Arial"/>
          <w:color w:val="000000"/>
          <w:sz w:val="20"/>
          <w:szCs w:val="20"/>
        </w:rPr>
        <w:t>[2010] VSCA 51 [74]–[77]; </w:t>
      </w:r>
      <w:r w:rsidRPr="001E5D57">
        <w:rPr>
          <w:rFonts w:ascii="Arial" w:hAnsi="Arial" w:cs="Arial"/>
          <w:i/>
          <w:iCs/>
          <w:color w:val="000000"/>
          <w:sz w:val="20"/>
          <w:szCs w:val="20"/>
        </w:rPr>
        <w:t>R v Rich (Ruling No 7) </w:t>
      </w:r>
      <w:r w:rsidRPr="001E5D57">
        <w:rPr>
          <w:rFonts w:ascii="Arial" w:hAnsi="Arial" w:cs="Arial"/>
          <w:color w:val="000000"/>
          <w:sz w:val="20"/>
          <w:szCs w:val="20"/>
        </w:rPr>
        <w:t>[2008] VSC 437 [20]–[22].</w:t>
      </w:r>
      <w:r w:rsidR="0001019E">
        <w:rPr>
          <w:rFonts w:ascii="Arial" w:hAnsi="Arial" w:cs="Arial"/>
          <w:color w:val="000000"/>
          <w:sz w:val="20"/>
          <w:szCs w:val="20"/>
        </w:rPr>
        <w:t>”</w:t>
      </w:r>
    </w:p>
    <w:p w14:paraId="0D8C59F3" w14:textId="77777777" w:rsidR="003618B5" w:rsidRPr="00D15F9A" w:rsidRDefault="003618B5" w:rsidP="003618B5">
      <w:pPr>
        <w:pStyle w:val="NormalWeb"/>
        <w:shd w:val="clear" w:color="auto" w:fill="FEFEFE"/>
        <w:spacing w:before="0" w:beforeAutospacing="0" w:after="0" w:afterAutospacing="0"/>
        <w:rPr>
          <w:rFonts w:ascii="Arial" w:hAnsi="Arial" w:cs="Arial"/>
          <w:color w:val="000000"/>
          <w:sz w:val="20"/>
          <w:szCs w:val="20"/>
        </w:rPr>
      </w:pPr>
    </w:p>
    <w:p w14:paraId="4F82BE99" w14:textId="74A02653" w:rsidR="00767B71" w:rsidRDefault="00767B71" w:rsidP="00D15F9A">
      <w:pPr>
        <w:jc w:val="both"/>
        <w:rPr>
          <w:rFonts w:ascii="Arial" w:hAnsi="Arial" w:cs="Arial"/>
          <w:color w:val="000000"/>
          <w:sz w:val="20"/>
          <w:szCs w:val="20"/>
        </w:rPr>
      </w:pPr>
      <w:r>
        <w:rPr>
          <w:rFonts w:ascii="Arial" w:hAnsi="Arial" w:cs="Arial"/>
          <w:color w:val="000000"/>
          <w:sz w:val="20"/>
          <w:szCs w:val="20"/>
        </w:rPr>
        <w:t>The VLRC</w:t>
      </w:r>
      <w:r w:rsidR="003618B5">
        <w:rPr>
          <w:rFonts w:ascii="Arial" w:hAnsi="Arial" w:cs="Arial"/>
          <w:color w:val="000000"/>
          <w:sz w:val="20"/>
          <w:szCs w:val="20"/>
        </w:rPr>
        <w:t xml:space="preserve"> </w:t>
      </w:r>
      <w:r w:rsidR="00D15F9A">
        <w:rPr>
          <w:rFonts w:ascii="Arial" w:hAnsi="Arial" w:cs="Arial"/>
          <w:color w:val="000000"/>
          <w:sz w:val="20"/>
          <w:szCs w:val="20"/>
        </w:rPr>
        <w:t>concluded at [14.12]</w:t>
      </w:r>
      <w:r w:rsidR="007D6088">
        <w:rPr>
          <w:rFonts w:ascii="Arial" w:hAnsi="Arial" w:cs="Arial"/>
          <w:color w:val="000000"/>
          <w:sz w:val="20"/>
          <w:szCs w:val="20"/>
        </w:rPr>
        <w:t>:</w:t>
      </w:r>
    </w:p>
    <w:p w14:paraId="0A0CB9BA" w14:textId="03165963" w:rsidR="00767B71" w:rsidRDefault="00767B71" w:rsidP="00767B71">
      <w:pPr>
        <w:tabs>
          <w:tab w:val="left" w:pos="567"/>
        </w:tabs>
        <w:spacing w:before="60"/>
        <w:ind w:left="567" w:right="567"/>
        <w:jc w:val="both"/>
        <w:rPr>
          <w:rFonts w:ascii="Arial" w:hAnsi="Arial" w:cs="Arial"/>
          <w:sz w:val="20"/>
        </w:rPr>
      </w:pPr>
      <w:r>
        <w:rPr>
          <w:rFonts w:ascii="Arial" w:hAnsi="Arial" w:cs="Arial"/>
          <w:color w:val="000000"/>
          <w:sz w:val="20"/>
          <w:szCs w:val="20"/>
        </w:rPr>
        <w:t>“</w:t>
      </w:r>
      <w:r w:rsidRPr="00767B71">
        <w:rPr>
          <w:rFonts w:ascii="Arial" w:hAnsi="Arial" w:cs="Arial"/>
          <w:b/>
          <w:bCs/>
          <w:color w:val="000000"/>
          <w:sz w:val="20"/>
          <w:szCs w:val="20"/>
        </w:rPr>
        <w:t>Courts should retain the power to make take-down orders.</w:t>
      </w:r>
      <w:r w:rsidRPr="001F5D53">
        <w:rPr>
          <w:rFonts w:ascii="Arial" w:hAnsi="Arial" w:cs="Arial"/>
          <w:color w:val="000000"/>
          <w:sz w:val="20"/>
          <w:szCs w:val="20"/>
        </w:rPr>
        <w:t xml:space="preserve"> Despite the challenges posed by modern media technology including the internet, there are times when that power will be useful.</w:t>
      </w:r>
      <w:r>
        <w:rPr>
          <w:rFonts w:ascii="Arial" w:hAnsi="Arial" w:cs="Arial"/>
          <w:color w:val="000000"/>
          <w:sz w:val="20"/>
          <w:szCs w:val="20"/>
        </w:rPr>
        <w:t>” [emphasis added]</w:t>
      </w:r>
    </w:p>
    <w:p w14:paraId="4DAD9DDE" w14:textId="2FB6C6F9" w:rsidR="003618B5" w:rsidRPr="00D15F9A" w:rsidRDefault="003618B5" w:rsidP="00D15F9A">
      <w:pPr>
        <w:jc w:val="both"/>
        <w:rPr>
          <w:rFonts w:ascii="Arial" w:hAnsi="Arial" w:cs="Arial"/>
          <w:color w:val="000000"/>
          <w:sz w:val="20"/>
        </w:rPr>
      </w:pPr>
    </w:p>
    <w:p w14:paraId="0BEA1391" w14:textId="4618CD40" w:rsidR="00D15F9A" w:rsidRDefault="00D15F9A" w:rsidP="00D15F9A">
      <w:pPr>
        <w:jc w:val="both"/>
        <w:rPr>
          <w:rFonts w:ascii="Arial" w:hAnsi="Arial" w:cs="Arial"/>
          <w:color w:val="000000"/>
          <w:sz w:val="20"/>
        </w:rPr>
      </w:pPr>
      <w:r>
        <w:rPr>
          <w:rFonts w:ascii="Arial" w:hAnsi="Arial" w:cs="Arial"/>
          <w:color w:val="000000"/>
          <w:sz w:val="20"/>
        </w:rPr>
        <w:t xml:space="preserve">Ultimately the VLRC </w:t>
      </w:r>
      <w:r w:rsidR="00D0343F">
        <w:rPr>
          <w:rFonts w:ascii="Arial" w:hAnsi="Arial" w:cs="Arial"/>
          <w:color w:val="000000"/>
          <w:sz w:val="20"/>
        </w:rPr>
        <w:t>recommend</w:t>
      </w:r>
      <w:r>
        <w:rPr>
          <w:rFonts w:ascii="Arial" w:hAnsi="Arial" w:cs="Arial"/>
          <w:color w:val="000000"/>
          <w:sz w:val="20"/>
        </w:rPr>
        <w:t>ed at [14.24]</w:t>
      </w:r>
      <w:r w:rsidR="00767B71">
        <w:rPr>
          <w:rFonts w:ascii="Arial" w:hAnsi="Arial" w:cs="Arial"/>
          <w:color w:val="000000"/>
          <w:sz w:val="20"/>
        </w:rPr>
        <w:t>-</w:t>
      </w:r>
      <w:r>
        <w:rPr>
          <w:rFonts w:ascii="Arial" w:hAnsi="Arial" w:cs="Arial"/>
          <w:color w:val="000000"/>
          <w:sz w:val="20"/>
        </w:rPr>
        <w:t>[14.27]:</w:t>
      </w:r>
    </w:p>
    <w:p w14:paraId="34B6D9B4" w14:textId="2A7306D6"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For the purposes of consistency, accessibility and clarity in the law, legislation should set out the courts’ power to make take-down orders.</w:t>
      </w:r>
    </w:p>
    <w:p w14:paraId="19DA11F1" w14:textId="044837C6"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 xml:space="preserve">Under the legislative provisions, courts should be able to order material to be taken down on the same grounds and subject to the same tests as for suppression orders under </w:t>
      </w:r>
      <w:r>
        <w:rPr>
          <w:rFonts w:ascii="Arial" w:hAnsi="Arial" w:cs="Arial"/>
          <w:color w:val="000000"/>
          <w:sz w:val="20"/>
        </w:rPr>
        <w:t xml:space="preserve">ss.18 &amp; 26 of </w:t>
      </w:r>
      <w:r w:rsidRPr="001F5D53">
        <w:rPr>
          <w:rFonts w:ascii="Arial" w:hAnsi="Arial" w:cs="Arial"/>
          <w:color w:val="000000"/>
          <w:sz w:val="20"/>
        </w:rPr>
        <w:t xml:space="preserve">the </w:t>
      </w:r>
      <w:r>
        <w:rPr>
          <w:rFonts w:ascii="Arial" w:hAnsi="Arial" w:cs="Arial"/>
          <w:color w:val="000000"/>
          <w:sz w:val="20"/>
        </w:rPr>
        <w:t>OCA</w:t>
      </w:r>
      <w:r w:rsidRPr="001F5D53">
        <w:rPr>
          <w:rFonts w:ascii="Arial" w:hAnsi="Arial" w:cs="Arial"/>
          <w:color w:val="000000"/>
          <w:sz w:val="20"/>
        </w:rPr>
        <w:t>.</w:t>
      </w:r>
      <w:r>
        <w:rPr>
          <w:rFonts w:ascii="Arial" w:hAnsi="Arial" w:cs="Arial"/>
          <w:color w:val="000000"/>
          <w:sz w:val="20"/>
        </w:rPr>
        <w:t xml:space="preserve">  </w:t>
      </w:r>
      <w:r w:rsidRPr="001F5D53">
        <w:rPr>
          <w:rFonts w:ascii="Arial" w:hAnsi="Arial" w:cs="Arial"/>
          <w:color w:val="000000"/>
          <w:sz w:val="20"/>
        </w:rPr>
        <w:t>The legislation should also empower the courts to order material to be taken down after it has been proved to breach a restriction on publication.</w:t>
      </w:r>
    </w:p>
    <w:p w14:paraId="61905B3A" w14:textId="3474C748"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These powers should extend to online intermediaries or the owners of public websites where third parties can post material.</w:t>
      </w:r>
    </w:p>
    <w:p w14:paraId="7F0DDBE3" w14:textId="5B561ABF" w:rsidR="00162F3F" w:rsidRDefault="00162F3F"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A take-down order should only be made against a party with the capacity to do so. For example, if a person publishes a comment on a public website, they may not be able to delete the material. It is unfair to impose liability when the party cannot comply, and this should be expressed in the legislation.</w:t>
      </w:r>
    </w:p>
    <w:p w14:paraId="26432E2D" w14:textId="7A4F2CEA" w:rsidR="00D15F9A" w:rsidRDefault="00D15F9A" w:rsidP="00D15F9A">
      <w:pPr>
        <w:jc w:val="both"/>
        <w:rPr>
          <w:rFonts w:ascii="Arial" w:hAnsi="Arial" w:cs="Arial"/>
          <w:color w:val="000000"/>
          <w:sz w:val="20"/>
        </w:rPr>
      </w:pPr>
    </w:p>
    <w:p w14:paraId="22F25523" w14:textId="60C9B69B" w:rsidR="00692D54" w:rsidRDefault="00692D54" w:rsidP="00692D54">
      <w:pPr>
        <w:pStyle w:val="Heading3"/>
        <w:keepNext/>
        <w:widowControl/>
        <w:spacing w:after="120" w:line="240" w:lineRule="auto"/>
        <w:rPr>
          <w:rFonts w:ascii="Arial" w:hAnsi="Arial" w:cs="Arial"/>
          <w:b/>
          <w:bCs/>
          <w:sz w:val="20"/>
        </w:rPr>
      </w:pPr>
      <w:bookmarkStart w:id="514" w:name="_2.8.4_Relationship_between"/>
      <w:bookmarkEnd w:id="514"/>
      <w:r>
        <w:rPr>
          <w:rFonts w:ascii="Arial" w:hAnsi="Arial" w:cs="Arial"/>
          <w:b/>
          <w:bCs/>
          <w:sz w:val="20"/>
        </w:rPr>
        <w:t>2.8.4</w:t>
      </w:r>
      <w:r>
        <w:rPr>
          <w:rFonts w:ascii="Arial" w:hAnsi="Arial" w:cs="Arial"/>
          <w:b/>
          <w:bCs/>
          <w:sz w:val="20"/>
        </w:rPr>
        <w:tab/>
        <w:t>Relationship between s.534 CYFA and the Open Courts Act 2013</w:t>
      </w:r>
    </w:p>
    <w:p w14:paraId="0771C461" w14:textId="529370C6" w:rsidR="003C5289" w:rsidRDefault="00FE3225" w:rsidP="00F65A9B">
      <w:pPr>
        <w:jc w:val="both"/>
        <w:rPr>
          <w:rFonts w:ascii="Arial" w:hAnsi="Arial" w:cs="Arial"/>
          <w:sz w:val="20"/>
        </w:rPr>
      </w:pPr>
      <w:r>
        <w:rPr>
          <w:rFonts w:ascii="Arial" w:hAnsi="Arial" w:cs="Arial"/>
          <w:sz w:val="20"/>
        </w:rPr>
        <w:t xml:space="preserve">As discussed in </w:t>
      </w:r>
      <w:r w:rsidRPr="00784343">
        <w:rPr>
          <w:rFonts w:ascii="Arial" w:hAnsi="Arial" w:cs="Arial"/>
          <w:b/>
          <w:bCs/>
          <w:sz w:val="20"/>
          <w:shd w:val="clear" w:color="auto" w:fill="C5E0B3"/>
        </w:rPr>
        <w:t>section 2.7.2</w:t>
      </w:r>
      <w:r>
        <w:rPr>
          <w:rFonts w:ascii="Arial" w:hAnsi="Arial" w:cs="Arial"/>
          <w:sz w:val="20"/>
        </w:rPr>
        <w:t xml:space="preserve"> t</w:t>
      </w:r>
      <w:r w:rsidR="00692D54">
        <w:rPr>
          <w:rFonts w:ascii="Arial" w:hAnsi="Arial" w:cs="Arial"/>
          <w:sz w:val="20"/>
        </w:rPr>
        <w:t xml:space="preserve">he </w:t>
      </w:r>
      <w:r w:rsidR="00692D54" w:rsidRPr="00FA1BDE">
        <w:rPr>
          <w:rFonts w:ascii="Arial" w:hAnsi="Arial" w:cs="Arial"/>
          <w:i/>
          <w:iCs/>
          <w:sz w:val="20"/>
        </w:rPr>
        <w:t>Open Courts Act 2013</w:t>
      </w:r>
      <w:r w:rsidR="00692D54" w:rsidRPr="00FA1BDE">
        <w:rPr>
          <w:rFonts w:ascii="Arial" w:hAnsi="Arial" w:cs="Arial"/>
          <w:sz w:val="20"/>
        </w:rPr>
        <w:t xml:space="preserve"> (‘OCA’)</w:t>
      </w:r>
      <w:r w:rsidR="00692D54">
        <w:rPr>
          <w:rFonts w:ascii="Arial" w:hAnsi="Arial" w:cs="Arial"/>
          <w:sz w:val="20"/>
        </w:rPr>
        <w:t xml:space="preserve"> does not</w:t>
      </w:r>
      <w:r w:rsidR="00F167F8">
        <w:rPr>
          <w:rFonts w:ascii="Arial" w:hAnsi="Arial" w:cs="Arial"/>
          <w:sz w:val="20"/>
        </w:rPr>
        <w:t xml:space="preserve"> expressly refer to </w:t>
      </w:r>
      <w:r w:rsidR="00692D54">
        <w:rPr>
          <w:rFonts w:ascii="Arial" w:hAnsi="Arial" w:cs="Arial"/>
          <w:sz w:val="20"/>
        </w:rPr>
        <w:t xml:space="preserve">the Children’s Court: see </w:t>
      </w:r>
      <w:r w:rsidR="00F167F8">
        <w:rPr>
          <w:rFonts w:ascii="Arial" w:hAnsi="Arial" w:cs="Arial"/>
          <w:sz w:val="20"/>
        </w:rPr>
        <w:t xml:space="preserve">the </w:t>
      </w:r>
      <w:r w:rsidR="00692D54">
        <w:rPr>
          <w:rFonts w:ascii="Arial" w:hAnsi="Arial" w:cs="Arial"/>
          <w:sz w:val="20"/>
        </w:rPr>
        <w:t xml:space="preserve">definition of “court or tribunal” in s.3.  Nor has the Children’s Court been prescribed in subordinate legislation as a court falling within limb (f) of the definition.  </w:t>
      </w:r>
      <w:r w:rsidR="003C5289">
        <w:rPr>
          <w:rFonts w:ascii="Arial" w:hAnsi="Arial" w:cs="Arial"/>
          <w:sz w:val="20"/>
        </w:rPr>
        <w:t xml:space="preserve">However, </w:t>
      </w:r>
      <w:r w:rsidR="00B8481F">
        <w:rPr>
          <w:rFonts w:ascii="Arial" w:hAnsi="Arial" w:cs="Arial"/>
          <w:sz w:val="20"/>
        </w:rPr>
        <w:t xml:space="preserve">a </w:t>
      </w:r>
      <w:r w:rsidR="00B467EC">
        <w:rPr>
          <w:rFonts w:ascii="Arial" w:hAnsi="Arial" w:cs="Arial"/>
          <w:sz w:val="20"/>
        </w:rPr>
        <w:t xml:space="preserve">Director of Criminal Law Policy of the Department of Justice </w:t>
      </w:r>
      <w:r w:rsidR="000A5CEF">
        <w:rPr>
          <w:rFonts w:ascii="Arial" w:hAnsi="Arial" w:cs="Arial"/>
          <w:sz w:val="20"/>
        </w:rPr>
        <w:t xml:space="preserve">and Community Safety </w:t>
      </w:r>
      <w:r w:rsidR="00B467EC">
        <w:rPr>
          <w:rFonts w:ascii="Arial" w:hAnsi="Arial" w:cs="Arial"/>
          <w:sz w:val="20"/>
        </w:rPr>
        <w:t>has advised the Principal Registrar of the Children’s Court that-</w:t>
      </w:r>
    </w:p>
    <w:p w14:paraId="328778CF" w14:textId="42FF114B" w:rsidR="00B467EC" w:rsidRDefault="00B467EC" w:rsidP="00F65A9B">
      <w:pPr>
        <w:spacing w:before="60"/>
        <w:ind w:left="567" w:right="567"/>
        <w:jc w:val="both"/>
        <w:rPr>
          <w:rFonts w:ascii="Helv" w:hAnsi="Helv" w:cs="Helv"/>
          <w:color w:val="000000"/>
          <w:sz w:val="20"/>
          <w:szCs w:val="20"/>
          <w:lang w:eastAsia="en-AU"/>
        </w:rPr>
      </w:pPr>
      <w:r>
        <w:rPr>
          <w:rFonts w:ascii="Arial" w:hAnsi="Arial" w:cs="Arial"/>
          <w:sz w:val="20"/>
        </w:rPr>
        <w:t>“</w:t>
      </w:r>
      <w:r>
        <w:rPr>
          <w:rFonts w:ascii="Helv" w:hAnsi="Helv" w:cs="Helv"/>
          <w:color w:val="000000"/>
          <w:sz w:val="20"/>
          <w:szCs w:val="20"/>
          <w:lang w:eastAsia="en-AU"/>
        </w:rPr>
        <w:t xml:space="preserve">The Children's Court was considered as the </w:t>
      </w:r>
      <w:r w:rsidR="00640E33">
        <w:rPr>
          <w:rFonts w:ascii="Helv" w:hAnsi="Helv" w:cs="Helv"/>
          <w:color w:val="000000"/>
          <w:sz w:val="20"/>
          <w:szCs w:val="20"/>
          <w:lang w:eastAsia="en-AU"/>
        </w:rPr>
        <w:t>[OCA]</w:t>
      </w:r>
      <w:r>
        <w:rPr>
          <w:rFonts w:ascii="Helv" w:hAnsi="Helv" w:cs="Helv"/>
          <w:color w:val="000000"/>
          <w:sz w:val="20"/>
          <w:szCs w:val="20"/>
          <w:lang w:eastAsia="en-AU"/>
        </w:rPr>
        <w:t xml:space="preserve"> was drafted.  It was not specifically listed as a 'court' able to make suppression orders, as the provisions of the CYFA already provided a statutory ban to the publication of material coming out of the Court </w:t>
      </w:r>
      <w:r w:rsidR="00DF1317">
        <w:rPr>
          <w:rFonts w:ascii="Helv" w:hAnsi="Helv" w:cs="Helv"/>
          <w:color w:val="000000"/>
          <w:sz w:val="20"/>
          <w:szCs w:val="20"/>
          <w:lang w:eastAsia="en-AU"/>
        </w:rPr>
        <w:t>–</w:t>
      </w:r>
      <w:r>
        <w:rPr>
          <w:rFonts w:ascii="Helv" w:hAnsi="Helv" w:cs="Helv"/>
          <w:color w:val="000000"/>
          <w:sz w:val="20"/>
          <w:szCs w:val="20"/>
          <w:lang w:eastAsia="en-AU"/>
        </w:rPr>
        <w:t xml:space="preserve"> rather</w:t>
      </w:r>
      <w:r w:rsidR="00DF1317">
        <w:rPr>
          <w:rFonts w:ascii="Helv" w:hAnsi="Helv" w:cs="Helv"/>
          <w:color w:val="000000"/>
          <w:sz w:val="20"/>
          <w:szCs w:val="20"/>
          <w:lang w:eastAsia="en-AU"/>
        </w:rPr>
        <w:t xml:space="preserve"> </w:t>
      </w:r>
      <w:r>
        <w:rPr>
          <w:rFonts w:ascii="Helv" w:hAnsi="Helv" w:cs="Helv"/>
          <w:color w:val="000000"/>
          <w:sz w:val="20"/>
          <w:szCs w:val="20"/>
          <w:lang w:eastAsia="en-AU"/>
        </w:rPr>
        <w:t>than providing the power to make a suppression order.</w:t>
      </w:r>
    </w:p>
    <w:p w14:paraId="12326030" w14:textId="77777777" w:rsidR="00B467EC" w:rsidRDefault="00B467EC" w:rsidP="00B467EC">
      <w:pPr>
        <w:spacing w:before="60"/>
        <w:ind w:left="567" w:right="567"/>
        <w:jc w:val="both"/>
        <w:rPr>
          <w:rFonts w:ascii="Arial" w:hAnsi="Arial" w:cs="Arial"/>
          <w:sz w:val="20"/>
        </w:rPr>
      </w:pPr>
      <w:r>
        <w:rPr>
          <w:rFonts w:ascii="Helv" w:hAnsi="Helv" w:cs="Helv"/>
          <w:color w:val="000000"/>
          <w:sz w:val="20"/>
          <w:szCs w:val="20"/>
          <w:lang w:eastAsia="en-AU"/>
        </w:rPr>
        <w:t>In developing the provisions about broad suppression orders, the aim was generally to replicate the current powers of the Courts, rather than to create any new powers.  So in so far as the Children's Court can exercise the powers of the Magistrates' Court under s</w:t>
      </w:r>
      <w:r w:rsidR="00FE3D21">
        <w:rPr>
          <w:rFonts w:ascii="Helv" w:hAnsi="Helv" w:cs="Helv"/>
          <w:color w:val="000000"/>
          <w:sz w:val="20"/>
          <w:szCs w:val="20"/>
          <w:lang w:eastAsia="en-AU"/>
        </w:rPr>
        <w:t>.</w:t>
      </w:r>
      <w:r>
        <w:rPr>
          <w:rFonts w:ascii="Helv" w:hAnsi="Helv" w:cs="Helv"/>
          <w:color w:val="000000"/>
          <w:sz w:val="20"/>
          <w:szCs w:val="20"/>
          <w:lang w:eastAsia="en-AU"/>
        </w:rPr>
        <w:t xml:space="preserve">528(1), it retains the power to make any order that the </w:t>
      </w:r>
      <w:smartTag w:uri="urn:schemas-microsoft-com:office:smarttags" w:element="Street">
        <w:smartTag w:uri="urn:schemas-microsoft-com:office:smarttags" w:element="address">
          <w:r>
            <w:rPr>
              <w:rFonts w:ascii="Helv" w:hAnsi="Helv" w:cs="Helv"/>
              <w:color w:val="000000"/>
              <w:sz w:val="20"/>
              <w:szCs w:val="20"/>
              <w:lang w:eastAsia="en-AU"/>
            </w:rPr>
            <w:t>Magistrates Court</w:t>
          </w:r>
        </w:smartTag>
      </w:smartTag>
      <w:r>
        <w:rPr>
          <w:rFonts w:ascii="Helv" w:hAnsi="Helv" w:cs="Helv"/>
          <w:color w:val="000000"/>
          <w:sz w:val="20"/>
          <w:szCs w:val="20"/>
          <w:lang w:eastAsia="en-AU"/>
        </w:rPr>
        <w:t xml:space="preserve"> can make.  There was certainly no intention for the OCA to be interpreted as narrowing s</w:t>
      </w:r>
      <w:r w:rsidR="00FE3D21">
        <w:rPr>
          <w:rFonts w:ascii="Helv" w:hAnsi="Helv" w:cs="Helv"/>
          <w:color w:val="000000"/>
          <w:sz w:val="20"/>
          <w:szCs w:val="20"/>
          <w:lang w:eastAsia="en-AU"/>
        </w:rPr>
        <w:t>.</w:t>
      </w:r>
      <w:r>
        <w:rPr>
          <w:rFonts w:ascii="Helv" w:hAnsi="Helv" w:cs="Helv"/>
          <w:color w:val="000000"/>
          <w:sz w:val="20"/>
          <w:szCs w:val="20"/>
          <w:lang w:eastAsia="en-AU"/>
        </w:rPr>
        <w:t>528(1) of the CYFA.</w:t>
      </w:r>
      <w:r w:rsidR="00FE3D21">
        <w:rPr>
          <w:rFonts w:ascii="Arial" w:hAnsi="Arial" w:cs="Arial"/>
          <w:sz w:val="20"/>
        </w:rPr>
        <w:t>”</w:t>
      </w:r>
    </w:p>
    <w:p w14:paraId="31A0D3C0" w14:textId="77777777" w:rsidR="00A506A6" w:rsidRDefault="00A506A6" w:rsidP="00FE3225">
      <w:pPr>
        <w:jc w:val="both"/>
        <w:rPr>
          <w:rFonts w:ascii="Arial" w:hAnsi="Arial" w:cs="Arial"/>
          <w:sz w:val="20"/>
        </w:rPr>
      </w:pPr>
    </w:p>
    <w:p w14:paraId="61BC593F" w14:textId="19286301" w:rsidR="00A506A6" w:rsidRDefault="00FE3225" w:rsidP="00ED4D6D">
      <w:pPr>
        <w:jc w:val="both"/>
        <w:rPr>
          <w:rFonts w:ascii="Arial" w:hAnsi="Arial" w:cs="Arial"/>
          <w:color w:val="000000"/>
          <w:sz w:val="20"/>
        </w:rPr>
      </w:pPr>
      <w:r>
        <w:rPr>
          <w:rFonts w:ascii="Arial" w:hAnsi="Arial" w:cs="Arial"/>
          <w:color w:val="000000"/>
          <w:sz w:val="20"/>
        </w:rPr>
        <w:t xml:space="preserve">It should be noted that </w:t>
      </w:r>
      <w:r w:rsidR="003F02FB">
        <w:rPr>
          <w:rFonts w:ascii="Arial" w:hAnsi="Arial" w:cs="Arial"/>
          <w:color w:val="000000"/>
          <w:sz w:val="20"/>
        </w:rPr>
        <w:t xml:space="preserve">this advice was </w:t>
      </w:r>
      <w:r>
        <w:rPr>
          <w:rFonts w:ascii="Arial" w:hAnsi="Arial" w:cs="Arial"/>
          <w:color w:val="000000"/>
          <w:sz w:val="20"/>
        </w:rPr>
        <w:t>provided</w:t>
      </w:r>
      <w:r w:rsidR="003F02FB">
        <w:rPr>
          <w:rFonts w:ascii="Arial" w:hAnsi="Arial" w:cs="Arial"/>
          <w:color w:val="000000"/>
          <w:sz w:val="20"/>
        </w:rPr>
        <w:t xml:space="preserve"> prior to the </w:t>
      </w:r>
      <w:r w:rsidR="002715BF">
        <w:rPr>
          <w:rFonts w:ascii="Arial" w:hAnsi="Arial" w:cs="Arial"/>
          <w:color w:val="000000"/>
          <w:sz w:val="20"/>
        </w:rPr>
        <w:t xml:space="preserve">amendments to the OCA made by the </w:t>
      </w:r>
      <w:r w:rsidR="002715BF" w:rsidRPr="00FA1BDE">
        <w:rPr>
          <w:rFonts w:ascii="Arial" w:hAnsi="Arial" w:cs="Arial"/>
          <w:i/>
          <w:iCs/>
          <w:color w:val="000000"/>
          <w:sz w:val="20"/>
          <w:szCs w:val="20"/>
          <w:lang w:eastAsia="en-AU"/>
        </w:rPr>
        <w:t>Open Courts and Other Acts Amendment Act 2019</w:t>
      </w:r>
      <w:r w:rsidR="002715BF" w:rsidRPr="002715BF">
        <w:rPr>
          <w:rFonts w:ascii="Arial" w:hAnsi="Arial" w:cs="Arial"/>
          <w:color w:val="000000"/>
          <w:sz w:val="20"/>
          <w:szCs w:val="20"/>
          <w:lang w:eastAsia="en-AU"/>
        </w:rPr>
        <w:t>.  Th</w:t>
      </w:r>
      <w:r w:rsidR="00D10311">
        <w:rPr>
          <w:rFonts w:ascii="Arial" w:hAnsi="Arial" w:cs="Arial"/>
          <w:color w:val="000000"/>
          <w:sz w:val="20"/>
          <w:szCs w:val="20"/>
          <w:lang w:eastAsia="en-AU"/>
        </w:rPr>
        <w:t>o</w:t>
      </w:r>
      <w:r w:rsidR="002715BF" w:rsidRPr="002715BF">
        <w:rPr>
          <w:rFonts w:ascii="Arial" w:hAnsi="Arial" w:cs="Arial"/>
          <w:color w:val="000000"/>
          <w:sz w:val="20"/>
          <w:szCs w:val="20"/>
          <w:lang w:eastAsia="en-AU"/>
        </w:rPr>
        <w:t>se amendments include</w:t>
      </w:r>
      <w:r w:rsidR="0075523B">
        <w:rPr>
          <w:rFonts w:ascii="Arial" w:hAnsi="Arial" w:cs="Arial"/>
          <w:color w:val="000000"/>
          <w:sz w:val="20"/>
          <w:szCs w:val="20"/>
          <w:lang w:eastAsia="en-AU"/>
        </w:rPr>
        <w:t xml:space="preserve"> s.8 which as far as </w:t>
      </w:r>
      <w:r w:rsidR="00ED4D6D">
        <w:rPr>
          <w:rFonts w:ascii="Arial" w:hAnsi="Arial" w:cs="Arial"/>
          <w:color w:val="000000"/>
          <w:sz w:val="20"/>
          <w:szCs w:val="20"/>
          <w:lang w:eastAsia="en-AU"/>
        </w:rPr>
        <w:t xml:space="preserve">is </w:t>
      </w:r>
      <w:r w:rsidR="0075523B">
        <w:rPr>
          <w:rFonts w:ascii="Arial" w:hAnsi="Arial" w:cs="Arial"/>
          <w:color w:val="000000"/>
          <w:sz w:val="20"/>
          <w:szCs w:val="20"/>
          <w:lang w:eastAsia="en-AU"/>
        </w:rPr>
        <w:t>relevant provides</w:t>
      </w:r>
      <w:r w:rsidR="00AF0DA3">
        <w:rPr>
          <w:rFonts w:ascii="Arial" w:hAnsi="Arial" w:cs="Arial"/>
          <w:color w:val="000000"/>
          <w:sz w:val="20"/>
          <w:szCs w:val="20"/>
          <w:lang w:eastAsia="en-AU"/>
        </w:rPr>
        <w:t>:</w:t>
      </w:r>
    </w:p>
    <w:p w14:paraId="03BBB1AF" w14:textId="6EF65F56" w:rsidR="0075523B" w:rsidRDefault="0075523B" w:rsidP="00C23CF0">
      <w:pPr>
        <w:pStyle w:val="ListParagraph"/>
        <w:numPr>
          <w:ilvl w:val="0"/>
          <w:numId w:val="31"/>
        </w:numPr>
        <w:spacing w:before="60"/>
        <w:ind w:left="1021" w:right="567" w:hanging="454"/>
        <w:jc w:val="both"/>
        <w:rPr>
          <w:rFonts w:ascii="Arial" w:hAnsi="Arial" w:cs="Arial"/>
          <w:sz w:val="20"/>
        </w:rPr>
      </w:pPr>
      <w:r w:rsidRPr="0075523B">
        <w:rPr>
          <w:rFonts w:ascii="Arial" w:hAnsi="Arial" w:cs="Arial"/>
          <w:sz w:val="20"/>
        </w:rPr>
        <w:lastRenderedPageBreak/>
        <w:t>This Act does not limit or otherwise affect the operation of a provision made by or under any other Act, including an Act of the Commonwealth, that—</w:t>
      </w:r>
    </w:p>
    <w:p w14:paraId="501DB1F4" w14:textId="60125AD5" w:rsidR="0075523B" w:rsidRDefault="0075523B" w:rsidP="00C23CF0">
      <w:pPr>
        <w:pStyle w:val="DraftHeading3"/>
        <w:numPr>
          <w:ilvl w:val="0"/>
          <w:numId w:val="32"/>
        </w:numPr>
        <w:tabs>
          <w:tab w:val="right" w:pos="1757"/>
        </w:tabs>
        <w:spacing w:before="0"/>
        <w:ind w:left="1475" w:right="567" w:hanging="454"/>
        <w:jc w:val="both"/>
        <w:rPr>
          <w:rFonts w:ascii="Arial" w:hAnsi="Arial" w:cs="Arial"/>
          <w:sz w:val="20"/>
        </w:rPr>
      </w:pPr>
      <w:r w:rsidRPr="0075523B">
        <w:rPr>
          <w:rFonts w:ascii="Arial" w:hAnsi="Arial" w:cs="Arial"/>
          <w:sz w:val="20"/>
        </w:rPr>
        <w:t>prohibits or restricts, or authorises a court or tribunal to prohibit or restrict, the publication or other disclosure of information for or in connection with any proceeding; or</w:t>
      </w:r>
    </w:p>
    <w:p w14:paraId="1E40B815" w14:textId="4E9F5F20" w:rsidR="0075523B" w:rsidRPr="0075523B" w:rsidRDefault="00ED4D6D" w:rsidP="00C23CF0">
      <w:pPr>
        <w:pStyle w:val="DraftHeading3"/>
        <w:numPr>
          <w:ilvl w:val="0"/>
          <w:numId w:val="32"/>
        </w:numPr>
        <w:tabs>
          <w:tab w:val="right" w:pos="1757"/>
        </w:tabs>
        <w:spacing w:before="0"/>
        <w:ind w:left="1475" w:right="567" w:hanging="454"/>
        <w:jc w:val="both"/>
        <w:rPr>
          <w:rFonts w:ascii="Arial" w:hAnsi="Arial" w:cs="Arial"/>
          <w:sz w:val="20"/>
        </w:rPr>
      </w:pPr>
      <w:r w:rsidRPr="0075523B">
        <w:rPr>
          <w:rFonts w:ascii="Arial" w:hAnsi="Arial" w:cs="Arial"/>
          <w:sz w:val="20"/>
        </w:rPr>
        <w:t>requires or authorises a court or tribunal to close any proceeding to the public.</w:t>
      </w:r>
    </w:p>
    <w:p w14:paraId="7B3243A1" w14:textId="18710BEA" w:rsidR="00ED4D6D" w:rsidRPr="00ED4D6D" w:rsidRDefault="00ED4D6D" w:rsidP="00ED4D6D">
      <w:pPr>
        <w:spacing w:before="120"/>
        <w:ind w:left="1021" w:right="567" w:hanging="454"/>
        <w:jc w:val="both"/>
        <w:rPr>
          <w:rFonts w:ascii="Arial" w:hAnsi="Arial" w:cs="Arial"/>
          <w:sz w:val="20"/>
        </w:rPr>
      </w:pPr>
      <w:r>
        <w:rPr>
          <w:rFonts w:ascii="Arial" w:hAnsi="Arial" w:cs="Arial"/>
          <w:sz w:val="20"/>
        </w:rPr>
        <w:t>(1A)</w:t>
      </w:r>
      <w:r>
        <w:rPr>
          <w:rFonts w:ascii="Arial" w:hAnsi="Arial" w:cs="Arial"/>
          <w:sz w:val="20"/>
        </w:rPr>
        <w:tab/>
      </w:r>
      <w:r w:rsidRPr="0075523B">
        <w:rPr>
          <w:rFonts w:ascii="Arial" w:hAnsi="Arial" w:cs="Arial"/>
          <w:sz w:val="20"/>
          <w:szCs w:val="20"/>
        </w:rPr>
        <w:t>If a provision of an Act referred to in subsection (2) prohibits or restricts, or authorises a court or tribunal to prohibit or restrict, the publication or other disclosure of information for or in connection with any</w:t>
      </w:r>
      <w:r w:rsidR="00FE3225">
        <w:rPr>
          <w:rFonts w:ascii="Arial" w:hAnsi="Arial" w:cs="Arial"/>
          <w:sz w:val="20"/>
          <w:szCs w:val="20"/>
        </w:rPr>
        <w:t xml:space="preserve"> </w:t>
      </w:r>
      <w:r w:rsidRPr="0075523B">
        <w:rPr>
          <w:rFonts w:ascii="Arial" w:hAnsi="Arial" w:cs="Arial"/>
          <w:sz w:val="20"/>
          <w:szCs w:val="20"/>
        </w:rPr>
        <w:t>proceeding, a court or tribunal must not make a suppression order that prohibits or restricts the publication or other disclosure of information which is already prohibited or</w:t>
      </w:r>
      <w:r w:rsidR="00FE3225">
        <w:rPr>
          <w:rFonts w:ascii="Arial" w:hAnsi="Arial" w:cs="Arial"/>
          <w:sz w:val="20"/>
          <w:szCs w:val="20"/>
        </w:rPr>
        <w:t xml:space="preserve"> </w:t>
      </w:r>
      <w:r w:rsidRPr="0075523B">
        <w:rPr>
          <w:rFonts w:ascii="Arial" w:hAnsi="Arial" w:cs="Arial"/>
          <w:sz w:val="20"/>
          <w:szCs w:val="20"/>
        </w:rPr>
        <w:t>restricted by that other provision.</w:t>
      </w:r>
    </w:p>
    <w:p w14:paraId="69BCF100" w14:textId="639BD257" w:rsidR="00ED4D6D" w:rsidRPr="00ED4D6D" w:rsidRDefault="00ED4D6D" w:rsidP="00C23CF0">
      <w:pPr>
        <w:pStyle w:val="ListParagraph"/>
        <w:numPr>
          <w:ilvl w:val="0"/>
          <w:numId w:val="31"/>
        </w:numPr>
        <w:spacing w:before="120"/>
        <w:ind w:left="1021" w:right="567" w:hanging="454"/>
        <w:jc w:val="both"/>
        <w:rPr>
          <w:rFonts w:ascii="Arial" w:hAnsi="Arial" w:cs="Arial"/>
          <w:sz w:val="20"/>
        </w:rPr>
      </w:pPr>
      <w:r w:rsidRPr="0075523B">
        <w:rPr>
          <w:rFonts w:ascii="Arial" w:hAnsi="Arial" w:cs="Arial"/>
          <w:sz w:val="20"/>
        </w:rPr>
        <w:t>Without limiting the generality of subsection (1), this Act does not limit the operation of the following provisions—</w:t>
      </w:r>
    </w:p>
    <w:p w14:paraId="0EFAE435" w14:textId="1F48262D" w:rsidR="00ED4D6D" w:rsidRDefault="00ED4D6D" w:rsidP="00C23CF0">
      <w:pPr>
        <w:pStyle w:val="DraftHeading3"/>
        <w:numPr>
          <w:ilvl w:val="0"/>
          <w:numId w:val="33"/>
        </w:numPr>
        <w:tabs>
          <w:tab w:val="right" w:pos="1757"/>
        </w:tabs>
        <w:spacing w:before="0"/>
        <w:ind w:left="1475" w:right="567" w:hanging="454"/>
        <w:jc w:val="both"/>
        <w:rPr>
          <w:rFonts w:ascii="Arial" w:hAnsi="Arial" w:cs="Arial"/>
          <w:sz w:val="20"/>
        </w:rPr>
      </w:pPr>
      <w:r>
        <w:rPr>
          <w:rFonts w:ascii="Arial" w:hAnsi="Arial" w:cs="Arial"/>
          <w:sz w:val="20"/>
        </w:rPr>
        <w:t>…;</w:t>
      </w:r>
    </w:p>
    <w:p w14:paraId="428F6BDC" w14:textId="48260CC8" w:rsidR="00ED4D6D" w:rsidRDefault="00ED4D6D" w:rsidP="00C23CF0">
      <w:pPr>
        <w:pStyle w:val="DraftHeading3"/>
        <w:numPr>
          <w:ilvl w:val="0"/>
          <w:numId w:val="33"/>
        </w:numPr>
        <w:tabs>
          <w:tab w:val="right" w:pos="1757"/>
        </w:tabs>
        <w:spacing w:before="0"/>
        <w:ind w:left="1475" w:right="567" w:hanging="454"/>
        <w:jc w:val="both"/>
        <w:rPr>
          <w:rFonts w:ascii="Arial" w:hAnsi="Arial" w:cs="Arial"/>
          <w:sz w:val="20"/>
        </w:rPr>
      </w:pPr>
      <w:r w:rsidRPr="00FE3225">
        <w:rPr>
          <w:rFonts w:ascii="Arial" w:hAnsi="Arial" w:cs="Arial"/>
          <w:b/>
          <w:bCs/>
          <w:sz w:val="20"/>
        </w:rPr>
        <w:t>section 534 of the</w:t>
      </w:r>
      <w:r w:rsidRPr="0075523B">
        <w:rPr>
          <w:rFonts w:ascii="Arial" w:hAnsi="Arial" w:cs="Arial"/>
          <w:sz w:val="20"/>
        </w:rPr>
        <w:t xml:space="preserve"> </w:t>
      </w:r>
      <w:r w:rsidRPr="00FE3225">
        <w:rPr>
          <w:rFonts w:ascii="Arial" w:hAnsi="Arial" w:cs="Arial"/>
          <w:b/>
          <w:i/>
          <w:iCs/>
          <w:sz w:val="20"/>
        </w:rPr>
        <w:t>Children, Youth and Families Act 2005</w:t>
      </w:r>
      <w:r w:rsidRPr="00ED4D6D">
        <w:rPr>
          <w:rFonts w:ascii="Arial" w:hAnsi="Arial" w:cs="Arial"/>
          <w:sz w:val="20"/>
        </w:rPr>
        <w:t>;…</w:t>
      </w:r>
    </w:p>
    <w:p w14:paraId="525B0201" w14:textId="39A3AF18" w:rsidR="00ED4D6D" w:rsidRDefault="00ED4D6D" w:rsidP="00C23CF0">
      <w:pPr>
        <w:pStyle w:val="DraftHeading3"/>
        <w:numPr>
          <w:ilvl w:val="0"/>
          <w:numId w:val="34"/>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 75 of the </w:t>
      </w:r>
      <w:r w:rsidRPr="00FE3225">
        <w:rPr>
          <w:rFonts w:ascii="Arial" w:hAnsi="Arial" w:cs="Arial"/>
          <w:bCs/>
          <w:i/>
          <w:iCs/>
          <w:sz w:val="20"/>
        </w:rPr>
        <w:t>Crimes (Mental Impairment and Unfitness to be Tried) Act 1997</w:t>
      </w:r>
      <w:r w:rsidRPr="0075523B">
        <w:rPr>
          <w:rFonts w:ascii="Arial" w:hAnsi="Arial" w:cs="Arial"/>
          <w:sz w:val="20"/>
        </w:rPr>
        <w:t>;</w:t>
      </w:r>
      <w:r>
        <w:rPr>
          <w:rFonts w:ascii="Arial" w:hAnsi="Arial" w:cs="Arial"/>
          <w:sz w:val="20"/>
        </w:rPr>
        <w:t>…</w:t>
      </w:r>
    </w:p>
    <w:p w14:paraId="1B92B7EE" w14:textId="77777777" w:rsidR="00773019" w:rsidRDefault="00773019" w:rsidP="00C23CF0">
      <w:pPr>
        <w:pStyle w:val="DraftHeading3"/>
        <w:numPr>
          <w:ilvl w:val="0"/>
          <w:numId w:val="35"/>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sections 32F or 42BQ of the </w:t>
      </w:r>
      <w:r w:rsidRPr="00FE3225">
        <w:rPr>
          <w:rFonts w:ascii="Arial" w:hAnsi="Arial" w:cs="Arial"/>
          <w:bCs/>
          <w:i/>
          <w:iCs/>
          <w:sz w:val="20"/>
        </w:rPr>
        <w:t>Evidence (Miscellaneous Provisions) Act 1958</w:t>
      </w:r>
      <w:r w:rsidRPr="0075523B">
        <w:rPr>
          <w:rFonts w:ascii="Arial" w:hAnsi="Arial" w:cs="Arial"/>
          <w:sz w:val="20"/>
        </w:rPr>
        <w:t>;</w:t>
      </w:r>
    </w:p>
    <w:p w14:paraId="3D80AA11" w14:textId="29EBB439" w:rsidR="00ED4D6D" w:rsidRDefault="00773019" w:rsidP="00C23CF0">
      <w:pPr>
        <w:pStyle w:val="DraftHeading3"/>
        <w:numPr>
          <w:ilvl w:val="0"/>
          <w:numId w:val="35"/>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sections 166 or 167 of the </w:t>
      </w:r>
      <w:r w:rsidRPr="00FE3225">
        <w:rPr>
          <w:rFonts w:ascii="Arial" w:hAnsi="Arial" w:cs="Arial"/>
          <w:bCs/>
          <w:i/>
          <w:iCs/>
          <w:sz w:val="20"/>
        </w:rPr>
        <w:t>Family Violence Protection Act 2008</w:t>
      </w:r>
      <w:r w:rsidRPr="00773019">
        <w:rPr>
          <w:rFonts w:ascii="Arial" w:hAnsi="Arial" w:cs="Arial"/>
          <w:bCs/>
          <w:sz w:val="20"/>
        </w:rPr>
        <w:t>…</w:t>
      </w:r>
    </w:p>
    <w:p w14:paraId="047675DA" w14:textId="6FD2FD99" w:rsidR="00773019" w:rsidRPr="00ED4D6D" w:rsidRDefault="00773019" w:rsidP="00C23CF0">
      <w:pPr>
        <w:pStyle w:val="ListParagraph"/>
        <w:numPr>
          <w:ilvl w:val="0"/>
          <w:numId w:val="31"/>
        </w:numPr>
        <w:spacing w:before="120"/>
        <w:ind w:left="1021" w:right="567" w:hanging="454"/>
        <w:jc w:val="both"/>
        <w:rPr>
          <w:rFonts w:ascii="Arial" w:hAnsi="Arial" w:cs="Arial"/>
          <w:sz w:val="20"/>
        </w:rPr>
      </w:pPr>
      <w:r w:rsidRPr="0075523B">
        <w:rPr>
          <w:rFonts w:ascii="Arial" w:hAnsi="Arial" w:cs="Arial"/>
          <w:sz w:val="20"/>
        </w:rPr>
        <w:t>A suppression order that prohibits or restricts</w:t>
      </w:r>
      <w:r>
        <w:rPr>
          <w:rFonts w:ascii="Arial" w:hAnsi="Arial" w:cs="Arial"/>
          <w:sz w:val="20"/>
        </w:rPr>
        <w:t xml:space="preserve"> </w:t>
      </w:r>
      <w:r w:rsidRPr="0075523B">
        <w:rPr>
          <w:rFonts w:ascii="Arial" w:hAnsi="Arial" w:cs="Arial"/>
          <w:sz w:val="20"/>
        </w:rPr>
        <w:t>the publication or other disclosure of</w:t>
      </w:r>
      <w:r>
        <w:rPr>
          <w:rFonts w:ascii="Arial" w:hAnsi="Arial" w:cs="Arial"/>
          <w:sz w:val="20"/>
        </w:rPr>
        <w:t xml:space="preserve"> </w:t>
      </w:r>
      <w:r w:rsidRPr="0075523B">
        <w:rPr>
          <w:rFonts w:ascii="Arial" w:hAnsi="Arial" w:cs="Arial"/>
          <w:sz w:val="20"/>
        </w:rPr>
        <w:t>information which is already prohibited or</w:t>
      </w:r>
      <w:r>
        <w:rPr>
          <w:rFonts w:ascii="Arial" w:hAnsi="Arial" w:cs="Arial"/>
          <w:sz w:val="20"/>
        </w:rPr>
        <w:t xml:space="preserve"> </w:t>
      </w:r>
      <w:r w:rsidRPr="0075523B">
        <w:rPr>
          <w:rFonts w:ascii="Arial" w:hAnsi="Arial" w:cs="Arial"/>
          <w:sz w:val="20"/>
        </w:rPr>
        <w:t xml:space="preserve">restricted by </w:t>
      </w:r>
      <w:r w:rsidRPr="0075523B">
        <w:rPr>
          <w:rFonts w:ascii="Arial" w:hAnsi="Arial" w:cs="Arial"/>
          <w:sz w:val="20"/>
          <w:lang w:eastAsia="en-AU"/>
        </w:rPr>
        <w:t>the operation of a provision made by or under any Act</w:t>
      </w:r>
      <w:r w:rsidRPr="0075523B">
        <w:rPr>
          <w:rFonts w:ascii="Arial" w:hAnsi="Arial" w:cs="Arial"/>
          <w:sz w:val="20"/>
        </w:rPr>
        <w:t>, including an Act of the Commonwealth,</w:t>
      </w:r>
      <w:r w:rsidRPr="0075523B">
        <w:rPr>
          <w:rFonts w:ascii="Arial" w:hAnsi="Arial" w:cs="Arial"/>
          <w:sz w:val="20"/>
          <w:lang w:eastAsia="en-AU"/>
        </w:rPr>
        <w:t xml:space="preserve"> is not invalid merely because it covers the same prohibition, restriction or disclosure as the provision of an Act.</w:t>
      </w:r>
    </w:p>
    <w:p w14:paraId="3E8C315A" w14:textId="77777777" w:rsidR="0075523B" w:rsidRPr="0075523B" w:rsidRDefault="0075523B" w:rsidP="0075523B">
      <w:pPr>
        <w:rPr>
          <w:rFonts w:ascii="Arial" w:hAnsi="Arial" w:cs="Arial"/>
          <w:sz w:val="20"/>
          <w:szCs w:val="20"/>
        </w:rPr>
      </w:pPr>
    </w:p>
    <w:p w14:paraId="4DB85A47" w14:textId="763344A0" w:rsidR="00567690" w:rsidRDefault="00773019" w:rsidP="007B0F16">
      <w:pPr>
        <w:jc w:val="both"/>
        <w:rPr>
          <w:rFonts w:ascii="Arial" w:hAnsi="Arial" w:cs="Arial"/>
          <w:color w:val="000000"/>
          <w:sz w:val="20"/>
        </w:rPr>
      </w:pPr>
      <w:r>
        <w:rPr>
          <w:rFonts w:ascii="Arial" w:hAnsi="Arial" w:cs="Arial"/>
          <w:color w:val="000000"/>
          <w:sz w:val="20"/>
        </w:rPr>
        <w:t>It is clear enough from s</w:t>
      </w:r>
      <w:r w:rsidR="001C7180">
        <w:rPr>
          <w:rFonts w:ascii="Arial" w:hAnsi="Arial" w:cs="Arial"/>
          <w:color w:val="000000"/>
          <w:sz w:val="20"/>
        </w:rPr>
        <w:t>s</w:t>
      </w:r>
      <w:r>
        <w:rPr>
          <w:rFonts w:ascii="Arial" w:hAnsi="Arial" w:cs="Arial"/>
          <w:color w:val="000000"/>
          <w:sz w:val="20"/>
        </w:rPr>
        <w:t xml:space="preserve">.8(1) </w:t>
      </w:r>
      <w:r w:rsidR="001C7180">
        <w:rPr>
          <w:rFonts w:ascii="Arial" w:hAnsi="Arial" w:cs="Arial"/>
          <w:color w:val="000000"/>
          <w:sz w:val="20"/>
        </w:rPr>
        <w:t xml:space="preserve">&amp; 8(2)(b) </w:t>
      </w:r>
      <w:r>
        <w:rPr>
          <w:rFonts w:ascii="Arial" w:hAnsi="Arial" w:cs="Arial"/>
          <w:color w:val="000000"/>
          <w:sz w:val="20"/>
        </w:rPr>
        <w:t xml:space="preserve">that the OCA does not limit or otherwise affect the operation of s.534 CYFA or for that matter </w:t>
      </w:r>
      <w:r w:rsidR="00FE3225">
        <w:rPr>
          <w:rFonts w:ascii="Arial" w:hAnsi="Arial" w:cs="Arial"/>
          <w:color w:val="000000"/>
          <w:sz w:val="20"/>
        </w:rPr>
        <w:t xml:space="preserve">of </w:t>
      </w:r>
      <w:r>
        <w:rPr>
          <w:rFonts w:ascii="Arial" w:hAnsi="Arial" w:cs="Arial"/>
          <w:color w:val="000000"/>
          <w:sz w:val="20"/>
        </w:rPr>
        <w:t>s.</w:t>
      </w:r>
      <w:r w:rsidR="007B0F16">
        <w:rPr>
          <w:rFonts w:ascii="Arial" w:hAnsi="Arial" w:cs="Arial"/>
          <w:color w:val="000000"/>
          <w:sz w:val="20"/>
        </w:rPr>
        <w:t>523.</w:t>
      </w:r>
      <w:r w:rsidR="001251F3">
        <w:rPr>
          <w:rFonts w:ascii="Arial" w:hAnsi="Arial" w:cs="Arial"/>
          <w:color w:val="000000"/>
          <w:sz w:val="20"/>
        </w:rPr>
        <w:t xml:space="preserve">  </w:t>
      </w:r>
      <w:r w:rsidR="00243288">
        <w:rPr>
          <w:rFonts w:ascii="Arial" w:hAnsi="Arial" w:cs="Arial"/>
          <w:color w:val="000000"/>
          <w:sz w:val="20"/>
        </w:rPr>
        <w:t xml:space="preserve">The position in relation to ss.8(1A) &amp; 8(3) of the OCA is not so clear.  This issue arose as a central aspect of </w:t>
      </w:r>
      <w:r w:rsidR="00243288" w:rsidRPr="00243288">
        <w:rPr>
          <w:rFonts w:ascii="Arial" w:hAnsi="Arial" w:cs="Arial"/>
          <w:i/>
          <w:iCs/>
          <w:color w:val="000000"/>
          <w:sz w:val="20"/>
        </w:rPr>
        <w:t>Re WD (No 2)</w:t>
      </w:r>
      <w:r w:rsidR="00243288">
        <w:rPr>
          <w:rFonts w:ascii="Arial" w:hAnsi="Arial" w:cs="Arial"/>
          <w:color w:val="000000"/>
          <w:sz w:val="20"/>
        </w:rPr>
        <w:t xml:space="preserve"> [2023] VSC 790</w:t>
      </w:r>
      <w:r w:rsidR="00084B7E">
        <w:rPr>
          <w:rFonts w:ascii="Arial" w:hAnsi="Arial" w:cs="Arial"/>
          <w:color w:val="000000"/>
          <w:sz w:val="20"/>
        </w:rPr>
        <w:t xml:space="preserve"> in which the Court dismissed the application of the Secretary DFFH for a proceeding suppression order</w:t>
      </w:r>
      <w:r w:rsidR="00243288">
        <w:rPr>
          <w:rFonts w:ascii="Arial" w:hAnsi="Arial" w:cs="Arial"/>
          <w:color w:val="000000"/>
          <w:sz w:val="20"/>
        </w:rPr>
        <w:t>.  At [100]-[10</w:t>
      </w:r>
      <w:r w:rsidR="001C7180">
        <w:rPr>
          <w:rFonts w:ascii="Arial" w:hAnsi="Arial" w:cs="Arial"/>
          <w:color w:val="000000"/>
          <w:sz w:val="20"/>
        </w:rPr>
        <w:t>2</w:t>
      </w:r>
      <w:r w:rsidR="00243288">
        <w:rPr>
          <w:rFonts w:ascii="Arial" w:hAnsi="Arial" w:cs="Arial"/>
          <w:color w:val="000000"/>
          <w:sz w:val="20"/>
        </w:rPr>
        <w:t>]</w:t>
      </w:r>
      <w:r w:rsidR="00E5442C">
        <w:rPr>
          <w:rFonts w:ascii="Arial" w:hAnsi="Arial" w:cs="Arial"/>
          <w:color w:val="000000"/>
          <w:sz w:val="20"/>
        </w:rPr>
        <w:t>,</w:t>
      </w:r>
      <w:r w:rsidR="001C7180">
        <w:rPr>
          <w:rFonts w:ascii="Arial" w:hAnsi="Arial" w:cs="Arial"/>
          <w:color w:val="000000"/>
          <w:sz w:val="20"/>
        </w:rPr>
        <w:t xml:space="preserve"> [107] </w:t>
      </w:r>
      <w:r w:rsidR="00E5442C">
        <w:rPr>
          <w:rFonts w:ascii="Arial" w:hAnsi="Arial" w:cs="Arial"/>
          <w:color w:val="000000"/>
          <w:sz w:val="20"/>
        </w:rPr>
        <w:t xml:space="preserve">&amp; [110] </w:t>
      </w:r>
      <w:r w:rsidR="00243288">
        <w:rPr>
          <w:rFonts w:ascii="Arial" w:hAnsi="Arial" w:cs="Arial"/>
          <w:color w:val="000000"/>
          <w:sz w:val="20"/>
        </w:rPr>
        <w:t>Elliott</w:t>
      </w:r>
      <w:r w:rsidR="00084B7E">
        <w:rPr>
          <w:rFonts w:ascii="Arial" w:hAnsi="Arial" w:cs="Arial"/>
          <w:color w:val="000000"/>
          <w:sz w:val="20"/>
        </w:rPr>
        <w:t> </w:t>
      </w:r>
      <w:r w:rsidR="00243288">
        <w:rPr>
          <w:rFonts w:ascii="Arial" w:hAnsi="Arial" w:cs="Arial"/>
          <w:color w:val="000000"/>
          <w:sz w:val="20"/>
        </w:rPr>
        <w:t>J said</w:t>
      </w:r>
      <w:r w:rsidR="001C7180">
        <w:rPr>
          <w:rFonts w:ascii="Arial" w:hAnsi="Arial" w:cs="Arial"/>
          <w:color w:val="000000"/>
          <w:sz w:val="20"/>
        </w:rPr>
        <w:t xml:space="preserve"> </w:t>
      </w:r>
      <w:r w:rsidR="001C7180">
        <w:rPr>
          <w:rFonts w:ascii="Arial" w:hAnsi="Arial" w:cs="Arial"/>
          <w:sz w:val="20"/>
        </w:rPr>
        <w:t>(emphasis added but footnotes omitted)</w:t>
      </w:r>
      <w:r w:rsidR="00243288">
        <w:rPr>
          <w:rFonts w:ascii="Arial" w:hAnsi="Arial" w:cs="Arial"/>
          <w:color w:val="000000"/>
          <w:sz w:val="20"/>
        </w:rPr>
        <w:t>:</w:t>
      </w:r>
    </w:p>
    <w:p w14:paraId="7D55CA58" w14:textId="5C889481" w:rsidR="00243288" w:rsidRDefault="00243288" w:rsidP="00243288">
      <w:pPr>
        <w:spacing w:before="60"/>
        <w:ind w:left="567" w:right="567"/>
        <w:jc w:val="both"/>
        <w:rPr>
          <w:rFonts w:ascii="Arial" w:hAnsi="Arial" w:cs="Arial"/>
          <w:color w:val="000000"/>
          <w:sz w:val="20"/>
        </w:rPr>
      </w:pPr>
      <w:r>
        <w:rPr>
          <w:rFonts w:ascii="Arial" w:hAnsi="Arial" w:cs="Arial"/>
          <w:color w:val="000000"/>
          <w:sz w:val="20"/>
        </w:rPr>
        <w:t xml:space="preserve">[100] “In the absence of any prior judicial consideration of the interaction between section 8(1A) and (3), general principles of statutory interpretation must be considered.  The central focus should be on the text of the provision, with its words given their natural and ordinary meaning unless a contrary legislative intent is plain: </w:t>
      </w:r>
      <w:r w:rsidRPr="00243288">
        <w:rPr>
          <w:rFonts w:ascii="Arial" w:hAnsi="Arial" w:cs="Arial"/>
          <w:i/>
          <w:iCs/>
          <w:color w:val="000000"/>
          <w:sz w:val="20"/>
        </w:rPr>
        <w:t>Masson v Parsons</w:t>
      </w:r>
      <w:r>
        <w:rPr>
          <w:rFonts w:ascii="Arial" w:hAnsi="Arial" w:cs="Arial"/>
          <w:color w:val="000000"/>
          <w:sz w:val="20"/>
        </w:rPr>
        <w:t xml:space="preserve"> (2019) 266 CLR 554, 572 [26]; </w:t>
      </w:r>
      <w:r w:rsidRPr="00243288">
        <w:rPr>
          <w:rFonts w:ascii="Arial" w:hAnsi="Arial" w:cs="Arial"/>
          <w:i/>
          <w:iCs/>
          <w:color w:val="000000"/>
          <w:sz w:val="20"/>
        </w:rPr>
        <w:t>Project Blue Sky Inc v Australian Broadcasting Authority</w:t>
      </w:r>
      <w:r>
        <w:rPr>
          <w:rFonts w:ascii="Arial" w:hAnsi="Arial" w:cs="Arial"/>
          <w:color w:val="000000"/>
          <w:sz w:val="20"/>
        </w:rPr>
        <w:t xml:space="preserve"> (1998) 194 CLR 335, 384 [78].  The text of the provision must also be considered in context, including by having regard to the Act as a whole, its purpose and object, and any relevant extrinsic material: </w:t>
      </w:r>
      <w:r w:rsidR="007820C5" w:rsidRPr="00243288">
        <w:rPr>
          <w:rFonts w:ascii="Arial" w:hAnsi="Arial" w:cs="Arial"/>
          <w:i/>
          <w:iCs/>
          <w:color w:val="000000"/>
          <w:sz w:val="20"/>
        </w:rPr>
        <w:t>Project Blue Sky Inc v Australian Broadcasting Authority</w:t>
      </w:r>
      <w:r w:rsidR="007820C5">
        <w:rPr>
          <w:rFonts w:ascii="Arial" w:hAnsi="Arial" w:cs="Arial"/>
          <w:color w:val="000000"/>
          <w:sz w:val="20"/>
        </w:rPr>
        <w:t xml:space="preserve"> (1998) 194 CLR 335, 384 [78]; </w:t>
      </w:r>
      <w:r w:rsidR="007820C5" w:rsidRPr="007820C5">
        <w:rPr>
          <w:rFonts w:ascii="Arial" w:hAnsi="Arial" w:cs="Arial"/>
          <w:i/>
          <w:iCs/>
          <w:color w:val="000000"/>
          <w:sz w:val="20"/>
        </w:rPr>
        <w:t>CIC Insurance Ltd v Bankstown Football Club Ltd</w:t>
      </w:r>
      <w:r w:rsidR="007820C5">
        <w:rPr>
          <w:rFonts w:ascii="Arial" w:hAnsi="Arial" w:cs="Arial"/>
          <w:color w:val="000000"/>
          <w:sz w:val="20"/>
        </w:rPr>
        <w:t xml:space="preserve"> (1997) 187 CLR 384, 408.  A construction of legislation which promotes its underlying purpose or objective is to be preferred to one that does not: </w:t>
      </w:r>
      <w:r w:rsidR="007820C5" w:rsidRPr="007820C5">
        <w:rPr>
          <w:rFonts w:ascii="Arial" w:hAnsi="Arial" w:cs="Arial"/>
          <w:i/>
          <w:iCs/>
          <w:color w:val="000000"/>
          <w:sz w:val="20"/>
        </w:rPr>
        <w:t>Interpretation of Legislation Act 1984</w:t>
      </w:r>
      <w:r w:rsidR="007820C5">
        <w:rPr>
          <w:rFonts w:ascii="Arial" w:hAnsi="Arial" w:cs="Arial"/>
          <w:color w:val="000000"/>
          <w:sz w:val="20"/>
        </w:rPr>
        <w:t xml:space="preserve"> (Vic), s.35(a).</w:t>
      </w:r>
    </w:p>
    <w:p w14:paraId="63A6C997" w14:textId="77777777" w:rsidR="001C7180" w:rsidRDefault="007820C5" w:rsidP="00243288">
      <w:pPr>
        <w:spacing w:before="60"/>
        <w:ind w:left="567" w:right="567"/>
        <w:jc w:val="both"/>
        <w:rPr>
          <w:rFonts w:ascii="Arial" w:hAnsi="Arial" w:cs="Arial"/>
          <w:color w:val="000000"/>
          <w:sz w:val="20"/>
        </w:rPr>
      </w:pPr>
      <w:r>
        <w:rPr>
          <w:rFonts w:ascii="Arial" w:hAnsi="Arial" w:cs="Arial"/>
          <w:color w:val="000000"/>
          <w:sz w:val="20"/>
        </w:rPr>
        <w:t xml:space="preserve">[101] With this in mind, the position so far as section 8(1A) is concerned is relatively straightforward.  As is clear from the text of the provision, it operates to preclude a court from making a suppression order in relation to information the publication or disclosure of which is already prohibited or restricted by the operation of a provision referred to in section 8(2).  Thus, on its face, </w:t>
      </w:r>
      <w:r w:rsidRPr="001C7180">
        <w:rPr>
          <w:rFonts w:ascii="Arial" w:hAnsi="Arial" w:cs="Arial"/>
          <w:b/>
          <w:bCs/>
          <w:color w:val="000000"/>
          <w:sz w:val="20"/>
        </w:rPr>
        <w:t xml:space="preserve">section 8(1A) precludes the court from making the suppression order sought by the Secretary, which proposes to </w:t>
      </w:r>
      <w:r w:rsidR="00261686" w:rsidRPr="001C7180">
        <w:rPr>
          <w:rFonts w:ascii="Arial" w:hAnsi="Arial" w:cs="Arial"/>
          <w:b/>
          <w:bCs/>
          <w:color w:val="000000"/>
          <w:sz w:val="20"/>
        </w:rPr>
        <w:t xml:space="preserve">prohibit the publication or disclosure of information that is already captured by the restriction on publication in section 534 of the </w:t>
      </w:r>
      <w:r w:rsidR="00261686" w:rsidRPr="001C7180">
        <w:rPr>
          <w:rFonts w:ascii="Arial" w:hAnsi="Arial" w:cs="Arial"/>
          <w:b/>
          <w:bCs/>
          <w:i/>
          <w:iCs/>
          <w:color w:val="000000"/>
          <w:sz w:val="20"/>
        </w:rPr>
        <w:t>Children, Youth and Families Act 2005</w:t>
      </w:r>
      <w:r w:rsidR="00261686">
        <w:rPr>
          <w:rFonts w:ascii="Arial" w:hAnsi="Arial" w:cs="Arial"/>
          <w:color w:val="000000"/>
          <w:sz w:val="20"/>
        </w:rPr>
        <w:t>.</w:t>
      </w:r>
    </w:p>
    <w:p w14:paraId="7EB5FC5D" w14:textId="4FB9BA01" w:rsidR="007820C5" w:rsidRDefault="001C7180" w:rsidP="00243288">
      <w:pPr>
        <w:spacing w:before="60"/>
        <w:ind w:left="567" w:right="567"/>
        <w:jc w:val="both"/>
        <w:rPr>
          <w:rFonts w:ascii="Arial" w:hAnsi="Arial" w:cs="Arial"/>
          <w:color w:val="000000"/>
          <w:sz w:val="20"/>
        </w:rPr>
      </w:pPr>
      <w:r>
        <w:rPr>
          <w:rFonts w:ascii="Arial" w:hAnsi="Arial" w:cs="Arial"/>
          <w:color w:val="000000"/>
          <w:sz w:val="20"/>
        </w:rPr>
        <w:t>[102] However, the operation of section 8(3), and particularly the manner in which this subsection interacts with section 8(1A) is less clear…”</w:t>
      </w:r>
    </w:p>
    <w:p w14:paraId="2321A3E3" w14:textId="3D09B3C7" w:rsidR="001C7180" w:rsidRDefault="001C7180" w:rsidP="00243288">
      <w:pPr>
        <w:spacing w:before="60"/>
        <w:ind w:left="567" w:right="567"/>
        <w:jc w:val="both"/>
        <w:rPr>
          <w:rFonts w:ascii="Arial" w:hAnsi="Arial" w:cs="Arial"/>
          <w:color w:val="000000"/>
          <w:sz w:val="20"/>
        </w:rPr>
      </w:pPr>
      <w:r>
        <w:rPr>
          <w:rFonts w:ascii="Arial" w:hAnsi="Arial" w:cs="Arial"/>
          <w:color w:val="000000"/>
          <w:sz w:val="20"/>
        </w:rPr>
        <w:t>…</w:t>
      </w:r>
    </w:p>
    <w:p w14:paraId="513C4376" w14:textId="7053E967" w:rsidR="00567690" w:rsidRDefault="001C7180" w:rsidP="00025A2C">
      <w:pPr>
        <w:spacing w:before="60"/>
        <w:ind w:left="567" w:right="567"/>
        <w:jc w:val="both"/>
        <w:rPr>
          <w:rFonts w:ascii="Arial" w:hAnsi="Arial" w:cs="Arial"/>
          <w:sz w:val="20"/>
          <w:szCs w:val="20"/>
        </w:rPr>
      </w:pPr>
      <w:r>
        <w:rPr>
          <w:rFonts w:ascii="Arial" w:hAnsi="Arial" w:cs="Arial"/>
          <w:color w:val="000000"/>
          <w:sz w:val="20"/>
        </w:rPr>
        <w:t xml:space="preserve">[107] “Ultimately, it is unnecessary to determine the precise scope and operation of section 8(3) for present purposes.  Whatever the position might be, it is clear that the subsection does not operate as an empowering provision.  The language used </w:t>
      </w:r>
      <w:r w:rsidR="00592FA3">
        <w:rPr>
          <w:rFonts w:ascii="Arial" w:hAnsi="Arial" w:cs="Arial"/>
          <w:color w:val="000000"/>
          <w:sz w:val="20"/>
        </w:rPr>
        <w:t xml:space="preserve">in the </w:t>
      </w:r>
      <w:r w:rsidR="00025A2C" w:rsidRPr="00025A2C">
        <w:rPr>
          <w:rFonts w:ascii="Arial" w:hAnsi="Arial" w:cs="Arial"/>
          <w:sz w:val="20"/>
          <w:szCs w:val="20"/>
        </w:rPr>
        <w:t>provision does not in any way evoke a power on the court’s part to make suppression orders where</w:t>
      </w:r>
      <w:r w:rsidR="00025A2C">
        <w:rPr>
          <w:rFonts w:ascii="Arial" w:hAnsi="Arial" w:cs="Arial"/>
          <w:sz w:val="20"/>
          <w:szCs w:val="20"/>
        </w:rPr>
        <w:t xml:space="preserve"> specialised re</w:t>
      </w:r>
      <w:r w:rsidR="00025A2C" w:rsidRPr="00025A2C">
        <w:rPr>
          <w:rFonts w:ascii="Arial" w:hAnsi="Arial" w:cs="Arial"/>
          <w:sz w:val="20"/>
          <w:szCs w:val="20"/>
        </w:rPr>
        <w:t xml:space="preserve">gimes prohibiting or restricting the publication of the relevant information are already in place. Further, the explanatory memorandum to the Open Courts and Other Acts Amendment Bill makes clear that the function of section 8(3) is </w:t>
      </w:r>
      <w:r w:rsidR="00025A2C">
        <w:rPr>
          <w:rFonts w:ascii="Arial" w:hAnsi="Arial" w:cs="Arial"/>
          <w:sz w:val="20"/>
          <w:szCs w:val="20"/>
        </w:rPr>
        <w:t>‘</w:t>
      </w:r>
      <w:r w:rsidR="00025A2C" w:rsidRPr="00025A2C">
        <w:rPr>
          <w:rFonts w:ascii="Arial" w:hAnsi="Arial" w:cs="Arial"/>
          <w:i/>
          <w:iCs/>
          <w:sz w:val="20"/>
          <w:szCs w:val="20"/>
        </w:rPr>
        <w:t>ensuring</w:t>
      </w:r>
      <w:r w:rsidR="00025A2C" w:rsidRPr="00025A2C">
        <w:rPr>
          <w:rFonts w:ascii="Arial" w:hAnsi="Arial" w:cs="Arial"/>
          <w:sz w:val="20"/>
          <w:szCs w:val="20"/>
        </w:rPr>
        <w:t xml:space="preserve"> that a suppression </w:t>
      </w:r>
      <w:r w:rsidR="00025A2C" w:rsidRPr="00025A2C">
        <w:rPr>
          <w:rFonts w:ascii="Arial" w:hAnsi="Arial" w:cs="Arial"/>
          <w:sz w:val="20"/>
          <w:szCs w:val="20"/>
        </w:rPr>
        <w:lastRenderedPageBreak/>
        <w:t xml:space="preserve">order made … </w:t>
      </w:r>
      <w:r w:rsidR="00025A2C" w:rsidRPr="00025A2C">
        <w:rPr>
          <w:rFonts w:ascii="Arial" w:hAnsi="Arial" w:cs="Arial"/>
          <w:i/>
          <w:iCs/>
          <w:sz w:val="20"/>
          <w:szCs w:val="20"/>
        </w:rPr>
        <w:t>contrary to the statutory requirement</w:t>
      </w:r>
      <w:r w:rsidR="00025A2C" w:rsidRPr="00025A2C">
        <w:rPr>
          <w:rFonts w:ascii="Arial" w:hAnsi="Arial" w:cs="Arial"/>
          <w:sz w:val="20"/>
          <w:szCs w:val="20"/>
        </w:rPr>
        <w:t xml:space="preserve"> in section 8(1A) </w:t>
      </w:r>
      <w:r w:rsidR="00025A2C" w:rsidRPr="00025A2C">
        <w:rPr>
          <w:rFonts w:ascii="Arial" w:hAnsi="Arial" w:cs="Arial"/>
          <w:i/>
          <w:iCs/>
          <w:sz w:val="20"/>
          <w:szCs w:val="20"/>
        </w:rPr>
        <w:t>is not invalid</w:t>
      </w:r>
      <w:r w:rsidR="00025A2C">
        <w:rPr>
          <w:rFonts w:ascii="Arial" w:hAnsi="Arial" w:cs="Arial"/>
          <w:sz w:val="20"/>
          <w:szCs w:val="20"/>
        </w:rPr>
        <w:t>’</w:t>
      </w:r>
      <w:r w:rsidR="00025A2C" w:rsidRPr="00025A2C">
        <w:rPr>
          <w:rFonts w:ascii="Arial" w:hAnsi="Arial" w:cs="Arial"/>
          <w:sz w:val="20"/>
          <w:szCs w:val="20"/>
        </w:rPr>
        <w:t xml:space="preserve"> as a result of covering the same subject matter (emphasis added). This again makes clear that section 8(3) is a safeguard against invalidity, rather than a source of power. In this way, the provision stands in stark contrast to the strong prohibitive language adopted in section 8(1A), which provides that a court </w:t>
      </w:r>
      <w:r w:rsidR="00025A2C">
        <w:rPr>
          <w:rFonts w:ascii="Arial" w:hAnsi="Arial" w:cs="Arial"/>
          <w:sz w:val="20"/>
          <w:szCs w:val="20"/>
        </w:rPr>
        <w:t>‘</w:t>
      </w:r>
      <w:r w:rsidR="00025A2C" w:rsidRPr="00025A2C">
        <w:rPr>
          <w:rFonts w:ascii="Arial" w:hAnsi="Arial" w:cs="Arial"/>
          <w:sz w:val="20"/>
          <w:szCs w:val="20"/>
        </w:rPr>
        <w:t>must not</w:t>
      </w:r>
      <w:r w:rsidR="00025A2C">
        <w:rPr>
          <w:rFonts w:ascii="Arial" w:hAnsi="Arial" w:cs="Arial"/>
          <w:sz w:val="20"/>
          <w:szCs w:val="20"/>
        </w:rPr>
        <w:t>’</w:t>
      </w:r>
      <w:r w:rsidR="00025A2C" w:rsidRPr="00025A2C">
        <w:rPr>
          <w:rFonts w:ascii="Arial" w:hAnsi="Arial" w:cs="Arial"/>
          <w:sz w:val="20"/>
          <w:szCs w:val="20"/>
        </w:rPr>
        <w:t xml:space="preserve"> make a suppression order where the publication or disclosure of the relevant information is already prohibited or limited by the operation of a provision referred to in section 8(2).</w:t>
      </w:r>
      <w:r w:rsidR="00025A2C">
        <w:rPr>
          <w:rFonts w:ascii="Arial" w:hAnsi="Arial" w:cs="Arial"/>
          <w:sz w:val="20"/>
          <w:szCs w:val="20"/>
        </w:rPr>
        <w:t>”</w:t>
      </w:r>
    </w:p>
    <w:p w14:paraId="5E2E0988" w14:textId="36511D18" w:rsidR="00084B7E" w:rsidRDefault="00084B7E" w:rsidP="00025A2C">
      <w:pPr>
        <w:spacing w:before="60"/>
        <w:ind w:left="567" w:right="567"/>
        <w:jc w:val="both"/>
        <w:rPr>
          <w:rFonts w:ascii="Arial" w:hAnsi="Arial" w:cs="Arial"/>
          <w:sz w:val="20"/>
          <w:szCs w:val="20"/>
        </w:rPr>
      </w:pPr>
      <w:r>
        <w:rPr>
          <w:rFonts w:ascii="Arial" w:hAnsi="Arial" w:cs="Arial"/>
          <w:sz w:val="20"/>
          <w:szCs w:val="20"/>
        </w:rPr>
        <w:t>…</w:t>
      </w:r>
    </w:p>
    <w:p w14:paraId="60D5F9C2" w14:textId="16F207FB" w:rsidR="00084B7E" w:rsidRPr="00084B7E" w:rsidRDefault="00084B7E" w:rsidP="00025A2C">
      <w:pPr>
        <w:spacing w:before="60"/>
        <w:ind w:left="567" w:right="567"/>
        <w:jc w:val="both"/>
        <w:rPr>
          <w:rFonts w:ascii="Arial" w:hAnsi="Arial" w:cs="Arial"/>
          <w:color w:val="000000"/>
          <w:sz w:val="20"/>
          <w:szCs w:val="20"/>
        </w:rPr>
      </w:pPr>
      <w:r w:rsidRPr="00084B7E">
        <w:rPr>
          <w:rFonts w:ascii="Arial" w:hAnsi="Arial" w:cs="Arial"/>
          <w:sz w:val="20"/>
          <w:szCs w:val="20"/>
        </w:rPr>
        <w:t xml:space="preserve">[110] “In light of the above, it is not appropriate that a suppression order in the form sought by the Secretary be made.  As is clear from the terms of the proposed order, the information that it seeks to suppress the publication or disclosure of is already captured by the restriction on publication found in section 534 of the </w:t>
      </w:r>
      <w:r w:rsidRPr="00084B7E">
        <w:rPr>
          <w:rFonts w:ascii="Arial" w:hAnsi="Arial" w:cs="Arial"/>
          <w:i/>
          <w:iCs/>
          <w:sz w:val="20"/>
          <w:szCs w:val="20"/>
        </w:rPr>
        <w:t>Children, Youth and Families Act</w:t>
      </w:r>
      <w:r w:rsidRPr="00084B7E">
        <w:rPr>
          <w:rFonts w:ascii="Arial" w:hAnsi="Arial" w:cs="Arial"/>
          <w:sz w:val="20"/>
          <w:szCs w:val="20"/>
        </w:rPr>
        <w:t>.</w:t>
      </w:r>
      <w:r>
        <w:rPr>
          <w:rFonts w:ascii="Arial" w:hAnsi="Arial" w:cs="Arial"/>
          <w:sz w:val="20"/>
          <w:szCs w:val="20"/>
        </w:rPr>
        <w:t xml:space="preserve"> </w:t>
      </w:r>
      <w:r w:rsidRPr="00084B7E">
        <w:rPr>
          <w:rFonts w:ascii="Arial" w:hAnsi="Arial" w:cs="Arial"/>
          <w:sz w:val="20"/>
          <w:szCs w:val="20"/>
        </w:rPr>
        <w:t xml:space="preserve"> To</w:t>
      </w:r>
      <w:r>
        <w:rPr>
          <w:rFonts w:ascii="Arial" w:hAnsi="Arial" w:cs="Arial"/>
          <w:sz w:val="20"/>
          <w:szCs w:val="20"/>
        </w:rPr>
        <w:t> </w:t>
      </w:r>
      <w:r w:rsidRPr="00084B7E">
        <w:rPr>
          <w:rFonts w:ascii="Arial" w:hAnsi="Arial" w:cs="Arial"/>
          <w:sz w:val="20"/>
          <w:szCs w:val="20"/>
        </w:rPr>
        <w:t xml:space="preserve">make a suppression order in these circumstances would be in direct contravention of the statutory prohibition in section 8(1A) of the </w:t>
      </w:r>
      <w:r w:rsidRPr="00084B7E">
        <w:rPr>
          <w:rFonts w:ascii="Arial" w:hAnsi="Arial" w:cs="Arial"/>
          <w:i/>
          <w:iCs/>
          <w:sz w:val="20"/>
          <w:szCs w:val="20"/>
        </w:rPr>
        <w:t>Open Courts Act</w:t>
      </w:r>
      <w:r w:rsidRPr="00084B7E">
        <w:rPr>
          <w:rFonts w:ascii="Arial" w:hAnsi="Arial" w:cs="Arial"/>
          <w:sz w:val="20"/>
          <w:szCs w:val="20"/>
        </w:rPr>
        <w:t>. Even if section 8(3) would be enlivened in the circumstances to prevent such an order being rendered invalid, clearly, this provision could not authorise the making of a suppression order in wilful and flagrant disregard of section 8(1A).</w:t>
      </w:r>
      <w:r>
        <w:rPr>
          <w:rFonts w:ascii="Arial" w:hAnsi="Arial" w:cs="Arial"/>
          <w:sz w:val="20"/>
          <w:szCs w:val="20"/>
        </w:rPr>
        <w:t>”</w:t>
      </w:r>
    </w:p>
    <w:p w14:paraId="3EAA4646" w14:textId="77777777" w:rsidR="00567690" w:rsidRDefault="00567690" w:rsidP="007B0F16">
      <w:pPr>
        <w:jc w:val="both"/>
        <w:rPr>
          <w:rFonts w:ascii="Arial" w:hAnsi="Arial" w:cs="Arial"/>
          <w:color w:val="000000"/>
          <w:sz w:val="20"/>
        </w:rPr>
      </w:pPr>
    </w:p>
    <w:p w14:paraId="0BBB4A00" w14:textId="3727BAD7" w:rsidR="00E03FC4" w:rsidRPr="00025A2C" w:rsidRDefault="00025A2C" w:rsidP="00025A2C">
      <w:pPr>
        <w:jc w:val="both"/>
        <w:rPr>
          <w:rFonts w:ascii="Arial" w:hAnsi="Arial" w:cs="Arial"/>
          <w:color w:val="000000"/>
          <w:sz w:val="20"/>
        </w:rPr>
      </w:pPr>
      <w:r>
        <w:rPr>
          <w:rFonts w:ascii="Arial" w:hAnsi="Arial" w:cs="Arial"/>
          <w:color w:val="000000"/>
          <w:sz w:val="20"/>
        </w:rPr>
        <w:t xml:space="preserve">Although it is clear that </w:t>
      </w:r>
      <w:r w:rsidR="007B0F16" w:rsidRPr="00025A2C">
        <w:rPr>
          <w:rFonts w:ascii="Arial" w:hAnsi="Arial" w:cs="Arial"/>
          <w:color w:val="000000"/>
          <w:sz w:val="20"/>
        </w:rPr>
        <w:t>s</w:t>
      </w:r>
      <w:r w:rsidR="00D10311" w:rsidRPr="00025A2C">
        <w:rPr>
          <w:rFonts w:ascii="Arial" w:hAnsi="Arial" w:cs="Arial"/>
          <w:color w:val="000000"/>
          <w:sz w:val="20"/>
        </w:rPr>
        <w:t>.</w:t>
      </w:r>
      <w:r w:rsidR="007B0F16" w:rsidRPr="00025A2C">
        <w:rPr>
          <w:rFonts w:ascii="Arial" w:hAnsi="Arial" w:cs="Arial"/>
          <w:color w:val="000000"/>
          <w:sz w:val="20"/>
        </w:rPr>
        <w:t xml:space="preserve">8(1A) </w:t>
      </w:r>
      <w:r>
        <w:rPr>
          <w:rFonts w:ascii="Arial" w:hAnsi="Arial" w:cs="Arial"/>
          <w:color w:val="000000"/>
          <w:sz w:val="20"/>
        </w:rPr>
        <w:t xml:space="preserve">of the OCA </w:t>
      </w:r>
      <w:r w:rsidR="007B0F16" w:rsidRPr="00025A2C">
        <w:rPr>
          <w:rFonts w:ascii="Arial" w:hAnsi="Arial" w:cs="Arial"/>
          <w:color w:val="000000"/>
          <w:sz w:val="20"/>
        </w:rPr>
        <w:t>prohibit</w:t>
      </w:r>
      <w:r w:rsidR="00D10311" w:rsidRPr="00025A2C">
        <w:rPr>
          <w:rFonts w:ascii="Arial" w:hAnsi="Arial" w:cs="Arial"/>
          <w:color w:val="000000"/>
          <w:sz w:val="20"/>
        </w:rPr>
        <w:t>s</w:t>
      </w:r>
      <w:r w:rsidR="007B0F16" w:rsidRPr="00025A2C">
        <w:rPr>
          <w:rFonts w:ascii="Arial" w:hAnsi="Arial" w:cs="Arial"/>
          <w:color w:val="000000"/>
          <w:sz w:val="20"/>
        </w:rPr>
        <w:t xml:space="preserve"> the Children’s Court from making a suppression order under the OCA which replicates </w:t>
      </w:r>
      <w:r w:rsidR="00A576BE" w:rsidRPr="00025A2C">
        <w:rPr>
          <w:rFonts w:ascii="Arial" w:hAnsi="Arial" w:cs="Arial"/>
          <w:color w:val="000000"/>
          <w:sz w:val="20"/>
        </w:rPr>
        <w:t xml:space="preserve">any of </w:t>
      </w:r>
      <w:r w:rsidR="007B0F16" w:rsidRPr="00025A2C">
        <w:rPr>
          <w:rFonts w:ascii="Arial" w:hAnsi="Arial" w:cs="Arial"/>
          <w:color w:val="000000"/>
          <w:sz w:val="20"/>
        </w:rPr>
        <w:t xml:space="preserve">the </w:t>
      </w:r>
      <w:r w:rsidR="003D32C5" w:rsidRPr="00025A2C">
        <w:rPr>
          <w:rFonts w:ascii="Arial" w:hAnsi="Arial" w:cs="Arial"/>
          <w:color w:val="000000"/>
          <w:sz w:val="20"/>
        </w:rPr>
        <w:t xml:space="preserve">express </w:t>
      </w:r>
      <w:r w:rsidR="007B0F16" w:rsidRPr="00025A2C">
        <w:rPr>
          <w:rFonts w:ascii="Arial" w:hAnsi="Arial" w:cs="Arial"/>
          <w:color w:val="000000"/>
          <w:sz w:val="20"/>
        </w:rPr>
        <w:t>prohibitions in s.534 CYFA</w:t>
      </w:r>
      <w:r>
        <w:rPr>
          <w:rFonts w:ascii="Arial" w:hAnsi="Arial" w:cs="Arial"/>
          <w:color w:val="000000"/>
          <w:sz w:val="20"/>
        </w:rPr>
        <w:t xml:space="preserve">, the writer considers it probable that </w:t>
      </w:r>
      <w:r w:rsidR="007B0F16" w:rsidRPr="00025A2C">
        <w:rPr>
          <w:rFonts w:ascii="Arial" w:hAnsi="Arial" w:cs="Arial"/>
          <w:color w:val="000000"/>
          <w:sz w:val="20"/>
        </w:rPr>
        <w:t xml:space="preserve">s.8(1A) </w:t>
      </w:r>
      <w:r w:rsidR="00FE3225" w:rsidRPr="00025A2C">
        <w:rPr>
          <w:rFonts w:ascii="Arial" w:hAnsi="Arial" w:cs="Arial"/>
          <w:color w:val="000000"/>
          <w:sz w:val="20"/>
        </w:rPr>
        <w:t xml:space="preserve">is not intended to </w:t>
      </w:r>
      <w:r w:rsidR="007B0F16" w:rsidRPr="00025A2C">
        <w:rPr>
          <w:rFonts w:ascii="Arial" w:hAnsi="Arial" w:cs="Arial"/>
          <w:color w:val="000000"/>
          <w:sz w:val="20"/>
        </w:rPr>
        <w:t>prevent the Children’s Court from making a suppression order under the OCA which contains prohibitions additional to those in s.534 CYFA.</w:t>
      </w:r>
    </w:p>
    <w:p w14:paraId="26FB182C" w14:textId="7D33D714" w:rsidR="009765B8" w:rsidRDefault="00FE3225" w:rsidP="00E03FC4">
      <w:pPr>
        <w:spacing w:before="120"/>
        <w:jc w:val="both"/>
        <w:rPr>
          <w:rFonts w:ascii="Arial" w:hAnsi="Arial" w:cs="Arial"/>
          <w:color w:val="000000"/>
          <w:sz w:val="20"/>
        </w:rPr>
      </w:pPr>
      <w:r>
        <w:rPr>
          <w:rFonts w:ascii="Arial" w:hAnsi="Arial" w:cs="Arial"/>
          <w:color w:val="000000"/>
          <w:sz w:val="20"/>
        </w:rPr>
        <w:t xml:space="preserve">In </w:t>
      </w:r>
      <w:r w:rsidR="005F1766">
        <w:rPr>
          <w:rFonts w:ascii="Arial" w:hAnsi="Arial" w:cs="Arial"/>
          <w:color w:val="000000"/>
          <w:sz w:val="20"/>
        </w:rPr>
        <w:t xml:space="preserve">a case in which </w:t>
      </w:r>
      <w:r w:rsidR="00C76FAC">
        <w:rPr>
          <w:rFonts w:ascii="Arial" w:hAnsi="Arial" w:cs="Arial"/>
          <w:color w:val="000000"/>
          <w:sz w:val="20"/>
        </w:rPr>
        <w:t xml:space="preserve">a number of </w:t>
      </w:r>
      <w:r w:rsidR="00885221">
        <w:rPr>
          <w:rFonts w:ascii="Arial" w:hAnsi="Arial" w:cs="Arial"/>
          <w:color w:val="000000"/>
          <w:sz w:val="20"/>
        </w:rPr>
        <w:t xml:space="preserve">young </w:t>
      </w:r>
      <w:r w:rsidR="005F1766">
        <w:rPr>
          <w:rFonts w:ascii="Arial" w:hAnsi="Arial" w:cs="Arial"/>
          <w:color w:val="000000"/>
          <w:sz w:val="20"/>
        </w:rPr>
        <w:t xml:space="preserve">co-accused had been </w:t>
      </w:r>
      <w:r w:rsidR="009765B8">
        <w:rPr>
          <w:rFonts w:ascii="Arial" w:hAnsi="Arial" w:cs="Arial"/>
          <w:color w:val="000000"/>
          <w:sz w:val="20"/>
        </w:rPr>
        <w:t xml:space="preserve">arrested and </w:t>
      </w:r>
      <w:r w:rsidR="005F1766">
        <w:rPr>
          <w:rFonts w:ascii="Arial" w:hAnsi="Arial" w:cs="Arial"/>
          <w:color w:val="000000"/>
          <w:sz w:val="20"/>
        </w:rPr>
        <w:t xml:space="preserve">charged with </w:t>
      </w:r>
      <w:r w:rsidR="00F167F8">
        <w:rPr>
          <w:rFonts w:ascii="Arial" w:hAnsi="Arial" w:cs="Arial"/>
          <w:color w:val="000000"/>
          <w:sz w:val="20"/>
        </w:rPr>
        <w:t>a very serious offence</w:t>
      </w:r>
      <w:r w:rsidR="005F1766">
        <w:rPr>
          <w:rFonts w:ascii="Arial" w:hAnsi="Arial" w:cs="Arial"/>
          <w:color w:val="000000"/>
          <w:sz w:val="20"/>
        </w:rPr>
        <w:t xml:space="preserve"> and </w:t>
      </w:r>
      <w:r w:rsidR="00C76FAC">
        <w:rPr>
          <w:rFonts w:ascii="Arial" w:hAnsi="Arial" w:cs="Arial"/>
          <w:color w:val="000000"/>
          <w:sz w:val="20"/>
        </w:rPr>
        <w:t>one</w:t>
      </w:r>
      <w:r w:rsidR="00A576BE">
        <w:rPr>
          <w:rFonts w:ascii="Arial" w:hAnsi="Arial" w:cs="Arial"/>
          <w:color w:val="000000"/>
          <w:sz w:val="20"/>
        </w:rPr>
        <w:t xml:space="preserve"> </w:t>
      </w:r>
      <w:r w:rsidR="005F1766">
        <w:rPr>
          <w:rFonts w:ascii="Arial" w:hAnsi="Arial" w:cs="Arial"/>
          <w:color w:val="000000"/>
          <w:sz w:val="20"/>
        </w:rPr>
        <w:t>suspect was still at large</w:t>
      </w:r>
      <w:r w:rsidR="009765B8">
        <w:rPr>
          <w:rFonts w:ascii="Arial" w:hAnsi="Arial" w:cs="Arial"/>
          <w:color w:val="000000"/>
          <w:sz w:val="20"/>
        </w:rPr>
        <w:t xml:space="preserve">, Victoria Police applied for a suppression order on the basis that publication of the material prohibited by the order was likely to hinder the police attempts to locate and arrest the </w:t>
      </w:r>
      <w:r w:rsidR="00C76FAC">
        <w:rPr>
          <w:rFonts w:ascii="Arial" w:hAnsi="Arial" w:cs="Arial"/>
          <w:color w:val="000000"/>
          <w:sz w:val="20"/>
        </w:rPr>
        <w:t xml:space="preserve">remaining </w:t>
      </w:r>
      <w:r w:rsidR="009765B8">
        <w:rPr>
          <w:rFonts w:ascii="Arial" w:hAnsi="Arial" w:cs="Arial"/>
          <w:color w:val="000000"/>
          <w:sz w:val="20"/>
        </w:rPr>
        <w:t>suspect.  Being satisfied under s.18</w:t>
      </w:r>
      <w:r w:rsidR="00C76FAC">
        <w:rPr>
          <w:rFonts w:ascii="Arial" w:hAnsi="Arial" w:cs="Arial"/>
          <w:color w:val="000000"/>
          <w:sz w:val="20"/>
        </w:rPr>
        <w:t>(1)</w:t>
      </w:r>
      <w:r w:rsidR="009765B8">
        <w:rPr>
          <w:rFonts w:ascii="Arial" w:hAnsi="Arial" w:cs="Arial"/>
          <w:color w:val="000000"/>
          <w:sz w:val="20"/>
        </w:rPr>
        <w:t xml:space="preserve">(a) OCA that </w:t>
      </w:r>
      <w:r w:rsidR="009765B8" w:rsidRPr="009765B8">
        <w:rPr>
          <w:rFonts w:ascii="Arial" w:hAnsi="Arial" w:cs="Arial"/>
          <w:sz w:val="20"/>
          <w:szCs w:val="16"/>
        </w:rPr>
        <w:t xml:space="preserve">the order </w:t>
      </w:r>
      <w:r w:rsidR="009765B8">
        <w:rPr>
          <w:rFonts w:ascii="Arial" w:hAnsi="Arial" w:cs="Arial"/>
          <w:sz w:val="20"/>
          <w:szCs w:val="16"/>
        </w:rPr>
        <w:t>wa</w:t>
      </w:r>
      <w:r w:rsidR="009765B8" w:rsidRPr="009765B8">
        <w:rPr>
          <w:rFonts w:ascii="Arial" w:hAnsi="Arial" w:cs="Arial"/>
          <w:sz w:val="20"/>
          <w:szCs w:val="16"/>
        </w:rPr>
        <w:t xml:space="preserve">s necessary to prevent a real and substantial risk of prejudice to the proper administration of justice that </w:t>
      </w:r>
      <w:r w:rsidR="009765B8">
        <w:rPr>
          <w:rFonts w:ascii="Arial" w:hAnsi="Arial" w:cs="Arial"/>
          <w:sz w:val="20"/>
          <w:szCs w:val="16"/>
        </w:rPr>
        <w:t>could not</w:t>
      </w:r>
      <w:r w:rsidR="009765B8" w:rsidRPr="009765B8">
        <w:rPr>
          <w:rFonts w:ascii="Arial" w:hAnsi="Arial" w:cs="Arial"/>
          <w:sz w:val="20"/>
          <w:szCs w:val="16"/>
        </w:rPr>
        <w:t xml:space="preserve"> be prevented by other reasonably available means</w:t>
      </w:r>
      <w:r w:rsidR="009765B8">
        <w:rPr>
          <w:rFonts w:ascii="Arial" w:hAnsi="Arial" w:cs="Arial"/>
          <w:sz w:val="20"/>
          <w:szCs w:val="16"/>
        </w:rPr>
        <w:t xml:space="preserve">, </w:t>
      </w:r>
      <w:r w:rsidR="001251F3">
        <w:rPr>
          <w:rFonts w:ascii="Arial" w:hAnsi="Arial" w:cs="Arial"/>
          <w:sz w:val="20"/>
          <w:szCs w:val="16"/>
        </w:rPr>
        <w:t xml:space="preserve">a </w:t>
      </w:r>
      <w:r w:rsidR="009765B8">
        <w:rPr>
          <w:rFonts w:ascii="Arial" w:hAnsi="Arial" w:cs="Arial"/>
          <w:color w:val="000000"/>
          <w:sz w:val="20"/>
        </w:rPr>
        <w:t xml:space="preserve">Children’s Court </w:t>
      </w:r>
      <w:r w:rsidR="001251F3">
        <w:rPr>
          <w:rFonts w:ascii="Arial" w:hAnsi="Arial" w:cs="Arial"/>
          <w:color w:val="000000"/>
          <w:sz w:val="20"/>
        </w:rPr>
        <w:t xml:space="preserve">magistrate </w:t>
      </w:r>
      <w:r w:rsidR="009765B8">
        <w:rPr>
          <w:rFonts w:ascii="Arial" w:hAnsi="Arial" w:cs="Arial"/>
          <w:color w:val="000000"/>
          <w:sz w:val="20"/>
        </w:rPr>
        <w:t xml:space="preserve">made an interim proceeding suppression order </w:t>
      </w:r>
      <w:r w:rsidR="00E03FC4">
        <w:rPr>
          <w:rFonts w:ascii="Arial" w:hAnsi="Arial" w:cs="Arial"/>
          <w:color w:val="000000"/>
          <w:sz w:val="20"/>
        </w:rPr>
        <w:t>on 24/03/</w:t>
      </w:r>
      <w:r w:rsidR="009765B8">
        <w:rPr>
          <w:rFonts w:ascii="Arial" w:hAnsi="Arial" w:cs="Arial"/>
          <w:color w:val="000000"/>
          <w:sz w:val="20"/>
        </w:rPr>
        <w:t>2022 in the following terms:</w:t>
      </w:r>
    </w:p>
    <w:p w14:paraId="61F8429A" w14:textId="2845824A"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Under Section 20(1) of the Act, the Court makes an interim proceeding suppression order, being satisfied the order is necessary under s18(a) of the Act:</w:t>
      </w:r>
    </w:p>
    <w:p w14:paraId="0C1FFC52" w14:textId="77777777" w:rsidR="00C26F95" w:rsidRPr="009765B8" w:rsidRDefault="00C26F95" w:rsidP="005A6305">
      <w:pPr>
        <w:spacing w:before="80"/>
        <w:ind w:left="1304" w:right="1134"/>
        <w:jc w:val="both"/>
        <w:rPr>
          <w:rFonts w:ascii="Arial" w:hAnsi="Arial" w:cs="Arial"/>
          <w:sz w:val="18"/>
          <w:szCs w:val="18"/>
        </w:rPr>
      </w:pPr>
      <w:r w:rsidRPr="009765B8">
        <w:rPr>
          <w:rFonts w:ascii="Arial" w:hAnsi="Arial" w:cs="Arial"/>
          <w:sz w:val="18"/>
          <w:szCs w:val="18"/>
        </w:rPr>
        <w:t>The order prohibits publication of any part of the application in Court for a final suppression order other than the charge sheets and the prosecution summary of the factual allegations against the accused.</w:t>
      </w:r>
    </w:p>
    <w:p w14:paraId="4E0D10F2" w14:textId="77777777"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 xml:space="preserve">The prohibition on publication in paragraph 1 applies in Australia </w:t>
      </w:r>
    </w:p>
    <w:p w14:paraId="2304DAED" w14:textId="77777777"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The order is necessary to prevent a real and substantial risk of prejudice to the proper administration of justice.</w:t>
      </w:r>
    </w:p>
    <w:p w14:paraId="6004A1E1" w14:textId="54C6FC4A" w:rsidR="00C26F95"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 xml:space="preserve">For the purposes of this order, publication means the dissemination or provision of access to the public by any means including, publication in a book, newspaper, magazine or other written publication; or broadcast by radio or television; or public exhibition; or broadcast or electronic communication; pursuant to s3 of </w:t>
      </w:r>
      <w:r w:rsidRPr="009765B8">
        <w:rPr>
          <w:rFonts w:ascii="Arial" w:hAnsi="Arial" w:cs="Arial"/>
          <w:i/>
          <w:sz w:val="18"/>
          <w:szCs w:val="18"/>
        </w:rPr>
        <w:t>the Open Courts Act 2013</w:t>
      </w:r>
      <w:r w:rsidRPr="009765B8">
        <w:rPr>
          <w:rFonts w:ascii="Arial" w:hAnsi="Arial" w:cs="Arial"/>
          <w:sz w:val="18"/>
          <w:szCs w:val="18"/>
        </w:rPr>
        <w:t>.</w:t>
      </w:r>
    </w:p>
    <w:p w14:paraId="70C982CA" w14:textId="18CEFF63" w:rsidR="005A6305" w:rsidRPr="009765B8" w:rsidRDefault="005A6305" w:rsidP="00C23CF0">
      <w:pPr>
        <w:numPr>
          <w:ilvl w:val="0"/>
          <w:numId w:val="38"/>
        </w:numPr>
        <w:spacing w:before="80"/>
        <w:ind w:left="924" w:right="567" w:hanging="357"/>
        <w:jc w:val="both"/>
        <w:rPr>
          <w:rFonts w:ascii="Arial" w:hAnsi="Arial" w:cs="Arial"/>
          <w:sz w:val="18"/>
          <w:szCs w:val="18"/>
        </w:rPr>
      </w:pPr>
      <w:r w:rsidRPr="000806B3">
        <w:rPr>
          <w:rFonts w:ascii="Arial" w:hAnsi="Arial" w:cs="Arial"/>
          <w:sz w:val="18"/>
          <w:szCs w:val="18"/>
        </w:rPr>
        <w:t>The interim proceeding suppression order operates until further order unless otherwise ordered.</w:t>
      </w:r>
    </w:p>
    <w:p w14:paraId="6DAFF394" w14:textId="77777777" w:rsidR="00C26F95" w:rsidRDefault="00C26F95" w:rsidP="00E03FC4">
      <w:pPr>
        <w:jc w:val="both"/>
        <w:rPr>
          <w:rFonts w:ascii="Arial" w:hAnsi="Arial" w:cs="Arial"/>
          <w:color w:val="000000"/>
          <w:sz w:val="20"/>
        </w:rPr>
      </w:pPr>
    </w:p>
    <w:p w14:paraId="7B8924D4" w14:textId="6048A481" w:rsidR="00E41D05" w:rsidRDefault="00E41D05" w:rsidP="00E96234">
      <w:pPr>
        <w:pStyle w:val="Heading3"/>
        <w:keepNext/>
        <w:widowControl/>
        <w:spacing w:after="120" w:line="240" w:lineRule="auto"/>
        <w:rPr>
          <w:rFonts w:ascii="Arial" w:hAnsi="Arial" w:cs="Arial"/>
          <w:b/>
          <w:bCs/>
          <w:sz w:val="20"/>
        </w:rPr>
      </w:pPr>
      <w:bookmarkStart w:id="515" w:name="_2.8.3_Section_10(5)"/>
      <w:bookmarkStart w:id="516" w:name="_Toc30608797"/>
      <w:bookmarkStart w:id="517" w:name="_Toc30610011"/>
      <w:bookmarkStart w:id="518" w:name="_Toc30610254"/>
      <w:bookmarkStart w:id="519" w:name="_Toc30638408"/>
      <w:bookmarkStart w:id="520" w:name="_Toc30644217"/>
      <w:bookmarkStart w:id="521" w:name="_Toc30644620"/>
      <w:bookmarkStart w:id="522" w:name="_Toc30645170"/>
      <w:bookmarkStart w:id="523" w:name="_Toc30646374"/>
      <w:bookmarkStart w:id="524" w:name="_Toc30646669"/>
      <w:bookmarkStart w:id="525" w:name="_Toc30646779"/>
      <w:bookmarkStart w:id="526" w:name="_Toc30648136"/>
      <w:bookmarkStart w:id="527" w:name="_Toc30649034"/>
      <w:bookmarkStart w:id="528" w:name="_Toc30649110"/>
      <w:bookmarkStart w:id="529" w:name="_Toc30649371"/>
      <w:bookmarkStart w:id="530" w:name="_Toc30649691"/>
      <w:bookmarkStart w:id="531" w:name="_Toc30651625"/>
      <w:bookmarkStart w:id="532" w:name="_Toc30652609"/>
      <w:bookmarkStart w:id="533" w:name="_Toc30652707"/>
      <w:bookmarkStart w:id="534" w:name="_Toc30654052"/>
      <w:bookmarkStart w:id="535" w:name="_Toc30654403"/>
      <w:bookmarkStart w:id="536" w:name="_Toc30655022"/>
      <w:bookmarkStart w:id="537" w:name="_Toc30655279"/>
      <w:bookmarkStart w:id="538" w:name="_Toc30656955"/>
      <w:bookmarkStart w:id="539" w:name="_Toc30661704"/>
      <w:bookmarkStart w:id="540" w:name="_Toc30666392"/>
      <w:bookmarkStart w:id="541" w:name="_Toc30666622"/>
      <w:bookmarkStart w:id="542" w:name="_Toc30667797"/>
      <w:bookmarkStart w:id="543" w:name="_Toc30669175"/>
      <w:bookmarkStart w:id="544" w:name="_Toc30671391"/>
      <w:bookmarkStart w:id="545" w:name="_Toc30673918"/>
      <w:bookmarkStart w:id="546" w:name="_Toc30691140"/>
      <w:bookmarkStart w:id="547" w:name="_Toc30691511"/>
      <w:bookmarkStart w:id="548" w:name="_Toc30691891"/>
      <w:bookmarkStart w:id="549" w:name="_Toc30692650"/>
      <w:bookmarkStart w:id="550" w:name="_Toc30693029"/>
      <w:bookmarkStart w:id="551" w:name="_Toc30693407"/>
      <w:bookmarkStart w:id="552" w:name="_Toc30693786"/>
      <w:bookmarkStart w:id="553" w:name="_Toc30694167"/>
      <w:bookmarkStart w:id="554" w:name="_Toc30698756"/>
      <w:bookmarkStart w:id="555" w:name="_Toc30699134"/>
      <w:bookmarkStart w:id="556" w:name="_Toc30699519"/>
      <w:bookmarkStart w:id="557" w:name="_Toc30700674"/>
      <w:bookmarkStart w:id="558" w:name="_Toc30701061"/>
      <w:bookmarkStart w:id="559" w:name="_Toc30743670"/>
      <w:bookmarkStart w:id="560" w:name="_Toc30754493"/>
      <w:bookmarkStart w:id="561" w:name="_Toc30756933"/>
      <w:bookmarkStart w:id="562" w:name="_Toc30757482"/>
      <w:bookmarkStart w:id="563" w:name="_Toc30757882"/>
      <w:bookmarkStart w:id="564" w:name="_Toc30762643"/>
      <w:bookmarkStart w:id="565" w:name="_Toc30767297"/>
      <w:bookmarkStart w:id="566" w:name="_Toc34823322"/>
      <w:bookmarkEnd w:id="515"/>
      <w:r>
        <w:rPr>
          <w:rFonts w:ascii="Arial" w:hAnsi="Arial" w:cs="Arial"/>
          <w:b/>
          <w:bCs/>
          <w:sz w:val="20"/>
        </w:rPr>
        <w:t>2.8.</w:t>
      </w:r>
      <w:r w:rsidR="00692D54">
        <w:rPr>
          <w:rFonts w:ascii="Arial" w:hAnsi="Arial" w:cs="Arial"/>
          <w:b/>
          <w:bCs/>
          <w:sz w:val="20"/>
        </w:rPr>
        <w:t>5</w:t>
      </w:r>
      <w:r>
        <w:rPr>
          <w:rFonts w:ascii="Arial" w:hAnsi="Arial" w:cs="Arial"/>
          <w:b/>
          <w:bCs/>
          <w:sz w:val="20"/>
        </w:rPr>
        <w:tab/>
        <w:t xml:space="preserve">Section 10(5) of the </w:t>
      </w:r>
      <w:r w:rsidRPr="005161F3">
        <w:rPr>
          <w:rFonts w:ascii="Arial" w:hAnsi="Arial" w:cs="Arial"/>
          <w:b/>
          <w:bCs/>
          <w:i/>
          <w:iCs/>
          <w:sz w:val="20"/>
        </w:rPr>
        <w:t>Witness Protection Act 1991</w:t>
      </w:r>
    </w:p>
    <w:p w14:paraId="5756C955" w14:textId="34241A7A" w:rsidR="00E41D05" w:rsidRPr="00B46EF1" w:rsidRDefault="00E41D05" w:rsidP="00E41D05">
      <w:pPr>
        <w:jc w:val="both"/>
        <w:rPr>
          <w:rFonts w:ascii="Arial" w:hAnsi="Arial" w:cs="Arial"/>
          <w:color w:val="000000"/>
          <w:sz w:val="20"/>
        </w:rPr>
      </w:pPr>
      <w:r w:rsidRPr="00B46EF1">
        <w:rPr>
          <w:rFonts w:ascii="Arial" w:hAnsi="Arial" w:cs="Arial"/>
          <w:color w:val="000000"/>
          <w:sz w:val="20"/>
        </w:rPr>
        <w:t xml:space="preserve">Section 10(5) of the </w:t>
      </w:r>
      <w:r w:rsidRPr="005161F3">
        <w:rPr>
          <w:rFonts w:ascii="Arial" w:hAnsi="Arial" w:cs="Arial"/>
          <w:i/>
          <w:iCs/>
          <w:color w:val="000000"/>
          <w:sz w:val="20"/>
        </w:rPr>
        <w:t>Witness Protection Act 1991</w:t>
      </w:r>
      <w:r w:rsidRPr="00B46EF1">
        <w:rPr>
          <w:rFonts w:ascii="Arial" w:hAnsi="Arial" w:cs="Arial"/>
          <w:color w:val="000000"/>
          <w:sz w:val="20"/>
        </w:rPr>
        <w:t xml:space="preserve"> prohibits – under a penalty of level 5 imprisonment – a person without lawful authority from disclosing information about the identity or location of a person who is or has been a participant in the witness protection program or that compromises the security of such a person.  </w:t>
      </w:r>
      <w:r w:rsidRPr="00B46EF1">
        <w:rPr>
          <w:rFonts w:ascii="Arial" w:hAnsi="Arial" w:cs="Arial"/>
          <w:color w:val="000000"/>
          <w:sz w:val="20"/>
          <w:szCs w:val="20"/>
        </w:rPr>
        <w:t xml:space="preserve">In </w:t>
      </w:r>
      <w:r w:rsidRPr="00B46EF1">
        <w:rPr>
          <w:rFonts w:ascii="Arial" w:hAnsi="Arial" w:cs="Arial"/>
          <w:i/>
          <w:color w:val="000000"/>
          <w:sz w:val="20"/>
          <w:szCs w:val="20"/>
        </w:rPr>
        <w:t xml:space="preserve">DPP &amp; Anor v Dale &amp; </w:t>
      </w:r>
      <w:proofErr w:type="spellStart"/>
      <w:r w:rsidRPr="00B46EF1">
        <w:rPr>
          <w:rFonts w:ascii="Arial" w:hAnsi="Arial" w:cs="Arial"/>
          <w:i/>
          <w:color w:val="000000"/>
          <w:sz w:val="20"/>
          <w:szCs w:val="20"/>
        </w:rPr>
        <w:t>Ors</w:t>
      </w:r>
      <w:proofErr w:type="spellEnd"/>
      <w:r w:rsidRPr="00B46EF1">
        <w:rPr>
          <w:rFonts w:ascii="Arial" w:hAnsi="Arial" w:cs="Arial"/>
          <w:color w:val="000000"/>
          <w:sz w:val="20"/>
          <w:szCs w:val="20"/>
        </w:rPr>
        <w:t xml:space="preserve"> [2010] VSC 88 Beach J analysed the proper construction and operati</w:t>
      </w:r>
      <w:r w:rsidRPr="00B46EF1">
        <w:rPr>
          <w:rFonts w:ascii="Arial" w:hAnsi="Arial" w:cs="Arial"/>
          <w:color w:val="000000"/>
          <w:sz w:val="20"/>
        </w:rPr>
        <w:t xml:space="preserve">on of s.10(5) and its relationship with s.126 of the </w:t>
      </w:r>
      <w:r w:rsidRPr="005161F3">
        <w:rPr>
          <w:rFonts w:ascii="Arial" w:hAnsi="Arial" w:cs="Arial"/>
          <w:i/>
          <w:iCs/>
          <w:color w:val="000000"/>
          <w:sz w:val="20"/>
        </w:rPr>
        <w:t>Magistrates’ Court Act 1989</w:t>
      </w:r>
      <w:r>
        <w:rPr>
          <w:rFonts w:ascii="Arial" w:hAnsi="Arial" w:cs="Arial"/>
          <w:color w:val="000000"/>
          <w:sz w:val="20"/>
        </w:rPr>
        <w:t xml:space="preserve"> [now s.17 of the OCA]</w:t>
      </w:r>
      <w:r w:rsidRPr="00B46EF1">
        <w:rPr>
          <w:rFonts w:ascii="Arial" w:hAnsi="Arial" w:cs="Arial"/>
          <w:color w:val="000000"/>
          <w:sz w:val="20"/>
        </w:rPr>
        <w:t>.  At [48]-[49] his Honour said:</w:t>
      </w:r>
    </w:p>
    <w:p w14:paraId="3776A682" w14:textId="412B6CC9" w:rsidR="00E41D05" w:rsidRPr="00B46EF1" w:rsidRDefault="00E41D05" w:rsidP="00E41D05">
      <w:pPr>
        <w:spacing w:before="60"/>
        <w:ind w:left="567" w:right="567"/>
        <w:jc w:val="both"/>
        <w:rPr>
          <w:rFonts w:ascii="Arial" w:hAnsi="Arial" w:cs="Arial"/>
          <w:color w:val="000000"/>
          <w:sz w:val="20"/>
          <w:szCs w:val="20"/>
        </w:rPr>
      </w:pPr>
      <w:r w:rsidRPr="00B46EF1">
        <w:rPr>
          <w:rFonts w:ascii="Arial" w:hAnsi="Arial" w:cs="Arial"/>
          <w:color w:val="000000"/>
          <w:sz w:val="20"/>
        </w:rPr>
        <w:t xml:space="preserve">“A </w:t>
      </w:r>
      <w:r w:rsidRPr="00B46EF1">
        <w:rPr>
          <w:rFonts w:ascii="Arial" w:hAnsi="Arial" w:cs="Arial"/>
          <w:color w:val="000000"/>
          <w:sz w:val="20"/>
          <w:szCs w:val="20"/>
        </w:rPr>
        <w:t>potential or threatened breach of s</w:t>
      </w:r>
      <w:r w:rsidR="00AF0DA3">
        <w:rPr>
          <w:rFonts w:ascii="Arial" w:hAnsi="Arial" w:cs="Arial"/>
          <w:color w:val="000000"/>
          <w:sz w:val="20"/>
          <w:szCs w:val="20"/>
        </w:rPr>
        <w:t xml:space="preserve"> </w:t>
      </w:r>
      <w:r w:rsidRPr="00B46EF1">
        <w:rPr>
          <w:rFonts w:ascii="Arial" w:hAnsi="Arial" w:cs="Arial"/>
          <w:color w:val="000000"/>
          <w:sz w:val="20"/>
          <w:szCs w:val="20"/>
        </w:rPr>
        <w:t xml:space="preserve">10(5) of the </w:t>
      </w:r>
      <w:r w:rsidRPr="00B46EF1">
        <w:rPr>
          <w:rFonts w:ascii="Arial" w:hAnsi="Arial" w:cs="Arial"/>
          <w:i/>
          <w:color w:val="000000"/>
          <w:sz w:val="20"/>
          <w:szCs w:val="20"/>
        </w:rPr>
        <w:t>Witness Protection Act</w:t>
      </w:r>
      <w:r w:rsidRPr="00B46EF1">
        <w:rPr>
          <w:rFonts w:ascii="Arial" w:hAnsi="Arial" w:cs="Arial"/>
          <w:color w:val="000000"/>
          <w:sz w:val="20"/>
          <w:szCs w:val="20"/>
        </w:rPr>
        <w:t xml:space="preserve"> does not mandate that in all circumstances the Court must make a non-publication order under s 126 of the </w:t>
      </w:r>
      <w:r w:rsidRPr="00B46EF1">
        <w:rPr>
          <w:rFonts w:ascii="Arial" w:hAnsi="Arial" w:cs="Arial"/>
          <w:i/>
          <w:color w:val="000000"/>
          <w:sz w:val="20"/>
          <w:szCs w:val="20"/>
        </w:rPr>
        <w:t>Magistrates’ Court Act</w:t>
      </w:r>
      <w:r w:rsidRPr="00B46EF1">
        <w:rPr>
          <w:rFonts w:ascii="Arial" w:hAnsi="Arial" w:cs="Arial"/>
          <w:color w:val="000000"/>
          <w:sz w:val="20"/>
          <w:szCs w:val="20"/>
        </w:rPr>
        <w:t xml:space="preserve"> (or its equivalent, ss 18 and 19 of the </w:t>
      </w:r>
      <w:r w:rsidRPr="00B46EF1">
        <w:rPr>
          <w:rFonts w:ascii="Arial" w:hAnsi="Arial" w:cs="Arial"/>
          <w:i/>
          <w:color w:val="000000"/>
          <w:sz w:val="20"/>
          <w:szCs w:val="20"/>
        </w:rPr>
        <w:t>Supreme Court Act</w:t>
      </w:r>
      <w:r w:rsidRPr="00B46EF1">
        <w:rPr>
          <w:rFonts w:ascii="Arial" w:hAnsi="Arial" w:cs="Arial"/>
          <w:color w:val="000000"/>
          <w:sz w:val="20"/>
          <w:szCs w:val="20"/>
        </w:rPr>
        <w:t xml:space="preserve">).  It remains necessary in each case for the Court to consider the terms of s 126 of the </w:t>
      </w:r>
      <w:r w:rsidRPr="00B46EF1">
        <w:rPr>
          <w:rFonts w:ascii="Arial" w:hAnsi="Arial" w:cs="Arial"/>
          <w:i/>
          <w:color w:val="000000"/>
          <w:sz w:val="20"/>
          <w:szCs w:val="20"/>
        </w:rPr>
        <w:t>Magistrates’ Court Act</w:t>
      </w:r>
      <w:r w:rsidRPr="00B46EF1">
        <w:rPr>
          <w:rFonts w:ascii="Arial" w:hAnsi="Arial" w:cs="Arial"/>
          <w:color w:val="000000"/>
          <w:sz w:val="20"/>
          <w:szCs w:val="20"/>
        </w:rPr>
        <w:t>.  That is, the question is whether, in all the circumstances that have been established, is it necessary to make a non-publication order in order not to prejudice the administration of justice or endanger the physical safety of any person (referring only to paragraphs (b) and (c) as relevant in this case).</w:t>
      </w:r>
    </w:p>
    <w:p w14:paraId="5DDEA0E4" w14:textId="276AF93C" w:rsidR="00E41D05" w:rsidRPr="00B46EF1" w:rsidRDefault="00E41D05" w:rsidP="00F65A9B">
      <w:pPr>
        <w:spacing w:before="60"/>
        <w:ind w:left="567" w:right="567"/>
        <w:jc w:val="both"/>
        <w:rPr>
          <w:rFonts w:ascii="Arial" w:hAnsi="Arial" w:cs="Arial"/>
          <w:color w:val="000000"/>
          <w:sz w:val="20"/>
          <w:szCs w:val="20"/>
        </w:rPr>
      </w:pPr>
      <w:r w:rsidRPr="00B46EF1">
        <w:rPr>
          <w:rFonts w:ascii="Arial" w:hAnsi="Arial" w:cs="Arial"/>
          <w:color w:val="000000"/>
          <w:sz w:val="20"/>
          <w:szCs w:val="20"/>
        </w:rPr>
        <w:lastRenderedPageBreak/>
        <w:t>However, it must be said that it would be a very unusual case where a threatened breach of s</w:t>
      </w:r>
      <w:r w:rsidR="00AF0DA3">
        <w:rPr>
          <w:rFonts w:ascii="Arial" w:hAnsi="Arial" w:cs="Arial"/>
          <w:color w:val="000000"/>
          <w:sz w:val="20"/>
          <w:szCs w:val="20"/>
        </w:rPr>
        <w:t xml:space="preserve"> </w:t>
      </w:r>
      <w:r w:rsidRPr="00B46EF1">
        <w:rPr>
          <w:rFonts w:ascii="Arial" w:hAnsi="Arial" w:cs="Arial"/>
          <w:color w:val="000000"/>
          <w:sz w:val="20"/>
          <w:szCs w:val="20"/>
        </w:rPr>
        <w:t>10(5) did not lead to the conclusion that a non-publication order was necessary (giving full allowance to the fact that the requirement that the order be ‘necessary’ imposes a high standard</w:t>
      </w:r>
      <w:r>
        <w:rPr>
          <w:rFonts w:ascii="Arial" w:hAnsi="Arial" w:cs="Arial"/>
          <w:color w:val="000000"/>
          <w:sz w:val="20"/>
          <w:szCs w:val="20"/>
        </w:rPr>
        <w:t>)</w:t>
      </w:r>
      <w:r w:rsidRPr="00B46EF1">
        <w:rPr>
          <w:rFonts w:ascii="Arial" w:hAnsi="Arial" w:cs="Arial"/>
          <w:color w:val="000000"/>
          <w:sz w:val="20"/>
          <w:szCs w:val="20"/>
        </w:rPr>
        <w:t>.”</w:t>
      </w:r>
    </w:p>
    <w:p w14:paraId="631442E4" w14:textId="77777777" w:rsidR="00747E35" w:rsidRDefault="00747E35" w:rsidP="00747E35">
      <w:pPr>
        <w:jc w:val="both"/>
        <w:rPr>
          <w:rFonts w:ascii="Arial" w:hAnsi="Arial" w:cs="Arial"/>
          <w:sz w:val="20"/>
        </w:rPr>
      </w:pPr>
      <w:bookmarkStart w:id="567" w:name="_2.9_Bail_justices"/>
      <w:bookmarkEnd w:id="567"/>
    </w:p>
    <w:p w14:paraId="68BB2364" w14:textId="77777777" w:rsidR="00277B85" w:rsidRDefault="00277B85" w:rsidP="00A47B09">
      <w:pPr>
        <w:pStyle w:val="Heading2"/>
        <w:keepNext/>
        <w:tabs>
          <w:tab w:val="left" w:pos="567"/>
        </w:tabs>
        <w:spacing w:line="240" w:lineRule="auto"/>
        <w:rPr>
          <w:rFonts w:ascii="Arial" w:hAnsi="Arial" w:cs="Arial"/>
          <w:b/>
          <w:bCs/>
        </w:rPr>
      </w:pPr>
      <w:r>
        <w:rPr>
          <w:rFonts w:ascii="Arial" w:hAnsi="Arial" w:cs="Arial"/>
          <w:b/>
          <w:bCs/>
        </w:rPr>
        <w:t>2.9</w:t>
      </w:r>
      <w:r>
        <w:rPr>
          <w:rFonts w:ascii="Arial" w:hAnsi="Arial" w:cs="Arial"/>
          <w:b/>
          <w:bCs/>
        </w:rPr>
        <w:tab/>
        <w:t>Bail justices</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6E499D0D" w14:textId="77777777" w:rsidR="00EE736F" w:rsidRDefault="00EE736F" w:rsidP="00A47B09">
      <w:pPr>
        <w:keepNext/>
        <w:jc w:val="both"/>
        <w:rPr>
          <w:rFonts w:ascii="Arial" w:hAnsi="Arial" w:cs="Arial"/>
          <w:sz w:val="20"/>
        </w:rPr>
      </w:pPr>
    </w:p>
    <w:p w14:paraId="191AE0E1" w14:textId="09F59ADC" w:rsidR="00277B85" w:rsidRDefault="00277B85">
      <w:pPr>
        <w:jc w:val="both"/>
        <w:rPr>
          <w:rFonts w:ascii="Arial" w:hAnsi="Arial" w:cs="Arial"/>
          <w:sz w:val="20"/>
        </w:rPr>
      </w:pPr>
      <w:r>
        <w:rPr>
          <w:rFonts w:ascii="Arial" w:hAnsi="Arial" w:cs="Arial"/>
          <w:sz w:val="20"/>
        </w:rPr>
        <w:t xml:space="preserve">Under </w:t>
      </w:r>
      <w:r w:rsidR="00F272D6">
        <w:rPr>
          <w:rFonts w:ascii="Arial" w:hAnsi="Arial" w:cs="Arial"/>
          <w:sz w:val="20"/>
        </w:rPr>
        <w:t xml:space="preserve">s.14(1) of the </w:t>
      </w:r>
      <w:r w:rsidR="00F272D6" w:rsidRPr="00AE0485">
        <w:rPr>
          <w:rFonts w:ascii="Arial" w:hAnsi="Arial" w:cs="Arial"/>
          <w:i/>
          <w:iCs/>
          <w:sz w:val="20"/>
        </w:rPr>
        <w:t>Honorary Justices Act 2014</w:t>
      </w:r>
      <w:r w:rsidR="005161F3" w:rsidRPr="005161F3">
        <w:rPr>
          <w:rFonts w:ascii="Arial" w:hAnsi="Arial" w:cs="Arial"/>
          <w:sz w:val="20"/>
        </w:rPr>
        <w:t xml:space="preserve"> </w:t>
      </w:r>
      <w:r w:rsidR="00F272D6">
        <w:rPr>
          <w:rFonts w:ascii="Arial" w:hAnsi="Arial" w:cs="Arial"/>
          <w:sz w:val="20"/>
        </w:rPr>
        <w:t xml:space="preserve">[replacing </w:t>
      </w:r>
      <w:r>
        <w:rPr>
          <w:rFonts w:ascii="Arial" w:hAnsi="Arial" w:cs="Arial"/>
          <w:sz w:val="20"/>
        </w:rPr>
        <w:t xml:space="preserve">s.120(1) of the </w:t>
      </w:r>
      <w:r w:rsidRPr="005161F3">
        <w:rPr>
          <w:rFonts w:ascii="Arial" w:hAnsi="Arial" w:cs="Arial"/>
          <w:i/>
          <w:iCs/>
          <w:sz w:val="20"/>
        </w:rPr>
        <w:t>Magistrates' Court Act 1989</w:t>
      </w:r>
      <w:r w:rsidR="00F272D6">
        <w:rPr>
          <w:rFonts w:ascii="Arial" w:hAnsi="Arial" w:cs="Arial"/>
          <w:sz w:val="20"/>
        </w:rPr>
        <w:t>] the Governor-in-Council may appoint eligible</w:t>
      </w:r>
      <w:r>
        <w:rPr>
          <w:rFonts w:ascii="Arial" w:hAnsi="Arial" w:cs="Arial"/>
          <w:sz w:val="20"/>
        </w:rPr>
        <w:t xml:space="preserve"> lay persons as bail justices.</w:t>
      </w:r>
      <w:r w:rsidR="00F272D6">
        <w:rPr>
          <w:rFonts w:ascii="Arial" w:hAnsi="Arial" w:cs="Arial"/>
          <w:sz w:val="20"/>
        </w:rPr>
        <w:t xml:space="preserve">  Eligibility criteria are set out in s.14(2).</w:t>
      </w:r>
    </w:p>
    <w:p w14:paraId="3731D39B" w14:textId="77777777" w:rsidR="00277B85" w:rsidRDefault="00277B85">
      <w:pPr>
        <w:jc w:val="both"/>
        <w:rPr>
          <w:rFonts w:ascii="Arial" w:hAnsi="Arial" w:cs="Arial"/>
          <w:sz w:val="20"/>
        </w:rPr>
      </w:pPr>
    </w:p>
    <w:p w14:paraId="0D8FC02C" w14:textId="77777777" w:rsidR="00277B85" w:rsidRDefault="00F272D6">
      <w:pPr>
        <w:jc w:val="both"/>
        <w:rPr>
          <w:rFonts w:ascii="Arial" w:hAnsi="Arial" w:cs="Arial"/>
          <w:sz w:val="20"/>
        </w:rPr>
      </w:pPr>
      <w:r w:rsidRPr="00F272D6">
        <w:rPr>
          <w:rFonts w:ascii="Arial" w:hAnsi="Arial" w:cs="Arial"/>
          <w:sz w:val="20"/>
          <w:szCs w:val="20"/>
        </w:rPr>
        <w:t xml:space="preserve">Under s.18 </w:t>
      </w:r>
      <w:r w:rsidR="00277B85" w:rsidRPr="00F272D6">
        <w:rPr>
          <w:rFonts w:ascii="Arial" w:hAnsi="Arial" w:cs="Arial"/>
          <w:sz w:val="20"/>
          <w:szCs w:val="20"/>
        </w:rPr>
        <w:t>members of the public service who hold a "prescribed office" classification are bail justices without the need for any other appointment</w:t>
      </w:r>
      <w:r w:rsidRPr="00F272D6">
        <w:rPr>
          <w:rFonts w:ascii="Arial" w:hAnsi="Arial" w:cs="Arial"/>
          <w:sz w:val="20"/>
          <w:szCs w:val="20"/>
        </w:rPr>
        <w:t xml:space="preserve"> provided they have completed a course of training prescribed for the purposes of this section to the satisfaction of the Attorney-General. </w:t>
      </w:r>
      <w:r w:rsidR="00277B85" w:rsidRPr="00F272D6">
        <w:rPr>
          <w:rFonts w:ascii="Arial" w:hAnsi="Arial" w:cs="Arial"/>
          <w:sz w:val="20"/>
          <w:szCs w:val="20"/>
        </w:rPr>
        <w:t>The</w:t>
      </w:r>
      <w:r w:rsidR="00277B85">
        <w:rPr>
          <w:rFonts w:ascii="Arial" w:hAnsi="Arial" w:cs="Arial"/>
          <w:sz w:val="20"/>
        </w:rPr>
        <w:t xml:space="preserve"> "prescribed office" classifications are set out in reg.</w:t>
      </w:r>
      <w:r w:rsidR="00131092">
        <w:rPr>
          <w:rFonts w:ascii="Arial" w:hAnsi="Arial" w:cs="Arial"/>
          <w:sz w:val="20"/>
        </w:rPr>
        <w:t>10</w:t>
      </w:r>
      <w:r w:rsidR="00277B85">
        <w:rPr>
          <w:rFonts w:ascii="Arial" w:hAnsi="Arial" w:cs="Arial"/>
          <w:sz w:val="20"/>
        </w:rPr>
        <w:t xml:space="preserve"> of the </w:t>
      </w:r>
      <w:r w:rsidR="00131092" w:rsidRPr="005161F3">
        <w:rPr>
          <w:rFonts w:ascii="Arial" w:hAnsi="Arial" w:cs="Arial"/>
          <w:i/>
          <w:iCs/>
          <w:sz w:val="20"/>
        </w:rPr>
        <w:t>Honorary Justices</w:t>
      </w:r>
      <w:r w:rsidR="00277B85" w:rsidRPr="005161F3">
        <w:rPr>
          <w:rFonts w:ascii="Arial" w:hAnsi="Arial" w:cs="Arial"/>
          <w:i/>
          <w:iCs/>
          <w:sz w:val="20"/>
        </w:rPr>
        <w:t xml:space="preserve"> Regulations 20</w:t>
      </w:r>
      <w:r w:rsidR="00131092" w:rsidRPr="005161F3">
        <w:rPr>
          <w:rFonts w:ascii="Arial" w:hAnsi="Arial" w:cs="Arial"/>
          <w:i/>
          <w:iCs/>
          <w:sz w:val="20"/>
        </w:rPr>
        <w:t>14</w:t>
      </w:r>
      <w:r w:rsidR="00131092">
        <w:rPr>
          <w:rFonts w:ascii="Arial" w:hAnsi="Arial" w:cs="Arial"/>
          <w:sz w:val="20"/>
        </w:rPr>
        <w:t xml:space="preserve"> [S.R.No.110</w:t>
      </w:r>
      <w:r w:rsidR="00277B85">
        <w:rPr>
          <w:rFonts w:ascii="Arial" w:hAnsi="Arial" w:cs="Arial"/>
          <w:sz w:val="20"/>
        </w:rPr>
        <w:t>/20</w:t>
      </w:r>
      <w:r w:rsidR="00131092">
        <w:rPr>
          <w:rFonts w:ascii="Arial" w:hAnsi="Arial" w:cs="Arial"/>
          <w:sz w:val="20"/>
        </w:rPr>
        <w:t>14</w:t>
      </w:r>
      <w:r w:rsidR="00277B85">
        <w:rPr>
          <w:rFonts w:ascii="Arial" w:hAnsi="Arial" w:cs="Arial"/>
          <w:sz w:val="20"/>
        </w:rPr>
        <w:t>].</w:t>
      </w:r>
    </w:p>
    <w:p w14:paraId="5ECC09CF" w14:textId="77777777" w:rsidR="00277B85" w:rsidRDefault="00277B85">
      <w:pPr>
        <w:jc w:val="both"/>
        <w:rPr>
          <w:rFonts w:ascii="Arial" w:hAnsi="Arial" w:cs="Arial"/>
          <w:sz w:val="20"/>
        </w:rPr>
      </w:pPr>
    </w:p>
    <w:p w14:paraId="54A14262" w14:textId="7EE094B2" w:rsidR="00277B85" w:rsidRDefault="00277B85">
      <w:pPr>
        <w:jc w:val="both"/>
        <w:rPr>
          <w:rFonts w:ascii="Arial" w:hAnsi="Arial" w:cs="Arial"/>
          <w:sz w:val="20"/>
        </w:rPr>
      </w:pPr>
      <w:r>
        <w:rPr>
          <w:rFonts w:ascii="Arial" w:hAnsi="Arial" w:cs="Arial"/>
          <w:sz w:val="20"/>
        </w:rPr>
        <w:t xml:space="preserve">The functions and powers of bail justices are set out in the </w:t>
      </w:r>
      <w:r w:rsidRPr="005161F3">
        <w:rPr>
          <w:rFonts w:ascii="Arial" w:hAnsi="Arial" w:cs="Arial"/>
          <w:i/>
          <w:iCs/>
          <w:sz w:val="20"/>
        </w:rPr>
        <w:t xml:space="preserve">Bail Act 1977 </w:t>
      </w:r>
      <w:r>
        <w:rPr>
          <w:rFonts w:ascii="Arial" w:hAnsi="Arial" w:cs="Arial"/>
          <w:sz w:val="20"/>
        </w:rPr>
        <w:t>[No.9008] and in the CY</w:t>
      </w:r>
      <w:r w:rsidR="000326C3">
        <w:rPr>
          <w:rFonts w:ascii="Arial" w:hAnsi="Arial" w:cs="Arial"/>
          <w:sz w:val="20"/>
        </w:rPr>
        <w:t>F</w:t>
      </w:r>
      <w:r>
        <w:rPr>
          <w:rFonts w:ascii="Arial" w:hAnsi="Arial" w:cs="Arial"/>
          <w:sz w:val="20"/>
        </w:rPr>
        <w:t>A and include the hearing and determination of out-of-sessions applications:</w:t>
      </w:r>
    </w:p>
    <w:p w14:paraId="497C90ED" w14:textId="46937038" w:rsidR="00277B85" w:rsidRDefault="00277B85" w:rsidP="007D2EA2">
      <w:pPr>
        <w:numPr>
          <w:ilvl w:val="0"/>
          <w:numId w:val="2"/>
        </w:numPr>
        <w:tabs>
          <w:tab w:val="num" w:pos="723"/>
        </w:tabs>
        <w:jc w:val="both"/>
        <w:rPr>
          <w:rFonts w:ascii="Arial" w:hAnsi="Arial" w:cs="Arial"/>
          <w:sz w:val="20"/>
        </w:rPr>
      </w:pPr>
      <w:r>
        <w:rPr>
          <w:rFonts w:ascii="Arial" w:hAnsi="Arial" w:cs="Arial"/>
          <w:sz w:val="20"/>
        </w:rPr>
        <w:t xml:space="preserve">for remand or bail in relation to adult &amp; child </w:t>
      </w:r>
      <w:r w:rsidR="00591597">
        <w:rPr>
          <w:rFonts w:ascii="Arial" w:hAnsi="Arial" w:cs="Arial"/>
          <w:sz w:val="20"/>
        </w:rPr>
        <w:t>accused</w:t>
      </w:r>
      <w:r>
        <w:rPr>
          <w:rFonts w:ascii="Arial" w:hAnsi="Arial" w:cs="Arial"/>
          <w:sz w:val="20"/>
        </w:rPr>
        <w:t>; and</w:t>
      </w:r>
    </w:p>
    <w:p w14:paraId="4AD0C072" w14:textId="0BA8AC0F" w:rsidR="00277B85" w:rsidRPr="00BE6441" w:rsidRDefault="00277B85" w:rsidP="007D2EA2">
      <w:pPr>
        <w:numPr>
          <w:ilvl w:val="0"/>
          <w:numId w:val="1"/>
        </w:numPr>
        <w:tabs>
          <w:tab w:val="num" w:pos="723"/>
        </w:tabs>
        <w:jc w:val="both"/>
        <w:rPr>
          <w:rFonts w:ascii="Arial" w:hAnsi="Arial" w:cs="Arial"/>
          <w:color w:val="000000"/>
          <w:sz w:val="20"/>
        </w:rPr>
      </w:pPr>
      <w:r w:rsidRPr="00BE6441">
        <w:rPr>
          <w:rFonts w:ascii="Arial" w:hAnsi="Arial" w:cs="Arial"/>
          <w:color w:val="000000"/>
          <w:sz w:val="20"/>
        </w:rPr>
        <w:t>for interim accomm</w:t>
      </w:r>
      <w:r w:rsidR="001043B0" w:rsidRPr="00BE6441">
        <w:rPr>
          <w:rFonts w:ascii="Arial" w:hAnsi="Arial" w:cs="Arial"/>
          <w:color w:val="000000"/>
          <w:sz w:val="20"/>
        </w:rPr>
        <w:t xml:space="preserve">odation orders in relation to </w:t>
      </w:r>
      <w:r w:rsidRPr="00BE6441">
        <w:rPr>
          <w:rFonts w:ascii="Arial" w:hAnsi="Arial" w:cs="Arial"/>
          <w:color w:val="000000"/>
          <w:sz w:val="20"/>
        </w:rPr>
        <w:t>child</w:t>
      </w:r>
      <w:r w:rsidR="001043B0" w:rsidRPr="00BE6441">
        <w:rPr>
          <w:rFonts w:ascii="Arial" w:hAnsi="Arial" w:cs="Arial"/>
          <w:color w:val="000000"/>
          <w:sz w:val="20"/>
        </w:rPr>
        <w:t>ren</w:t>
      </w:r>
      <w:r w:rsidR="001E3EEE">
        <w:rPr>
          <w:rFonts w:ascii="Arial" w:hAnsi="Arial" w:cs="Arial"/>
          <w:color w:val="000000"/>
          <w:sz w:val="20"/>
        </w:rPr>
        <w:t xml:space="preserve"> who have been taken by DFFH into safe custody but whose cases cannot be heard by the Children’s Court for more than 24 hours</w:t>
      </w:r>
      <w:r w:rsidRPr="00BE6441">
        <w:rPr>
          <w:rFonts w:ascii="Arial" w:hAnsi="Arial" w:cs="Arial"/>
          <w:color w:val="000000"/>
          <w:sz w:val="20"/>
        </w:rPr>
        <w:t>.</w:t>
      </w:r>
    </w:p>
    <w:p w14:paraId="4573A1EA" w14:textId="77777777" w:rsidR="00277B85" w:rsidRDefault="00277B85">
      <w:pPr>
        <w:jc w:val="both"/>
        <w:rPr>
          <w:rFonts w:ascii="Arial" w:hAnsi="Arial" w:cs="Arial"/>
          <w:sz w:val="20"/>
        </w:rPr>
      </w:pPr>
    </w:p>
    <w:p w14:paraId="0017794F" w14:textId="17FB702C" w:rsidR="001043B0" w:rsidRDefault="001043B0" w:rsidP="001043B0">
      <w:pPr>
        <w:keepNext/>
        <w:keepLines/>
        <w:jc w:val="both"/>
        <w:rPr>
          <w:rFonts w:ascii="Arial" w:hAnsi="Arial" w:cs="Arial"/>
          <w:sz w:val="20"/>
        </w:rPr>
      </w:pPr>
      <w:r>
        <w:rPr>
          <w:rFonts w:ascii="Arial" w:hAnsi="Arial" w:cs="Arial"/>
          <w:sz w:val="20"/>
        </w:rPr>
        <w:t>Although their role is of importance for the Children’s Court, bail justices do not fall within the definition of “Court” in s.504(2) of the CYFA, namely that “the Court consists of the President; the magistrates</w:t>
      </w:r>
      <w:r w:rsidR="000326C3">
        <w:rPr>
          <w:rFonts w:ascii="Arial" w:hAnsi="Arial" w:cs="Arial"/>
          <w:sz w:val="20"/>
        </w:rPr>
        <w:t xml:space="preserve">, the judicial registrars and the registrars of the </w:t>
      </w:r>
      <w:r w:rsidR="00384A15">
        <w:rPr>
          <w:rFonts w:ascii="Arial" w:hAnsi="Arial" w:cs="Arial"/>
          <w:sz w:val="20"/>
        </w:rPr>
        <w:t>C</w:t>
      </w:r>
      <w:r w:rsidR="000326C3">
        <w:rPr>
          <w:rFonts w:ascii="Arial" w:hAnsi="Arial" w:cs="Arial"/>
          <w:sz w:val="20"/>
        </w:rPr>
        <w:t>ourt.</w:t>
      </w:r>
      <w:r>
        <w:rPr>
          <w:rFonts w:ascii="Arial" w:hAnsi="Arial" w:cs="Arial"/>
          <w:sz w:val="20"/>
        </w:rPr>
        <w:t>”</w:t>
      </w:r>
    </w:p>
    <w:p w14:paraId="1F958360" w14:textId="77777777" w:rsidR="001043B0" w:rsidRDefault="001043B0">
      <w:pPr>
        <w:jc w:val="both"/>
        <w:rPr>
          <w:rFonts w:ascii="Arial" w:hAnsi="Arial" w:cs="Arial"/>
          <w:sz w:val="20"/>
        </w:rPr>
      </w:pPr>
    </w:p>
    <w:p w14:paraId="45DDABC7" w14:textId="77777777" w:rsidR="00277B85" w:rsidRDefault="00277B85" w:rsidP="00340212">
      <w:pPr>
        <w:keepNext/>
        <w:keepLines/>
        <w:jc w:val="both"/>
        <w:rPr>
          <w:rFonts w:ascii="Arial" w:hAnsi="Arial" w:cs="Arial"/>
          <w:sz w:val="20"/>
        </w:rPr>
      </w:pPr>
      <w:r>
        <w:rPr>
          <w:rFonts w:ascii="Arial" w:hAnsi="Arial" w:cs="Arial"/>
          <w:sz w:val="20"/>
        </w:rPr>
        <w:t>For more information about the roles of bail justices and Justices of the Peace see:</w:t>
      </w:r>
    </w:p>
    <w:p w14:paraId="6413D7B8" w14:textId="77777777" w:rsidR="00277B85" w:rsidRDefault="00000000" w:rsidP="007D2EA2">
      <w:pPr>
        <w:numPr>
          <w:ilvl w:val="0"/>
          <w:numId w:val="2"/>
        </w:numPr>
        <w:tabs>
          <w:tab w:val="num" w:pos="723"/>
        </w:tabs>
        <w:jc w:val="both"/>
        <w:rPr>
          <w:rFonts w:ascii="Arial" w:hAnsi="Arial" w:cs="Arial"/>
          <w:sz w:val="20"/>
        </w:rPr>
      </w:pPr>
      <w:hyperlink r:id="rId13" w:history="1">
        <w:r w:rsidR="00277B85">
          <w:rPr>
            <w:rStyle w:val="Hyperlink"/>
            <w:rFonts w:ascii="Arial" w:hAnsi="Arial" w:cs="Arial"/>
            <w:sz w:val="20"/>
          </w:rPr>
          <w:t>http://www.justice.vic.gov.au/justices</w:t>
        </w:r>
      </w:hyperlink>
      <w:r w:rsidR="00277B85">
        <w:rPr>
          <w:rFonts w:ascii="Arial" w:hAnsi="Arial" w:cs="Arial"/>
          <w:sz w:val="20"/>
        </w:rPr>
        <w:t xml:space="preserve"> (maintained by the Victorian Department of Justice</w:t>
      </w:r>
      <w:r w:rsidR="000A5CEF">
        <w:rPr>
          <w:rFonts w:ascii="Arial" w:hAnsi="Arial" w:cs="Arial"/>
          <w:sz w:val="20"/>
        </w:rPr>
        <w:t xml:space="preserve"> and Community Safety</w:t>
      </w:r>
      <w:r w:rsidR="00277B85">
        <w:rPr>
          <w:rFonts w:ascii="Arial" w:hAnsi="Arial" w:cs="Arial"/>
          <w:sz w:val="20"/>
        </w:rPr>
        <w:t>);</w:t>
      </w:r>
    </w:p>
    <w:p w14:paraId="6847934B" w14:textId="77777777" w:rsidR="00277B85" w:rsidRDefault="00000000" w:rsidP="007D2EA2">
      <w:pPr>
        <w:numPr>
          <w:ilvl w:val="0"/>
          <w:numId w:val="2"/>
        </w:numPr>
        <w:tabs>
          <w:tab w:val="num" w:pos="723"/>
        </w:tabs>
        <w:jc w:val="both"/>
        <w:rPr>
          <w:rFonts w:ascii="Arial" w:hAnsi="Arial" w:cs="Arial"/>
          <w:sz w:val="20"/>
        </w:rPr>
      </w:pPr>
      <w:hyperlink r:id="rId14" w:history="1">
        <w:r w:rsidR="00277B85">
          <w:rPr>
            <w:rStyle w:val="Hyperlink"/>
            <w:rFonts w:ascii="Arial" w:hAnsi="Arial" w:cs="Arial"/>
            <w:sz w:val="20"/>
          </w:rPr>
          <w:t>http://www.rvahj.org.au</w:t>
        </w:r>
      </w:hyperlink>
      <w:r w:rsidR="00277B85">
        <w:rPr>
          <w:rFonts w:ascii="Arial" w:hAnsi="Arial" w:cs="Arial"/>
          <w:sz w:val="20"/>
        </w:rPr>
        <w:t xml:space="preserve"> (maintained by the Royal Victorian Association of Honorary Justices).</w:t>
      </w:r>
    </w:p>
    <w:p w14:paraId="5D9A574F" w14:textId="77777777" w:rsidR="00E16BD0" w:rsidRDefault="00E16BD0" w:rsidP="00E16BD0">
      <w:pPr>
        <w:jc w:val="both"/>
        <w:rPr>
          <w:rFonts w:ascii="Arial" w:hAnsi="Arial" w:cs="Arial"/>
          <w:sz w:val="20"/>
        </w:rPr>
      </w:pPr>
      <w:bookmarkStart w:id="568" w:name="_2.10_Court_services"/>
      <w:bookmarkStart w:id="569" w:name="_Toc30608798"/>
      <w:bookmarkStart w:id="570" w:name="_Toc30610012"/>
      <w:bookmarkStart w:id="571" w:name="_Toc30610255"/>
      <w:bookmarkStart w:id="572" w:name="_Toc30638409"/>
      <w:bookmarkStart w:id="573" w:name="_Toc30644218"/>
      <w:bookmarkStart w:id="574" w:name="_Toc30644621"/>
      <w:bookmarkStart w:id="575" w:name="_Toc30645171"/>
      <w:bookmarkStart w:id="576" w:name="_Toc30646375"/>
      <w:bookmarkStart w:id="577" w:name="_Toc30646670"/>
      <w:bookmarkStart w:id="578" w:name="_Toc30646780"/>
      <w:bookmarkStart w:id="579" w:name="_Toc30648137"/>
      <w:bookmarkStart w:id="580" w:name="_Toc30649035"/>
      <w:bookmarkStart w:id="581" w:name="_Toc30649111"/>
      <w:bookmarkStart w:id="582" w:name="_Toc30649372"/>
      <w:bookmarkStart w:id="583" w:name="_Toc30649692"/>
      <w:bookmarkStart w:id="584" w:name="_Toc30651626"/>
      <w:bookmarkStart w:id="585" w:name="_Toc30652610"/>
      <w:bookmarkStart w:id="586" w:name="_Toc30652708"/>
      <w:bookmarkStart w:id="587" w:name="_Toc30654053"/>
      <w:bookmarkStart w:id="588" w:name="_Toc30654404"/>
      <w:bookmarkStart w:id="589" w:name="_Toc30655023"/>
      <w:bookmarkStart w:id="590" w:name="_Toc30655280"/>
      <w:bookmarkStart w:id="591" w:name="_Toc30656956"/>
      <w:bookmarkStart w:id="592" w:name="_Toc30661705"/>
      <w:bookmarkStart w:id="593" w:name="_Toc30666393"/>
      <w:bookmarkStart w:id="594" w:name="_Toc30666623"/>
      <w:bookmarkStart w:id="595" w:name="_Toc30667798"/>
      <w:bookmarkStart w:id="596" w:name="_Toc30669176"/>
      <w:bookmarkStart w:id="597" w:name="_Toc30671392"/>
      <w:bookmarkStart w:id="598" w:name="_Toc30673919"/>
      <w:bookmarkStart w:id="599" w:name="_Toc30691141"/>
      <w:bookmarkStart w:id="600" w:name="_Toc30691512"/>
      <w:bookmarkStart w:id="601" w:name="_Toc30691892"/>
      <w:bookmarkStart w:id="602" w:name="_Toc30692651"/>
      <w:bookmarkStart w:id="603" w:name="_Toc30693030"/>
      <w:bookmarkStart w:id="604" w:name="_Toc30693408"/>
      <w:bookmarkStart w:id="605" w:name="_Toc30693787"/>
      <w:bookmarkStart w:id="606" w:name="_Toc30694168"/>
      <w:bookmarkStart w:id="607" w:name="_Toc30698757"/>
      <w:bookmarkStart w:id="608" w:name="_Toc30699135"/>
      <w:bookmarkStart w:id="609" w:name="_Toc30699520"/>
      <w:bookmarkStart w:id="610" w:name="_Toc30700675"/>
      <w:bookmarkStart w:id="611" w:name="_Toc30701062"/>
      <w:bookmarkStart w:id="612" w:name="_Toc30743671"/>
      <w:bookmarkStart w:id="613" w:name="_Toc30754494"/>
      <w:bookmarkStart w:id="614" w:name="_Toc30756934"/>
      <w:bookmarkStart w:id="615" w:name="_Toc30757483"/>
      <w:bookmarkStart w:id="616" w:name="_Toc30757883"/>
      <w:bookmarkStart w:id="617" w:name="_Toc30762644"/>
      <w:bookmarkStart w:id="618" w:name="_Toc30767298"/>
      <w:bookmarkStart w:id="619" w:name="_Toc34823323"/>
      <w:bookmarkEnd w:id="568"/>
    </w:p>
    <w:p w14:paraId="705D6554" w14:textId="67DC2B74" w:rsidR="00277B85" w:rsidRDefault="00277B85" w:rsidP="00B63241">
      <w:pPr>
        <w:pStyle w:val="Heading2"/>
        <w:keepNext/>
        <w:keepLines/>
        <w:widowControl/>
        <w:tabs>
          <w:tab w:val="left" w:pos="567"/>
        </w:tabs>
        <w:spacing w:line="240" w:lineRule="auto"/>
        <w:rPr>
          <w:rFonts w:ascii="Arial" w:hAnsi="Arial" w:cs="Arial"/>
          <w:b/>
          <w:bCs/>
        </w:rPr>
      </w:pPr>
      <w:r>
        <w:rPr>
          <w:rFonts w:ascii="Arial" w:hAnsi="Arial" w:cs="Arial"/>
          <w:b/>
          <w:bCs/>
        </w:rPr>
        <w:t>2.10</w:t>
      </w:r>
      <w:r>
        <w:rPr>
          <w:rFonts w:ascii="Arial" w:hAnsi="Arial" w:cs="Arial"/>
          <w:b/>
          <w:bCs/>
        </w:rPr>
        <w:tab/>
        <w:t>Court services</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4A052972" w14:textId="3F052047" w:rsidR="00277B85" w:rsidRDefault="00277B85" w:rsidP="00B63241">
      <w:pPr>
        <w:keepNext/>
        <w:keepLines/>
        <w:jc w:val="both"/>
        <w:rPr>
          <w:rFonts w:ascii="Arial" w:hAnsi="Arial" w:cs="Arial"/>
          <w:sz w:val="20"/>
          <w:szCs w:val="20"/>
        </w:rPr>
      </w:pPr>
    </w:p>
    <w:p w14:paraId="1112D659" w14:textId="01EF5E97" w:rsidR="00F65A9B" w:rsidRDefault="00F65A9B" w:rsidP="00F65A9B">
      <w:pPr>
        <w:jc w:val="both"/>
        <w:rPr>
          <w:rFonts w:ascii="Arial" w:hAnsi="Arial" w:cs="Arial"/>
          <w:sz w:val="20"/>
        </w:rPr>
      </w:pPr>
      <w:r>
        <w:rPr>
          <w:rFonts w:ascii="Arial" w:hAnsi="Arial" w:cs="Arial"/>
          <w:sz w:val="20"/>
        </w:rPr>
        <w:t xml:space="preserve">For many years the </w:t>
      </w:r>
      <w:r w:rsidRPr="00F65A9B">
        <w:rPr>
          <w:rFonts w:ascii="Arial" w:hAnsi="Arial" w:cs="Arial"/>
          <w:b/>
          <w:bCs/>
          <w:sz w:val="20"/>
        </w:rPr>
        <w:t>Salvation Army</w:t>
      </w:r>
      <w:r>
        <w:rPr>
          <w:rFonts w:ascii="Arial" w:hAnsi="Arial" w:cs="Arial"/>
          <w:sz w:val="20"/>
        </w:rPr>
        <w:t xml:space="preserve"> had maintained a daily information and support service at the Melbourne Children's Court and some suburban &amp; regional Children's Courts.  The Salvation Army has now reprioritised its mission and no longer provide</w:t>
      </w:r>
      <w:r w:rsidR="006F0082">
        <w:rPr>
          <w:rFonts w:ascii="Arial" w:hAnsi="Arial" w:cs="Arial"/>
          <w:sz w:val="20"/>
        </w:rPr>
        <w:t>s</w:t>
      </w:r>
      <w:r>
        <w:rPr>
          <w:rFonts w:ascii="Arial" w:hAnsi="Arial" w:cs="Arial"/>
          <w:sz w:val="20"/>
        </w:rPr>
        <w:t xml:space="preserve"> services </w:t>
      </w:r>
      <w:r w:rsidR="0019473A">
        <w:rPr>
          <w:rFonts w:ascii="Arial" w:hAnsi="Arial" w:cs="Arial"/>
          <w:sz w:val="20"/>
        </w:rPr>
        <w:t>at</w:t>
      </w:r>
      <w:r>
        <w:rPr>
          <w:rFonts w:ascii="Arial" w:hAnsi="Arial" w:cs="Arial"/>
          <w:sz w:val="20"/>
        </w:rPr>
        <w:t xml:space="preserve"> the Court.  Special tribute should be paid to Brigadier Doreen Griffiths who provided generations of clients with support and succour at Melbourne Children's Court and to Major Vicki McMahon who was transferred to </w:t>
      </w:r>
      <w:proofErr w:type="spellStart"/>
      <w:r>
        <w:rPr>
          <w:rFonts w:ascii="Arial" w:hAnsi="Arial" w:cs="Arial"/>
          <w:sz w:val="20"/>
        </w:rPr>
        <w:t>Bridgehaven</w:t>
      </w:r>
      <w:proofErr w:type="spellEnd"/>
      <w:r>
        <w:rPr>
          <w:rFonts w:ascii="Arial" w:hAnsi="Arial" w:cs="Arial"/>
          <w:sz w:val="20"/>
        </w:rPr>
        <w:t xml:space="preserve"> after supporting children, parents and family members at Melbourne Children’s Court for 13 years.</w:t>
      </w:r>
    </w:p>
    <w:p w14:paraId="1AB5D2AD" w14:textId="55EE0E9B" w:rsidR="00F65A9B" w:rsidRDefault="00F65A9B" w:rsidP="00F65A9B">
      <w:pPr>
        <w:jc w:val="both"/>
        <w:rPr>
          <w:rFonts w:ascii="Arial" w:hAnsi="Arial" w:cs="Arial"/>
          <w:sz w:val="20"/>
        </w:rPr>
      </w:pPr>
    </w:p>
    <w:p w14:paraId="28B33D08" w14:textId="17A56844" w:rsidR="0019473A" w:rsidRDefault="0019473A" w:rsidP="00F65A9B">
      <w:pPr>
        <w:jc w:val="both"/>
        <w:rPr>
          <w:rFonts w:ascii="Arial" w:hAnsi="Arial" w:cs="Arial"/>
          <w:sz w:val="20"/>
        </w:rPr>
      </w:pPr>
      <w:r>
        <w:rPr>
          <w:rFonts w:ascii="Arial" w:hAnsi="Arial" w:cs="Arial"/>
          <w:sz w:val="20"/>
        </w:rPr>
        <w:t xml:space="preserve">However, the Salvation Army still provides a wide range of services for clients of the Court.  These services – described in more detail on </w:t>
      </w:r>
      <w:r>
        <w:rPr>
          <w:rFonts w:ascii="Arial" w:hAnsi="Arial" w:cs="Arial"/>
          <w:color w:val="000000"/>
          <w:sz w:val="20"/>
        </w:rPr>
        <w:t xml:space="preserve">the Children’s Court website [tab “Help and Support” </w:t>
      </w:r>
      <w:r>
        <w:rPr>
          <w:rFonts w:ascii="Arial" w:hAnsi="Arial" w:cs="Arial"/>
          <w:color w:val="000000"/>
          <w:sz w:val="20"/>
        </w:rPr>
        <w:sym w:font="Wingdings" w:char="F0E8"/>
      </w:r>
      <w:r>
        <w:rPr>
          <w:rFonts w:ascii="Arial" w:hAnsi="Arial" w:cs="Arial"/>
          <w:color w:val="000000"/>
          <w:sz w:val="20"/>
        </w:rPr>
        <w:t xml:space="preserve"> “Support Services at Court” </w:t>
      </w:r>
      <w:r>
        <w:rPr>
          <w:rFonts w:ascii="Arial" w:hAnsi="Arial" w:cs="Arial"/>
          <w:color w:val="000000"/>
          <w:sz w:val="20"/>
        </w:rPr>
        <w:sym w:font="Wingdings" w:char="F0E8"/>
      </w:r>
      <w:r>
        <w:rPr>
          <w:rFonts w:ascii="Arial" w:hAnsi="Arial" w:cs="Arial"/>
          <w:color w:val="000000"/>
          <w:sz w:val="20"/>
        </w:rPr>
        <w:t xml:space="preserve"> “Salvation Army”] </w:t>
      </w:r>
      <w:r w:rsidR="006F0082">
        <w:rPr>
          <w:rFonts w:ascii="Arial" w:hAnsi="Arial" w:cs="Arial"/>
          <w:color w:val="000000"/>
          <w:sz w:val="20"/>
        </w:rPr>
        <w:t xml:space="preserve">– </w:t>
      </w:r>
      <w:r>
        <w:rPr>
          <w:rFonts w:ascii="Arial" w:hAnsi="Arial" w:cs="Arial"/>
          <w:color w:val="000000"/>
          <w:sz w:val="20"/>
        </w:rPr>
        <w:t>include-</w:t>
      </w:r>
    </w:p>
    <w:p w14:paraId="6F8D30B8" w14:textId="4E48F58A"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Aboriginal and Torres Strait Islander programs;</w:t>
      </w:r>
    </w:p>
    <w:p w14:paraId="1692EF0B" w14:textId="04B7463B"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Homelessness services;</w:t>
      </w:r>
    </w:p>
    <w:p w14:paraId="1DE93790" w14:textId="46A4E1EB"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Alcohol and other drug services;</w:t>
      </w:r>
    </w:p>
    <w:p w14:paraId="17055C7E" w14:textId="55441EF1"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Employment Plus;</w:t>
      </w:r>
    </w:p>
    <w:p w14:paraId="43BA04B2" w14:textId="6A8BDD7F"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Youth support networks and programs.</w:t>
      </w:r>
    </w:p>
    <w:p w14:paraId="4E48EF28" w14:textId="77777777" w:rsidR="0019473A" w:rsidRDefault="0019473A" w:rsidP="00F65A9B">
      <w:pPr>
        <w:jc w:val="both"/>
        <w:rPr>
          <w:rFonts w:ascii="Arial" w:hAnsi="Arial" w:cs="Arial"/>
          <w:sz w:val="20"/>
        </w:rPr>
      </w:pPr>
    </w:p>
    <w:p w14:paraId="29A24D18" w14:textId="4C1E878A" w:rsidR="00F65A9B" w:rsidRDefault="00F65A9B" w:rsidP="00F65A9B">
      <w:pPr>
        <w:jc w:val="both"/>
        <w:rPr>
          <w:rFonts w:ascii="Arial" w:hAnsi="Arial" w:cs="Arial"/>
          <w:sz w:val="20"/>
        </w:rPr>
      </w:pPr>
      <w:r>
        <w:rPr>
          <w:rFonts w:ascii="Arial" w:hAnsi="Arial" w:cs="Arial"/>
          <w:sz w:val="20"/>
        </w:rPr>
        <w:t xml:space="preserve">The following three court organisations provide </w:t>
      </w:r>
      <w:r w:rsidR="00444BCB">
        <w:rPr>
          <w:rFonts w:ascii="Arial" w:hAnsi="Arial" w:cs="Arial"/>
          <w:sz w:val="20"/>
        </w:rPr>
        <w:t xml:space="preserve">free </w:t>
      </w:r>
      <w:r>
        <w:rPr>
          <w:rFonts w:ascii="Arial" w:hAnsi="Arial" w:cs="Arial"/>
          <w:sz w:val="20"/>
        </w:rPr>
        <w:t>services at various Children’s Courts:</w:t>
      </w:r>
    </w:p>
    <w:p w14:paraId="53416D4F" w14:textId="77777777" w:rsidR="00F65A9B" w:rsidRDefault="00F65A9B" w:rsidP="00F65A9B">
      <w:pPr>
        <w:jc w:val="both"/>
        <w:rPr>
          <w:rFonts w:ascii="Arial" w:hAnsi="Arial" w:cs="Arial"/>
          <w:sz w:val="20"/>
        </w:rPr>
      </w:pPr>
    </w:p>
    <w:p w14:paraId="7C0459DB" w14:textId="4C076BCC" w:rsidR="002643C7" w:rsidRDefault="00316730" w:rsidP="002643C7">
      <w:pPr>
        <w:jc w:val="both"/>
        <w:rPr>
          <w:rFonts w:ascii="Arial" w:hAnsi="Arial" w:cs="Arial"/>
          <w:sz w:val="20"/>
          <w:szCs w:val="20"/>
        </w:rPr>
      </w:pPr>
      <w:r>
        <w:rPr>
          <w:rFonts w:ascii="Arial" w:hAnsi="Arial" w:cs="Arial"/>
          <w:sz w:val="20"/>
          <w:szCs w:val="20"/>
        </w:rPr>
        <w:t xml:space="preserve">The </w:t>
      </w:r>
      <w:r w:rsidRPr="00316730">
        <w:rPr>
          <w:rFonts w:ascii="Arial" w:hAnsi="Arial" w:cs="Arial"/>
          <w:b/>
          <w:bCs/>
          <w:sz w:val="20"/>
          <w:szCs w:val="20"/>
        </w:rPr>
        <w:t>Court Registry</w:t>
      </w:r>
      <w:r>
        <w:rPr>
          <w:rFonts w:ascii="Arial" w:hAnsi="Arial" w:cs="Arial"/>
          <w:sz w:val="20"/>
          <w:szCs w:val="20"/>
        </w:rPr>
        <w:t xml:space="preserve"> is where all documents relating to a case in that venue of the Children’s Court are filed.  Registry staff cannot give legal advice or complete court forms on a person’s behalf but can provide assistance such as-</w:t>
      </w:r>
    </w:p>
    <w:p w14:paraId="4FE62C8D" w14:textId="43E0CC76"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help with finding forms and court lists;</w:t>
      </w:r>
    </w:p>
    <w:p w14:paraId="22109E1D" w14:textId="3F79DEB6"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explaining court processes and procedures;</w:t>
      </w:r>
    </w:p>
    <w:p w14:paraId="4161D012" w14:textId="5503489E"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explaining legal phrases or terms, rules and practices;</w:t>
      </w:r>
    </w:p>
    <w:p w14:paraId="7A05C03E" w14:textId="16F2559E"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giving information about how the Victorian court system works;</w:t>
      </w:r>
    </w:p>
    <w:p w14:paraId="69CB483E" w14:textId="626EAEBF"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 xml:space="preserve">providing general advice to </w:t>
      </w:r>
      <w:r w:rsidR="00DD1183">
        <w:rPr>
          <w:rFonts w:ascii="Arial" w:hAnsi="Arial" w:cs="Arial"/>
          <w:sz w:val="20"/>
        </w:rPr>
        <w:t xml:space="preserve">enable a person to </w:t>
      </w:r>
      <w:r>
        <w:rPr>
          <w:rFonts w:ascii="Arial" w:hAnsi="Arial" w:cs="Arial"/>
          <w:sz w:val="20"/>
        </w:rPr>
        <w:t>complete court forms;</w:t>
      </w:r>
    </w:p>
    <w:p w14:paraId="3E99942F" w14:textId="661FA47C" w:rsidR="00316730" w:rsidRP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providing suggestions about other agencies that can give legal advice.</w:t>
      </w:r>
    </w:p>
    <w:p w14:paraId="2A697A5C" w14:textId="77777777" w:rsidR="00316730" w:rsidRPr="002643C7" w:rsidRDefault="00316730" w:rsidP="002643C7">
      <w:pPr>
        <w:jc w:val="both"/>
        <w:rPr>
          <w:rFonts w:ascii="Arial" w:hAnsi="Arial" w:cs="Arial"/>
          <w:sz w:val="20"/>
          <w:szCs w:val="20"/>
        </w:rPr>
      </w:pPr>
    </w:p>
    <w:p w14:paraId="5E59E7EE" w14:textId="70091519" w:rsidR="002643C7" w:rsidRDefault="002643C7" w:rsidP="002643C7">
      <w:pPr>
        <w:jc w:val="both"/>
        <w:rPr>
          <w:rFonts w:ascii="Arial" w:hAnsi="Arial" w:cs="Arial"/>
          <w:sz w:val="20"/>
        </w:rPr>
      </w:pPr>
      <w:r>
        <w:rPr>
          <w:rFonts w:ascii="Arial" w:hAnsi="Arial" w:cs="Arial"/>
          <w:sz w:val="20"/>
        </w:rPr>
        <w:lastRenderedPageBreak/>
        <w:t xml:space="preserve">A </w:t>
      </w:r>
      <w:r w:rsidRPr="002643C7">
        <w:rPr>
          <w:rFonts w:ascii="Arial" w:hAnsi="Arial" w:cs="Arial"/>
          <w:b/>
          <w:bCs/>
          <w:sz w:val="20"/>
        </w:rPr>
        <w:t>Court Support Coordinator</w:t>
      </w:r>
      <w:r>
        <w:rPr>
          <w:rFonts w:ascii="Arial" w:hAnsi="Arial" w:cs="Arial"/>
          <w:sz w:val="20"/>
        </w:rPr>
        <w:t xml:space="preserve"> [CSC] is a specialist court staff member who has a background in social work and is available to provide information and </w:t>
      </w:r>
      <w:r w:rsidR="00B90646">
        <w:rPr>
          <w:rFonts w:ascii="Arial" w:hAnsi="Arial" w:cs="Arial"/>
          <w:sz w:val="20"/>
        </w:rPr>
        <w:t xml:space="preserve">to </w:t>
      </w:r>
      <w:r>
        <w:rPr>
          <w:rFonts w:ascii="Arial" w:hAnsi="Arial" w:cs="Arial"/>
          <w:sz w:val="20"/>
        </w:rPr>
        <w:t xml:space="preserve">support court users whose cases are listed at Melbourne, Broadmeadows and Moorabbin Children’s Courts.  </w:t>
      </w:r>
      <w:r w:rsidR="00A43E83">
        <w:rPr>
          <w:rFonts w:ascii="Arial" w:hAnsi="Arial" w:cs="Arial"/>
          <w:sz w:val="20"/>
        </w:rPr>
        <w:t xml:space="preserve">A </w:t>
      </w:r>
      <w:r w:rsidR="00316730">
        <w:rPr>
          <w:rFonts w:ascii="Arial" w:hAnsi="Arial" w:cs="Arial"/>
          <w:sz w:val="20"/>
        </w:rPr>
        <w:t>CSC</w:t>
      </w:r>
      <w:r w:rsidR="00A43E83">
        <w:rPr>
          <w:rFonts w:ascii="Arial" w:hAnsi="Arial" w:cs="Arial"/>
          <w:sz w:val="20"/>
        </w:rPr>
        <w:t>’s role includes provision of</w:t>
      </w:r>
      <w:r w:rsidR="00ED7EFC">
        <w:rPr>
          <w:rFonts w:ascii="Arial" w:hAnsi="Arial" w:cs="Arial"/>
          <w:sz w:val="20"/>
        </w:rPr>
        <w:t>–</w:t>
      </w:r>
    </w:p>
    <w:p w14:paraId="3E1D490F" w14:textId="72076C6A" w:rsidR="00316730" w:rsidRDefault="00B90646" w:rsidP="00C23CF0">
      <w:pPr>
        <w:pStyle w:val="ListParagraph"/>
        <w:numPr>
          <w:ilvl w:val="0"/>
          <w:numId w:val="20"/>
        </w:numPr>
        <w:ind w:left="357" w:hanging="357"/>
        <w:jc w:val="both"/>
        <w:rPr>
          <w:rFonts w:ascii="Arial" w:hAnsi="Arial" w:cs="Arial"/>
          <w:sz w:val="20"/>
        </w:rPr>
      </w:pPr>
      <w:r>
        <w:rPr>
          <w:rFonts w:ascii="Arial" w:hAnsi="Arial" w:cs="Arial"/>
          <w:sz w:val="20"/>
        </w:rPr>
        <w:t>referrals to community support services</w:t>
      </w:r>
      <w:r w:rsidR="00010B30">
        <w:rPr>
          <w:rFonts w:ascii="Arial" w:hAnsi="Arial" w:cs="Arial"/>
          <w:sz w:val="20"/>
        </w:rPr>
        <w:t>, including drug and alcohol, housing, youth support and family violence</w:t>
      </w:r>
      <w:r w:rsidR="0031468B">
        <w:rPr>
          <w:rFonts w:ascii="Arial" w:hAnsi="Arial" w:cs="Arial"/>
          <w:sz w:val="20"/>
        </w:rPr>
        <w:t>;</w:t>
      </w:r>
    </w:p>
    <w:p w14:paraId="6D33F0B4" w14:textId="76B8816C" w:rsidR="00B90646" w:rsidRDefault="00B90646" w:rsidP="00C23CF0">
      <w:pPr>
        <w:pStyle w:val="ListParagraph"/>
        <w:numPr>
          <w:ilvl w:val="0"/>
          <w:numId w:val="20"/>
        </w:numPr>
        <w:ind w:left="357" w:hanging="357"/>
        <w:jc w:val="both"/>
        <w:rPr>
          <w:rFonts w:ascii="Arial" w:hAnsi="Arial" w:cs="Arial"/>
          <w:sz w:val="20"/>
        </w:rPr>
      </w:pPr>
      <w:r>
        <w:rPr>
          <w:rFonts w:ascii="Arial" w:hAnsi="Arial" w:cs="Arial"/>
          <w:sz w:val="20"/>
        </w:rPr>
        <w:t xml:space="preserve">information about court processes </w:t>
      </w:r>
      <w:r w:rsidR="00010B30">
        <w:rPr>
          <w:rFonts w:ascii="Arial" w:hAnsi="Arial" w:cs="Arial"/>
          <w:sz w:val="20"/>
        </w:rPr>
        <w:t xml:space="preserve">and procedures </w:t>
      </w:r>
      <w:r>
        <w:rPr>
          <w:rFonts w:ascii="Arial" w:hAnsi="Arial" w:cs="Arial"/>
          <w:sz w:val="20"/>
        </w:rPr>
        <w:t>to people who do not have legal representation;</w:t>
      </w:r>
    </w:p>
    <w:p w14:paraId="476CFD4F" w14:textId="77777777" w:rsidR="00ED7EFC" w:rsidRDefault="00010B30" w:rsidP="00C23CF0">
      <w:pPr>
        <w:pStyle w:val="ListParagraph"/>
        <w:numPr>
          <w:ilvl w:val="0"/>
          <w:numId w:val="20"/>
        </w:numPr>
        <w:ind w:left="357" w:hanging="357"/>
        <w:jc w:val="both"/>
        <w:rPr>
          <w:rFonts w:ascii="Arial" w:hAnsi="Arial" w:cs="Arial"/>
          <w:sz w:val="20"/>
        </w:rPr>
      </w:pPr>
      <w:r>
        <w:rPr>
          <w:rFonts w:ascii="Arial" w:hAnsi="Arial" w:cs="Arial"/>
          <w:sz w:val="20"/>
        </w:rPr>
        <w:t xml:space="preserve">physical and </w:t>
      </w:r>
      <w:r w:rsidR="00B90646">
        <w:rPr>
          <w:rFonts w:ascii="Arial" w:hAnsi="Arial" w:cs="Arial"/>
          <w:sz w:val="20"/>
        </w:rPr>
        <w:t xml:space="preserve">emotional support to people who are </w:t>
      </w:r>
      <w:r w:rsidR="00ED7EFC">
        <w:rPr>
          <w:rFonts w:ascii="Arial" w:hAnsi="Arial" w:cs="Arial"/>
          <w:sz w:val="20"/>
        </w:rPr>
        <w:t>distressed</w:t>
      </w:r>
      <w:r w:rsidR="00B90646">
        <w:rPr>
          <w:rFonts w:ascii="Arial" w:hAnsi="Arial" w:cs="Arial"/>
          <w:sz w:val="20"/>
        </w:rPr>
        <w:t xml:space="preserve"> or seeking help</w:t>
      </w:r>
      <w:r w:rsidR="00ED7EFC">
        <w:rPr>
          <w:rFonts w:ascii="Arial" w:hAnsi="Arial" w:cs="Arial"/>
          <w:sz w:val="20"/>
        </w:rPr>
        <w:t>;</w:t>
      </w:r>
    </w:p>
    <w:p w14:paraId="3E19FC48" w14:textId="134EA5C1" w:rsidR="00B90646" w:rsidRDefault="00ED7EFC" w:rsidP="00C23CF0">
      <w:pPr>
        <w:pStyle w:val="ListParagraph"/>
        <w:numPr>
          <w:ilvl w:val="0"/>
          <w:numId w:val="20"/>
        </w:numPr>
        <w:ind w:left="357" w:hanging="357"/>
        <w:jc w:val="both"/>
        <w:rPr>
          <w:rFonts w:ascii="Arial" w:hAnsi="Arial" w:cs="Arial"/>
          <w:sz w:val="20"/>
        </w:rPr>
      </w:pPr>
      <w:r>
        <w:rPr>
          <w:rFonts w:ascii="Arial" w:hAnsi="Arial" w:cs="Arial"/>
          <w:sz w:val="20"/>
        </w:rPr>
        <w:t>assistance to join online hearings and support during hearings</w:t>
      </w:r>
      <w:r w:rsidR="00B90646">
        <w:rPr>
          <w:rFonts w:ascii="Arial" w:hAnsi="Arial" w:cs="Arial"/>
          <w:sz w:val="20"/>
        </w:rPr>
        <w:t>.</w:t>
      </w:r>
    </w:p>
    <w:p w14:paraId="1CEAB729" w14:textId="77777777" w:rsidR="00010B30" w:rsidRPr="0006258E" w:rsidRDefault="00010B30" w:rsidP="00ED7EFC">
      <w:pPr>
        <w:spacing w:before="120"/>
        <w:jc w:val="both"/>
        <w:rPr>
          <w:rFonts w:ascii="Arial" w:hAnsi="Arial" w:cs="Arial"/>
          <w:sz w:val="20"/>
        </w:rPr>
      </w:pPr>
      <w:r>
        <w:rPr>
          <w:rFonts w:ascii="Arial" w:hAnsi="Arial" w:cs="Arial"/>
          <w:sz w:val="20"/>
        </w:rPr>
        <w:t>In the 2022/23 financial year CSPs provided support to over 1,844 court users, including 1,292 self-represented parties.</w:t>
      </w:r>
    </w:p>
    <w:p w14:paraId="27606D1A" w14:textId="77777777" w:rsidR="00010B30" w:rsidRDefault="00010B30" w:rsidP="002643C7">
      <w:pPr>
        <w:jc w:val="both"/>
        <w:rPr>
          <w:rFonts w:ascii="Arial" w:hAnsi="Arial" w:cs="Arial"/>
          <w:sz w:val="20"/>
        </w:rPr>
      </w:pPr>
    </w:p>
    <w:p w14:paraId="08BEA8A6" w14:textId="6278A247" w:rsidR="00A43E83" w:rsidRDefault="00A43E83" w:rsidP="002643C7">
      <w:pPr>
        <w:jc w:val="both"/>
        <w:rPr>
          <w:rFonts w:ascii="Arial" w:hAnsi="Arial" w:cs="Arial"/>
          <w:sz w:val="20"/>
        </w:rPr>
      </w:pPr>
      <w:r>
        <w:rPr>
          <w:rFonts w:ascii="Arial" w:hAnsi="Arial" w:cs="Arial"/>
          <w:sz w:val="20"/>
        </w:rPr>
        <w:t xml:space="preserve">A </w:t>
      </w:r>
      <w:r w:rsidR="0031468B" w:rsidRPr="0031468B">
        <w:rPr>
          <w:rFonts w:ascii="Arial" w:hAnsi="Arial" w:cs="Arial"/>
          <w:b/>
          <w:bCs/>
          <w:sz w:val="20"/>
        </w:rPr>
        <w:t>Family Violence Practitioner</w:t>
      </w:r>
      <w:r w:rsidR="0031468B">
        <w:rPr>
          <w:rFonts w:ascii="Arial" w:hAnsi="Arial" w:cs="Arial"/>
          <w:sz w:val="20"/>
        </w:rPr>
        <w:t xml:space="preserve"> [FVP] is a specialist court staff member who provides support and assistance to persons attending the Melbourne Children’s Court for proceedings related to family violence.  If a person is attending the court either as a result of experiencing or using violence, the FVP can assist the person-</w:t>
      </w:r>
    </w:p>
    <w:p w14:paraId="51FE243F" w14:textId="5C4F702C"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understand the court process including what will happen at the court hearing and the different types of orders that can be made;</w:t>
      </w:r>
    </w:p>
    <w:p w14:paraId="6E8F275E" w14:textId="04DEF6D9"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prepare a plan to keep the person safe at home and in and around the court buildings;</w:t>
      </w:r>
    </w:p>
    <w:p w14:paraId="1DC1743C" w14:textId="5310D179"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access available services in the community, including education, employment, crisis accommodation, counselling and wellbeing services;</w:t>
      </w:r>
    </w:p>
    <w:p w14:paraId="2194D221" w14:textId="65646874"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access available services and programs in the community to stop using family violence.</w:t>
      </w:r>
    </w:p>
    <w:p w14:paraId="654DF588" w14:textId="6733367E" w:rsidR="0031468B" w:rsidRPr="0031468B" w:rsidRDefault="0031468B" w:rsidP="0031468B">
      <w:pPr>
        <w:jc w:val="both"/>
        <w:rPr>
          <w:rFonts w:ascii="Arial" w:hAnsi="Arial" w:cs="Arial"/>
          <w:sz w:val="20"/>
        </w:rPr>
      </w:pPr>
      <w:r>
        <w:rPr>
          <w:rFonts w:ascii="Arial" w:hAnsi="Arial" w:cs="Arial"/>
          <w:sz w:val="20"/>
        </w:rPr>
        <w:t xml:space="preserve">However, the FVP is not able to provide mental health assessments, financial support or legal advice </w:t>
      </w:r>
      <w:r w:rsidR="008D75A3">
        <w:rPr>
          <w:rFonts w:ascii="Arial" w:hAnsi="Arial" w:cs="Arial"/>
          <w:sz w:val="20"/>
        </w:rPr>
        <w:t>and is unable</w:t>
      </w:r>
      <w:r>
        <w:rPr>
          <w:rFonts w:ascii="Arial" w:hAnsi="Arial" w:cs="Arial"/>
          <w:sz w:val="20"/>
        </w:rPr>
        <w:t xml:space="preserve"> to negotiate matters with other parties.</w:t>
      </w:r>
    </w:p>
    <w:p w14:paraId="64E6B20F" w14:textId="22C99534" w:rsidR="0031468B" w:rsidRDefault="0031468B" w:rsidP="002643C7">
      <w:pPr>
        <w:jc w:val="both"/>
        <w:rPr>
          <w:rFonts w:ascii="Arial" w:hAnsi="Arial" w:cs="Arial"/>
          <w:sz w:val="20"/>
        </w:rPr>
      </w:pPr>
    </w:p>
    <w:p w14:paraId="4313E3D7" w14:textId="12252210" w:rsidR="00277B85" w:rsidRDefault="00277B85" w:rsidP="002643C7">
      <w:pPr>
        <w:jc w:val="both"/>
        <w:rPr>
          <w:rFonts w:ascii="Arial" w:hAnsi="Arial" w:cs="Arial"/>
          <w:sz w:val="20"/>
        </w:rPr>
      </w:pPr>
      <w:r>
        <w:rPr>
          <w:rFonts w:ascii="Arial" w:hAnsi="Arial" w:cs="Arial"/>
          <w:sz w:val="20"/>
        </w:rPr>
        <w:t xml:space="preserve">A number of </w:t>
      </w:r>
      <w:r w:rsidR="002643C7">
        <w:rPr>
          <w:rFonts w:ascii="Arial" w:hAnsi="Arial" w:cs="Arial"/>
          <w:sz w:val="20"/>
        </w:rPr>
        <w:t xml:space="preserve">other </w:t>
      </w:r>
      <w:r>
        <w:rPr>
          <w:rFonts w:ascii="Arial" w:hAnsi="Arial" w:cs="Arial"/>
          <w:sz w:val="20"/>
        </w:rPr>
        <w:t>organisations provide services for and</w:t>
      </w:r>
      <w:r w:rsidR="009E5C51">
        <w:rPr>
          <w:rFonts w:ascii="Arial" w:hAnsi="Arial" w:cs="Arial"/>
          <w:sz w:val="20"/>
        </w:rPr>
        <w:t>/or</w:t>
      </w:r>
      <w:r>
        <w:rPr>
          <w:rFonts w:ascii="Arial" w:hAnsi="Arial" w:cs="Arial"/>
          <w:sz w:val="20"/>
        </w:rPr>
        <w:t xml:space="preserve"> at the Children's Court.  These include the following:</w:t>
      </w:r>
    </w:p>
    <w:p w14:paraId="6D187862" w14:textId="77777777" w:rsidR="00277B85" w:rsidRDefault="00277B85">
      <w:pPr>
        <w:jc w:val="both"/>
        <w:rPr>
          <w:rFonts w:ascii="Arial" w:hAnsi="Arial" w:cs="Arial"/>
          <w:sz w:val="20"/>
        </w:rPr>
      </w:pPr>
    </w:p>
    <w:p w14:paraId="5ECF3A2A" w14:textId="77777777" w:rsidR="00277B85" w:rsidRDefault="00277B85" w:rsidP="00CD02A3">
      <w:pPr>
        <w:pStyle w:val="Heading3"/>
        <w:keepNext/>
        <w:keepLines/>
        <w:widowControl/>
        <w:spacing w:after="120" w:line="240" w:lineRule="auto"/>
        <w:rPr>
          <w:rFonts w:ascii="Arial" w:hAnsi="Arial" w:cs="Arial"/>
          <w:b/>
          <w:bCs/>
          <w:sz w:val="20"/>
        </w:rPr>
      </w:pPr>
      <w:bookmarkStart w:id="620" w:name="_2.10.1_Youth_Justice"/>
      <w:bookmarkStart w:id="621" w:name="_Toc30656957"/>
      <w:bookmarkStart w:id="622" w:name="_Toc30661706"/>
      <w:bookmarkStart w:id="623" w:name="_Toc30666394"/>
      <w:bookmarkStart w:id="624" w:name="_Toc30666624"/>
      <w:bookmarkStart w:id="625" w:name="_Toc30667799"/>
      <w:bookmarkStart w:id="626" w:name="_Toc30669177"/>
      <w:bookmarkStart w:id="627" w:name="_Toc30671393"/>
      <w:bookmarkStart w:id="628" w:name="_Toc30673920"/>
      <w:bookmarkStart w:id="629" w:name="_Toc30691142"/>
      <w:bookmarkStart w:id="630" w:name="_Toc30691513"/>
      <w:bookmarkStart w:id="631" w:name="_Toc30691893"/>
      <w:bookmarkStart w:id="632" w:name="_Toc30692652"/>
      <w:bookmarkStart w:id="633" w:name="_Toc30693031"/>
      <w:bookmarkStart w:id="634" w:name="_Toc30693409"/>
      <w:bookmarkStart w:id="635" w:name="_Toc30693788"/>
      <w:bookmarkStart w:id="636" w:name="_Toc30694169"/>
      <w:bookmarkStart w:id="637" w:name="_Toc30698758"/>
      <w:bookmarkStart w:id="638" w:name="_Toc30699136"/>
      <w:bookmarkStart w:id="639" w:name="_Toc30699521"/>
      <w:bookmarkStart w:id="640" w:name="_Toc30700676"/>
      <w:bookmarkStart w:id="641" w:name="_Toc30701063"/>
      <w:bookmarkStart w:id="642" w:name="_Toc30743672"/>
      <w:bookmarkStart w:id="643" w:name="_Toc30754495"/>
      <w:bookmarkStart w:id="644" w:name="_Toc30756935"/>
      <w:bookmarkStart w:id="645" w:name="_Toc30757484"/>
      <w:bookmarkStart w:id="646" w:name="_Toc30757884"/>
      <w:bookmarkStart w:id="647" w:name="_Toc30762645"/>
      <w:bookmarkStart w:id="648" w:name="_Toc30767299"/>
      <w:bookmarkStart w:id="649" w:name="_Toc34823324"/>
      <w:bookmarkStart w:id="650" w:name="_Toc30608799"/>
      <w:bookmarkStart w:id="651" w:name="_Toc30610013"/>
      <w:bookmarkStart w:id="652" w:name="_Toc30610256"/>
      <w:bookmarkStart w:id="653" w:name="_Toc30638410"/>
      <w:bookmarkStart w:id="654" w:name="_Toc30644219"/>
      <w:bookmarkStart w:id="655" w:name="_Toc30644622"/>
      <w:bookmarkStart w:id="656" w:name="_Toc30645172"/>
      <w:bookmarkStart w:id="657" w:name="_Toc30646376"/>
      <w:bookmarkStart w:id="658" w:name="_Toc30646671"/>
      <w:bookmarkStart w:id="659" w:name="_Toc30646781"/>
      <w:bookmarkStart w:id="660" w:name="_Toc30648138"/>
      <w:bookmarkStart w:id="661" w:name="_Toc30649036"/>
      <w:bookmarkStart w:id="662" w:name="_Toc30649112"/>
      <w:bookmarkStart w:id="663" w:name="_Toc30649373"/>
      <w:bookmarkStart w:id="664" w:name="_Toc30649693"/>
      <w:bookmarkStart w:id="665" w:name="_Toc30651627"/>
      <w:bookmarkStart w:id="666" w:name="_Toc30652611"/>
      <w:bookmarkStart w:id="667" w:name="_Toc30652709"/>
      <w:bookmarkStart w:id="668" w:name="_Toc30654054"/>
      <w:bookmarkStart w:id="669" w:name="_Toc30654405"/>
      <w:bookmarkStart w:id="670" w:name="_Toc30655024"/>
      <w:bookmarkStart w:id="671" w:name="_Toc30655281"/>
      <w:bookmarkEnd w:id="620"/>
      <w:r>
        <w:rPr>
          <w:rFonts w:ascii="Arial" w:hAnsi="Arial" w:cs="Arial"/>
          <w:b/>
          <w:bCs/>
          <w:sz w:val="20"/>
        </w:rPr>
        <w:t>2.10.1</w:t>
      </w:r>
      <w:r>
        <w:rPr>
          <w:rFonts w:ascii="Arial" w:hAnsi="Arial" w:cs="Arial"/>
          <w:b/>
          <w:bCs/>
          <w:sz w:val="20"/>
        </w:rPr>
        <w:tab/>
      </w:r>
      <w:r w:rsidR="00192C85">
        <w:rPr>
          <w:rFonts w:ascii="Arial" w:hAnsi="Arial" w:cs="Arial"/>
          <w:b/>
          <w:bCs/>
          <w:sz w:val="20"/>
        </w:rPr>
        <w:t>Youth</w:t>
      </w:r>
      <w:r>
        <w:rPr>
          <w:rFonts w:ascii="Arial" w:hAnsi="Arial" w:cs="Arial"/>
          <w:b/>
          <w:bCs/>
          <w:sz w:val="20"/>
        </w:rPr>
        <w:t xml:space="preserve"> Justice</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4EF7531F" w14:textId="51CEC57D" w:rsidR="00CA279A" w:rsidRDefault="00277B85" w:rsidP="00CD1893">
      <w:pPr>
        <w:jc w:val="both"/>
        <w:rPr>
          <w:rFonts w:ascii="Arial" w:hAnsi="Arial" w:cs="Arial"/>
          <w:sz w:val="20"/>
        </w:rPr>
      </w:pPr>
      <w:bookmarkStart w:id="672" w:name="_Toc30698759"/>
      <w:bookmarkStart w:id="673" w:name="_Toc30699137"/>
      <w:bookmarkStart w:id="674" w:name="_Toc30699522"/>
      <w:bookmarkStart w:id="675" w:name="_Toc30700677"/>
      <w:bookmarkStart w:id="676" w:name="_Toc30701064"/>
      <w:bookmarkStart w:id="677" w:name="_Toc30743673"/>
      <w:r>
        <w:rPr>
          <w:rFonts w:ascii="Arial" w:hAnsi="Arial" w:cs="Arial"/>
          <w:sz w:val="20"/>
        </w:rPr>
        <w:t xml:space="preserve">At Melbourne Children's Court and at many other Children's Courts the </w:t>
      </w:r>
      <w:r w:rsidR="00192C85">
        <w:rPr>
          <w:rFonts w:ascii="Arial" w:hAnsi="Arial" w:cs="Arial"/>
          <w:sz w:val="20"/>
        </w:rPr>
        <w:t>Youth</w:t>
      </w:r>
      <w:r>
        <w:rPr>
          <w:rFonts w:ascii="Arial" w:hAnsi="Arial" w:cs="Arial"/>
          <w:sz w:val="20"/>
        </w:rPr>
        <w:t xml:space="preserve"> Justice Division of the Department of </w:t>
      </w:r>
      <w:bookmarkEnd w:id="672"/>
      <w:bookmarkEnd w:id="673"/>
      <w:bookmarkEnd w:id="674"/>
      <w:bookmarkEnd w:id="675"/>
      <w:bookmarkEnd w:id="676"/>
      <w:r w:rsidR="0099637C">
        <w:rPr>
          <w:rFonts w:ascii="Arial" w:hAnsi="Arial" w:cs="Arial"/>
          <w:sz w:val="20"/>
        </w:rPr>
        <w:t>Justice and Community Safety</w:t>
      </w:r>
      <w:r w:rsidR="00192C85">
        <w:rPr>
          <w:rFonts w:ascii="Arial" w:hAnsi="Arial" w:cs="Arial"/>
          <w:sz w:val="20"/>
        </w:rPr>
        <w:t xml:space="preserve"> has </w:t>
      </w:r>
      <w:r>
        <w:rPr>
          <w:rFonts w:ascii="Arial" w:hAnsi="Arial" w:cs="Arial"/>
          <w:sz w:val="20"/>
        </w:rPr>
        <w:t>officer</w:t>
      </w:r>
      <w:r w:rsidR="00192C85">
        <w:rPr>
          <w:rFonts w:ascii="Arial" w:hAnsi="Arial" w:cs="Arial"/>
          <w:sz w:val="20"/>
        </w:rPr>
        <w:t>s</w:t>
      </w:r>
      <w:r>
        <w:rPr>
          <w:rFonts w:ascii="Arial" w:hAnsi="Arial" w:cs="Arial"/>
          <w:sz w:val="20"/>
        </w:rPr>
        <w:t xml:space="preserve"> in attendance </w:t>
      </w:r>
      <w:r w:rsidR="00192C85">
        <w:rPr>
          <w:rFonts w:ascii="Arial" w:hAnsi="Arial" w:cs="Arial"/>
          <w:sz w:val="20"/>
        </w:rPr>
        <w:t xml:space="preserve">on each court sitting day </w:t>
      </w:r>
      <w:r>
        <w:rPr>
          <w:rFonts w:ascii="Arial" w:hAnsi="Arial" w:cs="Arial"/>
          <w:sz w:val="20"/>
        </w:rPr>
        <w:t>to provide support</w:t>
      </w:r>
      <w:r w:rsidR="00A65E0E">
        <w:rPr>
          <w:rFonts w:ascii="Arial" w:hAnsi="Arial" w:cs="Arial"/>
          <w:sz w:val="20"/>
        </w:rPr>
        <w:t>, advice a</w:t>
      </w:r>
      <w:r>
        <w:rPr>
          <w:rFonts w:ascii="Arial" w:hAnsi="Arial" w:cs="Arial"/>
          <w:sz w:val="20"/>
        </w:rPr>
        <w:t xml:space="preserve">nd practical assistance (which may include assistance in arranging accommodation) for young </w:t>
      </w:r>
      <w:r w:rsidR="00192C85">
        <w:rPr>
          <w:rFonts w:ascii="Arial" w:hAnsi="Arial" w:cs="Arial"/>
          <w:sz w:val="20"/>
        </w:rPr>
        <w:t>accused</w:t>
      </w:r>
      <w:r>
        <w:rPr>
          <w:rFonts w:ascii="Arial" w:hAnsi="Arial" w:cs="Arial"/>
          <w:sz w:val="20"/>
        </w:rPr>
        <w:t xml:space="preserve"> attending or brought before the Court.  The officer</w:t>
      </w:r>
      <w:r w:rsidR="00ED088F">
        <w:rPr>
          <w:rFonts w:ascii="Arial" w:hAnsi="Arial" w:cs="Arial"/>
          <w:sz w:val="20"/>
        </w:rPr>
        <w:t>s</w:t>
      </w:r>
      <w:r>
        <w:rPr>
          <w:rFonts w:ascii="Arial" w:hAnsi="Arial" w:cs="Arial"/>
          <w:sz w:val="20"/>
        </w:rPr>
        <w:t xml:space="preserve"> also coordinate arrangements between regional offices of the Department and young persons who have been placed on supervisory sentencing orders by the Court or in respect of whom a deferral of sentence has been ordered</w:t>
      </w:r>
      <w:bookmarkEnd w:id="677"/>
      <w:r w:rsidR="00ED088F">
        <w:rPr>
          <w:rFonts w:ascii="Arial" w:hAnsi="Arial" w:cs="Arial"/>
          <w:sz w:val="20"/>
        </w:rPr>
        <w:t xml:space="preserve">.  Youth Justice </w:t>
      </w:r>
      <w:r w:rsidR="00893262">
        <w:rPr>
          <w:rFonts w:ascii="Arial" w:hAnsi="Arial" w:cs="Arial"/>
          <w:sz w:val="20"/>
        </w:rPr>
        <w:t xml:space="preserve">officers are </w:t>
      </w:r>
      <w:r w:rsidR="00ED088F">
        <w:rPr>
          <w:rFonts w:ascii="Arial" w:hAnsi="Arial" w:cs="Arial"/>
          <w:sz w:val="20"/>
        </w:rPr>
        <w:t xml:space="preserve">also </w:t>
      </w:r>
      <w:r w:rsidR="00893262">
        <w:rPr>
          <w:rFonts w:ascii="Arial" w:hAnsi="Arial" w:cs="Arial"/>
          <w:sz w:val="20"/>
        </w:rPr>
        <w:t xml:space="preserve">involved in the </w:t>
      </w:r>
      <w:r w:rsidR="00ED088F">
        <w:rPr>
          <w:rFonts w:ascii="Arial" w:hAnsi="Arial" w:cs="Arial"/>
          <w:sz w:val="20"/>
        </w:rPr>
        <w:t>diversion</w:t>
      </w:r>
      <w:r w:rsidR="00384A15">
        <w:rPr>
          <w:rFonts w:ascii="Arial" w:hAnsi="Arial" w:cs="Arial"/>
          <w:sz w:val="20"/>
        </w:rPr>
        <w:t xml:space="preserve"> process</w:t>
      </w:r>
      <w:r w:rsidR="00ED088F">
        <w:rPr>
          <w:rFonts w:ascii="Arial" w:hAnsi="Arial" w:cs="Arial"/>
          <w:sz w:val="20"/>
        </w:rPr>
        <w:t>.</w:t>
      </w:r>
      <w:r w:rsidR="00CA279A">
        <w:rPr>
          <w:rFonts w:ascii="Arial" w:hAnsi="Arial" w:cs="Arial"/>
          <w:sz w:val="20"/>
        </w:rPr>
        <w:t xml:space="preserve">  There is also a dedicated diversion officer – entitled </w:t>
      </w:r>
      <w:r w:rsidR="00E678BA">
        <w:rPr>
          <w:rFonts w:ascii="Arial" w:hAnsi="Arial" w:cs="Arial"/>
          <w:sz w:val="20"/>
        </w:rPr>
        <w:t>Children’s Court Youth Diversion Coordinator</w:t>
      </w:r>
      <w:r w:rsidR="00CA279A">
        <w:rPr>
          <w:rFonts w:ascii="Arial" w:hAnsi="Arial" w:cs="Arial"/>
          <w:sz w:val="20"/>
        </w:rPr>
        <w:t xml:space="preserve"> </w:t>
      </w:r>
      <w:r w:rsidR="00E678BA">
        <w:rPr>
          <w:rFonts w:ascii="Arial" w:hAnsi="Arial" w:cs="Arial"/>
          <w:sz w:val="20"/>
        </w:rPr>
        <w:t>–</w:t>
      </w:r>
      <w:r w:rsidR="00CA279A">
        <w:rPr>
          <w:rFonts w:ascii="Arial" w:hAnsi="Arial" w:cs="Arial"/>
          <w:sz w:val="20"/>
        </w:rPr>
        <w:t xml:space="preserve"> present</w:t>
      </w:r>
      <w:r w:rsidR="00E678BA">
        <w:rPr>
          <w:rFonts w:ascii="Arial" w:hAnsi="Arial" w:cs="Arial"/>
          <w:sz w:val="20"/>
        </w:rPr>
        <w:t xml:space="preserve"> </w:t>
      </w:r>
      <w:r w:rsidR="00CA279A">
        <w:rPr>
          <w:rFonts w:ascii="Arial" w:hAnsi="Arial" w:cs="Arial"/>
          <w:sz w:val="20"/>
        </w:rPr>
        <w:t xml:space="preserve">at each Children’s Court Criminal Division sitting.  The role of the diversion officer is to undertake diversion assessments and make recommendations to the presiding judicial officer in relation to </w:t>
      </w:r>
      <w:r w:rsidR="00CB0D71">
        <w:rPr>
          <w:rFonts w:ascii="Arial" w:hAnsi="Arial" w:cs="Arial"/>
          <w:sz w:val="20"/>
        </w:rPr>
        <w:t xml:space="preserve">individual </w:t>
      </w:r>
      <w:r w:rsidR="00CA279A">
        <w:rPr>
          <w:rFonts w:ascii="Arial" w:hAnsi="Arial" w:cs="Arial"/>
          <w:sz w:val="20"/>
        </w:rPr>
        <w:t>diversion plan</w:t>
      </w:r>
      <w:r w:rsidR="00CB0D71">
        <w:rPr>
          <w:rFonts w:ascii="Arial" w:hAnsi="Arial" w:cs="Arial"/>
          <w:sz w:val="20"/>
        </w:rPr>
        <w:t>s</w:t>
      </w:r>
      <w:r w:rsidR="00CA279A">
        <w:rPr>
          <w:rFonts w:ascii="Arial" w:hAnsi="Arial" w:cs="Arial"/>
          <w:sz w:val="20"/>
        </w:rPr>
        <w:t>.</w:t>
      </w:r>
    </w:p>
    <w:p w14:paraId="013C9B64" w14:textId="77777777" w:rsidR="00CA279A" w:rsidRDefault="00CA279A">
      <w:pPr>
        <w:pStyle w:val="Heading3"/>
        <w:spacing w:line="240" w:lineRule="auto"/>
        <w:rPr>
          <w:rFonts w:ascii="Arial" w:hAnsi="Arial" w:cs="Arial"/>
          <w:sz w:val="20"/>
        </w:rPr>
      </w:pPr>
    </w:p>
    <w:p w14:paraId="0D21F79D" w14:textId="77777777" w:rsidR="00F05325" w:rsidRDefault="00F05325" w:rsidP="003F2A6C">
      <w:pPr>
        <w:pStyle w:val="Heading3"/>
        <w:widowControl/>
        <w:spacing w:after="120" w:line="240" w:lineRule="auto"/>
        <w:rPr>
          <w:rFonts w:ascii="Arial" w:hAnsi="Arial" w:cs="Arial"/>
          <w:b/>
          <w:bCs/>
        </w:rPr>
      </w:pPr>
      <w:bookmarkStart w:id="678" w:name="_2.10.2_Salvation_Army"/>
      <w:bookmarkStart w:id="679" w:name="_2.10.3_Court_Network"/>
      <w:bookmarkStart w:id="680" w:name="_2.10.2_Child_Witness"/>
      <w:bookmarkStart w:id="681" w:name="_Toc30608800"/>
      <w:bookmarkStart w:id="682" w:name="_Toc30610014"/>
      <w:bookmarkStart w:id="683" w:name="_Toc30610257"/>
      <w:bookmarkStart w:id="684" w:name="_Toc30638411"/>
      <w:bookmarkStart w:id="685" w:name="_Toc30644220"/>
      <w:bookmarkStart w:id="686" w:name="_Toc30644623"/>
      <w:bookmarkStart w:id="687" w:name="_Toc30645173"/>
      <w:bookmarkStart w:id="688" w:name="_Toc30646377"/>
      <w:bookmarkStart w:id="689" w:name="_Toc30646672"/>
      <w:bookmarkStart w:id="690" w:name="_Toc30646782"/>
      <w:bookmarkStart w:id="691" w:name="_Toc30648139"/>
      <w:bookmarkStart w:id="692" w:name="_Toc30649037"/>
      <w:bookmarkStart w:id="693" w:name="_Toc30649113"/>
      <w:bookmarkStart w:id="694" w:name="_Toc30649374"/>
      <w:bookmarkStart w:id="695" w:name="_Toc30649694"/>
      <w:bookmarkStart w:id="696" w:name="_Toc30651628"/>
      <w:bookmarkStart w:id="697" w:name="_Toc30652612"/>
      <w:bookmarkStart w:id="698" w:name="_Toc30652710"/>
      <w:bookmarkStart w:id="699" w:name="_Toc30654055"/>
      <w:bookmarkStart w:id="700" w:name="_Toc30654406"/>
      <w:bookmarkStart w:id="701" w:name="_Toc30655025"/>
      <w:bookmarkStart w:id="702" w:name="_Toc30655282"/>
      <w:bookmarkStart w:id="703" w:name="_Toc30656960"/>
      <w:bookmarkStart w:id="704" w:name="_Toc30661709"/>
      <w:bookmarkStart w:id="705" w:name="_Toc30666397"/>
      <w:bookmarkStart w:id="706" w:name="_Toc30666627"/>
      <w:bookmarkStart w:id="707" w:name="_Toc30667802"/>
      <w:bookmarkStart w:id="708" w:name="_Toc30669180"/>
      <w:bookmarkStart w:id="709" w:name="_Toc30671396"/>
      <w:bookmarkStart w:id="710" w:name="_Toc30673923"/>
      <w:bookmarkStart w:id="711" w:name="_Toc30691145"/>
      <w:bookmarkStart w:id="712" w:name="_Toc30691516"/>
      <w:bookmarkStart w:id="713" w:name="_Toc30691896"/>
      <w:bookmarkStart w:id="714" w:name="_Toc30692655"/>
      <w:bookmarkStart w:id="715" w:name="_Toc30693034"/>
      <w:bookmarkStart w:id="716" w:name="_Toc30693412"/>
      <w:bookmarkStart w:id="717" w:name="_Toc30693791"/>
      <w:bookmarkStart w:id="718" w:name="_Toc30694172"/>
      <w:bookmarkStart w:id="719" w:name="_Toc30698761"/>
      <w:bookmarkStart w:id="720" w:name="_Toc30699139"/>
      <w:bookmarkStart w:id="721" w:name="_Toc30699524"/>
      <w:bookmarkStart w:id="722" w:name="_Toc30700679"/>
      <w:bookmarkStart w:id="723" w:name="_Toc30701066"/>
      <w:bookmarkStart w:id="724" w:name="_Toc30743675"/>
      <w:bookmarkStart w:id="725" w:name="_Toc30754497"/>
      <w:bookmarkStart w:id="726" w:name="_Toc30756937"/>
      <w:bookmarkStart w:id="727" w:name="_Toc30757486"/>
      <w:bookmarkStart w:id="728" w:name="_Toc30757886"/>
      <w:bookmarkStart w:id="729" w:name="_Toc30762647"/>
      <w:bookmarkStart w:id="730" w:name="_Toc30767301"/>
      <w:bookmarkStart w:id="731" w:name="_Toc3482332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8"/>
      <w:bookmarkEnd w:id="679"/>
      <w:bookmarkEnd w:id="680"/>
      <w:r>
        <w:rPr>
          <w:rFonts w:ascii="Arial" w:hAnsi="Arial" w:cs="Arial"/>
          <w:b/>
          <w:bCs/>
          <w:sz w:val="20"/>
        </w:rPr>
        <w:t>2.10.2</w:t>
      </w:r>
      <w:r>
        <w:rPr>
          <w:rFonts w:ascii="Arial" w:hAnsi="Arial" w:cs="Arial"/>
          <w:b/>
          <w:bCs/>
          <w:sz w:val="20"/>
        </w:rPr>
        <w:tab/>
        <w:t>Child Witness Service</w:t>
      </w:r>
    </w:p>
    <w:p w14:paraId="10D5A40E" w14:textId="1FE7F631" w:rsidR="008E72CA" w:rsidRDefault="00F05325" w:rsidP="008E72CA">
      <w:pPr>
        <w:jc w:val="both"/>
        <w:rPr>
          <w:rFonts w:ascii="Arial" w:hAnsi="Arial" w:cs="Arial"/>
          <w:color w:val="000000"/>
          <w:sz w:val="20"/>
        </w:rPr>
      </w:pPr>
      <w:r w:rsidRPr="00B46EF1">
        <w:rPr>
          <w:rFonts w:ascii="Arial" w:hAnsi="Arial" w:cs="Arial"/>
          <w:color w:val="000000"/>
          <w:sz w:val="20"/>
        </w:rPr>
        <w:t>The Child Witness Service [</w:t>
      </w:r>
      <w:r w:rsidR="005161F3">
        <w:rPr>
          <w:rFonts w:ascii="Arial" w:hAnsi="Arial" w:cs="Arial"/>
          <w:color w:val="000000"/>
          <w:sz w:val="20"/>
        </w:rPr>
        <w:t>‘</w:t>
      </w:r>
      <w:r w:rsidRPr="00B46EF1">
        <w:rPr>
          <w:rFonts w:ascii="Arial" w:hAnsi="Arial" w:cs="Arial"/>
          <w:color w:val="000000"/>
          <w:sz w:val="20"/>
        </w:rPr>
        <w:t>CWS</w:t>
      </w:r>
      <w:r w:rsidR="005161F3">
        <w:rPr>
          <w:rFonts w:ascii="Arial" w:hAnsi="Arial" w:cs="Arial"/>
          <w:color w:val="000000"/>
          <w:sz w:val="20"/>
        </w:rPr>
        <w:t>’</w:t>
      </w:r>
      <w:r w:rsidRPr="00B46EF1">
        <w:rPr>
          <w:rFonts w:ascii="Arial" w:hAnsi="Arial" w:cs="Arial"/>
          <w:color w:val="000000"/>
          <w:sz w:val="20"/>
        </w:rPr>
        <w:t xml:space="preserve">] – which commenced operation in 2007 – is a specialist agency of the Department of Justice </w:t>
      </w:r>
      <w:r w:rsidR="000A5CEF">
        <w:rPr>
          <w:rFonts w:ascii="Arial" w:hAnsi="Arial" w:cs="Arial"/>
          <w:color w:val="000000"/>
          <w:sz w:val="20"/>
        </w:rPr>
        <w:t xml:space="preserve">and Community Safety </w:t>
      </w:r>
      <w:r w:rsidRPr="00B46EF1">
        <w:rPr>
          <w:rFonts w:ascii="Arial" w:hAnsi="Arial" w:cs="Arial"/>
          <w:color w:val="000000"/>
          <w:sz w:val="20"/>
        </w:rPr>
        <w:t>but is separate from the courts.  The role of the CWS is to offer specialised support and practical preparation to assist children and young persons under the age of 18 years who are victims of or witnesses to a criminal offence and who may be required to give evidence in the Magistrates’ Court, the Children’s Court, the County Court or the Supreme Court.</w:t>
      </w:r>
    </w:p>
    <w:p w14:paraId="05EE089E" w14:textId="77777777" w:rsidR="00F05325" w:rsidRPr="00B46EF1" w:rsidRDefault="00F05325" w:rsidP="00F05325">
      <w:pPr>
        <w:jc w:val="both"/>
        <w:rPr>
          <w:rFonts w:ascii="Arial" w:hAnsi="Arial" w:cs="Arial"/>
          <w:color w:val="000000"/>
          <w:sz w:val="20"/>
        </w:rPr>
      </w:pPr>
    </w:p>
    <w:p w14:paraId="17CD4E6C"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specialist team of six social workers and psychologists help prepare child witnesses for court and support them during and after the case, fully explaining the case and providing a link with police and prosecutors and victims’ services.  The CWS aims to reduce the trauma and stress which may be experienced by a child witness by:</w:t>
      </w:r>
    </w:p>
    <w:p w14:paraId="3A46417A"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preparing the witness for the process of providing his or her evidence;</w:t>
      </w:r>
    </w:p>
    <w:p w14:paraId="344AC0A9"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familiarising the witness with the court process and personnel;</w:t>
      </w:r>
    </w:p>
    <w:p w14:paraId="32CDD6FB"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supporting the witness through the criminal proceedings and court hearing; and</w:t>
      </w:r>
    </w:p>
    <w:p w14:paraId="1DBD2EE2"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supporting the principal carer throughout the legal process.</w:t>
      </w:r>
    </w:p>
    <w:p w14:paraId="7DBC4374"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However, although the CWS supports and prepares child witnesses on an individual basis, the evidence is never discussed.</w:t>
      </w:r>
    </w:p>
    <w:p w14:paraId="3A74B18D" w14:textId="77777777" w:rsidR="00F05325" w:rsidRPr="00B46EF1" w:rsidRDefault="00F05325" w:rsidP="00F05325">
      <w:pPr>
        <w:jc w:val="both"/>
        <w:rPr>
          <w:rFonts w:ascii="Arial" w:hAnsi="Arial" w:cs="Arial"/>
          <w:color w:val="000000"/>
          <w:sz w:val="20"/>
        </w:rPr>
      </w:pPr>
    </w:p>
    <w:p w14:paraId="29CC442B"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A dedicated unit, with child-friendly surrounds, the CWS also provides remote witness facilities by means of which a child witness is able – if the court so orders – to give evidence without being in the presence of the accused person in the courtroom or to have his or her evidence pre-recorded by a court officer.</w:t>
      </w:r>
    </w:p>
    <w:p w14:paraId="1C5FE636" w14:textId="77777777" w:rsidR="00F05325" w:rsidRPr="00B46EF1" w:rsidRDefault="00F05325" w:rsidP="00F05325">
      <w:pPr>
        <w:jc w:val="both"/>
        <w:rPr>
          <w:rFonts w:ascii="Arial" w:hAnsi="Arial" w:cs="Arial"/>
          <w:color w:val="000000"/>
          <w:sz w:val="20"/>
        </w:rPr>
      </w:pPr>
    </w:p>
    <w:p w14:paraId="260F6F20"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does not provide a counselling service but can make referrals to appropriate agencies if additional support is requested.</w:t>
      </w:r>
    </w:p>
    <w:p w14:paraId="3926D95F" w14:textId="77777777" w:rsidR="00F05325" w:rsidRPr="00B46EF1" w:rsidRDefault="00F05325" w:rsidP="00F05325">
      <w:pPr>
        <w:jc w:val="both"/>
        <w:rPr>
          <w:rFonts w:ascii="Arial" w:hAnsi="Arial" w:cs="Arial"/>
          <w:color w:val="000000"/>
          <w:sz w:val="20"/>
        </w:rPr>
      </w:pPr>
    </w:p>
    <w:p w14:paraId="226DD493"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Although the CWS is based in the </w:t>
      </w:r>
      <w:smartTag w:uri="urn:schemas-microsoft-com:office:smarttags" w:element="City">
        <w:r w:rsidRPr="00B46EF1">
          <w:rPr>
            <w:rFonts w:ascii="Arial" w:hAnsi="Arial" w:cs="Arial"/>
            <w:color w:val="000000"/>
            <w:sz w:val="20"/>
          </w:rPr>
          <w:t>Melbourne</w:t>
        </w:r>
      </w:smartTag>
      <w:r w:rsidRPr="00B46EF1">
        <w:rPr>
          <w:rFonts w:ascii="Arial" w:hAnsi="Arial" w:cs="Arial"/>
          <w:color w:val="000000"/>
          <w:sz w:val="20"/>
        </w:rPr>
        <w:t xml:space="preserve"> legal precinct, the service is state-wide and will support children giving evidence in rural regions as well as those giving evidence in metropolitan </w:t>
      </w:r>
      <w:smartTag w:uri="urn:schemas-microsoft-com:office:smarttags" w:element="place">
        <w:smartTag w:uri="urn:schemas-microsoft-com:office:smarttags" w:element="City">
          <w:r w:rsidRPr="00B46EF1">
            <w:rPr>
              <w:rFonts w:ascii="Arial" w:hAnsi="Arial" w:cs="Arial"/>
              <w:color w:val="000000"/>
              <w:sz w:val="20"/>
            </w:rPr>
            <w:t>Melbourne</w:t>
          </w:r>
        </w:smartTag>
      </w:smartTag>
      <w:r w:rsidRPr="00B46EF1">
        <w:rPr>
          <w:rFonts w:ascii="Arial" w:hAnsi="Arial" w:cs="Arial"/>
          <w:color w:val="000000"/>
          <w:sz w:val="20"/>
        </w:rPr>
        <w:t>.</w:t>
      </w:r>
    </w:p>
    <w:p w14:paraId="6A80D4AE" w14:textId="77777777" w:rsidR="00F05325" w:rsidRPr="00B46EF1" w:rsidRDefault="00F05325" w:rsidP="00F05325">
      <w:pPr>
        <w:jc w:val="both"/>
        <w:rPr>
          <w:rFonts w:ascii="Arial" w:hAnsi="Arial" w:cs="Arial"/>
          <w:color w:val="000000"/>
          <w:sz w:val="20"/>
        </w:rPr>
      </w:pPr>
    </w:p>
    <w:p w14:paraId="6B6C09C6"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Referrals to the CWS can be made by anyone.  This includes </w:t>
      </w:r>
      <w:smartTag w:uri="urn:schemas-microsoft-com:office:smarttags" w:element="State">
        <w:smartTag w:uri="urn:schemas-microsoft-com:office:smarttags" w:element="place">
          <w:r w:rsidRPr="00B46EF1">
            <w:rPr>
              <w:rFonts w:ascii="Arial" w:hAnsi="Arial" w:cs="Arial"/>
              <w:color w:val="000000"/>
              <w:sz w:val="20"/>
            </w:rPr>
            <w:t>Victoria</w:t>
          </w:r>
        </w:smartTag>
      </w:smartTag>
      <w:r w:rsidRPr="00B46EF1">
        <w:rPr>
          <w:rFonts w:ascii="Arial" w:hAnsi="Arial" w:cs="Arial"/>
          <w:color w:val="000000"/>
          <w:sz w:val="20"/>
        </w:rPr>
        <w:t xml:space="preserve"> police members, the Office of Public Prosecutions, legal professionals, other professionals or directly by the child or young person or his or her family.  This can be done by phone, fax or email:</w:t>
      </w:r>
    </w:p>
    <w:p w14:paraId="2ABFE6B8"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Phone:</w:t>
      </w:r>
      <w:r w:rsidRPr="00B46EF1">
        <w:rPr>
          <w:rFonts w:ascii="Arial" w:hAnsi="Arial" w:cs="Arial"/>
          <w:color w:val="000000"/>
          <w:sz w:val="20"/>
        </w:rPr>
        <w:tab/>
        <w:t>1300 790 540</w:t>
      </w:r>
    </w:p>
    <w:p w14:paraId="1F02E901"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Fax:</w:t>
      </w:r>
      <w:r w:rsidRPr="00B46EF1">
        <w:rPr>
          <w:rFonts w:ascii="Arial" w:hAnsi="Arial" w:cs="Arial"/>
          <w:color w:val="000000"/>
          <w:sz w:val="20"/>
        </w:rPr>
        <w:tab/>
        <w:t>9603 9202</w:t>
      </w:r>
    </w:p>
    <w:p w14:paraId="4DB17BC4" w14:textId="77777777" w:rsidR="00F05325" w:rsidRDefault="00F05325" w:rsidP="00F05325">
      <w:pPr>
        <w:jc w:val="both"/>
        <w:rPr>
          <w:rFonts w:ascii="Arial" w:hAnsi="Arial" w:cs="Arial"/>
          <w:sz w:val="20"/>
        </w:rPr>
      </w:pPr>
      <w:r w:rsidRPr="00B46EF1">
        <w:rPr>
          <w:rFonts w:ascii="Arial" w:hAnsi="Arial" w:cs="Arial"/>
          <w:color w:val="000000"/>
          <w:sz w:val="20"/>
        </w:rPr>
        <w:t>Email:</w:t>
      </w:r>
      <w:r>
        <w:rPr>
          <w:rFonts w:ascii="Arial" w:hAnsi="Arial" w:cs="Arial"/>
          <w:sz w:val="20"/>
        </w:rPr>
        <w:tab/>
      </w:r>
      <w:hyperlink r:id="rId15" w:history="1">
        <w:r w:rsidRPr="000007FB">
          <w:rPr>
            <w:rStyle w:val="Hyperlink"/>
            <w:rFonts w:ascii="Arial" w:hAnsi="Arial" w:cs="Arial"/>
            <w:sz w:val="20"/>
          </w:rPr>
          <w:t>childwitnessservice@justice.vic.gov.au</w:t>
        </w:r>
      </w:hyperlink>
      <w:r>
        <w:rPr>
          <w:rFonts w:ascii="Arial" w:hAnsi="Arial" w:cs="Arial"/>
          <w:sz w:val="20"/>
        </w:rPr>
        <w:t>.</w:t>
      </w:r>
    </w:p>
    <w:p w14:paraId="2CE5F515" w14:textId="77777777" w:rsidR="00F05325" w:rsidRDefault="00F05325" w:rsidP="00F05325">
      <w:pPr>
        <w:jc w:val="both"/>
        <w:rPr>
          <w:rFonts w:ascii="Arial" w:hAnsi="Arial" w:cs="Arial"/>
          <w:sz w:val="20"/>
        </w:rPr>
      </w:pPr>
    </w:p>
    <w:p w14:paraId="0CF7E92B"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considers it important that a child or young person who may be required to give evidence is referred to the service as soon as possible after charges have been laid.  It does not matter whether a decision has been made about whether the child or young person will need to give evidence.</w:t>
      </w:r>
    </w:p>
    <w:p w14:paraId="1DB8D57D" w14:textId="77777777" w:rsidR="00F05325" w:rsidRPr="00B46EF1" w:rsidRDefault="00F05325" w:rsidP="00F05325">
      <w:pPr>
        <w:jc w:val="both"/>
        <w:rPr>
          <w:rFonts w:ascii="Arial" w:hAnsi="Arial" w:cs="Arial"/>
          <w:color w:val="000000"/>
          <w:sz w:val="20"/>
        </w:rPr>
      </w:pPr>
    </w:p>
    <w:p w14:paraId="56E2DF18"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The CWS has been assisting approximately 500 child witnesses in </w:t>
      </w:r>
      <w:smartTag w:uri="urn:schemas-microsoft-com:office:smarttags" w:element="State">
        <w:smartTag w:uri="urn:schemas-microsoft-com:office:smarttags" w:element="place">
          <w:r w:rsidRPr="00B46EF1">
            <w:rPr>
              <w:rFonts w:ascii="Arial" w:hAnsi="Arial" w:cs="Arial"/>
              <w:color w:val="000000"/>
              <w:sz w:val="20"/>
            </w:rPr>
            <w:t>Victoria</w:t>
          </w:r>
        </w:smartTag>
      </w:smartTag>
      <w:r w:rsidRPr="00B46EF1">
        <w:rPr>
          <w:rFonts w:ascii="Arial" w:hAnsi="Arial" w:cs="Arial"/>
          <w:color w:val="000000"/>
          <w:sz w:val="20"/>
        </w:rPr>
        <w:t xml:space="preserve"> each year, many of whom are victims of serious crimes such as sexual assault or physical assault.</w:t>
      </w:r>
    </w:p>
    <w:p w14:paraId="54A13C32" w14:textId="77777777" w:rsidR="00F05325" w:rsidRPr="00B46EF1" w:rsidRDefault="00F05325" w:rsidP="00F05325">
      <w:pPr>
        <w:jc w:val="both"/>
        <w:rPr>
          <w:rFonts w:ascii="Arial" w:hAnsi="Arial" w:cs="Arial"/>
          <w:color w:val="000000"/>
          <w:sz w:val="20"/>
        </w:rPr>
      </w:pPr>
    </w:p>
    <w:p w14:paraId="488F2401" w14:textId="77777777" w:rsidR="00277B85" w:rsidRDefault="00277B85" w:rsidP="00E56D87">
      <w:pPr>
        <w:pStyle w:val="Heading3"/>
        <w:keepNext/>
        <w:keepLines/>
        <w:widowControl/>
        <w:spacing w:after="120" w:line="240" w:lineRule="auto"/>
        <w:rPr>
          <w:rFonts w:ascii="Arial" w:hAnsi="Arial" w:cs="Arial"/>
          <w:b/>
          <w:bCs/>
        </w:rPr>
      </w:pPr>
      <w:bookmarkStart w:id="732" w:name="_2.10.3_Court_Network_1"/>
      <w:bookmarkEnd w:id="732"/>
      <w:r>
        <w:rPr>
          <w:rFonts w:ascii="Arial" w:hAnsi="Arial" w:cs="Arial"/>
          <w:b/>
          <w:bCs/>
          <w:sz w:val="20"/>
        </w:rPr>
        <w:t>2.10.3</w:t>
      </w:r>
      <w:r>
        <w:rPr>
          <w:rFonts w:ascii="Arial" w:hAnsi="Arial" w:cs="Arial"/>
          <w:b/>
          <w:bCs/>
          <w:sz w:val="20"/>
        </w:rPr>
        <w:tab/>
        <w:t>Court Network</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36650C09" w14:textId="77777777" w:rsidR="00277B85" w:rsidRDefault="00192C85">
      <w:pPr>
        <w:jc w:val="both"/>
        <w:rPr>
          <w:rFonts w:ascii="Arial" w:hAnsi="Arial" w:cs="Arial"/>
          <w:sz w:val="20"/>
        </w:rPr>
      </w:pPr>
      <w:r>
        <w:rPr>
          <w:rFonts w:ascii="Arial" w:hAnsi="Arial" w:cs="Arial"/>
          <w:sz w:val="20"/>
        </w:rPr>
        <w:t xml:space="preserve">Since 2003 </w:t>
      </w:r>
      <w:r w:rsidR="00277B85">
        <w:rPr>
          <w:rFonts w:ascii="Arial" w:hAnsi="Arial" w:cs="Arial"/>
          <w:sz w:val="20"/>
        </w:rPr>
        <w:t xml:space="preserve">Court Network </w:t>
      </w:r>
      <w:r>
        <w:rPr>
          <w:rFonts w:ascii="Arial" w:hAnsi="Arial" w:cs="Arial"/>
          <w:sz w:val="20"/>
        </w:rPr>
        <w:t xml:space="preserve">has </w:t>
      </w:r>
      <w:r w:rsidR="00EA196D">
        <w:rPr>
          <w:rFonts w:ascii="Arial" w:hAnsi="Arial" w:cs="Arial"/>
          <w:sz w:val="20"/>
        </w:rPr>
        <w:t>provide</w:t>
      </w:r>
      <w:r>
        <w:rPr>
          <w:rFonts w:ascii="Arial" w:hAnsi="Arial" w:cs="Arial"/>
          <w:sz w:val="20"/>
        </w:rPr>
        <w:t>d</w:t>
      </w:r>
      <w:r w:rsidR="00EA196D">
        <w:rPr>
          <w:rFonts w:ascii="Arial" w:hAnsi="Arial" w:cs="Arial"/>
          <w:sz w:val="20"/>
        </w:rPr>
        <w:t xml:space="preserve"> volunteer "Networkers" </w:t>
      </w:r>
      <w:r w:rsidR="00277B85">
        <w:rPr>
          <w:rFonts w:ascii="Arial" w:hAnsi="Arial" w:cs="Arial"/>
          <w:sz w:val="20"/>
        </w:rPr>
        <w:t xml:space="preserve">each </w:t>
      </w:r>
      <w:r w:rsidR="00EA196D">
        <w:rPr>
          <w:rFonts w:ascii="Arial" w:hAnsi="Arial" w:cs="Arial"/>
          <w:sz w:val="20"/>
        </w:rPr>
        <w:t xml:space="preserve">sitting </w:t>
      </w:r>
      <w:r w:rsidR="00277B85">
        <w:rPr>
          <w:rFonts w:ascii="Arial" w:hAnsi="Arial" w:cs="Arial"/>
          <w:sz w:val="20"/>
        </w:rPr>
        <w:t xml:space="preserve">day </w:t>
      </w:r>
      <w:r w:rsidR="00EA196D">
        <w:rPr>
          <w:rFonts w:ascii="Arial" w:hAnsi="Arial" w:cs="Arial"/>
          <w:sz w:val="20"/>
        </w:rPr>
        <w:t xml:space="preserve">at Melbourne Children’s Court and most other Children’s Court locations </w:t>
      </w:r>
      <w:r w:rsidR="00277B85">
        <w:rPr>
          <w:rFonts w:ascii="Arial" w:hAnsi="Arial" w:cs="Arial"/>
          <w:sz w:val="20"/>
        </w:rPr>
        <w:t xml:space="preserve">to </w:t>
      </w:r>
      <w:r w:rsidR="00EA196D">
        <w:rPr>
          <w:rFonts w:ascii="Arial" w:hAnsi="Arial" w:cs="Arial"/>
          <w:sz w:val="20"/>
        </w:rPr>
        <w:t>giv</w:t>
      </w:r>
      <w:r w:rsidR="00277B85">
        <w:rPr>
          <w:rFonts w:ascii="Arial" w:hAnsi="Arial" w:cs="Arial"/>
          <w:sz w:val="20"/>
        </w:rPr>
        <w:t>e information, assistance and support to court users.</w:t>
      </w:r>
    </w:p>
    <w:p w14:paraId="5D8B8EA8" w14:textId="77777777" w:rsidR="00277B85" w:rsidRDefault="00277B85">
      <w:pPr>
        <w:jc w:val="both"/>
        <w:rPr>
          <w:rFonts w:ascii="Arial" w:hAnsi="Arial" w:cs="Arial"/>
          <w:sz w:val="20"/>
        </w:rPr>
      </w:pPr>
    </w:p>
    <w:p w14:paraId="4DECB79F" w14:textId="77777777" w:rsidR="00277B85" w:rsidRDefault="00277B85" w:rsidP="00CD02A3">
      <w:pPr>
        <w:pStyle w:val="Heading3"/>
        <w:keepNext/>
        <w:keepLines/>
        <w:widowControl/>
        <w:spacing w:after="120" w:line="240" w:lineRule="auto"/>
        <w:rPr>
          <w:rFonts w:ascii="Arial" w:hAnsi="Arial" w:cs="Arial"/>
          <w:b/>
          <w:bCs/>
        </w:rPr>
      </w:pPr>
      <w:bookmarkStart w:id="733" w:name="_2.10.4_Victoria_Legal"/>
      <w:bookmarkStart w:id="734" w:name="_Toc34823327"/>
      <w:bookmarkEnd w:id="733"/>
      <w:r>
        <w:rPr>
          <w:rFonts w:ascii="Arial" w:hAnsi="Arial" w:cs="Arial"/>
          <w:b/>
          <w:bCs/>
          <w:sz w:val="20"/>
        </w:rPr>
        <w:t>2.10.4</w:t>
      </w:r>
      <w:r>
        <w:rPr>
          <w:rFonts w:ascii="Arial" w:hAnsi="Arial" w:cs="Arial"/>
          <w:b/>
          <w:bCs/>
          <w:sz w:val="20"/>
        </w:rPr>
        <w:tab/>
        <w:t>Victoria Legal Aid</w:t>
      </w:r>
      <w:bookmarkEnd w:id="734"/>
    </w:p>
    <w:p w14:paraId="0D4D1A85" w14:textId="77777777" w:rsidR="00277B85" w:rsidRDefault="00277B85">
      <w:pPr>
        <w:jc w:val="both"/>
        <w:rPr>
          <w:rFonts w:ascii="Arial" w:hAnsi="Arial" w:cs="Arial"/>
          <w:sz w:val="20"/>
        </w:rPr>
      </w:pPr>
      <w:r>
        <w:rPr>
          <w:rFonts w:ascii="Arial" w:hAnsi="Arial" w:cs="Arial"/>
          <w:sz w:val="20"/>
        </w:rPr>
        <w:t xml:space="preserve">There are duty lawyers from Victoria Legal Aid at all Children's Courts in the </w:t>
      </w:r>
      <w:smartTag w:uri="urn:schemas-microsoft-com:office:smarttags" w:element="City">
        <w:r>
          <w:rPr>
            <w:rFonts w:ascii="Arial" w:hAnsi="Arial" w:cs="Arial"/>
            <w:sz w:val="20"/>
          </w:rPr>
          <w:t>Melbourne</w:t>
        </w:r>
      </w:smartTag>
      <w:r>
        <w:rPr>
          <w:rFonts w:ascii="Arial" w:hAnsi="Arial" w:cs="Arial"/>
          <w:sz w:val="20"/>
        </w:rPr>
        <w:t xml:space="preserve"> metropolitan area and on mention days at all other Children's Courts in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They are available for children in family or criminal cases, and parents of children in family cases who need legal advice or representation in court.  Most children are able to obtain legal aid free of charge.</w:t>
      </w:r>
    </w:p>
    <w:p w14:paraId="61FF05EE" w14:textId="77777777" w:rsidR="00277B85" w:rsidRDefault="00277B85">
      <w:pPr>
        <w:jc w:val="both"/>
        <w:rPr>
          <w:rFonts w:ascii="Arial" w:hAnsi="Arial" w:cs="Arial"/>
          <w:sz w:val="20"/>
        </w:rPr>
      </w:pPr>
    </w:p>
    <w:p w14:paraId="0F935C59" w14:textId="77777777" w:rsidR="00277B85" w:rsidRDefault="00277B85">
      <w:pPr>
        <w:jc w:val="both"/>
        <w:rPr>
          <w:rFonts w:ascii="Arial" w:hAnsi="Arial" w:cs="Arial"/>
          <w:sz w:val="20"/>
        </w:rPr>
      </w:pPr>
      <w:r>
        <w:rPr>
          <w:rFonts w:ascii="Arial" w:hAnsi="Arial" w:cs="Arial"/>
          <w:sz w:val="20"/>
        </w:rPr>
        <w:t xml:space="preserve">For more information, call Victoria Legal Aid on (03) 9269 0120 or 1800 677 402 (for country callers) between </w:t>
      </w:r>
      <w:smartTag w:uri="urn:schemas-microsoft-com:office:smarttags" w:element="time">
        <w:smartTagPr>
          <w:attr w:name="Hour" w:val="9"/>
          <w:attr w:name="Minute" w:val="0"/>
        </w:smartTagPr>
        <w:r>
          <w:rPr>
            <w:rFonts w:ascii="Arial" w:hAnsi="Arial" w:cs="Arial"/>
            <w:sz w:val="20"/>
          </w:rPr>
          <w:t>9.00 am</w:t>
        </w:r>
      </w:smartTag>
      <w:r>
        <w:rPr>
          <w:rFonts w:ascii="Arial" w:hAnsi="Arial" w:cs="Arial"/>
          <w:sz w:val="20"/>
        </w:rPr>
        <w:t xml:space="preserve"> and </w:t>
      </w:r>
      <w:smartTag w:uri="urn:schemas-microsoft-com:office:smarttags" w:element="time">
        <w:smartTagPr>
          <w:attr w:name="Hour" w:val="17"/>
          <w:attr w:name="Minute" w:val="0"/>
        </w:smartTagPr>
        <w:r>
          <w:rPr>
            <w:rFonts w:ascii="Arial" w:hAnsi="Arial" w:cs="Arial"/>
            <w:sz w:val="20"/>
          </w:rPr>
          <w:t>5.00 pm</w:t>
        </w:r>
      </w:smartTag>
      <w:r>
        <w:rPr>
          <w:rFonts w:ascii="Arial" w:hAnsi="Arial" w:cs="Arial"/>
          <w:sz w:val="20"/>
        </w:rPr>
        <w:t xml:space="preserve">.  Multilingual telephone information is provided in English and 11 community languages at certain times each week. </w:t>
      </w:r>
    </w:p>
    <w:p w14:paraId="234A707D" w14:textId="77777777" w:rsidR="00277B85" w:rsidRPr="00F05325" w:rsidRDefault="00277B85">
      <w:pPr>
        <w:jc w:val="both"/>
        <w:rPr>
          <w:rFonts w:ascii="Arial" w:hAnsi="Arial" w:cs="Arial"/>
          <w:sz w:val="20"/>
          <w:szCs w:val="20"/>
        </w:rPr>
      </w:pPr>
    </w:p>
    <w:p w14:paraId="79CA410D" w14:textId="77777777" w:rsidR="00277B85" w:rsidRDefault="00277B85" w:rsidP="001561BE">
      <w:pPr>
        <w:pStyle w:val="Heading3"/>
        <w:widowControl/>
        <w:spacing w:after="120" w:line="240" w:lineRule="auto"/>
        <w:rPr>
          <w:rFonts w:ascii="Arial" w:hAnsi="Arial" w:cs="Arial"/>
          <w:b/>
          <w:bCs/>
        </w:rPr>
      </w:pPr>
      <w:bookmarkStart w:id="735" w:name="_2.10.5_Interpreters"/>
      <w:bookmarkStart w:id="736" w:name="_Toc34823328"/>
      <w:bookmarkEnd w:id="735"/>
      <w:r>
        <w:rPr>
          <w:rFonts w:ascii="Arial" w:hAnsi="Arial" w:cs="Arial"/>
          <w:b/>
          <w:bCs/>
          <w:sz w:val="20"/>
        </w:rPr>
        <w:t>2.10.5</w:t>
      </w:r>
      <w:r>
        <w:rPr>
          <w:rFonts w:ascii="Arial" w:hAnsi="Arial" w:cs="Arial"/>
          <w:b/>
          <w:bCs/>
          <w:sz w:val="20"/>
        </w:rPr>
        <w:tab/>
        <w:t>Interpreters</w:t>
      </w:r>
      <w:bookmarkEnd w:id="736"/>
    </w:p>
    <w:p w14:paraId="5F2E812A" w14:textId="3A08A21C" w:rsidR="00277B85" w:rsidRDefault="00F06621" w:rsidP="001561BE">
      <w:pPr>
        <w:jc w:val="both"/>
        <w:rPr>
          <w:rFonts w:ascii="Arial" w:hAnsi="Arial" w:cs="Arial"/>
          <w:sz w:val="20"/>
        </w:rPr>
      </w:pPr>
      <w:r>
        <w:rPr>
          <w:rFonts w:ascii="Arial" w:hAnsi="Arial" w:cs="Arial"/>
          <w:sz w:val="20"/>
        </w:rPr>
        <w:t xml:space="preserve">Section 526 of the CYFA prohibits the Court from hearing and determining a proceeding without an interpreter if the Court is satisfied that a child, a parent or any other party to the proceeding has a difficulty in communicating in the English language that is sufficient to prevent him or her from understanding or participating in the proceeding.  </w:t>
      </w:r>
      <w:r w:rsidR="00DF0E3F" w:rsidRPr="001138E0">
        <w:rPr>
          <w:rFonts w:ascii="Arial" w:hAnsi="Arial" w:cs="Arial"/>
          <w:sz w:val="20"/>
          <w:szCs w:val="20"/>
        </w:rPr>
        <w:t xml:space="preserve">The role of a court interpreter </w:t>
      </w:r>
      <w:r w:rsidR="00DF0E3F">
        <w:rPr>
          <w:rFonts w:ascii="Arial" w:hAnsi="Arial" w:cs="Arial"/>
          <w:sz w:val="20"/>
          <w:szCs w:val="20"/>
        </w:rPr>
        <w:t>and the effect of an alleged mistranslation were</w:t>
      </w:r>
      <w:r w:rsidR="00DF0E3F" w:rsidRPr="001138E0">
        <w:rPr>
          <w:rFonts w:ascii="Arial" w:hAnsi="Arial" w:cs="Arial"/>
          <w:sz w:val="20"/>
          <w:szCs w:val="20"/>
        </w:rPr>
        <w:t xml:space="preserve"> </w:t>
      </w:r>
      <w:r w:rsidR="00DF0E3F">
        <w:rPr>
          <w:rFonts w:ascii="Arial" w:hAnsi="Arial" w:cs="Arial"/>
          <w:sz w:val="20"/>
          <w:szCs w:val="20"/>
        </w:rPr>
        <w:t>explained</w:t>
      </w:r>
      <w:r w:rsidR="00DF0E3F" w:rsidRPr="001138E0">
        <w:rPr>
          <w:rFonts w:ascii="Arial" w:hAnsi="Arial" w:cs="Arial"/>
          <w:sz w:val="20"/>
          <w:szCs w:val="20"/>
        </w:rPr>
        <w:t xml:space="preserve"> by the High Court in </w:t>
      </w:r>
      <w:r w:rsidR="00DF0E3F" w:rsidRPr="001138E0">
        <w:rPr>
          <w:rFonts w:ascii="Arial" w:hAnsi="Arial" w:cs="Arial"/>
          <w:i/>
          <w:iCs/>
          <w:sz w:val="20"/>
          <w:szCs w:val="20"/>
        </w:rPr>
        <w:t>DVO16 v Minister for Immigration and Border Protection; BNB17 v Minister for Immigration and Border Protection</w:t>
      </w:r>
      <w:r w:rsidR="00DF0E3F" w:rsidRPr="001138E0">
        <w:rPr>
          <w:rFonts w:ascii="Arial" w:hAnsi="Arial" w:cs="Arial"/>
          <w:sz w:val="20"/>
          <w:szCs w:val="20"/>
        </w:rPr>
        <w:t xml:space="preserve"> [2021] HCA 12 at [</w:t>
      </w:r>
      <w:r w:rsidR="00DF0E3F">
        <w:rPr>
          <w:rFonts w:ascii="Arial" w:hAnsi="Arial" w:cs="Arial"/>
          <w:sz w:val="20"/>
          <w:szCs w:val="20"/>
        </w:rPr>
        <w:t>4</w:t>
      </w:r>
      <w:r w:rsidR="00DF0E3F" w:rsidRPr="001138E0">
        <w:rPr>
          <w:rFonts w:ascii="Arial" w:hAnsi="Arial" w:cs="Arial"/>
          <w:sz w:val="20"/>
          <w:szCs w:val="20"/>
        </w:rPr>
        <w:t>]</w:t>
      </w:r>
      <w:r w:rsidR="00DF0E3F">
        <w:rPr>
          <w:rFonts w:ascii="Arial" w:hAnsi="Arial" w:cs="Arial"/>
          <w:sz w:val="20"/>
          <w:szCs w:val="20"/>
        </w:rPr>
        <w:noBreakHyphen/>
      </w:r>
      <w:r w:rsidR="00DF0E3F" w:rsidRPr="001138E0">
        <w:rPr>
          <w:rFonts w:ascii="Arial" w:hAnsi="Arial" w:cs="Arial"/>
          <w:sz w:val="20"/>
          <w:szCs w:val="20"/>
        </w:rPr>
        <w:t>[</w:t>
      </w:r>
      <w:r w:rsidR="00DF0E3F">
        <w:rPr>
          <w:rFonts w:ascii="Arial" w:hAnsi="Arial" w:cs="Arial"/>
          <w:sz w:val="20"/>
          <w:szCs w:val="20"/>
        </w:rPr>
        <w:t>8</w:t>
      </w:r>
      <w:r w:rsidR="00DF0E3F" w:rsidRPr="001138E0">
        <w:rPr>
          <w:rFonts w:ascii="Arial" w:hAnsi="Arial" w:cs="Arial"/>
          <w:sz w:val="20"/>
          <w:szCs w:val="20"/>
        </w:rPr>
        <w:t>]</w:t>
      </w:r>
      <w:r w:rsidR="00DF0E3F">
        <w:rPr>
          <w:rFonts w:ascii="Arial" w:hAnsi="Arial" w:cs="Arial"/>
          <w:sz w:val="20"/>
          <w:szCs w:val="20"/>
        </w:rPr>
        <w:t xml:space="preserve">.  </w:t>
      </w:r>
      <w:r w:rsidR="00277B85">
        <w:rPr>
          <w:rFonts w:ascii="Arial" w:hAnsi="Arial" w:cs="Arial"/>
          <w:sz w:val="20"/>
        </w:rPr>
        <w:t>Qualified and accredited interpreters are available when needed and can be booked through the registry of the relevant Children’s Court.  Arrangements must be made with as much notice as possible to ensure that an appropriate interpreter is available.</w:t>
      </w:r>
    </w:p>
    <w:p w14:paraId="37B34B80" w14:textId="77777777" w:rsidR="00F65A9B" w:rsidRDefault="00F65A9B" w:rsidP="00F65A9B">
      <w:pPr>
        <w:jc w:val="both"/>
        <w:rPr>
          <w:rFonts w:ascii="Arial" w:hAnsi="Arial" w:cs="Arial"/>
          <w:sz w:val="20"/>
        </w:rPr>
      </w:pPr>
    </w:p>
    <w:p w14:paraId="74644D08" w14:textId="6110B890" w:rsidR="00F65A9B" w:rsidRPr="00BE6441" w:rsidRDefault="00F65A9B" w:rsidP="00F65A9B">
      <w:pPr>
        <w:pStyle w:val="Heading3"/>
        <w:widowControl/>
        <w:spacing w:after="120" w:line="240" w:lineRule="auto"/>
        <w:rPr>
          <w:rFonts w:ascii="Arial" w:hAnsi="Arial" w:cs="Arial"/>
          <w:b/>
          <w:bCs/>
          <w:color w:val="000000"/>
          <w:sz w:val="20"/>
        </w:rPr>
      </w:pPr>
      <w:bookmarkStart w:id="737" w:name="_2.10.7_Mental_Health"/>
      <w:bookmarkEnd w:id="737"/>
      <w:r w:rsidRPr="00BE6441">
        <w:rPr>
          <w:rFonts w:ascii="Arial" w:hAnsi="Arial" w:cs="Arial"/>
          <w:b/>
          <w:bCs/>
          <w:color w:val="000000"/>
          <w:sz w:val="20"/>
        </w:rPr>
        <w:t>2.10.</w:t>
      </w:r>
      <w:r>
        <w:rPr>
          <w:rFonts w:ascii="Arial" w:hAnsi="Arial" w:cs="Arial"/>
          <w:b/>
          <w:bCs/>
          <w:color w:val="000000"/>
          <w:sz w:val="20"/>
        </w:rPr>
        <w:t>6</w:t>
      </w:r>
      <w:r w:rsidRPr="00BE6441">
        <w:rPr>
          <w:rFonts w:ascii="Arial" w:hAnsi="Arial" w:cs="Arial"/>
          <w:b/>
          <w:bCs/>
          <w:color w:val="000000"/>
          <w:sz w:val="20"/>
        </w:rPr>
        <w:tab/>
      </w:r>
      <w:r>
        <w:rPr>
          <w:rFonts w:ascii="Arial" w:hAnsi="Arial" w:cs="Arial"/>
          <w:b/>
          <w:bCs/>
          <w:color w:val="000000"/>
          <w:sz w:val="20"/>
        </w:rPr>
        <w:t>Mental Health Advice and Response Service</w:t>
      </w:r>
      <w:r w:rsidR="00CD1893">
        <w:rPr>
          <w:rFonts w:ascii="Arial" w:hAnsi="Arial" w:cs="Arial"/>
          <w:b/>
          <w:bCs/>
          <w:color w:val="000000"/>
          <w:sz w:val="20"/>
        </w:rPr>
        <w:t xml:space="preserve"> [MHARS]</w:t>
      </w:r>
    </w:p>
    <w:p w14:paraId="46EC1C73" w14:textId="1B1E8E7C" w:rsidR="00F65A9B" w:rsidRDefault="00F65A9B" w:rsidP="00F65A9B">
      <w:pPr>
        <w:jc w:val="both"/>
        <w:rPr>
          <w:rFonts w:ascii="Arial" w:hAnsi="Arial" w:cs="Arial"/>
          <w:color w:val="000000"/>
          <w:sz w:val="20"/>
        </w:rPr>
      </w:pPr>
      <w:r>
        <w:rPr>
          <w:rFonts w:ascii="Arial" w:hAnsi="Arial" w:cs="Arial"/>
          <w:sz w:val="20"/>
        </w:rPr>
        <w:t xml:space="preserve">The Children’s Court </w:t>
      </w:r>
      <w:r w:rsidRPr="00E215A7">
        <w:rPr>
          <w:rFonts w:ascii="Arial" w:hAnsi="Arial" w:cs="Arial"/>
          <w:color w:val="000000"/>
          <w:sz w:val="20"/>
        </w:rPr>
        <w:t>Mental Health Advice and Response Service</w:t>
      </w:r>
      <w:r>
        <w:rPr>
          <w:rFonts w:ascii="Arial" w:hAnsi="Arial" w:cs="Arial"/>
          <w:color w:val="000000"/>
          <w:sz w:val="20"/>
        </w:rPr>
        <w:t xml:space="preserve"> is a specialist mental health service delivered by </w:t>
      </w:r>
      <w:proofErr w:type="spellStart"/>
      <w:r>
        <w:rPr>
          <w:rFonts w:ascii="Arial" w:hAnsi="Arial" w:cs="Arial"/>
          <w:color w:val="000000"/>
          <w:sz w:val="20"/>
        </w:rPr>
        <w:t>Orygen</w:t>
      </w:r>
      <w:proofErr w:type="spellEnd"/>
      <w:r>
        <w:rPr>
          <w:rFonts w:ascii="Arial" w:hAnsi="Arial" w:cs="Arial"/>
          <w:color w:val="000000"/>
          <w:sz w:val="20"/>
        </w:rPr>
        <w:t xml:space="preserve"> Youth Health at Melbourne Children’s Court.  The MHARS clinician is available-</w:t>
      </w:r>
    </w:p>
    <w:p w14:paraId="6B0C3B05" w14:textId="77777777" w:rsidR="00F65A9B" w:rsidRPr="00E215A7"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 xml:space="preserve">to provide mental health assessments for eligible young people appearing before the Children’s Court who present </w:t>
      </w:r>
      <w:r w:rsidRPr="00E215A7">
        <w:rPr>
          <w:rFonts w:ascii="Arial" w:hAnsi="Arial" w:cs="Arial"/>
          <w:sz w:val="20"/>
        </w:rPr>
        <w:t xml:space="preserve">with suicidality, acute mental health </w:t>
      </w:r>
      <w:r>
        <w:rPr>
          <w:rFonts w:ascii="Arial" w:hAnsi="Arial" w:cs="Arial"/>
          <w:sz w:val="20"/>
        </w:rPr>
        <w:t>concern</w:t>
      </w:r>
      <w:r w:rsidRPr="00E215A7">
        <w:rPr>
          <w:rFonts w:ascii="Arial" w:hAnsi="Arial" w:cs="Arial"/>
          <w:sz w:val="20"/>
        </w:rPr>
        <w:t xml:space="preserve">s and/or distress while awaiting </w:t>
      </w:r>
      <w:r w:rsidRPr="00E215A7">
        <w:rPr>
          <w:rFonts w:ascii="Arial" w:hAnsi="Arial" w:cs="Arial"/>
          <w:color w:val="000000"/>
          <w:sz w:val="20"/>
        </w:rPr>
        <w:t>their court appearance;</w:t>
      </w:r>
    </w:p>
    <w:p w14:paraId="4F412773"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to advise the Court whether mental health concerns are present or whether factors related to mental health may have a bearing on the proceedings;</w:t>
      </w:r>
    </w:p>
    <w:p w14:paraId="119351B4" w14:textId="46D70B70"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to facilit</w:t>
      </w:r>
      <w:r w:rsidR="00CD1893">
        <w:rPr>
          <w:rFonts w:ascii="Arial" w:hAnsi="Arial" w:cs="Arial"/>
          <w:sz w:val="20"/>
        </w:rPr>
        <w:t>ate</w:t>
      </w:r>
      <w:r>
        <w:rPr>
          <w:rFonts w:ascii="Arial" w:hAnsi="Arial" w:cs="Arial"/>
          <w:sz w:val="20"/>
        </w:rPr>
        <w:t xml:space="preserve"> timely access for an eligible child to appropriate treatment and mental health support.</w:t>
      </w:r>
    </w:p>
    <w:p w14:paraId="5BB22195" w14:textId="77777777" w:rsidR="00F65A9B" w:rsidRDefault="00F65A9B" w:rsidP="00F65A9B">
      <w:pPr>
        <w:jc w:val="both"/>
        <w:rPr>
          <w:rFonts w:ascii="Arial" w:hAnsi="Arial" w:cs="Arial"/>
          <w:sz w:val="20"/>
        </w:rPr>
      </w:pPr>
    </w:p>
    <w:p w14:paraId="5BBF3E00" w14:textId="77777777" w:rsidR="00F65A9B" w:rsidRDefault="00F65A9B" w:rsidP="00F65A9B">
      <w:pPr>
        <w:jc w:val="both"/>
        <w:rPr>
          <w:rFonts w:ascii="Arial" w:hAnsi="Arial" w:cs="Arial"/>
          <w:sz w:val="20"/>
        </w:rPr>
      </w:pPr>
      <w:r>
        <w:rPr>
          <w:rFonts w:ascii="Arial" w:hAnsi="Arial" w:cs="Arial"/>
          <w:sz w:val="20"/>
        </w:rPr>
        <w:t>To be eligible for assistance by MHARS a young person-</w:t>
      </w:r>
    </w:p>
    <w:p w14:paraId="52BA5CEA"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must be aged 10-18; and</w:t>
      </w:r>
    </w:p>
    <w:p w14:paraId="528B71D2"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lastRenderedPageBreak/>
        <w:t>must be an accused in proceedings in the Criminal Division of the Children’s Court or be subject to Family Division proceedings in which a secure welfare placement is possible; and</w:t>
      </w:r>
    </w:p>
    <w:p w14:paraId="4A9A65F2"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at least one of the following criteria must also be met-</w:t>
      </w:r>
    </w:p>
    <w:p w14:paraId="2045DAE5" w14:textId="77777777" w:rsidR="00F65A9B" w:rsidRDefault="00F65A9B" w:rsidP="00C23CF0">
      <w:pPr>
        <w:pStyle w:val="ListParagraph"/>
        <w:numPr>
          <w:ilvl w:val="0"/>
          <w:numId w:val="21"/>
        </w:numPr>
        <w:ind w:left="714" w:hanging="357"/>
        <w:jc w:val="both"/>
        <w:rPr>
          <w:rFonts w:ascii="Arial" w:hAnsi="Arial" w:cs="Arial"/>
          <w:sz w:val="20"/>
        </w:rPr>
      </w:pPr>
      <w:r>
        <w:rPr>
          <w:rFonts w:ascii="Arial" w:hAnsi="Arial" w:cs="Arial"/>
          <w:sz w:val="20"/>
        </w:rPr>
        <w:t>there are concerns about the mental health and wellbeing of the young person; or</w:t>
      </w:r>
    </w:p>
    <w:p w14:paraId="32EB3ED6" w14:textId="77777777" w:rsidR="00F65A9B" w:rsidRDefault="00F65A9B" w:rsidP="00C23CF0">
      <w:pPr>
        <w:pStyle w:val="ListParagraph"/>
        <w:numPr>
          <w:ilvl w:val="0"/>
          <w:numId w:val="21"/>
        </w:numPr>
        <w:jc w:val="both"/>
        <w:rPr>
          <w:rFonts w:ascii="Arial" w:hAnsi="Arial" w:cs="Arial"/>
          <w:sz w:val="20"/>
        </w:rPr>
      </w:pPr>
      <w:r>
        <w:rPr>
          <w:rFonts w:ascii="Arial" w:hAnsi="Arial" w:cs="Arial"/>
          <w:sz w:val="20"/>
        </w:rPr>
        <w:t>the young person is engaging in expressing a desire to engage in deliberate self-harming behaviours, or is expressing suicidal ideation, or is having thoughts to harm others; or</w:t>
      </w:r>
    </w:p>
    <w:p w14:paraId="05D661B3" w14:textId="77777777" w:rsidR="00F65A9B" w:rsidRPr="00E215A7" w:rsidRDefault="00F65A9B" w:rsidP="00C23CF0">
      <w:pPr>
        <w:pStyle w:val="ListParagraph"/>
        <w:numPr>
          <w:ilvl w:val="0"/>
          <w:numId w:val="21"/>
        </w:numPr>
        <w:jc w:val="both"/>
        <w:rPr>
          <w:rFonts w:ascii="Arial" w:hAnsi="Arial" w:cs="Arial"/>
          <w:sz w:val="20"/>
        </w:rPr>
      </w:pPr>
      <w:r>
        <w:rPr>
          <w:rFonts w:ascii="Arial" w:hAnsi="Arial" w:cs="Arial"/>
          <w:sz w:val="20"/>
        </w:rPr>
        <w:t>the young person’s judgment is severely impaired due to the effects of drugs and/or alcohol use or any undetermined reason.</w:t>
      </w:r>
    </w:p>
    <w:p w14:paraId="0C6ECE39" w14:textId="77777777" w:rsidR="00F65A9B" w:rsidRDefault="00F65A9B" w:rsidP="00F65A9B">
      <w:pPr>
        <w:jc w:val="both"/>
        <w:rPr>
          <w:rFonts w:ascii="Arial" w:hAnsi="Arial" w:cs="Arial"/>
          <w:sz w:val="20"/>
        </w:rPr>
      </w:pPr>
    </w:p>
    <w:p w14:paraId="11EA0B0B" w14:textId="77777777" w:rsidR="00F65A9B" w:rsidRDefault="00F65A9B" w:rsidP="00F65A9B">
      <w:pPr>
        <w:jc w:val="both"/>
        <w:rPr>
          <w:rFonts w:ascii="Arial" w:hAnsi="Arial" w:cs="Arial"/>
          <w:sz w:val="20"/>
        </w:rPr>
      </w:pPr>
      <w:r>
        <w:rPr>
          <w:rFonts w:ascii="Arial" w:hAnsi="Arial" w:cs="Arial"/>
          <w:sz w:val="20"/>
        </w:rPr>
        <w:t>Referrals to MHARS may be made by phone or email and may be initiated by a wide range of people, including-</w:t>
      </w:r>
    </w:p>
    <w:p w14:paraId="5AB67086"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judicial officers and Court personnel;</w:t>
      </w:r>
    </w:p>
    <w:p w14:paraId="2407A21E"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legal practitioners;</w:t>
      </w:r>
    </w:p>
    <w:p w14:paraId="53E31FC8"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Victoria Police, DFFH and Youth Justice;</w:t>
      </w:r>
    </w:p>
    <w:p w14:paraId="4B470F0D"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family, support people and self-referrals.</w:t>
      </w:r>
    </w:p>
    <w:p w14:paraId="001945EF" w14:textId="77777777" w:rsidR="00F65A9B" w:rsidRDefault="00F65A9B" w:rsidP="00F65A9B">
      <w:pPr>
        <w:jc w:val="both"/>
        <w:rPr>
          <w:rFonts w:ascii="Arial" w:hAnsi="Arial" w:cs="Arial"/>
          <w:sz w:val="20"/>
        </w:rPr>
      </w:pPr>
    </w:p>
    <w:p w14:paraId="649C9DFD" w14:textId="77777777" w:rsidR="00F65A9B" w:rsidRDefault="00F65A9B" w:rsidP="00F65A9B">
      <w:pPr>
        <w:jc w:val="both"/>
        <w:rPr>
          <w:rFonts w:ascii="Arial" w:hAnsi="Arial" w:cs="Arial"/>
          <w:sz w:val="20"/>
        </w:rPr>
      </w:pPr>
      <w:r>
        <w:rPr>
          <w:rFonts w:ascii="Arial" w:hAnsi="Arial" w:cs="Arial"/>
          <w:sz w:val="20"/>
        </w:rPr>
        <w:t xml:space="preserve">On </w:t>
      </w:r>
      <w:r>
        <w:rPr>
          <w:rFonts w:ascii="Arial" w:hAnsi="Arial" w:cs="Arial"/>
          <w:color w:val="000000"/>
          <w:sz w:val="20"/>
        </w:rPr>
        <w:t xml:space="preserve">the Children’s Court website tab “Help and Support” </w:t>
      </w:r>
      <w:r>
        <w:rPr>
          <w:rFonts w:ascii="Arial" w:hAnsi="Arial" w:cs="Arial"/>
          <w:color w:val="000000"/>
          <w:sz w:val="20"/>
        </w:rPr>
        <w:sym w:font="Wingdings" w:char="F0E8"/>
      </w:r>
      <w:r>
        <w:rPr>
          <w:rFonts w:ascii="Arial" w:hAnsi="Arial" w:cs="Arial"/>
          <w:color w:val="000000"/>
          <w:sz w:val="20"/>
        </w:rPr>
        <w:t xml:space="preserve"> “Support Services at Court” </w:t>
      </w:r>
      <w:r>
        <w:rPr>
          <w:rFonts w:ascii="Arial" w:hAnsi="Arial" w:cs="Arial"/>
          <w:color w:val="000000"/>
          <w:sz w:val="20"/>
        </w:rPr>
        <w:sym w:font="Wingdings" w:char="F0E8"/>
      </w:r>
      <w:r>
        <w:rPr>
          <w:rFonts w:ascii="Arial" w:hAnsi="Arial" w:cs="Arial"/>
          <w:color w:val="000000"/>
          <w:sz w:val="20"/>
        </w:rPr>
        <w:t xml:space="preserve"> “MHARS”.</w:t>
      </w:r>
    </w:p>
    <w:p w14:paraId="161E0266" w14:textId="34892543" w:rsidR="00B85F7F" w:rsidRDefault="00B85F7F">
      <w:pPr>
        <w:jc w:val="both"/>
        <w:rPr>
          <w:rFonts w:ascii="Arial" w:hAnsi="Arial" w:cs="Arial"/>
          <w:sz w:val="20"/>
        </w:rPr>
      </w:pPr>
    </w:p>
    <w:p w14:paraId="0F845771" w14:textId="2869E15A" w:rsidR="00384A15" w:rsidRPr="00BE6441" w:rsidRDefault="00384A15" w:rsidP="006C17E0">
      <w:pPr>
        <w:pStyle w:val="Heading3"/>
        <w:keepNext/>
        <w:keepLines/>
        <w:widowControl/>
        <w:spacing w:after="120" w:line="240" w:lineRule="auto"/>
        <w:rPr>
          <w:rFonts w:ascii="Arial" w:hAnsi="Arial" w:cs="Arial"/>
          <w:b/>
          <w:bCs/>
          <w:color w:val="000000"/>
          <w:sz w:val="20"/>
        </w:rPr>
      </w:pPr>
      <w:bookmarkStart w:id="738" w:name="_2.10.6_Education_Justice"/>
      <w:bookmarkEnd w:id="738"/>
      <w:r w:rsidRPr="00BE6441">
        <w:rPr>
          <w:rFonts w:ascii="Arial" w:hAnsi="Arial" w:cs="Arial"/>
          <w:b/>
          <w:bCs/>
          <w:color w:val="000000"/>
          <w:sz w:val="20"/>
        </w:rPr>
        <w:t>2.10.</w:t>
      </w:r>
      <w:r w:rsidR="00F65A9B">
        <w:rPr>
          <w:rFonts w:ascii="Arial" w:hAnsi="Arial" w:cs="Arial"/>
          <w:b/>
          <w:bCs/>
          <w:color w:val="000000"/>
          <w:sz w:val="20"/>
        </w:rPr>
        <w:t>7</w:t>
      </w:r>
      <w:r w:rsidRPr="00BE6441">
        <w:rPr>
          <w:rFonts w:ascii="Arial" w:hAnsi="Arial" w:cs="Arial"/>
          <w:b/>
          <w:bCs/>
          <w:color w:val="000000"/>
          <w:sz w:val="20"/>
        </w:rPr>
        <w:tab/>
      </w:r>
      <w:r>
        <w:rPr>
          <w:rFonts w:ascii="Arial" w:hAnsi="Arial" w:cs="Arial"/>
          <w:b/>
          <w:bCs/>
          <w:color w:val="000000"/>
          <w:sz w:val="20"/>
        </w:rPr>
        <w:t>Education Justice Initiative</w:t>
      </w:r>
    </w:p>
    <w:p w14:paraId="44A2EE80" w14:textId="76C08FC9" w:rsidR="00384A15" w:rsidRDefault="00384A15">
      <w:pPr>
        <w:jc w:val="both"/>
        <w:rPr>
          <w:rFonts w:ascii="Arial" w:hAnsi="Arial" w:cs="Arial"/>
          <w:sz w:val="20"/>
        </w:rPr>
      </w:pPr>
      <w:r>
        <w:rPr>
          <w:rFonts w:ascii="Arial" w:hAnsi="Arial" w:cs="Arial"/>
          <w:sz w:val="20"/>
        </w:rPr>
        <w:t xml:space="preserve">The Victorian Government’s Education Justice Initiative [EJI] is a program run by the Department of Education and Training [DET] and supported by the Children’s Court of Victoria.  </w:t>
      </w:r>
      <w:r w:rsidR="00D22EF2">
        <w:rPr>
          <w:rFonts w:ascii="Arial" w:hAnsi="Arial" w:cs="Arial"/>
          <w:sz w:val="20"/>
        </w:rPr>
        <w:t>It re/connects young people appearing before the Criminal Division of the Children’s Court with supported educational pathways that suit their needs and interests.</w:t>
      </w:r>
    </w:p>
    <w:p w14:paraId="545905A2" w14:textId="4B52A0CF" w:rsidR="00D22EF2" w:rsidRDefault="00D22EF2">
      <w:pPr>
        <w:jc w:val="both"/>
        <w:rPr>
          <w:rFonts w:ascii="Arial" w:hAnsi="Arial" w:cs="Arial"/>
          <w:sz w:val="20"/>
        </w:rPr>
      </w:pPr>
    </w:p>
    <w:p w14:paraId="3BF011EC" w14:textId="134812E8" w:rsidR="0007594B" w:rsidRDefault="0007594B">
      <w:pPr>
        <w:jc w:val="both"/>
        <w:rPr>
          <w:rFonts w:ascii="Arial" w:hAnsi="Arial" w:cs="Arial"/>
          <w:sz w:val="20"/>
        </w:rPr>
      </w:pPr>
      <w:bookmarkStart w:id="739" w:name="_Hlk98397064"/>
      <w:r>
        <w:rPr>
          <w:rFonts w:ascii="Arial" w:hAnsi="Arial" w:cs="Arial"/>
          <w:sz w:val="20"/>
        </w:rPr>
        <w:t xml:space="preserve">In </w:t>
      </w:r>
      <w:r w:rsidRPr="0007594B">
        <w:rPr>
          <w:rFonts w:ascii="Arial" w:hAnsi="Arial" w:cs="Arial"/>
          <w:i/>
          <w:iCs/>
          <w:sz w:val="20"/>
        </w:rPr>
        <w:t>DPP v Nelis</w:t>
      </w:r>
      <w:r>
        <w:rPr>
          <w:rFonts w:ascii="Arial" w:hAnsi="Arial" w:cs="Arial"/>
          <w:sz w:val="20"/>
        </w:rPr>
        <w:t xml:space="preserve"> [2022] VSC 50, in the context of sentencing a 38 year old offender on a charge of manslaughter based on criminal negligence, </w:t>
      </w:r>
      <w:proofErr w:type="spellStart"/>
      <w:r>
        <w:rPr>
          <w:rFonts w:ascii="Arial" w:hAnsi="Arial" w:cs="Arial"/>
          <w:sz w:val="20"/>
        </w:rPr>
        <w:t>Lasry</w:t>
      </w:r>
      <w:proofErr w:type="spellEnd"/>
      <w:r>
        <w:rPr>
          <w:rFonts w:ascii="Arial" w:hAnsi="Arial" w:cs="Arial"/>
          <w:sz w:val="20"/>
        </w:rPr>
        <w:t xml:space="preserve"> J said at [22] [emphasis added]:</w:t>
      </w:r>
    </w:p>
    <w:p w14:paraId="5098A2A0" w14:textId="23D19032" w:rsidR="0007594B" w:rsidRPr="00B46EF1" w:rsidRDefault="0007594B" w:rsidP="0007594B">
      <w:pPr>
        <w:spacing w:before="60"/>
        <w:ind w:left="567" w:right="567"/>
        <w:jc w:val="both"/>
        <w:rPr>
          <w:rFonts w:ascii="Arial" w:hAnsi="Arial" w:cs="Arial"/>
          <w:color w:val="000000"/>
          <w:sz w:val="20"/>
          <w:szCs w:val="20"/>
        </w:rPr>
      </w:pPr>
      <w:r>
        <w:rPr>
          <w:rFonts w:ascii="Arial" w:hAnsi="Arial" w:cs="Arial"/>
          <w:color w:val="000000"/>
          <w:sz w:val="20"/>
          <w:szCs w:val="20"/>
        </w:rPr>
        <w:t>“</w:t>
      </w:r>
      <w:r w:rsidRPr="0007594B">
        <w:rPr>
          <w:rFonts w:ascii="Arial" w:hAnsi="Arial" w:cs="Arial"/>
          <w:sz w:val="20"/>
          <w:szCs w:val="20"/>
        </w:rPr>
        <w:t xml:space="preserve">Your childhood was affected by violence and instability.  As a teenager you lived in Geelong and Perth.  You were in the latter city because of </w:t>
      </w:r>
      <w:r w:rsidRPr="0007594B">
        <w:rPr>
          <w:rFonts w:ascii="Arial" w:eastAsia="Book Antiqua" w:hAnsi="Arial" w:cs="Arial"/>
          <w:sz w:val="20"/>
          <w:szCs w:val="20"/>
        </w:rPr>
        <w:t xml:space="preserve">your mother’s new </w:t>
      </w:r>
      <w:r w:rsidRPr="0007594B">
        <w:rPr>
          <w:rFonts w:ascii="Arial" w:hAnsi="Arial" w:cs="Arial"/>
          <w:sz w:val="20"/>
          <w:szCs w:val="20"/>
        </w:rPr>
        <w:t>relationship.  Y</w:t>
      </w:r>
      <w:r w:rsidRPr="0007594B">
        <w:rPr>
          <w:rFonts w:ascii="Arial" w:eastAsia="Book Antiqua" w:hAnsi="Arial" w:cs="Arial"/>
          <w:sz w:val="20"/>
          <w:szCs w:val="20"/>
        </w:rPr>
        <w:t>ou suffered at the hands of both your mother’s partner and an uncle</w:t>
      </w:r>
      <w:r w:rsidRPr="0007594B">
        <w:rPr>
          <w:rFonts w:ascii="Arial" w:hAnsi="Arial" w:cs="Arial"/>
          <w:sz w:val="20"/>
          <w:szCs w:val="20"/>
        </w:rPr>
        <w:t xml:space="preserve"> while you were there.  You returned to Victoria after spending six months in Perth.  Your education finished after year 11, having been intermittent for several years.  I pause to note that this is a typical scenario</w:t>
      </w:r>
      <w:r w:rsidRPr="003F71AC">
        <w:rPr>
          <w:rFonts w:ascii="Arial" w:hAnsi="Arial" w:cs="Arial"/>
          <w:b/>
          <w:bCs/>
          <w:sz w:val="20"/>
          <w:szCs w:val="20"/>
        </w:rPr>
        <w:t>.  It is the case that a very large number of troubled individuals who find themselves in the criminal justice system have an incomplete and unsatisfactory education.</w:t>
      </w:r>
      <w:r w:rsidRPr="0007594B">
        <w:rPr>
          <w:rFonts w:ascii="Arial" w:hAnsi="Arial" w:cs="Arial"/>
          <w:sz w:val="20"/>
          <w:szCs w:val="20"/>
        </w:rPr>
        <w:t xml:space="preserve">  </w:t>
      </w:r>
      <w:r w:rsidRPr="007719D0">
        <w:rPr>
          <w:rFonts w:ascii="Arial" w:hAnsi="Arial" w:cs="Arial"/>
          <w:b/>
          <w:bCs/>
          <w:sz w:val="20"/>
          <w:szCs w:val="20"/>
        </w:rPr>
        <w:t>Those who are vocal about reducing criminal activity should pay careful attention to education as a means of diverting young people away from being tempted to commit criminal offences, particularly when a drug habit has become entrenched in their lives.</w:t>
      </w:r>
      <w:r w:rsidR="007719D0">
        <w:rPr>
          <w:rFonts w:ascii="Arial" w:hAnsi="Arial" w:cs="Arial"/>
          <w:sz w:val="20"/>
          <w:szCs w:val="20"/>
        </w:rPr>
        <w:t>”</w:t>
      </w:r>
    </w:p>
    <w:p w14:paraId="1C546A2D" w14:textId="77BDB693" w:rsidR="0007594B" w:rsidRDefault="0007594B">
      <w:pPr>
        <w:jc w:val="both"/>
        <w:rPr>
          <w:rFonts w:ascii="Arial" w:hAnsi="Arial" w:cs="Arial"/>
          <w:sz w:val="20"/>
        </w:rPr>
      </w:pPr>
    </w:p>
    <w:p w14:paraId="441225D4" w14:textId="0DE45605" w:rsidR="0007594B" w:rsidRDefault="007719D0">
      <w:pPr>
        <w:jc w:val="both"/>
        <w:rPr>
          <w:rFonts w:ascii="Arial" w:hAnsi="Arial" w:cs="Arial"/>
          <w:sz w:val="20"/>
        </w:rPr>
      </w:pPr>
      <w:r>
        <w:rPr>
          <w:rFonts w:ascii="Arial" w:hAnsi="Arial" w:cs="Arial"/>
          <w:sz w:val="20"/>
        </w:rPr>
        <w:t xml:space="preserve">It was precisely this philosophy that led to the setting-up of the EJI </w:t>
      </w:r>
      <w:r w:rsidR="006F0082">
        <w:rPr>
          <w:rFonts w:ascii="Arial" w:hAnsi="Arial" w:cs="Arial"/>
          <w:sz w:val="20"/>
        </w:rPr>
        <w:t xml:space="preserve">as an initiative of Judge </w:t>
      </w:r>
      <w:r w:rsidR="009627D0">
        <w:rPr>
          <w:rFonts w:ascii="Arial" w:hAnsi="Arial" w:cs="Arial"/>
          <w:sz w:val="20"/>
        </w:rPr>
        <w:t>Couzens</w:t>
      </w:r>
      <w:r w:rsidR="006F0082">
        <w:rPr>
          <w:rFonts w:ascii="Arial" w:hAnsi="Arial" w:cs="Arial"/>
          <w:sz w:val="20"/>
        </w:rPr>
        <w:t>, a</w:t>
      </w:r>
      <w:r w:rsidR="009627D0">
        <w:rPr>
          <w:rFonts w:ascii="Arial" w:hAnsi="Arial" w:cs="Arial"/>
          <w:sz w:val="20"/>
        </w:rPr>
        <w:t> </w:t>
      </w:r>
      <w:r w:rsidR="006F0082">
        <w:rPr>
          <w:rFonts w:ascii="Arial" w:hAnsi="Arial" w:cs="Arial"/>
          <w:sz w:val="20"/>
        </w:rPr>
        <w:t xml:space="preserve">former President of the Children’s Court, in </w:t>
      </w:r>
      <w:r w:rsidR="009627D0">
        <w:rPr>
          <w:rFonts w:ascii="Arial" w:hAnsi="Arial" w:cs="Arial"/>
          <w:sz w:val="20"/>
        </w:rPr>
        <w:t xml:space="preserve">August </w:t>
      </w:r>
      <w:r w:rsidR="006F0082">
        <w:rPr>
          <w:rFonts w:ascii="Arial" w:hAnsi="Arial" w:cs="Arial"/>
          <w:sz w:val="20"/>
        </w:rPr>
        <w:t>201</w:t>
      </w:r>
      <w:r w:rsidR="009627D0">
        <w:rPr>
          <w:rFonts w:ascii="Arial" w:hAnsi="Arial" w:cs="Arial"/>
          <w:sz w:val="20"/>
        </w:rPr>
        <w:t>4</w:t>
      </w:r>
      <w:r w:rsidR="006F0082">
        <w:rPr>
          <w:rFonts w:ascii="Arial" w:hAnsi="Arial" w:cs="Arial"/>
          <w:sz w:val="20"/>
        </w:rPr>
        <w:t>.</w:t>
      </w:r>
    </w:p>
    <w:p w14:paraId="0E557FFD" w14:textId="77777777" w:rsidR="0007594B" w:rsidRDefault="0007594B">
      <w:pPr>
        <w:jc w:val="both"/>
        <w:rPr>
          <w:rFonts w:ascii="Arial" w:hAnsi="Arial" w:cs="Arial"/>
          <w:sz w:val="20"/>
        </w:rPr>
      </w:pPr>
    </w:p>
    <w:bookmarkEnd w:id="739"/>
    <w:p w14:paraId="298C52DE" w14:textId="2F6B8603" w:rsidR="00D22EF2" w:rsidRDefault="00D22EF2">
      <w:pPr>
        <w:jc w:val="both"/>
        <w:rPr>
          <w:rFonts w:ascii="Arial" w:hAnsi="Arial" w:cs="Arial"/>
          <w:sz w:val="20"/>
        </w:rPr>
      </w:pPr>
      <w:r>
        <w:rPr>
          <w:rFonts w:ascii="Arial" w:hAnsi="Arial" w:cs="Arial"/>
          <w:sz w:val="20"/>
        </w:rPr>
        <w:t>The EJI is available to young people who are 10-17 years of age and who currently have a matter before the Criminal Division of a Children’s Court at locations listed below or at any Koori Children’s Court</w:t>
      </w:r>
      <w:r w:rsidR="00123BB8">
        <w:rPr>
          <w:rFonts w:ascii="Arial" w:hAnsi="Arial" w:cs="Arial"/>
          <w:sz w:val="20"/>
        </w:rPr>
        <w:t>.</w:t>
      </w:r>
    </w:p>
    <w:p w14:paraId="1C60BC79" w14:textId="561E5E2B" w:rsidR="00D22EF2" w:rsidRDefault="00D22EF2">
      <w:pPr>
        <w:jc w:val="both"/>
        <w:rPr>
          <w:rFonts w:ascii="Arial" w:hAnsi="Arial" w:cs="Arial"/>
          <w:sz w:val="20"/>
        </w:rPr>
      </w:pPr>
    </w:p>
    <w:tbl>
      <w:tblPr>
        <w:tblStyle w:val="TableGrid"/>
        <w:tblW w:w="0" w:type="auto"/>
        <w:tblLook w:val="04A0" w:firstRow="1" w:lastRow="0" w:firstColumn="1" w:lastColumn="0" w:noHBand="0" w:noVBand="1"/>
      </w:tblPr>
      <w:tblGrid>
        <w:gridCol w:w="4530"/>
        <w:gridCol w:w="4530"/>
      </w:tblGrid>
      <w:tr w:rsidR="00123BB8" w:rsidRPr="00123BB8" w14:paraId="3E2191B1" w14:textId="77777777" w:rsidTr="006848A8">
        <w:tc>
          <w:tcPr>
            <w:tcW w:w="9060" w:type="dxa"/>
            <w:gridSpan w:val="2"/>
            <w:shd w:val="clear" w:color="auto" w:fill="000000" w:themeFill="text1"/>
          </w:tcPr>
          <w:p w14:paraId="2D94BCF3" w14:textId="09B7E6EC" w:rsidR="00123BB8" w:rsidRPr="00123BB8" w:rsidRDefault="00123BB8" w:rsidP="00123BB8">
            <w:pPr>
              <w:keepNext/>
              <w:keepLines/>
              <w:jc w:val="center"/>
              <w:rPr>
                <w:rFonts w:ascii="Arial" w:hAnsi="Arial" w:cs="Arial"/>
                <w:b/>
                <w:bCs/>
                <w:color w:val="FFFFFF" w:themeColor="background1"/>
                <w:szCs w:val="32"/>
              </w:rPr>
            </w:pPr>
            <w:r w:rsidRPr="00123BB8">
              <w:rPr>
                <w:rFonts w:ascii="Arial" w:hAnsi="Arial" w:cs="Arial"/>
                <w:b/>
                <w:bCs/>
                <w:color w:val="FFFFFF" w:themeColor="background1"/>
                <w:szCs w:val="32"/>
              </w:rPr>
              <w:t>CHILDREN’S COURTS WITH EJI SERVICE</w:t>
            </w:r>
          </w:p>
        </w:tc>
      </w:tr>
      <w:tr w:rsidR="00123BB8" w14:paraId="1CE8CCA0" w14:textId="77777777" w:rsidTr="00123BB8">
        <w:tc>
          <w:tcPr>
            <w:tcW w:w="4530" w:type="dxa"/>
            <w:shd w:val="clear" w:color="auto" w:fill="000000" w:themeFill="text1"/>
          </w:tcPr>
          <w:p w14:paraId="21AC5DFE" w14:textId="49F0CFD4" w:rsidR="00123BB8" w:rsidRPr="00123BB8" w:rsidRDefault="00123BB8" w:rsidP="00123BB8">
            <w:pPr>
              <w:keepNext/>
              <w:keepLines/>
              <w:jc w:val="center"/>
              <w:rPr>
                <w:rFonts w:ascii="Arial" w:hAnsi="Arial" w:cs="Arial"/>
                <w:b/>
                <w:bCs/>
                <w:color w:val="FFFFFF" w:themeColor="background1"/>
                <w:sz w:val="20"/>
              </w:rPr>
            </w:pPr>
            <w:r w:rsidRPr="00123BB8">
              <w:rPr>
                <w:rFonts w:ascii="Arial" w:hAnsi="Arial" w:cs="Arial"/>
                <w:b/>
                <w:bCs/>
                <w:color w:val="FFFFFF" w:themeColor="background1"/>
                <w:sz w:val="20"/>
              </w:rPr>
              <w:t>MAINSTREAM CHILDREN’S COURT</w:t>
            </w:r>
          </w:p>
        </w:tc>
        <w:tc>
          <w:tcPr>
            <w:tcW w:w="4530" w:type="dxa"/>
            <w:shd w:val="clear" w:color="auto" w:fill="000000" w:themeFill="text1"/>
          </w:tcPr>
          <w:p w14:paraId="6C9EA33A" w14:textId="340A9354" w:rsidR="00123BB8" w:rsidRPr="00123BB8" w:rsidRDefault="00123BB8" w:rsidP="00123BB8">
            <w:pPr>
              <w:keepNext/>
              <w:keepLines/>
              <w:jc w:val="center"/>
              <w:rPr>
                <w:rFonts w:ascii="Arial" w:hAnsi="Arial" w:cs="Arial"/>
                <w:b/>
                <w:bCs/>
                <w:color w:val="FFFFFF" w:themeColor="background1"/>
                <w:sz w:val="20"/>
              </w:rPr>
            </w:pPr>
            <w:r w:rsidRPr="00123BB8">
              <w:rPr>
                <w:rFonts w:ascii="Arial" w:hAnsi="Arial" w:cs="Arial"/>
                <w:b/>
                <w:bCs/>
                <w:color w:val="FFFFFF" w:themeColor="background1"/>
                <w:sz w:val="20"/>
              </w:rPr>
              <w:t>KOORI CHILDREN’S COURT</w:t>
            </w:r>
          </w:p>
        </w:tc>
      </w:tr>
      <w:tr w:rsidR="00123BB8" w14:paraId="316FADEE" w14:textId="77777777" w:rsidTr="00123BB8">
        <w:tc>
          <w:tcPr>
            <w:tcW w:w="4530" w:type="dxa"/>
          </w:tcPr>
          <w:p w14:paraId="29FEE6F9" w14:textId="17FBAD06" w:rsidR="00123BB8" w:rsidRDefault="00123BB8" w:rsidP="00123BB8">
            <w:pPr>
              <w:jc w:val="center"/>
              <w:rPr>
                <w:rFonts w:ascii="Arial" w:hAnsi="Arial" w:cs="Arial"/>
                <w:sz w:val="20"/>
              </w:rPr>
            </w:pPr>
            <w:r>
              <w:rPr>
                <w:rFonts w:ascii="Arial" w:hAnsi="Arial" w:cs="Arial"/>
                <w:sz w:val="20"/>
              </w:rPr>
              <w:t>Melbourne</w:t>
            </w:r>
          </w:p>
        </w:tc>
        <w:tc>
          <w:tcPr>
            <w:tcW w:w="4530" w:type="dxa"/>
          </w:tcPr>
          <w:p w14:paraId="32EFB7EC" w14:textId="410C30EE" w:rsidR="00123BB8" w:rsidRDefault="00123BB8" w:rsidP="00123BB8">
            <w:pPr>
              <w:jc w:val="center"/>
              <w:rPr>
                <w:rFonts w:ascii="Arial" w:hAnsi="Arial" w:cs="Arial"/>
                <w:sz w:val="20"/>
              </w:rPr>
            </w:pPr>
            <w:r>
              <w:rPr>
                <w:rFonts w:ascii="Arial" w:hAnsi="Arial" w:cs="Arial"/>
                <w:sz w:val="20"/>
              </w:rPr>
              <w:t>Melbourne</w:t>
            </w:r>
          </w:p>
        </w:tc>
      </w:tr>
      <w:tr w:rsidR="00123BB8" w14:paraId="578C23E6" w14:textId="77777777" w:rsidTr="00123BB8">
        <w:tc>
          <w:tcPr>
            <w:tcW w:w="4530" w:type="dxa"/>
            <w:shd w:val="clear" w:color="auto" w:fill="DDDDDD"/>
          </w:tcPr>
          <w:p w14:paraId="24704B18" w14:textId="693FCD07" w:rsidR="00123BB8" w:rsidRDefault="00123BB8" w:rsidP="00123BB8">
            <w:pPr>
              <w:jc w:val="center"/>
              <w:rPr>
                <w:rFonts w:ascii="Arial" w:hAnsi="Arial" w:cs="Arial"/>
                <w:sz w:val="20"/>
              </w:rPr>
            </w:pPr>
            <w:r>
              <w:rPr>
                <w:rFonts w:ascii="Arial" w:hAnsi="Arial" w:cs="Arial"/>
                <w:sz w:val="20"/>
              </w:rPr>
              <w:t>Bairnsdale</w:t>
            </w:r>
          </w:p>
        </w:tc>
        <w:tc>
          <w:tcPr>
            <w:tcW w:w="4530" w:type="dxa"/>
            <w:shd w:val="clear" w:color="auto" w:fill="DDDDDD"/>
          </w:tcPr>
          <w:p w14:paraId="02FDA413" w14:textId="7A134EF8" w:rsidR="00123BB8" w:rsidRDefault="00123BB8" w:rsidP="00123BB8">
            <w:pPr>
              <w:jc w:val="center"/>
              <w:rPr>
                <w:rFonts w:ascii="Arial" w:hAnsi="Arial" w:cs="Arial"/>
                <w:sz w:val="20"/>
              </w:rPr>
            </w:pPr>
            <w:r>
              <w:rPr>
                <w:rFonts w:ascii="Arial" w:hAnsi="Arial" w:cs="Arial"/>
                <w:sz w:val="20"/>
              </w:rPr>
              <w:t>Bairnsdale</w:t>
            </w:r>
          </w:p>
        </w:tc>
      </w:tr>
      <w:tr w:rsidR="00123BB8" w14:paraId="5F9DD752" w14:textId="77777777" w:rsidTr="00123BB8">
        <w:tc>
          <w:tcPr>
            <w:tcW w:w="4530" w:type="dxa"/>
          </w:tcPr>
          <w:p w14:paraId="364A14D6" w14:textId="6DFE8A22" w:rsidR="00123BB8" w:rsidRDefault="00123BB8" w:rsidP="00123BB8">
            <w:pPr>
              <w:jc w:val="center"/>
              <w:rPr>
                <w:rFonts w:ascii="Arial" w:hAnsi="Arial" w:cs="Arial"/>
                <w:sz w:val="20"/>
              </w:rPr>
            </w:pPr>
            <w:r>
              <w:rPr>
                <w:rFonts w:ascii="Arial" w:hAnsi="Arial" w:cs="Arial"/>
                <w:sz w:val="20"/>
              </w:rPr>
              <w:t>Ballarat</w:t>
            </w:r>
          </w:p>
        </w:tc>
        <w:tc>
          <w:tcPr>
            <w:tcW w:w="4530" w:type="dxa"/>
          </w:tcPr>
          <w:p w14:paraId="530E1DE6" w14:textId="77777777" w:rsidR="00123BB8" w:rsidRDefault="00123BB8" w:rsidP="00123BB8">
            <w:pPr>
              <w:jc w:val="center"/>
              <w:rPr>
                <w:rFonts w:ascii="Arial" w:hAnsi="Arial" w:cs="Arial"/>
                <w:sz w:val="20"/>
              </w:rPr>
            </w:pPr>
          </w:p>
        </w:tc>
      </w:tr>
      <w:tr w:rsidR="00123BB8" w14:paraId="3CE78F43" w14:textId="77777777" w:rsidTr="00123BB8">
        <w:tc>
          <w:tcPr>
            <w:tcW w:w="4530" w:type="dxa"/>
            <w:shd w:val="clear" w:color="auto" w:fill="DDDDDD"/>
          </w:tcPr>
          <w:p w14:paraId="455A4BAA" w14:textId="38D170F0" w:rsidR="00123BB8" w:rsidRDefault="00123BB8" w:rsidP="00123BB8">
            <w:pPr>
              <w:jc w:val="center"/>
              <w:rPr>
                <w:rFonts w:ascii="Arial" w:hAnsi="Arial" w:cs="Arial"/>
                <w:sz w:val="20"/>
              </w:rPr>
            </w:pPr>
            <w:r>
              <w:rPr>
                <w:rFonts w:ascii="Arial" w:hAnsi="Arial" w:cs="Arial"/>
                <w:sz w:val="20"/>
              </w:rPr>
              <w:t>Benalla</w:t>
            </w:r>
          </w:p>
        </w:tc>
        <w:tc>
          <w:tcPr>
            <w:tcW w:w="4530" w:type="dxa"/>
            <w:shd w:val="clear" w:color="auto" w:fill="DDDDDD"/>
          </w:tcPr>
          <w:p w14:paraId="3415A1A9" w14:textId="77777777" w:rsidR="00123BB8" w:rsidRDefault="00123BB8" w:rsidP="00123BB8">
            <w:pPr>
              <w:jc w:val="center"/>
              <w:rPr>
                <w:rFonts w:ascii="Arial" w:hAnsi="Arial" w:cs="Arial"/>
                <w:sz w:val="20"/>
              </w:rPr>
            </w:pPr>
          </w:p>
        </w:tc>
      </w:tr>
      <w:tr w:rsidR="00123BB8" w14:paraId="7FD5A5C6" w14:textId="77777777" w:rsidTr="00123BB8">
        <w:tc>
          <w:tcPr>
            <w:tcW w:w="4530" w:type="dxa"/>
          </w:tcPr>
          <w:p w14:paraId="1A6FC007" w14:textId="572E735F" w:rsidR="00123BB8" w:rsidRDefault="00123BB8" w:rsidP="00123BB8">
            <w:pPr>
              <w:jc w:val="center"/>
              <w:rPr>
                <w:rFonts w:ascii="Arial" w:hAnsi="Arial" w:cs="Arial"/>
                <w:sz w:val="20"/>
              </w:rPr>
            </w:pPr>
            <w:r>
              <w:rPr>
                <w:rFonts w:ascii="Arial" w:hAnsi="Arial" w:cs="Arial"/>
                <w:sz w:val="20"/>
              </w:rPr>
              <w:t>Bendigo</w:t>
            </w:r>
          </w:p>
        </w:tc>
        <w:tc>
          <w:tcPr>
            <w:tcW w:w="4530" w:type="dxa"/>
          </w:tcPr>
          <w:p w14:paraId="4C269958" w14:textId="77777777" w:rsidR="00123BB8" w:rsidRDefault="00123BB8" w:rsidP="00123BB8">
            <w:pPr>
              <w:jc w:val="center"/>
              <w:rPr>
                <w:rFonts w:ascii="Arial" w:hAnsi="Arial" w:cs="Arial"/>
                <w:sz w:val="20"/>
              </w:rPr>
            </w:pPr>
          </w:p>
        </w:tc>
      </w:tr>
      <w:tr w:rsidR="00123BB8" w14:paraId="04C41060" w14:textId="77777777" w:rsidTr="00123BB8">
        <w:tc>
          <w:tcPr>
            <w:tcW w:w="4530" w:type="dxa"/>
            <w:shd w:val="clear" w:color="auto" w:fill="DDDDDD"/>
          </w:tcPr>
          <w:p w14:paraId="424590D8" w14:textId="2C0CD6AF" w:rsidR="00123BB8" w:rsidRDefault="00123BB8" w:rsidP="00123BB8">
            <w:pPr>
              <w:jc w:val="center"/>
              <w:rPr>
                <w:rFonts w:ascii="Arial" w:hAnsi="Arial" w:cs="Arial"/>
                <w:sz w:val="20"/>
              </w:rPr>
            </w:pPr>
            <w:r>
              <w:rPr>
                <w:rFonts w:ascii="Arial" w:hAnsi="Arial" w:cs="Arial"/>
                <w:sz w:val="20"/>
              </w:rPr>
              <w:t>Broadmeadows</w:t>
            </w:r>
          </w:p>
        </w:tc>
        <w:tc>
          <w:tcPr>
            <w:tcW w:w="4530" w:type="dxa"/>
            <w:shd w:val="clear" w:color="auto" w:fill="DDDDDD"/>
          </w:tcPr>
          <w:p w14:paraId="01D28850" w14:textId="77777777" w:rsidR="00123BB8" w:rsidRDefault="00123BB8" w:rsidP="00123BB8">
            <w:pPr>
              <w:jc w:val="center"/>
              <w:rPr>
                <w:rFonts w:ascii="Arial" w:hAnsi="Arial" w:cs="Arial"/>
                <w:sz w:val="20"/>
              </w:rPr>
            </w:pPr>
          </w:p>
        </w:tc>
      </w:tr>
      <w:tr w:rsidR="00123BB8" w14:paraId="6EDF7C8D" w14:textId="77777777" w:rsidTr="00123BB8">
        <w:tc>
          <w:tcPr>
            <w:tcW w:w="4530" w:type="dxa"/>
          </w:tcPr>
          <w:p w14:paraId="70B4E5E7" w14:textId="0394C2E2" w:rsidR="00123BB8" w:rsidRDefault="00123BB8" w:rsidP="00123BB8">
            <w:pPr>
              <w:jc w:val="center"/>
              <w:rPr>
                <w:rFonts w:ascii="Arial" w:hAnsi="Arial" w:cs="Arial"/>
                <w:sz w:val="20"/>
              </w:rPr>
            </w:pPr>
            <w:r>
              <w:rPr>
                <w:rFonts w:ascii="Arial" w:hAnsi="Arial" w:cs="Arial"/>
                <w:sz w:val="20"/>
              </w:rPr>
              <w:t>Dandenong</w:t>
            </w:r>
          </w:p>
        </w:tc>
        <w:tc>
          <w:tcPr>
            <w:tcW w:w="4530" w:type="dxa"/>
          </w:tcPr>
          <w:p w14:paraId="66E4B422" w14:textId="5130E6D6" w:rsidR="00123BB8" w:rsidRDefault="00123BB8" w:rsidP="00123BB8">
            <w:pPr>
              <w:jc w:val="center"/>
              <w:rPr>
                <w:rFonts w:ascii="Arial" w:hAnsi="Arial" w:cs="Arial"/>
                <w:sz w:val="20"/>
              </w:rPr>
            </w:pPr>
          </w:p>
        </w:tc>
      </w:tr>
      <w:tr w:rsidR="00123BB8" w14:paraId="66607E87" w14:textId="77777777" w:rsidTr="00123BB8">
        <w:tc>
          <w:tcPr>
            <w:tcW w:w="4530" w:type="dxa"/>
            <w:shd w:val="clear" w:color="auto" w:fill="DDDDDD"/>
          </w:tcPr>
          <w:p w14:paraId="460AC297" w14:textId="7D04FA44" w:rsidR="00123BB8" w:rsidRDefault="00123BB8" w:rsidP="00123BB8">
            <w:pPr>
              <w:jc w:val="center"/>
              <w:rPr>
                <w:rFonts w:ascii="Arial" w:hAnsi="Arial" w:cs="Arial"/>
                <w:sz w:val="20"/>
              </w:rPr>
            </w:pPr>
            <w:r>
              <w:rPr>
                <w:rFonts w:ascii="Arial" w:hAnsi="Arial" w:cs="Arial"/>
                <w:sz w:val="20"/>
              </w:rPr>
              <w:t>Frankston</w:t>
            </w:r>
          </w:p>
        </w:tc>
        <w:tc>
          <w:tcPr>
            <w:tcW w:w="4530" w:type="dxa"/>
            <w:shd w:val="clear" w:color="auto" w:fill="DDDDDD"/>
          </w:tcPr>
          <w:p w14:paraId="25D7E45D" w14:textId="5C14766F" w:rsidR="00123BB8" w:rsidRDefault="00123BB8" w:rsidP="00123BB8">
            <w:pPr>
              <w:jc w:val="center"/>
              <w:rPr>
                <w:rFonts w:ascii="Arial" w:hAnsi="Arial" w:cs="Arial"/>
                <w:sz w:val="20"/>
              </w:rPr>
            </w:pPr>
          </w:p>
        </w:tc>
      </w:tr>
      <w:tr w:rsidR="00123BB8" w14:paraId="635F4B93" w14:textId="77777777" w:rsidTr="00123BB8">
        <w:tc>
          <w:tcPr>
            <w:tcW w:w="4530" w:type="dxa"/>
          </w:tcPr>
          <w:p w14:paraId="1EE2EA78" w14:textId="4301FC50" w:rsidR="00123BB8" w:rsidRDefault="00123BB8" w:rsidP="00123BB8">
            <w:pPr>
              <w:jc w:val="center"/>
              <w:rPr>
                <w:rFonts w:ascii="Arial" w:hAnsi="Arial" w:cs="Arial"/>
                <w:sz w:val="20"/>
              </w:rPr>
            </w:pPr>
            <w:r>
              <w:rPr>
                <w:rFonts w:ascii="Arial" w:hAnsi="Arial" w:cs="Arial"/>
                <w:sz w:val="20"/>
              </w:rPr>
              <w:t>Geelong</w:t>
            </w:r>
          </w:p>
        </w:tc>
        <w:tc>
          <w:tcPr>
            <w:tcW w:w="4530" w:type="dxa"/>
          </w:tcPr>
          <w:p w14:paraId="0249C6E1" w14:textId="3D18F5E0" w:rsidR="00123BB8" w:rsidRDefault="00123BB8" w:rsidP="00123BB8">
            <w:pPr>
              <w:jc w:val="center"/>
              <w:rPr>
                <w:rFonts w:ascii="Arial" w:hAnsi="Arial" w:cs="Arial"/>
                <w:sz w:val="20"/>
              </w:rPr>
            </w:pPr>
            <w:r>
              <w:rPr>
                <w:rFonts w:ascii="Arial" w:hAnsi="Arial" w:cs="Arial"/>
                <w:sz w:val="20"/>
              </w:rPr>
              <w:t>Geelong</w:t>
            </w:r>
          </w:p>
        </w:tc>
      </w:tr>
      <w:tr w:rsidR="00123BB8" w14:paraId="0C436512" w14:textId="77777777" w:rsidTr="00123BB8">
        <w:tc>
          <w:tcPr>
            <w:tcW w:w="4530" w:type="dxa"/>
            <w:shd w:val="clear" w:color="auto" w:fill="DDDDDD"/>
          </w:tcPr>
          <w:p w14:paraId="59E33C31" w14:textId="3BBCA844" w:rsidR="00123BB8" w:rsidRDefault="00123BB8" w:rsidP="00123BB8">
            <w:pPr>
              <w:jc w:val="center"/>
              <w:rPr>
                <w:rFonts w:ascii="Arial" w:hAnsi="Arial" w:cs="Arial"/>
                <w:sz w:val="20"/>
              </w:rPr>
            </w:pPr>
          </w:p>
        </w:tc>
        <w:tc>
          <w:tcPr>
            <w:tcW w:w="4530" w:type="dxa"/>
            <w:shd w:val="clear" w:color="auto" w:fill="DDDDDD"/>
          </w:tcPr>
          <w:p w14:paraId="7D8902F5" w14:textId="019D7150" w:rsidR="00123BB8" w:rsidRDefault="00123BB8" w:rsidP="00123BB8">
            <w:pPr>
              <w:jc w:val="center"/>
              <w:rPr>
                <w:rFonts w:ascii="Arial" w:hAnsi="Arial" w:cs="Arial"/>
                <w:sz w:val="20"/>
              </w:rPr>
            </w:pPr>
            <w:r>
              <w:rPr>
                <w:rFonts w:ascii="Arial" w:hAnsi="Arial" w:cs="Arial"/>
                <w:sz w:val="20"/>
              </w:rPr>
              <w:t>Hamilton</w:t>
            </w:r>
          </w:p>
        </w:tc>
      </w:tr>
      <w:tr w:rsidR="00123BB8" w14:paraId="669A82AD" w14:textId="77777777" w:rsidTr="00123BB8">
        <w:tc>
          <w:tcPr>
            <w:tcW w:w="4530" w:type="dxa"/>
          </w:tcPr>
          <w:p w14:paraId="108924F4" w14:textId="3E395B69" w:rsidR="00123BB8" w:rsidRDefault="00123BB8" w:rsidP="00123BB8">
            <w:pPr>
              <w:jc w:val="center"/>
              <w:rPr>
                <w:rFonts w:ascii="Arial" w:hAnsi="Arial" w:cs="Arial"/>
                <w:sz w:val="20"/>
              </w:rPr>
            </w:pPr>
            <w:r>
              <w:rPr>
                <w:rFonts w:ascii="Arial" w:hAnsi="Arial" w:cs="Arial"/>
                <w:sz w:val="20"/>
              </w:rPr>
              <w:t>Heidelberg</w:t>
            </w:r>
          </w:p>
        </w:tc>
        <w:tc>
          <w:tcPr>
            <w:tcW w:w="4530" w:type="dxa"/>
          </w:tcPr>
          <w:p w14:paraId="785B6E11" w14:textId="77777777" w:rsidR="00123BB8" w:rsidRDefault="00123BB8" w:rsidP="00123BB8">
            <w:pPr>
              <w:jc w:val="center"/>
              <w:rPr>
                <w:rFonts w:ascii="Arial" w:hAnsi="Arial" w:cs="Arial"/>
                <w:sz w:val="20"/>
              </w:rPr>
            </w:pPr>
          </w:p>
        </w:tc>
      </w:tr>
      <w:tr w:rsidR="00123BB8" w14:paraId="0A783A33" w14:textId="77777777" w:rsidTr="00123BB8">
        <w:tc>
          <w:tcPr>
            <w:tcW w:w="4530" w:type="dxa"/>
            <w:shd w:val="clear" w:color="auto" w:fill="DDDDDD"/>
          </w:tcPr>
          <w:p w14:paraId="50941478" w14:textId="0C744EA0" w:rsidR="00123BB8" w:rsidRDefault="00123BB8" w:rsidP="00123BB8">
            <w:pPr>
              <w:jc w:val="center"/>
              <w:rPr>
                <w:rFonts w:ascii="Arial" w:hAnsi="Arial" w:cs="Arial"/>
                <w:sz w:val="20"/>
              </w:rPr>
            </w:pPr>
            <w:r>
              <w:rPr>
                <w:rFonts w:ascii="Arial" w:hAnsi="Arial" w:cs="Arial"/>
                <w:sz w:val="20"/>
              </w:rPr>
              <w:t>Latrobe Valley</w:t>
            </w:r>
          </w:p>
        </w:tc>
        <w:tc>
          <w:tcPr>
            <w:tcW w:w="4530" w:type="dxa"/>
            <w:shd w:val="clear" w:color="auto" w:fill="DDDDDD"/>
          </w:tcPr>
          <w:p w14:paraId="5BE20F77" w14:textId="5B776C68" w:rsidR="00123BB8" w:rsidRDefault="00123BB8" w:rsidP="00123BB8">
            <w:pPr>
              <w:jc w:val="center"/>
              <w:rPr>
                <w:rFonts w:ascii="Arial" w:hAnsi="Arial" w:cs="Arial"/>
                <w:sz w:val="20"/>
              </w:rPr>
            </w:pPr>
            <w:r>
              <w:rPr>
                <w:rFonts w:ascii="Arial" w:hAnsi="Arial" w:cs="Arial"/>
                <w:sz w:val="20"/>
              </w:rPr>
              <w:t>Latrobe Valley</w:t>
            </w:r>
          </w:p>
        </w:tc>
      </w:tr>
      <w:tr w:rsidR="00123BB8" w14:paraId="77F6D73D" w14:textId="77777777" w:rsidTr="00123BB8">
        <w:tc>
          <w:tcPr>
            <w:tcW w:w="4530" w:type="dxa"/>
          </w:tcPr>
          <w:p w14:paraId="415D7491" w14:textId="4C94E5FF" w:rsidR="00123BB8" w:rsidRDefault="00123BB8" w:rsidP="00123BB8">
            <w:pPr>
              <w:jc w:val="center"/>
              <w:rPr>
                <w:rFonts w:ascii="Arial" w:hAnsi="Arial" w:cs="Arial"/>
                <w:sz w:val="20"/>
              </w:rPr>
            </w:pPr>
            <w:r>
              <w:rPr>
                <w:rFonts w:ascii="Arial" w:hAnsi="Arial" w:cs="Arial"/>
                <w:sz w:val="20"/>
              </w:rPr>
              <w:t>Mildura</w:t>
            </w:r>
          </w:p>
        </w:tc>
        <w:tc>
          <w:tcPr>
            <w:tcW w:w="4530" w:type="dxa"/>
          </w:tcPr>
          <w:p w14:paraId="394DC7CD" w14:textId="661AD244" w:rsidR="00123BB8" w:rsidRDefault="00123BB8" w:rsidP="00123BB8">
            <w:pPr>
              <w:jc w:val="center"/>
              <w:rPr>
                <w:rFonts w:ascii="Arial" w:hAnsi="Arial" w:cs="Arial"/>
                <w:sz w:val="20"/>
              </w:rPr>
            </w:pPr>
            <w:r>
              <w:rPr>
                <w:rFonts w:ascii="Arial" w:hAnsi="Arial" w:cs="Arial"/>
                <w:sz w:val="20"/>
              </w:rPr>
              <w:t>Mildura</w:t>
            </w:r>
          </w:p>
        </w:tc>
      </w:tr>
      <w:tr w:rsidR="00123BB8" w14:paraId="28B38D9C" w14:textId="77777777" w:rsidTr="00123BB8">
        <w:tc>
          <w:tcPr>
            <w:tcW w:w="4530" w:type="dxa"/>
            <w:shd w:val="clear" w:color="auto" w:fill="DDDDDD"/>
          </w:tcPr>
          <w:p w14:paraId="53AC4235" w14:textId="132FE3E7" w:rsidR="00123BB8" w:rsidRDefault="00123BB8" w:rsidP="00123BB8">
            <w:pPr>
              <w:jc w:val="center"/>
              <w:rPr>
                <w:rFonts w:ascii="Arial" w:hAnsi="Arial" w:cs="Arial"/>
                <w:sz w:val="20"/>
              </w:rPr>
            </w:pPr>
            <w:r>
              <w:rPr>
                <w:rFonts w:ascii="Arial" w:hAnsi="Arial" w:cs="Arial"/>
                <w:sz w:val="20"/>
              </w:rPr>
              <w:t>Moorabbin</w:t>
            </w:r>
          </w:p>
        </w:tc>
        <w:tc>
          <w:tcPr>
            <w:tcW w:w="4530" w:type="dxa"/>
            <w:shd w:val="clear" w:color="auto" w:fill="DDDDDD"/>
          </w:tcPr>
          <w:p w14:paraId="1274DF9F" w14:textId="77777777" w:rsidR="00123BB8" w:rsidRDefault="00123BB8" w:rsidP="00123BB8">
            <w:pPr>
              <w:jc w:val="center"/>
              <w:rPr>
                <w:rFonts w:ascii="Arial" w:hAnsi="Arial" w:cs="Arial"/>
                <w:sz w:val="20"/>
              </w:rPr>
            </w:pPr>
          </w:p>
        </w:tc>
      </w:tr>
      <w:tr w:rsidR="00123BB8" w14:paraId="465FAFEA" w14:textId="77777777" w:rsidTr="00123BB8">
        <w:tc>
          <w:tcPr>
            <w:tcW w:w="4530" w:type="dxa"/>
          </w:tcPr>
          <w:p w14:paraId="0B4C7204" w14:textId="77777777" w:rsidR="00123BB8" w:rsidRDefault="00123BB8" w:rsidP="00123BB8">
            <w:pPr>
              <w:jc w:val="center"/>
              <w:rPr>
                <w:rFonts w:ascii="Arial" w:hAnsi="Arial" w:cs="Arial"/>
                <w:sz w:val="20"/>
              </w:rPr>
            </w:pPr>
          </w:p>
        </w:tc>
        <w:tc>
          <w:tcPr>
            <w:tcW w:w="4530" w:type="dxa"/>
          </w:tcPr>
          <w:p w14:paraId="0EBEBCDA" w14:textId="113729AF" w:rsidR="00123BB8" w:rsidRDefault="00123BB8" w:rsidP="00123BB8">
            <w:pPr>
              <w:jc w:val="center"/>
              <w:rPr>
                <w:rFonts w:ascii="Arial" w:hAnsi="Arial" w:cs="Arial"/>
                <w:sz w:val="20"/>
              </w:rPr>
            </w:pPr>
            <w:r>
              <w:rPr>
                <w:rFonts w:ascii="Arial" w:hAnsi="Arial" w:cs="Arial"/>
                <w:sz w:val="20"/>
              </w:rPr>
              <w:t>Portland</w:t>
            </w:r>
          </w:p>
        </w:tc>
      </w:tr>
      <w:tr w:rsidR="00123BB8" w14:paraId="14F166CF" w14:textId="77777777" w:rsidTr="00123BB8">
        <w:tc>
          <w:tcPr>
            <w:tcW w:w="4530" w:type="dxa"/>
            <w:shd w:val="clear" w:color="auto" w:fill="DDDDDD"/>
          </w:tcPr>
          <w:p w14:paraId="09433B7E" w14:textId="515E5458" w:rsidR="00123BB8" w:rsidRDefault="00594275" w:rsidP="00123BB8">
            <w:pPr>
              <w:jc w:val="center"/>
              <w:rPr>
                <w:rFonts w:ascii="Arial" w:hAnsi="Arial" w:cs="Arial"/>
                <w:sz w:val="20"/>
              </w:rPr>
            </w:pPr>
            <w:r>
              <w:rPr>
                <w:rFonts w:ascii="Arial" w:hAnsi="Arial" w:cs="Arial"/>
                <w:sz w:val="20"/>
              </w:rPr>
              <w:t>Robinvale</w:t>
            </w:r>
          </w:p>
        </w:tc>
        <w:tc>
          <w:tcPr>
            <w:tcW w:w="4530" w:type="dxa"/>
            <w:shd w:val="clear" w:color="auto" w:fill="DDDDDD"/>
          </w:tcPr>
          <w:p w14:paraId="734E110F" w14:textId="4F85157B" w:rsidR="00123BB8" w:rsidRDefault="00123BB8" w:rsidP="00123BB8">
            <w:pPr>
              <w:jc w:val="center"/>
              <w:rPr>
                <w:rFonts w:ascii="Arial" w:hAnsi="Arial" w:cs="Arial"/>
                <w:sz w:val="20"/>
              </w:rPr>
            </w:pPr>
          </w:p>
        </w:tc>
      </w:tr>
      <w:tr w:rsidR="00594275" w14:paraId="44A2A447" w14:textId="77777777" w:rsidTr="00123BB8">
        <w:tc>
          <w:tcPr>
            <w:tcW w:w="4530" w:type="dxa"/>
          </w:tcPr>
          <w:p w14:paraId="2A71CCF0" w14:textId="3D3EFC86" w:rsidR="00594275" w:rsidRDefault="00594275" w:rsidP="00594275">
            <w:pPr>
              <w:jc w:val="center"/>
              <w:rPr>
                <w:rFonts w:ascii="Arial" w:hAnsi="Arial" w:cs="Arial"/>
                <w:sz w:val="20"/>
              </w:rPr>
            </w:pPr>
            <w:r>
              <w:rPr>
                <w:rFonts w:ascii="Arial" w:hAnsi="Arial" w:cs="Arial"/>
                <w:sz w:val="20"/>
              </w:rPr>
              <w:t>Sale</w:t>
            </w:r>
          </w:p>
        </w:tc>
        <w:tc>
          <w:tcPr>
            <w:tcW w:w="4530" w:type="dxa"/>
          </w:tcPr>
          <w:p w14:paraId="6ACFE575" w14:textId="419ECA6B" w:rsidR="00594275" w:rsidRDefault="00594275" w:rsidP="00594275">
            <w:pPr>
              <w:jc w:val="center"/>
              <w:rPr>
                <w:rFonts w:ascii="Arial" w:hAnsi="Arial" w:cs="Arial"/>
                <w:sz w:val="20"/>
              </w:rPr>
            </w:pPr>
          </w:p>
        </w:tc>
      </w:tr>
      <w:tr w:rsidR="00594275" w14:paraId="3ACAE5B3" w14:textId="77777777" w:rsidTr="00123BB8">
        <w:tc>
          <w:tcPr>
            <w:tcW w:w="4530" w:type="dxa"/>
            <w:shd w:val="clear" w:color="auto" w:fill="DDDDDD"/>
          </w:tcPr>
          <w:p w14:paraId="19A4140A" w14:textId="346A6F95" w:rsidR="00594275" w:rsidRDefault="00594275" w:rsidP="00594275">
            <w:pPr>
              <w:jc w:val="center"/>
              <w:rPr>
                <w:rFonts w:ascii="Arial" w:hAnsi="Arial" w:cs="Arial"/>
                <w:sz w:val="20"/>
              </w:rPr>
            </w:pPr>
            <w:r>
              <w:rPr>
                <w:rFonts w:ascii="Arial" w:hAnsi="Arial" w:cs="Arial"/>
                <w:sz w:val="20"/>
              </w:rPr>
              <w:t>Shepparton</w:t>
            </w:r>
          </w:p>
        </w:tc>
        <w:tc>
          <w:tcPr>
            <w:tcW w:w="4530" w:type="dxa"/>
            <w:shd w:val="clear" w:color="auto" w:fill="DDDDDD"/>
          </w:tcPr>
          <w:p w14:paraId="46A17323" w14:textId="0BD7F7FE" w:rsidR="00594275" w:rsidRDefault="00594275" w:rsidP="00594275">
            <w:pPr>
              <w:jc w:val="center"/>
              <w:rPr>
                <w:rFonts w:ascii="Arial" w:hAnsi="Arial" w:cs="Arial"/>
                <w:sz w:val="20"/>
              </w:rPr>
            </w:pPr>
            <w:r>
              <w:rPr>
                <w:rFonts w:ascii="Arial" w:hAnsi="Arial" w:cs="Arial"/>
                <w:sz w:val="20"/>
              </w:rPr>
              <w:t>Shepparton</w:t>
            </w:r>
          </w:p>
        </w:tc>
      </w:tr>
      <w:tr w:rsidR="00594275" w14:paraId="789EA1DE" w14:textId="77777777" w:rsidTr="00123BB8">
        <w:tc>
          <w:tcPr>
            <w:tcW w:w="4530" w:type="dxa"/>
          </w:tcPr>
          <w:p w14:paraId="734639FF" w14:textId="724764DE" w:rsidR="00594275" w:rsidRDefault="00594275" w:rsidP="00594275">
            <w:pPr>
              <w:jc w:val="center"/>
              <w:rPr>
                <w:rFonts w:ascii="Arial" w:hAnsi="Arial" w:cs="Arial"/>
                <w:sz w:val="20"/>
              </w:rPr>
            </w:pPr>
            <w:r>
              <w:rPr>
                <w:rFonts w:ascii="Arial" w:hAnsi="Arial" w:cs="Arial"/>
                <w:sz w:val="20"/>
              </w:rPr>
              <w:t>Sunshine</w:t>
            </w:r>
          </w:p>
        </w:tc>
        <w:tc>
          <w:tcPr>
            <w:tcW w:w="4530" w:type="dxa"/>
          </w:tcPr>
          <w:p w14:paraId="682BEFE2" w14:textId="03C84A55" w:rsidR="00594275" w:rsidRDefault="00594275" w:rsidP="00594275">
            <w:pPr>
              <w:jc w:val="center"/>
              <w:rPr>
                <w:rFonts w:ascii="Arial" w:hAnsi="Arial" w:cs="Arial"/>
                <w:sz w:val="20"/>
              </w:rPr>
            </w:pPr>
          </w:p>
        </w:tc>
      </w:tr>
      <w:tr w:rsidR="00594275" w14:paraId="0F7BF562" w14:textId="77777777" w:rsidTr="00123BB8">
        <w:tc>
          <w:tcPr>
            <w:tcW w:w="4530" w:type="dxa"/>
            <w:shd w:val="clear" w:color="auto" w:fill="DDDDDD"/>
          </w:tcPr>
          <w:p w14:paraId="4FAD186E" w14:textId="37F58C43" w:rsidR="00594275" w:rsidRDefault="00594275" w:rsidP="00594275">
            <w:pPr>
              <w:jc w:val="center"/>
              <w:rPr>
                <w:rFonts w:ascii="Arial" w:hAnsi="Arial" w:cs="Arial"/>
                <w:sz w:val="20"/>
              </w:rPr>
            </w:pPr>
            <w:r>
              <w:rPr>
                <w:rFonts w:ascii="Arial" w:hAnsi="Arial" w:cs="Arial"/>
                <w:sz w:val="20"/>
              </w:rPr>
              <w:t>Swan Hill</w:t>
            </w:r>
          </w:p>
        </w:tc>
        <w:tc>
          <w:tcPr>
            <w:tcW w:w="4530" w:type="dxa"/>
            <w:shd w:val="clear" w:color="auto" w:fill="DDDDDD"/>
          </w:tcPr>
          <w:p w14:paraId="3E8F033C" w14:textId="77518ABC" w:rsidR="00594275" w:rsidRDefault="00594275" w:rsidP="00594275">
            <w:pPr>
              <w:jc w:val="center"/>
              <w:rPr>
                <w:rFonts w:ascii="Arial" w:hAnsi="Arial" w:cs="Arial"/>
                <w:sz w:val="20"/>
              </w:rPr>
            </w:pPr>
            <w:r>
              <w:rPr>
                <w:rFonts w:ascii="Arial" w:hAnsi="Arial" w:cs="Arial"/>
                <w:sz w:val="20"/>
              </w:rPr>
              <w:t xml:space="preserve">Swan </w:t>
            </w:r>
            <w:proofErr w:type="spellStart"/>
            <w:r>
              <w:rPr>
                <w:rFonts w:ascii="Arial" w:hAnsi="Arial" w:cs="Arial"/>
                <w:sz w:val="20"/>
              </w:rPr>
              <w:t>HIll</w:t>
            </w:r>
            <w:proofErr w:type="spellEnd"/>
          </w:p>
        </w:tc>
      </w:tr>
      <w:tr w:rsidR="00594275" w14:paraId="58673097" w14:textId="77777777" w:rsidTr="00594275">
        <w:tc>
          <w:tcPr>
            <w:tcW w:w="4530" w:type="dxa"/>
            <w:shd w:val="clear" w:color="auto" w:fill="auto"/>
          </w:tcPr>
          <w:p w14:paraId="0D185C48" w14:textId="6212CAAB" w:rsidR="00594275" w:rsidRDefault="00594275" w:rsidP="00594275">
            <w:pPr>
              <w:jc w:val="center"/>
              <w:rPr>
                <w:rFonts w:ascii="Arial" w:hAnsi="Arial" w:cs="Arial"/>
                <w:sz w:val="20"/>
              </w:rPr>
            </w:pPr>
            <w:r>
              <w:rPr>
                <w:rFonts w:ascii="Arial" w:hAnsi="Arial" w:cs="Arial"/>
                <w:sz w:val="20"/>
              </w:rPr>
              <w:t>Warrnambool</w:t>
            </w:r>
          </w:p>
        </w:tc>
        <w:tc>
          <w:tcPr>
            <w:tcW w:w="4530" w:type="dxa"/>
            <w:shd w:val="clear" w:color="auto" w:fill="auto"/>
          </w:tcPr>
          <w:p w14:paraId="7A98F11F" w14:textId="0E4448BC" w:rsidR="00594275" w:rsidRDefault="00594275" w:rsidP="00594275">
            <w:pPr>
              <w:jc w:val="center"/>
              <w:rPr>
                <w:rFonts w:ascii="Arial" w:hAnsi="Arial" w:cs="Arial"/>
                <w:sz w:val="20"/>
              </w:rPr>
            </w:pPr>
            <w:r>
              <w:rPr>
                <w:rFonts w:ascii="Arial" w:hAnsi="Arial" w:cs="Arial"/>
                <w:sz w:val="20"/>
              </w:rPr>
              <w:t>Warrnambool</w:t>
            </w:r>
          </w:p>
        </w:tc>
      </w:tr>
      <w:tr w:rsidR="00594275" w14:paraId="7D1C373F" w14:textId="77777777" w:rsidTr="00123BB8">
        <w:tc>
          <w:tcPr>
            <w:tcW w:w="4530" w:type="dxa"/>
            <w:shd w:val="clear" w:color="auto" w:fill="DDDDDD"/>
          </w:tcPr>
          <w:p w14:paraId="65CC2EA2" w14:textId="05F5E448" w:rsidR="00594275" w:rsidRDefault="00594275" w:rsidP="00594275">
            <w:pPr>
              <w:jc w:val="center"/>
              <w:rPr>
                <w:rFonts w:ascii="Arial" w:hAnsi="Arial" w:cs="Arial"/>
                <w:sz w:val="20"/>
              </w:rPr>
            </w:pPr>
            <w:r>
              <w:rPr>
                <w:rFonts w:ascii="Arial" w:hAnsi="Arial" w:cs="Arial"/>
                <w:sz w:val="20"/>
              </w:rPr>
              <w:t>Werribee</w:t>
            </w:r>
          </w:p>
        </w:tc>
        <w:tc>
          <w:tcPr>
            <w:tcW w:w="4530" w:type="dxa"/>
            <w:shd w:val="clear" w:color="auto" w:fill="DDDDDD"/>
          </w:tcPr>
          <w:p w14:paraId="6525FB07" w14:textId="77777777" w:rsidR="00594275" w:rsidRDefault="00594275" w:rsidP="00594275">
            <w:pPr>
              <w:jc w:val="center"/>
              <w:rPr>
                <w:rFonts w:ascii="Arial" w:hAnsi="Arial" w:cs="Arial"/>
                <w:sz w:val="20"/>
              </w:rPr>
            </w:pPr>
          </w:p>
        </w:tc>
      </w:tr>
      <w:tr w:rsidR="00594275" w14:paraId="15D27ADA" w14:textId="77777777" w:rsidTr="00594275">
        <w:tc>
          <w:tcPr>
            <w:tcW w:w="4530" w:type="dxa"/>
            <w:shd w:val="clear" w:color="auto" w:fill="auto"/>
          </w:tcPr>
          <w:p w14:paraId="42F791E8" w14:textId="343C7EAD" w:rsidR="00594275" w:rsidRDefault="00E64018" w:rsidP="00594275">
            <w:pPr>
              <w:jc w:val="center"/>
              <w:rPr>
                <w:rFonts w:ascii="Arial" w:hAnsi="Arial" w:cs="Arial"/>
                <w:sz w:val="20"/>
              </w:rPr>
            </w:pPr>
            <w:r>
              <w:rPr>
                <w:rFonts w:ascii="Arial" w:hAnsi="Arial" w:cs="Arial"/>
                <w:sz w:val="20"/>
              </w:rPr>
              <w:t>Wodonga</w:t>
            </w:r>
          </w:p>
        </w:tc>
        <w:tc>
          <w:tcPr>
            <w:tcW w:w="4530" w:type="dxa"/>
            <w:shd w:val="clear" w:color="auto" w:fill="auto"/>
          </w:tcPr>
          <w:p w14:paraId="2EA54846" w14:textId="77777777" w:rsidR="00594275" w:rsidRDefault="00594275" w:rsidP="00594275">
            <w:pPr>
              <w:jc w:val="center"/>
              <w:rPr>
                <w:rFonts w:ascii="Arial" w:hAnsi="Arial" w:cs="Arial"/>
                <w:sz w:val="20"/>
              </w:rPr>
            </w:pPr>
          </w:p>
        </w:tc>
      </w:tr>
    </w:tbl>
    <w:p w14:paraId="2A52F057" w14:textId="5B3C8C55" w:rsidR="00384A15" w:rsidRDefault="00384A15">
      <w:pPr>
        <w:jc w:val="both"/>
        <w:rPr>
          <w:rFonts w:ascii="Arial" w:hAnsi="Arial" w:cs="Arial"/>
          <w:sz w:val="20"/>
        </w:rPr>
      </w:pPr>
    </w:p>
    <w:p w14:paraId="3CE087B3" w14:textId="1AA71C6D" w:rsidR="00E64018" w:rsidRDefault="00E64018">
      <w:pPr>
        <w:jc w:val="both"/>
        <w:rPr>
          <w:rFonts w:ascii="Arial" w:hAnsi="Arial" w:cs="Arial"/>
          <w:sz w:val="20"/>
        </w:rPr>
      </w:pPr>
      <w:r>
        <w:rPr>
          <w:rFonts w:ascii="Arial" w:hAnsi="Arial" w:cs="Arial"/>
          <w:sz w:val="20"/>
        </w:rPr>
        <w:t>On receipt of a referral, EJI will work with the young person and their family or support person and/or case worker to link with the most appropriate school, education or training provider.  The EJI accepts referrals from:</w:t>
      </w:r>
    </w:p>
    <w:p w14:paraId="17FA518D" w14:textId="07E562B4" w:rsidR="00E64018" w:rsidRDefault="00E64018" w:rsidP="00C23CF0">
      <w:pPr>
        <w:pStyle w:val="ListParagraph"/>
        <w:numPr>
          <w:ilvl w:val="0"/>
          <w:numId w:val="19"/>
        </w:numPr>
        <w:jc w:val="both"/>
        <w:rPr>
          <w:rFonts w:ascii="Arial" w:hAnsi="Arial" w:cs="Arial"/>
          <w:sz w:val="20"/>
        </w:rPr>
      </w:pPr>
      <w:r>
        <w:rPr>
          <w:rFonts w:ascii="Arial" w:hAnsi="Arial" w:cs="Arial"/>
          <w:sz w:val="20"/>
        </w:rPr>
        <w:t>young people and/or their families;</w:t>
      </w:r>
    </w:p>
    <w:p w14:paraId="06084273" w14:textId="4216AAEF" w:rsidR="00E64018" w:rsidRDefault="00E64018" w:rsidP="00C23CF0">
      <w:pPr>
        <w:pStyle w:val="ListParagraph"/>
        <w:numPr>
          <w:ilvl w:val="0"/>
          <w:numId w:val="19"/>
        </w:numPr>
        <w:jc w:val="both"/>
        <w:rPr>
          <w:rFonts w:ascii="Arial" w:hAnsi="Arial" w:cs="Arial"/>
          <w:sz w:val="20"/>
        </w:rPr>
      </w:pPr>
      <w:r>
        <w:rPr>
          <w:rFonts w:ascii="Arial" w:hAnsi="Arial" w:cs="Arial"/>
          <w:sz w:val="20"/>
        </w:rPr>
        <w:t>judicial officers;</w:t>
      </w:r>
    </w:p>
    <w:p w14:paraId="7AA86086" w14:textId="633F738D" w:rsidR="00E64018" w:rsidRDefault="00E64018" w:rsidP="00C23CF0">
      <w:pPr>
        <w:pStyle w:val="ListParagraph"/>
        <w:numPr>
          <w:ilvl w:val="0"/>
          <w:numId w:val="19"/>
        </w:numPr>
        <w:jc w:val="both"/>
        <w:rPr>
          <w:rFonts w:ascii="Arial" w:hAnsi="Arial" w:cs="Arial"/>
          <w:sz w:val="20"/>
        </w:rPr>
      </w:pPr>
      <w:r>
        <w:rPr>
          <w:rFonts w:ascii="Arial" w:hAnsi="Arial" w:cs="Arial"/>
          <w:sz w:val="20"/>
        </w:rPr>
        <w:t>Victoria Police;</w:t>
      </w:r>
    </w:p>
    <w:p w14:paraId="1440D95E" w14:textId="5F9892B0" w:rsidR="00E64018" w:rsidRDefault="00E64018" w:rsidP="00C23CF0">
      <w:pPr>
        <w:pStyle w:val="ListParagraph"/>
        <w:numPr>
          <w:ilvl w:val="0"/>
          <w:numId w:val="19"/>
        </w:numPr>
        <w:jc w:val="both"/>
        <w:rPr>
          <w:rFonts w:ascii="Arial" w:hAnsi="Arial" w:cs="Arial"/>
          <w:sz w:val="20"/>
        </w:rPr>
      </w:pPr>
      <w:r>
        <w:rPr>
          <w:rFonts w:ascii="Arial" w:hAnsi="Arial" w:cs="Arial"/>
          <w:sz w:val="20"/>
        </w:rPr>
        <w:t>Department of Justice and Community Safety officers;</w:t>
      </w:r>
    </w:p>
    <w:p w14:paraId="7B405801" w14:textId="5CB7245C" w:rsidR="00E64018" w:rsidRDefault="00E64018" w:rsidP="00C23CF0">
      <w:pPr>
        <w:pStyle w:val="ListParagraph"/>
        <w:numPr>
          <w:ilvl w:val="0"/>
          <w:numId w:val="19"/>
        </w:numPr>
        <w:jc w:val="both"/>
        <w:rPr>
          <w:rFonts w:ascii="Arial" w:hAnsi="Arial" w:cs="Arial"/>
          <w:sz w:val="20"/>
        </w:rPr>
      </w:pPr>
      <w:r>
        <w:rPr>
          <w:rFonts w:ascii="Arial" w:hAnsi="Arial" w:cs="Arial"/>
          <w:sz w:val="20"/>
        </w:rPr>
        <w:t>Department of Families, Fairness and Housing officers;</w:t>
      </w:r>
    </w:p>
    <w:p w14:paraId="78FAC3FF" w14:textId="1B46D741" w:rsidR="00E64018" w:rsidRDefault="00E64018" w:rsidP="00C23CF0">
      <w:pPr>
        <w:pStyle w:val="ListParagraph"/>
        <w:numPr>
          <w:ilvl w:val="0"/>
          <w:numId w:val="19"/>
        </w:numPr>
        <w:jc w:val="both"/>
        <w:rPr>
          <w:rFonts w:ascii="Arial" w:hAnsi="Arial" w:cs="Arial"/>
          <w:sz w:val="20"/>
        </w:rPr>
      </w:pPr>
      <w:r>
        <w:rPr>
          <w:rFonts w:ascii="Arial" w:hAnsi="Arial" w:cs="Arial"/>
          <w:sz w:val="20"/>
        </w:rPr>
        <w:t>other relevant support services the young person may be involved with;</w:t>
      </w:r>
    </w:p>
    <w:p w14:paraId="5DBA6CD6" w14:textId="0836C269" w:rsidR="00E64018" w:rsidRDefault="00E64018" w:rsidP="00C23CF0">
      <w:pPr>
        <w:pStyle w:val="ListParagraph"/>
        <w:numPr>
          <w:ilvl w:val="0"/>
          <w:numId w:val="19"/>
        </w:numPr>
        <w:jc w:val="both"/>
        <w:rPr>
          <w:rFonts w:ascii="Arial" w:hAnsi="Arial" w:cs="Arial"/>
          <w:sz w:val="20"/>
        </w:rPr>
      </w:pPr>
      <w:r>
        <w:rPr>
          <w:rFonts w:ascii="Arial" w:hAnsi="Arial" w:cs="Arial"/>
          <w:sz w:val="20"/>
        </w:rPr>
        <w:t>legal representatives;</w:t>
      </w:r>
    </w:p>
    <w:p w14:paraId="37CCE400" w14:textId="15995306" w:rsidR="00E64018" w:rsidRDefault="00E64018" w:rsidP="00C23CF0">
      <w:pPr>
        <w:pStyle w:val="ListParagraph"/>
        <w:numPr>
          <w:ilvl w:val="0"/>
          <w:numId w:val="19"/>
        </w:numPr>
        <w:jc w:val="both"/>
        <w:rPr>
          <w:rFonts w:ascii="Arial" w:hAnsi="Arial" w:cs="Arial"/>
          <w:sz w:val="20"/>
        </w:rPr>
      </w:pPr>
      <w:r>
        <w:rPr>
          <w:rFonts w:ascii="Arial" w:hAnsi="Arial" w:cs="Arial"/>
          <w:sz w:val="20"/>
        </w:rPr>
        <w:t>past schools or training providers;</w:t>
      </w:r>
    </w:p>
    <w:p w14:paraId="3612D24D" w14:textId="53C339E3" w:rsidR="00E64018" w:rsidRDefault="00E64018" w:rsidP="00C23CF0">
      <w:pPr>
        <w:pStyle w:val="ListParagraph"/>
        <w:numPr>
          <w:ilvl w:val="0"/>
          <w:numId w:val="19"/>
        </w:numPr>
        <w:jc w:val="both"/>
        <w:rPr>
          <w:rFonts w:ascii="Arial" w:hAnsi="Arial" w:cs="Arial"/>
          <w:sz w:val="20"/>
        </w:rPr>
      </w:pPr>
      <w:r>
        <w:rPr>
          <w:rFonts w:ascii="Arial" w:hAnsi="Arial" w:cs="Arial"/>
          <w:sz w:val="20"/>
        </w:rPr>
        <w:t>other Department of Education staff.</w:t>
      </w:r>
    </w:p>
    <w:p w14:paraId="0B296E3F" w14:textId="4F772A19" w:rsidR="00E64018" w:rsidRDefault="00E64018">
      <w:pPr>
        <w:jc w:val="both"/>
        <w:rPr>
          <w:rFonts w:ascii="Arial" w:hAnsi="Arial" w:cs="Arial"/>
          <w:sz w:val="20"/>
        </w:rPr>
      </w:pPr>
    </w:p>
    <w:p w14:paraId="2996D84D" w14:textId="26873D56" w:rsidR="00E64018" w:rsidRDefault="00E64018" w:rsidP="00236626">
      <w:pPr>
        <w:keepNext/>
        <w:keepLines/>
        <w:jc w:val="both"/>
        <w:rPr>
          <w:rFonts w:ascii="Arial" w:hAnsi="Arial" w:cs="Arial"/>
          <w:sz w:val="20"/>
        </w:rPr>
      </w:pPr>
      <w:r>
        <w:rPr>
          <w:rFonts w:ascii="Arial" w:hAnsi="Arial" w:cs="Arial"/>
          <w:sz w:val="20"/>
        </w:rPr>
        <w:t>To make a referral to EJI, download and complete an EJI referral form from the Department of Education website, ensuring that the child (if a mature minor) or the child’s parent or person who has parental responsibility for the child (in any other case) has read, understood and signed the form.</w:t>
      </w:r>
    </w:p>
    <w:p w14:paraId="230C48BB" w14:textId="1BDDFD80" w:rsidR="00E64018" w:rsidRDefault="00E64018">
      <w:pPr>
        <w:jc w:val="both"/>
        <w:rPr>
          <w:rFonts w:ascii="Arial" w:hAnsi="Arial" w:cs="Arial"/>
          <w:sz w:val="20"/>
        </w:rPr>
      </w:pPr>
    </w:p>
    <w:p w14:paraId="2E52D46B" w14:textId="0FA45AE7" w:rsidR="00E64018" w:rsidRDefault="00A43E83">
      <w:pPr>
        <w:jc w:val="both"/>
        <w:rPr>
          <w:rFonts w:ascii="Arial" w:hAnsi="Arial" w:cs="Arial"/>
          <w:color w:val="000000"/>
          <w:sz w:val="20"/>
        </w:rPr>
      </w:pPr>
      <w:r>
        <w:rPr>
          <w:rFonts w:ascii="Arial" w:hAnsi="Arial" w:cs="Arial"/>
          <w:sz w:val="20"/>
        </w:rPr>
        <w:t>On</w:t>
      </w:r>
      <w:r w:rsidR="00E64018">
        <w:rPr>
          <w:rFonts w:ascii="Arial" w:hAnsi="Arial" w:cs="Arial"/>
          <w:sz w:val="20"/>
        </w:rPr>
        <w:t xml:space="preserve"> </w:t>
      </w:r>
      <w:r w:rsidR="00E64018">
        <w:rPr>
          <w:rFonts w:ascii="Arial" w:hAnsi="Arial" w:cs="Arial"/>
          <w:color w:val="000000"/>
          <w:sz w:val="20"/>
        </w:rPr>
        <w:t>the Children’s Court website</w:t>
      </w:r>
      <w:r>
        <w:rPr>
          <w:rFonts w:ascii="Arial" w:hAnsi="Arial" w:cs="Arial"/>
          <w:color w:val="000000"/>
          <w:sz w:val="20"/>
        </w:rPr>
        <w:t xml:space="preserve"> </w:t>
      </w:r>
      <w:r w:rsidR="00E64018">
        <w:rPr>
          <w:rFonts w:ascii="Arial" w:hAnsi="Arial" w:cs="Arial"/>
          <w:color w:val="000000"/>
          <w:sz w:val="20"/>
        </w:rPr>
        <w:t>tab “</w:t>
      </w:r>
      <w:r>
        <w:rPr>
          <w:rFonts w:ascii="Arial" w:hAnsi="Arial" w:cs="Arial"/>
          <w:color w:val="000000"/>
          <w:sz w:val="20"/>
        </w:rPr>
        <w:t>Help and Support</w:t>
      </w:r>
      <w:r w:rsidR="00E64018">
        <w:rPr>
          <w:rFonts w:ascii="Arial" w:hAnsi="Arial" w:cs="Arial"/>
          <w:color w:val="000000"/>
          <w:sz w:val="20"/>
        </w:rPr>
        <w:t xml:space="preserve">” </w:t>
      </w:r>
      <w:r w:rsidR="00E64018">
        <w:rPr>
          <w:rFonts w:ascii="Arial" w:hAnsi="Arial" w:cs="Arial"/>
          <w:color w:val="000000"/>
          <w:sz w:val="20"/>
        </w:rPr>
        <w:sym w:font="Wingdings" w:char="F0E8"/>
      </w:r>
      <w:r w:rsidR="00E64018">
        <w:rPr>
          <w:rFonts w:ascii="Arial" w:hAnsi="Arial" w:cs="Arial"/>
          <w:color w:val="000000"/>
          <w:sz w:val="20"/>
        </w:rPr>
        <w:t xml:space="preserve"> “</w:t>
      </w:r>
      <w:r>
        <w:rPr>
          <w:rFonts w:ascii="Arial" w:hAnsi="Arial" w:cs="Arial"/>
          <w:color w:val="000000"/>
          <w:sz w:val="20"/>
        </w:rPr>
        <w:t>Support Services at Court</w:t>
      </w:r>
      <w:r w:rsidR="00E64018">
        <w:rPr>
          <w:rFonts w:ascii="Arial" w:hAnsi="Arial" w:cs="Arial"/>
          <w:color w:val="000000"/>
          <w:sz w:val="20"/>
        </w:rPr>
        <w:t xml:space="preserve">” </w:t>
      </w:r>
      <w:r w:rsidR="00E64018">
        <w:rPr>
          <w:rFonts w:ascii="Arial" w:hAnsi="Arial" w:cs="Arial"/>
          <w:color w:val="000000"/>
          <w:sz w:val="20"/>
        </w:rPr>
        <w:sym w:font="Wingdings" w:char="F0E8"/>
      </w:r>
      <w:r w:rsidR="00E64018">
        <w:rPr>
          <w:rFonts w:ascii="Arial" w:hAnsi="Arial" w:cs="Arial"/>
          <w:color w:val="000000"/>
          <w:sz w:val="20"/>
        </w:rPr>
        <w:t xml:space="preserve"> “</w:t>
      </w:r>
      <w:r>
        <w:rPr>
          <w:rFonts w:ascii="Arial" w:hAnsi="Arial" w:cs="Arial"/>
          <w:color w:val="000000"/>
          <w:sz w:val="20"/>
        </w:rPr>
        <w:t>EJI</w:t>
      </w:r>
      <w:r w:rsidR="00E64018">
        <w:rPr>
          <w:rFonts w:ascii="Arial" w:hAnsi="Arial" w:cs="Arial"/>
          <w:color w:val="000000"/>
          <w:sz w:val="20"/>
        </w:rPr>
        <w:t>”.</w:t>
      </w:r>
    </w:p>
    <w:p w14:paraId="76529F7B" w14:textId="77777777" w:rsidR="0006258E" w:rsidRDefault="0006258E" w:rsidP="0006258E">
      <w:pPr>
        <w:jc w:val="both"/>
        <w:rPr>
          <w:rFonts w:ascii="Arial" w:hAnsi="Arial" w:cs="Arial"/>
          <w:sz w:val="20"/>
        </w:rPr>
      </w:pPr>
    </w:p>
    <w:p w14:paraId="36A369A6" w14:textId="6EF4ACFC" w:rsidR="00277B85" w:rsidRDefault="00C47D81" w:rsidP="001561BE">
      <w:pPr>
        <w:spacing w:before="120"/>
        <w:jc w:val="center"/>
        <w:rPr>
          <w:rFonts w:ascii="Arial" w:hAnsi="Arial" w:cs="Arial"/>
        </w:rPr>
      </w:pPr>
      <w:r>
        <w:rPr>
          <w:noProof/>
        </w:rPr>
        <w:drawing>
          <wp:inline distT="0" distB="0" distL="0" distR="0" wp14:anchorId="5B477438" wp14:editId="3B0CA3CC">
            <wp:extent cx="1801495" cy="421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1495" cy="421005"/>
                    </a:xfrm>
                    <a:prstGeom prst="rect">
                      <a:avLst/>
                    </a:prstGeom>
                    <a:noFill/>
                    <a:ln>
                      <a:noFill/>
                    </a:ln>
                  </pic:spPr>
                </pic:pic>
              </a:graphicData>
            </a:graphic>
          </wp:inline>
        </w:drawing>
      </w:r>
    </w:p>
    <w:sectPr w:rsidR="00277B85" w:rsidSect="00CB6559">
      <w:footerReference w:type="default" r:id="rId17"/>
      <w:pgSz w:w="11906" w:h="16838"/>
      <w:pgMar w:top="1191" w:right="1418" w:bottom="119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387BB" w14:textId="77777777" w:rsidR="000C0D71" w:rsidRDefault="000C0D71">
      <w:r>
        <w:separator/>
      </w:r>
    </w:p>
  </w:endnote>
  <w:endnote w:type="continuationSeparator" w:id="0">
    <w:p w14:paraId="0647C604" w14:textId="77777777" w:rsidR="000C0D71" w:rsidRDefault="000C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C0159" w14:textId="77777777" w:rsidR="0002691F" w:rsidRPr="007C6569" w:rsidRDefault="0002691F">
    <w:pPr>
      <w:pStyle w:val="Footer"/>
      <w:pBdr>
        <w:top w:val="single" w:sz="4" w:space="1" w:color="auto"/>
      </w:pBdr>
      <w:rPr>
        <w:rStyle w:val="PageNumber"/>
        <w:rFonts w:ascii="Arial" w:hAnsi="Arial" w:cs="Arial"/>
        <w:b/>
        <w:bCs/>
        <w:color w:val="000000"/>
        <w:sz w:val="16"/>
      </w:rPr>
    </w:pPr>
    <w:r>
      <w:rPr>
        <w:rStyle w:val="PageNumber"/>
        <w:rFonts w:ascii="Arial" w:hAnsi="Arial" w:cs="Arial"/>
        <w:b/>
        <w:bCs/>
        <w:sz w:val="16"/>
      </w:rPr>
      <w:t xml:space="preserve">Produced </w:t>
    </w:r>
    <w:r w:rsidRPr="007C6569">
      <w:rPr>
        <w:rStyle w:val="PageNumber"/>
        <w:rFonts w:ascii="Arial" w:hAnsi="Arial" w:cs="Arial"/>
        <w:b/>
        <w:bCs/>
        <w:color w:val="000000"/>
        <w:sz w:val="16"/>
      </w:rPr>
      <w:t xml:space="preserve">by </w:t>
    </w:r>
    <w:r w:rsidR="0058558A">
      <w:rPr>
        <w:rStyle w:val="PageNumber"/>
        <w:rFonts w:ascii="Arial" w:hAnsi="Arial" w:cs="Arial"/>
        <w:b/>
        <w:bCs/>
        <w:color w:val="000000"/>
        <w:sz w:val="16"/>
      </w:rPr>
      <w:t xml:space="preserve">former </w:t>
    </w:r>
    <w:r w:rsidRPr="007C6569">
      <w:rPr>
        <w:rStyle w:val="PageNumber"/>
        <w:rFonts w:ascii="Arial" w:hAnsi="Arial" w:cs="Arial"/>
        <w:b/>
        <w:bCs/>
        <w:color w:val="000000"/>
        <w:sz w:val="16"/>
      </w:rPr>
      <w:t>Magistrate Peter Power for the Children's Court of Victoria</w:t>
    </w:r>
  </w:p>
  <w:p w14:paraId="359C8036" w14:textId="03720D87" w:rsidR="0002691F" w:rsidRDefault="0002691F">
    <w:pPr>
      <w:pStyle w:val="Footer"/>
    </w:pPr>
    <w:r w:rsidRPr="007C6569">
      <w:rPr>
        <w:rStyle w:val="PageNumber"/>
        <w:rFonts w:ascii="Arial" w:hAnsi="Arial" w:cs="Arial"/>
        <w:b/>
        <w:bCs/>
        <w:color w:val="000000"/>
        <w:sz w:val="16"/>
      </w:rPr>
      <w:t xml:space="preserve">Last updated </w:t>
    </w:r>
    <w:r w:rsidR="00632747">
      <w:rPr>
        <w:rStyle w:val="PageNumber"/>
        <w:rFonts w:ascii="Arial" w:hAnsi="Arial" w:cs="Arial"/>
        <w:b/>
        <w:bCs/>
        <w:color w:val="000000"/>
        <w:sz w:val="16"/>
      </w:rPr>
      <w:t>2</w:t>
    </w:r>
    <w:r w:rsidR="007604F0">
      <w:rPr>
        <w:rStyle w:val="PageNumber"/>
        <w:rFonts w:ascii="Arial" w:hAnsi="Arial" w:cs="Arial"/>
        <w:b/>
        <w:bCs/>
        <w:color w:val="000000"/>
        <w:sz w:val="16"/>
      </w:rPr>
      <w:t>3</w:t>
    </w:r>
    <w:r w:rsidR="00632747">
      <w:rPr>
        <w:rStyle w:val="PageNumber"/>
        <w:rFonts w:ascii="Arial" w:hAnsi="Arial" w:cs="Arial"/>
        <w:b/>
        <w:bCs/>
        <w:color w:val="000000"/>
        <w:sz w:val="16"/>
      </w:rPr>
      <w:t xml:space="preserve"> Octo</w:t>
    </w:r>
    <w:r w:rsidR="00E25D8D">
      <w:rPr>
        <w:rStyle w:val="PageNumber"/>
        <w:rFonts w:ascii="Arial" w:hAnsi="Arial" w:cs="Arial"/>
        <w:b/>
        <w:bCs/>
        <w:color w:val="000000"/>
        <w:sz w:val="16"/>
      </w:rPr>
      <w:t>ber</w:t>
    </w:r>
    <w:r w:rsidR="005B1A20">
      <w:rPr>
        <w:rStyle w:val="PageNumber"/>
        <w:rFonts w:ascii="Arial" w:hAnsi="Arial" w:cs="Arial"/>
        <w:b/>
        <w:bCs/>
        <w:color w:val="000000"/>
        <w:sz w:val="16"/>
      </w:rPr>
      <w:t xml:space="preserve"> 2024</w:t>
    </w:r>
    <w:r>
      <w:rPr>
        <w:rStyle w:val="PageNumber"/>
        <w:rFonts w:ascii="Arial" w:hAnsi="Arial" w:cs="Arial"/>
        <w:b/>
        <w:bCs/>
        <w:sz w:val="18"/>
      </w:rPr>
      <w:tab/>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2.</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sidR="00E46907">
      <w:rPr>
        <w:rStyle w:val="PageNumber"/>
        <w:rFonts w:ascii="Arial" w:hAnsi="Arial" w:cs="Arial"/>
        <w:b/>
        <w:bCs/>
        <w:noProof/>
        <w:sz w:val="16"/>
      </w:rPr>
      <w:t>1</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4B8C5" w14:textId="77777777" w:rsidR="000C0D71" w:rsidRDefault="000C0D71">
      <w:r>
        <w:separator/>
      </w:r>
    </w:p>
  </w:footnote>
  <w:footnote w:type="continuationSeparator" w:id="0">
    <w:p w14:paraId="5B8BFDED" w14:textId="77777777" w:rsidR="000C0D71" w:rsidRDefault="000C0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3F36"/>
    <w:multiLevelType w:val="hybridMultilevel"/>
    <w:tmpl w:val="8954C99C"/>
    <w:lvl w:ilvl="0" w:tplc="35E61F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470DD"/>
    <w:multiLevelType w:val="hybridMultilevel"/>
    <w:tmpl w:val="34282986"/>
    <w:lvl w:ilvl="0" w:tplc="B7CEFD5E">
      <w:start w:val="2"/>
      <w:numFmt w:val="bullet"/>
      <w:lvlText w:val=""/>
      <w:lvlJc w:val="left"/>
      <w:pPr>
        <w:tabs>
          <w:tab w:val="num" w:pos="420"/>
        </w:tabs>
        <w:ind w:left="60" w:firstLine="0"/>
      </w:pPr>
      <w:rPr>
        <w:rFonts w:ascii="Wingdings 2" w:hAnsi="Wingdings 2" w:hint="default"/>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E54883"/>
    <w:multiLevelType w:val="hybridMultilevel"/>
    <w:tmpl w:val="F54613F8"/>
    <w:lvl w:ilvl="0" w:tplc="3CE2155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2025F9"/>
    <w:multiLevelType w:val="hybridMultilevel"/>
    <w:tmpl w:val="7FEE4B66"/>
    <w:lvl w:ilvl="0" w:tplc="9DECE7F6">
      <w:start w:val="6"/>
      <w:numFmt w:val="lowerLetter"/>
      <w:lvlText w:val="(%1)"/>
      <w:lvlJc w:val="left"/>
      <w:pPr>
        <w:ind w:left="1284"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EF115E"/>
    <w:multiLevelType w:val="hybridMultilevel"/>
    <w:tmpl w:val="92CC0526"/>
    <w:lvl w:ilvl="0" w:tplc="89FCF44C">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 w15:restartNumberingAfterBreak="0">
    <w:nsid w:val="0FFA15AF"/>
    <w:multiLevelType w:val="hybridMultilevel"/>
    <w:tmpl w:val="1AE87EA2"/>
    <w:lvl w:ilvl="0" w:tplc="D170440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929B5"/>
    <w:multiLevelType w:val="hybridMultilevel"/>
    <w:tmpl w:val="7ADE226E"/>
    <w:lvl w:ilvl="0" w:tplc="FFFFFFFF">
      <w:start w:val="1"/>
      <w:numFmt w:val="decimal"/>
      <w:lvlText w:val="%1."/>
      <w:lvlJc w:val="left"/>
      <w:pPr>
        <w:ind w:left="720" w:hanging="360"/>
      </w:pPr>
      <w:rPr>
        <w:rFonts w:ascii="Arial" w:hAnsi="Arial" w:cs="Arial" w:hint="default"/>
        <w:b w:val="0"/>
        <w:bCs/>
        <w:i w:val="0"/>
        <w:iCs w:val="0"/>
        <w:color w:val="auto"/>
        <w:sz w:val="20"/>
        <w:szCs w:val="22"/>
      </w:rPr>
    </w:lvl>
    <w:lvl w:ilvl="1" w:tplc="F7504868">
      <w:start w:val="1"/>
      <w:numFmt w:val="lowerLetter"/>
      <w:lvlText w:val="%2."/>
      <w:lvlJc w:val="left"/>
      <w:pPr>
        <w:ind w:left="1440" w:hanging="360"/>
      </w:pPr>
      <w:rPr>
        <w:rFonts w:ascii="Arial" w:hAnsi="Arial" w:hint="default"/>
        <w:b w:val="0"/>
        <w:bCs/>
        <w:color w:val="auto"/>
        <w:sz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16B6A1BE">
      <w:start w:val="1"/>
      <w:numFmt w:val="lowerRoman"/>
      <w:lvlText w:val="(%5)"/>
      <w:lvlJc w:val="left"/>
      <w:pPr>
        <w:ind w:left="3960" w:hanging="720"/>
      </w:pPr>
      <w:rPr>
        <w:rFonts w:hint="default"/>
        <w:sz w:val="20"/>
      </w:rPr>
    </w:lvl>
    <w:lvl w:ilvl="5" w:tplc="F2F89C7A">
      <w:start w:val="1"/>
      <w:numFmt w:val="decimal"/>
      <w:lvlText w:val="(%6)"/>
      <w:lvlJc w:val="left"/>
      <w:pPr>
        <w:ind w:left="4500" w:hanging="360"/>
      </w:pPr>
      <w:rPr>
        <w:rFonts w:hint="default"/>
      </w:rPr>
    </w:lvl>
    <w:lvl w:ilvl="6" w:tplc="4E68788C">
      <w:start w:val="1"/>
      <w:numFmt w:val="lowerLetter"/>
      <w:lvlText w:val="(%7)"/>
      <w:lvlJc w:val="left"/>
      <w:pPr>
        <w:ind w:left="5138" w:hanging="458"/>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33149B"/>
    <w:multiLevelType w:val="hybridMultilevel"/>
    <w:tmpl w:val="66AC62EE"/>
    <w:lvl w:ilvl="0" w:tplc="6FCC83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713DAF"/>
    <w:multiLevelType w:val="hybridMultilevel"/>
    <w:tmpl w:val="4588F658"/>
    <w:lvl w:ilvl="0" w:tplc="0C09000B">
      <w:start w:val="1"/>
      <w:numFmt w:val="bullet"/>
      <w:lvlText w:val=""/>
      <w:lvlJc w:val="left"/>
      <w:pPr>
        <w:ind w:left="1627" w:hanging="360"/>
      </w:pPr>
      <w:rPr>
        <w:rFonts w:ascii="Wingdings" w:hAnsi="Wingdings" w:hint="default"/>
      </w:rPr>
    </w:lvl>
    <w:lvl w:ilvl="1" w:tplc="0C090003" w:tentative="1">
      <w:start w:val="1"/>
      <w:numFmt w:val="bullet"/>
      <w:lvlText w:val="o"/>
      <w:lvlJc w:val="left"/>
      <w:pPr>
        <w:ind w:left="2347" w:hanging="360"/>
      </w:pPr>
      <w:rPr>
        <w:rFonts w:ascii="Courier New" w:hAnsi="Courier New" w:cs="Courier New" w:hint="default"/>
      </w:rPr>
    </w:lvl>
    <w:lvl w:ilvl="2" w:tplc="0C090005" w:tentative="1">
      <w:start w:val="1"/>
      <w:numFmt w:val="bullet"/>
      <w:lvlText w:val=""/>
      <w:lvlJc w:val="left"/>
      <w:pPr>
        <w:ind w:left="3067" w:hanging="360"/>
      </w:pPr>
      <w:rPr>
        <w:rFonts w:ascii="Wingdings" w:hAnsi="Wingdings" w:hint="default"/>
      </w:rPr>
    </w:lvl>
    <w:lvl w:ilvl="3" w:tplc="0C090001" w:tentative="1">
      <w:start w:val="1"/>
      <w:numFmt w:val="bullet"/>
      <w:lvlText w:val=""/>
      <w:lvlJc w:val="left"/>
      <w:pPr>
        <w:ind w:left="3787" w:hanging="360"/>
      </w:pPr>
      <w:rPr>
        <w:rFonts w:ascii="Symbol" w:hAnsi="Symbol" w:hint="default"/>
      </w:rPr>
    </w:lvl>
    <w:lvl w:ilvl="4" w:tplc="0C090003" w:tentative="1">
      <w:start w:val="1"/>
      <w:numFmt w:val="bullet"/>
      <w:lvlText w:val="o"/>
      <w:lvlJc w:val="left"/>
      <w:pPr>
        <w:ind w:left="4507" w:hanging="360"/>
      </w:pPr>
      <w:rPr>
        <w:rFonts w:ascii="Courier New" w:hAnsi="Courier New" w:cs="Courier New" w:hint="default"/>
      </w:rPr>
    </w:lvl>
    <w:lvl w:ilvl="5" w:tplc="0C090005" w:tentative="1">
      <w:start w:val="1"/>
      <w:numFmt w:val="bullet"/>
      <w:lvlText w:val=""/>
      <w:lvlJc w:val="left"/>
      <w:pPr>
        <w:ind w:left="5227" w:hanging="360"/>
      </w:pPr>
      <w:rPr>
        <w:rFonts w:ascii="Wingdings" w:hAnsi="Wingdings" w:hint="default"/>
      </w:rPr>
    </w:lvl>
    <w:lvl w:ilvl="6" w:tplc="0C090001" w:tentative="1">
      <w:start w:val="1"/>
      <w:numFmt w:val="bullet"/>
      <w:lvlText w:val=""/>
      <w:lvlJc w:val="left"/>
      <w:pPr>
        <w:ind w:left="5947" w:hanging="360"/>
      </w:pPr>
      <w:rPr>
        <w:rFonts w:ascii="Symbol" w:hAnsi="Symbol" w:hint="default"/>
      </w:rPr>
    </w:lvl>
    <w:lvl w:ilvl="7" w:tplc="0C090003" w:tentative="1">
      <w:start w:val="1"/>
      <w:numFmt w:val="bullet"/>
      <w:lvlText w:val="o"/>
      <w:lvlJc w:val="left"/>
      <w:pPr>
        <w:ind w:left="6667" w:hanging="360"/>
      </w:pPr>
      <w:rPr>
        <w:rFonts w:ascii="Courier New" w:hAnsi="Courier New" w:cs="Courier New" w:hint="default"/>
      </w:rPr>
    </w:lvl>
    <w:lvl w:ilvl="8" w:tplc="0C090005" w:tentative="1">
      <w:start w:val="1"/>
      <w:numFmt w:val="bullet"/>
      <w:lvlText w:val=""/>
      <w:lvlJc w:val="left"/>
      <w:pPr>
        <w:ind w:left="7387" w:hanging="360"/>
      </w:pPr>
      <w:rPr>
        <w:rFonts w:ascii="Wingdings" w:hAnsi="Wingdings" w:hint="default"/>
      </w:rPr>
    </w:lvl>
  </w:abstractNum>
  <w:abstractNum w:abstractNumId="9" w15:restartNumberingAfterBreak="0">
    <w:nsid w:val="14430516"/>
    <w:multiLevelType w:val="hybridMultilevel"/>
    <w:tmpl w:val="01080CCA"/>
    <w:lvl w:ilvl="0" w:tplc="37BA3F3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14DE35BF"/>
    <w:multiLevelType w:val="multilevel"/>
    <w:tmpl w:val="51F4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229C7"/>
    <w:multiLevelType w:val="hybridMultilevel"/>
    <w:tmpl w:val="C8D29D9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32E73"/>
    <w:multiLevelType w:val="hybridMultilevel"/>
    <w:tmpl w:val="A446A69C"/>
    <w:lvl w:ilvl="0" w:tplc="103E951A">
      <w:start w:val="1"/>
      <w:numFmt w:val="bullet"/>
      <w:lvlText w:val=""/>
      <w:lvlJc w:val="left"/>
      <w:pPr>
        <w:ind w:left="720" w:hanging="360"/>
      </w:pPr>
      <w:rPr>
        <w:rFonts w:ascii="Symbol" w:hAnsi="Symbol"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F43B59"/>
    <w:multiLevelType w:val="hybridMultilevel"/>
    <w:tmpl w:val="1C78A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8F6D7E"/>
    <w:multiLevelType w:val="hybridMultilevel"/>
    <w:tmpl w:val="DF94DFF2"/>
    <w:lvl w:ilvl="0" w:tplc="3CC0F1F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8D4D02"/>
    <w:multiLevelType w:val="hybridMultilevel"/>
    <w:tmpl w:val="221E1EA6"/>
    <w:lvl w:ilvl="0" w:tplc="FFFFFFFF">
      <w:start w:val="1"/>
      <w:numFmt w:val="lowerLetter"/>
      <w:lvlText w:val="(%1)"/>
      <w:lvlJc w:val="left"/>
      <w:pPr>
        <w:ind w:left="1284" w:hanging="360"/>
      </w:pPr>
      <w:rPr>
        <w:rFonts w:hint="default"/>
      </w:rPr>
    </w:lvl>
    <w:lvl w:ilvl="1" w:tplc="FFFFFFFF" w:tentative="1">
      <w:start w:val="1"/>
      <w:numFmt w:val="lowerLetter"/>
      <w:lvlText w:val="%2."/>
      <w:lvlJc w:val="left"/>
      <w:pPr>
        <w:ind w:left="2004" w:hanging="360"/>
      </w:pPr>
    </w:lvl>
    <w:lvl w:ilvl="2" w:tplc="FFFFFFFF" w:tentative="1">
      <w:start w:val="1"/>
      <w:numFmt w:val="lowerRoman"/>
      <w:lvlText w:val="%3."/>
      <w:lvlJc w:val="right"/>
      <w:pPr>
        <w:ind w:left="2724" w:hanging="180"/>
      </w:pPr>
    </w:lvl>
    <w:lvl w:ilvl="3" w:tplc="FFFFFFFF" w:tentative="1">
      <w:start w:val="1"/>
      <w:numFmt w:val="decimal"/>
      <w:lvlText w:val="%4."/>
      <w:lvlJc w:val="left"/>
      <w:pPr>
        <w:ind w:left="3444" w:hanging="360"/>
      </w:pPr>
    </w:lvl>
    <w:lvl w:ilvl="4" w:tplc="FFFFFFFF" w:tentative="1">
      <w:start w:val="1"/>
      <w:numFmt w:val="lowerLetter"/>
      <w:lvlText w:val="%5."/>
      <w:lvlJc w:val="left"/>
      <w:pPr>
        <w:ind w:left="4164" w:hanging="360"/>
      </w:pPr>
    </w:lvl>
    <w:lvl w:ilvl="5" w:tplc="FFFFFFFF" w:tentative="1">
      <w:start w:val="1"/>
      <w:numFmt w:val="lowerRoman"/>
      <w:lvlText w:val="%6."/>
      <w:lvlJc w:val="right"/>
      <w:pPr>
        <w:ind w:left="4884" w:hanging="180"/>
      </w:pPr>
    </w:lvl>
    <w:lvl w:ilvl="6" w:tplc="FFFFFFFF" w:tentative="1">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16" w15:restartNumberingAfterBreak="0">
    <w:nsid w:val="237B5A4E"/>
    <w:multiLevelType w:val="hybridMultilevel"/>
    <w:tmpl w:val="5AA25C4C"/>
    <w:lvl w:ilvl="0" w:tplc="1B04A6CE">
      <w:start w:val="4"/>
      <w:numFmt w:val="lowerLetter"/>
      <w:lvlText w:val="(%1)"/>
      <w:lvlJc w:val="left"/>
      <w:pPr>
        <w:ind w:left="12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8C5BA9"/>
    <w:multiLevelType w:val="hybridMultilevel"/>
    <w:tmpl w:val="55C0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F63BE5"/>
    <w:multiLevelType w:val="hybridMultilevel"/>
    <w:tmpl w:val="54743B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6E1E06"/>
    <w:multiLevelType w:val="hybridMultilevel"/>
    <w:tmpl w:val="17E291C2"/>
    <w:lvl w:ilvl="0" w:tplc="2CB215A8">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0" w15:restartNumberingAfterBreak="0">
    <w:nsid w:val="25834F21"/>
    <w:multiLevelType w:val="hybridMultilevel"/>
    <w:tmpl w:val="DAAED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2673C2"/>
    <w:multiLevelType w:val="hybridMultilevel"/>
    <w:tmpl w:val="DA28EB0A"/>
    <w:lvl w:ilvl="0" w:tplc="C7B60F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BF42AD"/>
    <w:multiLevelType w:val="hybridMultilevel"/>
    <w:tmpl w:val="5B58A964"/>
    <w:lvl w:ilvl="0" w:tplc="8FF2C78C">
      <w:start w:val="2"/>
      <w:numFmt w:val="bullet"/>
      <w:lvlText w:val=""/>
      <w:lvlJc w:val="left"/>
      <w:pPr>
        <w:tabs>
          <w:tab w:val="num" w:pos="363"/>
        </w:tabs>
        <w:ind w:left="363" w:hanging="363"/>
      </w:pPr>
      <w:rPr>
        <w:rFonts w:ascii="Wingdings 2" w:hAnsi="Wingdings 2" w:hint="default"/>
        <w:sz w:val="20"/>
      </w:rPr>
    </w:lvl>
    <w:lvl w:ilvl="1" w:tplc="191236A6">
      <w:start w:val="2"/>
      <w:numFmt w:val="bullet"/>
      <w:lvlText w:val=""/>
      <w:lvlJc w:val="left"/>
      <w:pPr>
        <w:tabs>
          <w:tab w:val="num" w:pos="1440"/>
        </w:tabs>
        <w:ind w:left="1080" w:firstLine="0"/>
      </w:pPr>
      <w:rPr>
        <w:rFonts w:ascii="Wingdings 2" w:hAnsi="Wingdings 2"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B34896"/>
    <w:multiLevelType w:val="hybridMultilevel"/>
    <w:tmpl w:val="0968529A"/>
    <w:lvl w:ilvl="0" w:tplc="B1F8F376">
      <w:start w:val="1"/>
      <w:numFmt w:val="decimal"/>
      <w:lvlText w:val="%1."/>
      <w:lvlJc w:val="left"/>
      <w:pPr>
        <w:ind w:left="1080" w:hanging="72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25" w15:restartNumberingAfterBreak="0">
    <w:nsid w:val="33A02FB2"/>
    <w:multiLevelType w:val="hybridMultilevel"/>
    <w:tmpl w:val="01080CC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36ED4DD4"/>
    <w:multiLevelType w:val="hybridMultilevel"/>
    <w:tmpl w:val="221E1EA6"/>
    <w:lvl w:ilvl="0" w:tplc="616830C8">
      <w:start w:val="1"/>
      <w:numFmt w:val="lowerLetter"/>
      <w:lvlText w:val="(%1)"/>
      <w:lvlJc w:val="left"/>
      <w:pPr>
        <w:ind w:left="1284" w:hanging="36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7" w15:restartNumberingAfterBreak="0">
    <w:nsid w:val="380547F3"/>
    <w:multiLevelType w:val="hybridMultilevel"/>
    <w:tmpl w:val="DBCA6760"/>
    <w:lvl w:ilvl="0" w:tplc="43603B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8" w15:restartNumberingAfterBreak="0">
    <w:nsid w:val="3A034F39"/>
    <w:multiLevelType w:val="hybridMultilevel"/>
    <w:tmpl w:val="04AA3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AB79E8"/>
    <w:multiLevelType w:val="hybridMultilevel"/>
    <w:tmpl w:val="39BEACE2"/>
    <w:lvl w:ilvl="0" w:tplc="6F76619C">
      <w:start w:val="1"/>
      <w:numFmt w:val="decimal"/>
      <w:lvlText w:val="%1."/>
      <w:lvlJc w:val="left"/>
      <w:pPr>
        <w:ind w:left="720" w:hanging="360"/>
      </w:pPr>
      <w:rPr>
        <w:rFonts w:ascii="Arial" w:hAnsi="Arial" w:cs="Arial" w:hint="default"/>
        <w:b w:val="0"/>
        <w:bCs/>
        <w:i w:val="0"/>
        <w:iCs w:val="0"/>
        <w:color w:val="auto"/>
        <w:sz w:val="20"/>
        <w:szCs w:val="22"/>
      </w:rPr>
    </w:lvl>
    <w:lvl w:ilvl="1" w:tplc="73785160">
      <w:start w:val="1"/>
      <w:numFmt w:val="lowerLetter"/>
      <w:lvlText w:val="%2."/>
      <w:lvlJc w:val="left"/>
      <w:pPr>
        <w:ind w:left="1440" w:hanging="360"/>
      </w:pPr>
      <w:rPr>
        <w:rFonts w:hint="default"/>
        <w:b w:val="0"/>
        <w:bCs/>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41663602">
      <w:start w:val="2"/>
      <w:numFmt w:val="lowerLetter"/>
      <w:lvlText w:val="(%5)"/>
      <w:lvlJc w:val="left"/>
      <w:pPr>
        <w:ind w:left="3904" w:hanging="360"/>
      </w:pPr>
      <w:rPr>
        <w:rFonts w:hint="default"/>
      </w:rPr>
    </w:lvl>
    <w:lvl w:ilvl="5" w:tplc="DE4C9A92">
      <w:start w:val="1"/>
      <w:numFmt w:val="decimal"/>
      <w:lvlText w:val="(%6)"/>
      <w:lvlJc w:val="left"/>
      <w:pPr>
        <w:ind w:left="4590" w:hanging="450"/>
      </w:pPr>
      <w:rPr>
        <w:rFonts w:hint="default"/>
      </w:rPr>
    </w:lvl>
    <w:lvl w:ilvl="6" w:tplc="89DC53CE">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FC67C7"/>
    <w:multiLevelType w:val="hybridMultilevel"/>
    <w:tmpl w:val="39F00A58"/>
    <w:lvl w:ilvl="0" w:tplc="FC84FB9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F34990"/>
    <w:multiLevelType w:val="hybridMultilevel"/>
    <w:tmpl w:val="DB26C454"/>
    <w:lvl w:ilvl="0" w:tplc="33E8C3AE">
      <w:start w:val="1"/>
      <w:numFmt w:val="bullet"/>
      <w:lvlText w:val=""/>
      <w:lvlJc w:val="left"/>
      <w:pPr>
        <w:tabs>
          <w:tab w:val="num" w:pos="874"/>
        </w:tabs>
        <w:ind w:left="816" w:hanging="396"/>
      </w:pPr>
      <w:rPr>
        <w:rFonts w:ascii="Symbol" w:hAnsi="Symbol" w:hint="default"/>
        <w:color w:val="000000"/>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47990B77"/>
    <w:multiLevelType w:val="hybridMultilevel"/>
    <w:tmpl w:val="7682D8A4"/>
    <w:lvl w:ilvl="0" w:tplc="0F6E3828">
      <w:start w:val="2"/>
      <w:numFmt w:val="bullet"/>
      <w:lvlText w:val=""/>
      <w:lvlJc w:val="left"/>
      <w:pPr>
        <w:ind w:left="774" w:hanging="360"/>
      </w:pPr>
      <w:rPr>
        <w:rFonts w:ascii="Wingdings 2" w:hAnsi="Wingdings 2" w:hint="default"/>
        <w:color w:val="000000" w:themeColor="text1"/>
        <w:sz w:val="18"/>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3" w15:restartNumberingAfterBreak="0">
    <w:nsid w:val="49B3275F"/>
    <w:multiLevelType w:val="hybridMultilevel"/>
    <w:tmpl w:val="405439A0"/>
    <w:lvl w:ilvl="0" w:tplc="7E62D282">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4" w15:restartNumberingAfterBreak="0">
    <w:nsid w:val="4A514922"/>
    <w:multiLevelType w:val="hybridMultilevel"/>
    <w:tmpl w:val="E0A25E70"/>
    <w:lvl w:ilvl="0" w:tplc="62E2EA16">
      <w:start w:val="2"/>
      <w:numFmt w:val="bullet"/>
      <w:lvlText w:val=""/>
      <w:lvlJc w:val="left"/>
      <w:pPr>
        <w:ind w:left="1287" w:hanging="360"/>
      </w:pPr>
      <w:rPr>
        <w:rFonts w:ascii="Wingdings 2" w:hAnsi="Wingdings 2" w:hint="default"/>
        <w:color w:val="000000" w:themeColor="text1"/>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4ABA00E5"/>
    <w:multiLevelType w:val="hybridMultilevel"/>
    <w:tmpl w:val="AD4A7E40"/>
    <w:lvl w:ilvl="0" w:tplc="71928542">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B315D63"/>
    <w:multiLevelType w:val="hybridMultilevel"/>
    <w:tmpl w:val="8084E116"/>
    <w:lvl w:ilvl="0" w:tplc="52D04EBA">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BF3C8D"/>
    <w:multiLevelType w:val="hybridMultilevel"/>
    <w:tmpl w:val="0FB6FACA"/>
    <w:lvl w:ilvl="0" w:tplc="3F70F99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45CE0"/>
    <w:multiLevelType w:val="hybridMultilevel"/>
    <w:tmpl w:val="7286E7DC"/>
    <w:lvl w:ilvl="0" w:tplc="9C2486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6402160"/>
    <w:multiLevelType w:val="hybridMultilevel"/>
    <w:tmpl w:val="0FB6FACA"/>
    <w:lvl w:ilvl="0" w:tplc="C1B83DF8">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E03FB9"/>
    <w:multiLevelType w:val="hybridMultilevel"/>
    <w:tmpl w:val="D89ECBBC"/>
    <w:lvl w:ilvl="0" w:tplc="0A48D7C0">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8C6834"/>
    <w:multiLevelType w:val="hybridMultilevel"/>
    <w:tmpl w:val="1AE87EA2"/>
    <w:lvl w:ilvl="0" w:tplc="1CC0791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3645A6"/>
    <w:multiLevelType w:val="hybridMultilevel"/>
    <w:tmpl w:val="068C6406"/>
    <w:lvl w:ilvl="0" w:tplc="0C09000F">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4EE4459"/>
    <w:multiLevelType w:val="hybridMultilevel"/>
    <w:tmpl w:val="7536F67A"/>
    <w:lvl w:ilvl="0" w:tplc="66425D82">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5B40895"/>
    <w:multiLevelType w:val="hybridMultilevel"/>
    <w:tmpl w:val="D8F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CE5D2D"/>
    <w:multiLevelType w:val="hybridMultilevel"/>
    <w:tmpl w:val="0BB22D7A"/>
    <w:lvl w:ilvl="0" w:tplc="02EEBF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E685CF9"/>
    <w:multiLevelType w:val="hybridMultilevel"/>
    <w:tmpl w:val="F54613F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1103FE8"/>
    <w:multiLevelType w:val="hybridMultilevel"/>
    <w:tmpl w:val="D054A458"/>
    <w:lvl w:ilvl="0" w:tplc="CC8EEF5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145E19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38E6DBC"/>
    <w:multiLevelType w:val="hybridMultilevel"/>
    <w:tmpl w:val="F3CEADC0"/>
    <w:lvl w:ilvl="0" w:tplc="D956619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0" w15:restartNumberingAfterBreak="0">
    <w:nsid w:val="75284D51"/>
    <w:multiLevelType w:val="hybridMultilevel"/>
    <w:tmpl w:val="F7BCB3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87E4CF2"/>
    <w:multiLevelType w:val="hybridMultilevel"/>
    <w:tmpl w:val="F88A4710"/>
    <w:lvl w:ilvl="0" w:tplc="4CF0E4AA">
      <w:start w:val="1"/>
      <w:numFmt w:val="lowerLetter"/>
      <w:lvlText w:val="(%1)"/>
      <w:lvlJc w:val="left"/>
      <w:pPr>
        <w:tabs>
          <w:tab w:val="num" w:pos="717"/>
        </w:tabs>
        <w:ind w:left="717" w:hanging="360"/>
      </w:pPr>
      <w:rPr>
        <w:rFonts w:hint="default"/>
      </w:rPr>
    </w:lvl>
    <w:lvl w:ilvl="1" w:tplc="0C090019" w:tentative="1">
      <w:start w:val="1"/>
      <w:numFmt w:val="lowerLetter"/>
      <w:lvlText w:val="%2."/>
      <w:lvlJc w:val="left"/>
      <w:pPr>
        <w:tabs>
          <w:tab w:val="num" w:pos="1437"/>
        </w:tabs>
        <w:ind w:left="1437" w:hanging="360"/>
      </w:p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52" w15:restartNumberingAfterBreak="0">
    <w:nsid w:val="7A1D0639"/>
    <w:multiLevelType w:val="hybridMultilevel"/>
    <w:tmpl w:val="B2BA2E46"/>
    <w:lvl w:ilvl="0" w:tplc="CAAA6C18">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BC62949"/>
    <w:multiLevelType w:val="hybridMultilevel"/>
    <w:tmpl w:val="311C6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DC9621D"/>
    <w:multiLevelType w:val="hybridMultilevel"/>
    <w:tmpl w:val="74C8A9B8"/>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E253338"/>
    <w:multiLevelType w:val="hybridMultilevel"/>
    <w:tmpl w:val="330CB052"/>
    <w:lvl w:ilvl="0" w:tplc="10EA4A6E">
      <w:start w:val="1"/>
      <w:numFmt w:val="lowerRoman"/>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7E4856A9"/>
    <w:multiLevelType w:val="hybridMultilevel"/>
    <w:tmpl w:val="F948F528"/>
    <w:lvl w:ilvl="0" w:tplc="6616C4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556493">
    <w:abstractNumId w:val="11"/>
  </w:num>
  <w:num w:numId="2" w16cid:durableId="1648821920">
    <w:abstractNumId w:val="22"/>
  </w:num>
  <w:num w:numId="3" w16cid:durableId="1889562224">
    <w:abstractNumId w:val="24"/>
  </w:num>
  <w:num w:numId="4" w16cid:durableId="449591311">
    <w:abstractNumId w:val="37"/>
  </w:num>
  <w:num w:numId="5" w16cid:durableId="1026446513">
    <w:abstractNumId w:val="36"/>
  </w:num>
  <w:num w:numId="6" w16cid:durableId="1529760220">
    <w:abstractNumId w:val="39"/>
  </w:num>
  <w:num w:numId="7" w16cid:durableId="127405106">
    <w:abstractNumId w:val="41"/>
  </w:num>
  <w:num w:numId="8" w16cid:durableId="1500000335">
    <w:abstractNumId w:val="5"/>
  </w:num>
  <w:num w:numId="9" w16cid:durableId="2029596328">
    <w:abstractNumId w:val="1"/>
  </w:num>
  <w:num w:numId="10" w16cid:durableId="2034645510">
    <w:abstractNumId w:val="51"/>
  </w:num>
  <w:num w:numId="11" w16cid:durableId="480391707">
    <w:abstractNumId w:val="31"/>
  </w:num>
  <w:num w:numId="12" w16cid:durableId="2124228317">
    <w:abstractNumId w:val="33"/>
  </w:num>
  <w:num w:numId="13" w16cid:durableId="136996392">
    <w:abstractNumId w:val="2"/>
  </w:num>
  <w:num w:numId="14" w16cid:durableId="1413623989">
    <w:abstractNumId w:val="55"/>
  </w:num>
  <w:num w:numId="15" w16cid:durableId="80562738">
    <w:abstractNumId w:val="56"/>
  </w:num>
  <w:num w:numId="16" w16cid:durableId="1084377019">
    <w:abstractNumId w:val="19"/>
  </w:num>
  <w:num w:numId="17" w16cid:durableId="2034722486">
    <w:abstractNumId w:val="35"/>
  </w:num>
  <w:num w:numId="18" w16cid:durableId="1428384899">
    <w:abstractNumId w:val="43"/>
  </w:num>
  <w:num w:numId="19" w16cid:durableId="515115777">
    <w:abstractNumId w:val="13"/>
  </w:num>
  <w:num w:numId="20" w16cid:durableId="366684901">
    <w:abstractNumId w:val="28"/>
  </w:num>
  <w:num w:numId="21" w16cid:durableId="1897357721">
    <w:abstractNumId w:val="52"/>
  </w:num>
  <w:num w:numId="22" w16cid:durableId="1968970808">
    <w:abstractNumId w:val="21"/>
  </w:num>
  <w:num w:numId="23" w16cid:durableId="1324626883">
    <w:abstractNumId w:val="4"/>
  </w:num>
  <w:num w:numId="24" w16cid:durableId="1198196148">
    <w:abstractNumId w:val="30"/>
  </w:num>
  <w:num w:numId="25" w16cid:durableId="942148356">
    <w:abstractNumId w:val="10"/>
  </w:num>
  <w:num w:numId="26" w16cid:durableId="1516964496">
    <w:abstractNumId w:val="8"/>
  </w:num>
  <w:num w:numId="27" w16cid:durableId="1435437900">
    <w:abstractNumId w:val="50"/>
  </w:num>
  <w:num w:numId="28" w16cid:durableId="1797672966">
    <w:abstractNumId w:val="47"/>
  </w:num>
  <w:num w:numId="29" w16cid:durableId="1966228952">
    <w:abstractNumId w:val="27"/>
  </w:num>
  <w:num w:numId="30" w16cid:durableId="1363749163">
    <w:abstractNumId w:val="9"/>
  </w:num>
  <w:num w:numId="31" w16cid:durableId="2115399456">
    <w:abstractNumId w:val="25"/>
  </w:num>
  <w:num w:numId="32" w16cid:durableId="125124399">
    <w:abstractNumId w:val="26"/>
  </w:num>
  <w:num w:numId="33" w16cid:durableId="46339771">
    <w:abstractNumId w:val="15"/>
  </w:num>
  <w:num w:numId="34" w16cid:durableId="1334845449">
    <w:abstractNumId w:val="16"/>
  </w:num>
  <w:num w:numId="35" w16cid:durableId="882987340">
    <w:abstractNumId w:val="3"/>
  </w:num>
  <w:num w:numId="36" w16cid:durableId="758722292">
    <w:abstractNumId w:val="54"/>
  </w:num>
  <w:num w:numId="37" w16cid:durableId="610170182">
    <w:abstractNumId w:val="12"/>
  </w:num>
  <w:num w:numId="38" w16cid:durableId="2033679621">
    <w:abstractNumId w:val="18"/>
  </w:num>
  <w:num w:numId="39" w16cid:durableId="1989623508">
    <w:abstractNumId w:val="42"/>
  </w:num>
  <w:num w:numId="40" w16cid:durableId="1685404393">
    <w:abstractNumId w:val="38"/>
  </w:num>
  <w:num w:numId="41" w16cid:durableId="654645325">
    <w:abstractNumId w:val="44"/>
  </w:num>
  <w:num w:numId="42" w16cid:durableId="392705985">
    <w:abstractNumId w:val="29"/>
  </w:num>
  <w:num w:numId="43" w16cid:durableId="1360201041">
    <w:abstractNumId w:val="6"/>
  </w:num>
  <w:num w:numId="44" w16cid:durableId="1289779561">
    <w:abstractNumId w:val="45"/>
  </w:num>
  <w:num w:numId="45" w16cid:durableId="1409233146">
    <w:abstractNumId w:val="0"/>
  </w:num>
  <w:num w:numId="46" w16cid:durableId="22748602">
    <w:abstractNumId w:val="17"/>
  </w:num>
  <w:num w:numId="47" w16cid:durableId="1344939698">
    <w:abstractNumId w:val="20"/>
  </w:num>
  <w:num w:numId="48" w16cid:durableId="1761216439">
    <w:abstractNumId w:val="14"/>
  </w:num>
  <w:num w:numId="49" w16cid:durableId="1152059593">
    <w:abstractNumId w:val="23"/>
  </w:num>
  <w:num w:numId="50" w16cid:durableId="1367094910">
    <w:abstractNumId w:val="7"/>
  </w:num>
  <w:num w:numId="51" w16cid:durableId="1274091540">
    <w:abstractNumId w:val="49"/>
  </w:num>
  <w:num w:numId="52" w16cid:durableId="2047677711">
    <w:abstractNumId w:val="46"/>
  </w:num>
  <w:num w:numId="53" w16cid:durableId="1933314169">
    <w:abstractNumId w:val="32"/>
  </w:num>
  <w:num w:numId="54" w16cid:durableId="1055661731">
    <w:abstractNumId w:val="53"/>
  </w:num>
  <w:num w:numId="55" w16cid:durableId="1723750326">
    <w:abstractNumId w:val="48"/>
  </w:num>
  <w:num w:numId="56" w16cid:durableId="1482968050">
    <w:abstractNumId w:val="34"/>
  </w:num>
  <w:num w:numId="57" w16cid:durableId="1412922281">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8E"/>
    <w:rsid w:val="00001BC6"/>
    <w:rsid w:val="00002349"/>
    <w:rsid w:val="00007AAD"/>
    <w:rsid w:val="0001019E"/>
    <w:rsid w:val="00010678"/>
    <w:rsid w:val="00010B30"/>
    <w:rsid w:val="00012988"/>
    <w:rsid w:val="00013199"/>
    <w:rsid w:val="00015A24"/>
    <w:rsid w:val="00016A6C"/>
    <w:rsid w:val="00017D3C"/>
    <w:rsid w:val="0002118A"/>
    <w:rsid w:val="00025A2C"/>
    <w:rsid w:val="0002691F"/>
    <w:rsid w:val="00026D60"/>
    <w:rsid w:val="000274EC"/>
    <w:rsid w:val="00027514"/>
    <w:rsid w:val="000326C3"/>
    <w:rsid w:val="0004009A"/>
    <w:rsid w:val="000414C5"/>
    <w:rsid w:val="000419A1"/>
    <w:rsid w:val="000425F8"/>
    <w:rsid w:val="0004519A"/>
    <w:rsid w:val="0004552E"/>
    <w:rsid w:val="000456A2"/>
    <w:rsid w:val="00047318"/>
    <w:rsid w:val="00052294"/>
    <w:rsid w:val="00053A4D"/>
    <w:rsid w:val="000554A7"/>
    <w:rsid w:val="000603D0"/>
    <w:rsid w:val="0006092B"/>
    <w:rsid w:val="00061E5B"/>
    <w:rsid w:val="00062290"/>
    <w:rsid w:val="0006258E"/>
    <w:rsid w:val="00064AF0"/>
    <w:rsid w:val="00067CAF"/>
    <w:rsid w:val="00070668"/>
    <w:rsid w:val="00070B6F"/>
    <w:rsid w:val="00070B9C"/>
    <w:rsid w:val="00070DB5"/>
    <w:rsid w:val="00074B0F"/>
    <w:rsid w:val="0007594B"/>
    <w:rsid w:val="00076C19"/>
    <w:rsid w:val="0007780B"/>
    <w:rsid w:val="00077D71"/>
    <w:rsid w:val="00077D99"/>
    <w:rsid w:val="00080420"/>
    <w:rsid w:val="000806B3"/>
    <w:rsid w:val="000824A4"/>
    <w:rsid w:val="000843B5"/>
    <w:rsid w:val="00084B7E"/>
    <w:rsid w:val="00085547"/>
    <w:rsid w:val="00085F78"/>
    <w:rsid w:val="0008770D"/>
    <w:rsid w:val="0009196C"/>
    <w:rsid w:val="00091B0B"/>
    <w:rsid w:val="00093D00"/>
    <w:rsid w:val="000940B7"/>
    <w:rsid w:val="000A0549"/>
    <w:rsid w:val="000A4AEE"/>
    <w:rsid w:val="000A5028"/>
    <w:rsid w:val="000A5CEF"/>
    <w:rsid w:val="000B2AC4"/>
    <w:rsid w:val="000B38AE"/>
    <w:rsid w:val="000B4F9E"/>
    <w:rsid w:val="000B752E"/>
    <w:rsid w:val="000C0D71"/>
    <w:rsid w:val="000C22A0"/>
    <w:rsid w:val="000C36F7"/>
    <w:rsid w:val="000C73E6"/>
    <w:rsid w:val="000C7D5F"/>
    <w:rsid w:val="000D597F"/>
    <w:rsid w:val="000D762E"/>
    <w:rsid w:val="000D7DAB"/>
    <w:rsid w:val="000E3D52"/>
    <w:rsid w:val="000E3F7A"/>
    <w:rsid w:val="000E6664"/>
    <w:rsid w:val="000E6E4C"/>
    <w:rsid w:val="000E7FB4"/>
    <w:rsid w:val="000F1534"/>
    <w:rsid w:val="000F3B10"/>
    <w:rsid w:val="000F542D"/>
    <w:rsid w:val="00100D3D"/>
    <w:rsid w:val="001014F8"/>
    <w:rsid w:val="001043B0"/>
    <w:rsid w:val="001138E0"/>
    <w:rsid w:val="00116847"/>
    <w:rsid w:val="00117610"/>
    <w:rsid w:val="00121D89"/>
    <w:rsid w:val="00122811"/>
    <w:rsid w:val="00123188"/>
    <w:rsid w:val="00123566"/>
    <w:rsid w:val="00123BB8"/>
    <w:rsid w:val="00123E94"/>
    <w:rsid w:val="001251F3"/>
    <w:rsid w:val="001255F0"/>
    <w:rsid w:val="0012651A"/>
    <w:rsid w:val="00130C7E"/>
    <w:rsid w:val="00131092"/>
    <w:rsid w:val="00131752"/>
    <w:rsid w:val="0013399B"/>
    <w:rsid w:val="00134FBB"/>
    <w:rsid w:val="00140278"/>
    <w:rsid w:val="00141992"/>
    <w:rsid w:val="00143EF9"/>
    <w:rsid w:val="00145AC3"/>
    <w:rsid w:val="00146E61"/>
    <w:rsid w:val="001471CA"/>
    <w:rsid w:val="001477AD"/>
    <w:rsid w:val="00150904"/>
    <w:rsid w:val="00151CC0"/>
    <w:rsid w:val="00151CEA"/>
    <w:rsid w:val="00154453"/>
    <w:rsid w:val="00155A48"/>
    <w:rsid w:val="001561BE"/>
    <w:rsid w:val="00157364"/>
    <w:rsid w:val="001601CE"/>
    <w:rsid w:val="00162F3F"/>
    <w:rsid w:val="001653A7"/>
    <w:rsid w:val="00170DEA"/>
    <w:rsid w:val="00173CFF"/>
    <w:rsid w:val="001761A2"/>
    <w:rsid w:val="00177515"/>
    <w:rsid w:val="00177867"/>
    <w:rsid w:val="00177F0E"/>
    <w:rsid w:val="0018039F"/>
    <w:rsid w:val="00180AC7"/>
    <w:rsid w:val="00181608"/>
    <w:rsid w:val="001851B4"/>
    <w:rsid w:val="001918FD"/>
    <w:rsid w:val="001922E5"/>
    <w:rsid w:val="00192C85"/>
    <w:rsid w:val="0019473A"/>
    <w:rsid w:val="0019667E"/>
    <w:rsid w:val="001A03B6"/>
    <w:rsid w:val="001A07B1"/>
    <w:rsid w:val="001A0846"/>
    <w:rsid w:val="001A0E2A"/>
    <w:rsid w:val="001A11CA"/>
    <w:rsid w:val="001A161B"/>
    <w:rsid w:val="001A18AD"/>
    <w:rsid w:val="001A25AD"/>
    <w:rsid w:val="001A2EA9"/>
    <w:rsid w:val="001A61A9"/>
    <w:rsid w:val="001B0902"/>
    <w:rsid w:val="001B1190"/>
    <w:rsid w:val="001B2673"/>
    <w:rsid w:val="001B3366"/>
    <w:rsid w:val="001B40C1"/>
    <w:rsid w:val="001B50ED"/>
    <w:rsid w:val="001C37FC"/>
    <w:rsid w:val="001C4F13"/>
    <w:rsid w:val="001C5F30"/>
    <w:rsid w:val="001C705D"/>
    <w:rsid w:val="001C7180"/>
    <w:rsid w:val="001C742F"/>
    <w:rsid w:val="001C7A54"/>
    <w:rsid w:val="001D0F78"/>
    <w:rsid w:val="001D2E33"/>
    <w:rsid w:val="001D4301"/>
    <w:rsid w:val="001D4AF4"/>
    <w:rsid w:val="001E0142"/>
    <w:rsid w:val="001E1241"/>
    <w:rsid w:val="001E3EEE"/>
    <w:rsid w:val="001E5D57"/>
    <w:rsid w:val="001E671F"/>
    <w:rsid w:val="001E79F7"/>
    <w:rsid w:val="001E7D37"/>
    <w:rsid w:val="001F05F6"/>
    <w:rsid w:val="001F1AE5"/>
    <w:rsid w:val="001F230B"/>
    <w:rsid w:val="001F3D22"/>
    <w:rsid w:val="001F5D53"/>
    <w:rsid w:val="00200E72"/>
    <w:rsid w:val="00201F14"/>
    <w:rsid w:val="00202B86"/>
    <w:rsid w:val="00205731"/>
    <w:rsid w:val="0020729F"/>
    <w:rsid w:val="0020769F"/>
    <w:rsid w:val="00211AB3"/>
    <w:rsid w:val="002121C6"/>
    <w:rsid w:val="00213ED2"/>
    <w:rsid w:val="00217D88"/>
    <w:rsid w:val="002209EB"/>
    <w:rsid w:val="00221710"/>
    <w:rsid w:val="002218AB"/>
    <w:rsid w:val="0022232F"/>
    <w:rsid w:val="00223255"/>
    <w:rsid w:val="002275C3"/>
    <w:rsid w:val="00227C49"/>
    <w:rsid w:val="00230BB7"/>
    <w:rsid w:val="00231976"/>
    <w:rsid w:val="00231A42"/>
    <w:rsid w:val="0023525C"/>
    <w:rsid w:val="00235390"/>
    <w:rsid w:val="00236626"/>
    <w:rsid w:val="00236EE0"/>
    <w:rsid w:val="0023791E"/>
    <w:rsid w:val="00241DE8"/>
    <w:rsid w:val="00242597"/>
    <w:rsid w:val="0024311D"/>
    <w:rsid w:val="00243288"/>
    <w:rsid w:val="00245E02"/>
    <w:rsid w:val="00253300"/>
    <w:rsid w:val="002534D3"/>
    <w:rsid w:val="00253D11"/>
    <w:rsid w:val="00255605"/>
    <w:rsid w:val="002559FB"/>
    <w:rsid w:val="002573C8"/>
    <w:rsid w:val="002578A0"/>
    <w:rsid w:val="00260125"/>
    <w:rsid w:val="00261686"/>
    <w:rsid w:val="002643C7"/>
    <w:rsid w:val="00264E08"/>
    <w:rsid w:val="0027102E"/>
    <w:rsid w:val="002715BF"/>
    <w:rsid w:val="002726F0"/>
    <w:rsid w:val="00273AB8"/>
    <w:rsid w:val="00275C19"/>
    <w:rsid w:val="00277B85"/>
    <w:rsid w:val="00281352"/>
    <w:rsid w:val="00283D31"/>
    <w:rsid w:val="00285138"/>
    <w:rsid w:val="0028588B"/>
    <w:rsid w:val="002871E6"/>
    <w:rsid w:val="00287734"/>
    <w:rsid w:val="00292249"/>
    <w:rsid w:val="0029269A"/>
    <w:rsid w:val="00292DFB"/>
    <w:rsid w:val="00297EA2"/>
    <w:rsid w:val="002A07DC"/>
    <w:rsid w:val="002A0A99"/>
    <w:rsid w:val="002A1C96"/>
    <w:rsid w:val="002A2807"/>
    <w:rsid w:val="002A6FD7"/>
    <w:rsid w:val="002B468B"/>
    <w:rsid w:val="002B7C02"/>
    <w:rsid w:val="002C0C8E"/>
    <w:rsid w:val="002C5DB3"/>
    <w:rsid w:val="002C7D74"/>
    <w:rsid w:val="002D0524"/>
    <w:rsid w:val="002D292D"/>
    <w:rsid w:val="002D4403"/>
    <w:rsid w:val="002D4F6F"/>
    <w:rsid w:val="002E4DDD"/>
    <w:rsid w:val="002F0382"/>
    <w:rsid w:val="002F1E7F"/>
    <w:rsid w:val="002F50C4"/>
    <w:rsid w:val="002F5A52"/>
    <w:rsid w:val="002F6C7E"/>
    <w:rsid w:val="002F72B7"/>
    <w:rsid w:val="002F79AC"/>
    <w:rsid w:val="003011B5"/>
    <w:rsid w:val="00301409"/>
    <w:rsid w:val="00301518"/>
    <w:rsid w:val="00301C9D"/>
    <w:rsid w:val="00302784"/>
    <w:rsid w:val="00302A94"/>
    <w:rsid w:val="00306354"/>
    <w:rsid w:val="00307CB5"/>
    <w:rsid w:val="0031003A"/>
    <w:rsid w:val="00311E41"/>
    <w:rsid w:val="00313C4C"/>
    <w:rsid w:val="00313C97"/>
    <w:rsid w:val="0031468B"/>
    <w:rsid w:val="003148C0"/>
    <w:rsid w:val="00314FEE"/>
    <w:rsid w:val="003163ED"/>
    <w:rsid w:val="00316730"/>
    <w:rsid w:val="0031701F"/>
    <w:rsid w:val="00321476"/>
    <w:rsid w:val="00322C08"/>
    <w:rsid w:val="00323B89"/>
    <w:rsid w:val="003242FE"/>
    <w:rsid w:val="003258E0"/>
    <w:rsid w:val="0033100B"/>
    <w:rsid w:val="00331F27"/>
    <w:rsid w:val="003325EA"/>
    <w:rsid w:val="0033638D"/>
    <w:rsid w:val="003369AE"/>
    <w:rsid w:val="00340212"/>
    <w:rsid w:val="00340322"/>
    <w:rsid w:val="00341113"/>
    <w:rsid w:val="003446EC"/>
    <w:rsid w:val="00344DA3"/>
    <w:rsid w:val="003455A8"/>
    <w:rsid w:val="003456D6"/>
    <w:rsid w:val="0034745A"/>
    <w:rsid w:val="00350643"/>
    <w:rsid w:val="00351DB0"/>
    <w:rsid w:val="003526EB"/>
    <w:rsid w:val="00352DEB"/>
    <w:rsid w:val="0035516B"/>
    <w:rsid w:val="00355387"/>
    <w:rsid w:val="003555BE"/>
    <w:rsid w:val="003573C8"/>
    <w:rsid w:val="003618B5"/>
    <w:rsid w:val="00362859"/>
    <w:rsid w:val="00362C55"/>
    <w:rsid w:val="003667B7"/>
    <w:rsid w:val="00367DE2"/>
    <w:rsid w:val="00370B71"/>
    <w:rsid w:val="00371371"/>
    <w:rsid w:val="00375FDF"/>
    <w:rsid w:val="00381395"/>
    <w:rsid w:val="00384A15"/>
    <w:rsid w:val="003855A7"/>
    <w:rsid w:val="003874D2"/>
    <w:rsid w:val="003937C7"/>
    <w:rsid w:val="00393AB6"/>
    <w:rsid w:val="003963D6"/>
    <w:rsid w:val="003A0BEC"/>
    <w:rsid w:val="003A27B7"/>
    <w:rsid w:val="003A321D"/>
    <w:rsid w:val="003A606A"/>
    <w:rsid w:val="003A6167"/>
    <w:rsid w:val="003C1275"/>
    <w:rsid w:val="003C1A21"/>
    <w:rsid w:val="003C1D92"/>
    <w:rsid w:val="003C2984"/>
    <w:rsid w:val="003C46A1"/>
    <w:rsid w:val="003C48CA"/>
    <w:rsid w:val="003C51E3"/>
    <w:rsid w:val="003C5289"/>
    <w:rsid w:val="003C6706"/>
    <w:rsid w:val="003C6DA0"/>
    <w:rsid w:val="003D04F9"/>
    <w:rsid w:val="003D09F7"/>
    <w:rsid w:val="003D128A"/>
    <w:rsid w:val="003D2E2F"/>
    <w:rsid w:val="003D32C5"/>
    <w:rsid w:val="003D5A8D"/>
    <w:rsid w:val="003D6E91"/>
    <w:rsid w:val="003E147E"/>
    <w:rsid w:val="003E2ADB"/>
    <w:rsid w:val="003E3D72"/>
    <w:rsid w:val="003E42AA"/>
    <w:rsid w:val="003E4E97"/>
    <w:rsid w:val="003E5D29"/>
    <w:rsid w:val="003F02FB"/>
    <w:rsid w:val="003F2654"/>
    <w:rsid w:val="003F2A6C"/>
    <w:rsid w:val="003F3037"/>
    <w:rsid w:val="003F3249"/>
    <w:rsid w:val="003F38B8"/>
    <w:rsid w:val="003F41B4"/>
    <w:rsid w:val="003F4BE5"/>
    <w:rsid w:val="003F71AC"/>
    <w:rsid w:val="004005E7"/>
    <w:rsid w:val="00400CF8"/>
    <w:rsid w:val="00400CFC"/>
    <w:rsid w:val="0040221B"/>
    <w:rsid w:val="00412CFF"/>
    <w:rsid w:val="00414A89"/>
    <w:rsid w:val="00420FC2"/>
    <w:rsid w:val="004235AF"/>
    <w:rsid w:val="004248AC"/>
    <w:rsid w:val="0042528B"/>
    <w:rsid w:val="0042742F"/>
    <w:rsid w:val="00430E7B"/>
    <w:rsid w:val="00431BC7"/>
    <w:rsid w:val="00431BCB"/>
    <w:rsid w:val="00433AA7"/>
    <w:rsid w:val="004365D6"/>
    <w:rsid w:val="00436B8A"/>
    <w:rsid w:val="00440188"/>
    <w:rsid w:val="004414AE"/>
    <w:rsid w:val="004425F2"/>
    <w:rsid w:val="00442FB5"/>
    <w:rsid w:val="00443B8A"/>
    <w:rsid w:val="00444BCB"/>
    <w:rsid w:val="0044647A"/>
    <w:rsid w:val="00446E2F"/>
    <w:rsid w:val="00450475"/>
    <w:rsid w:val="004537C9"/>
    <w:rsid w:val="004541D3"/>
    <w:rsid w:val="00455703"/>
    <w:rsid w:val="004569F0"/>
    <w:rsid w:val="00457798"/>
    <w:rsid w:val="00460E07"/>
    <w:rsid w:val="00464CB4"/>
    <w:rsid w:val="00467EBF"/>
    <w:rsid w:val="0047250D"/>
    <w:rsid w:val="00473774"/>
    <w:rsid w:val="00474A52"/>
    <w:rsid w:val="00476200"/>
    <w:rsid w:val="00480F1C"/>
    <w:rsid w:val="0048396A"/>
    <w:rsid w:val="004865C7"/>
    <w:rsid w:val="00486BDC"/>
    <w:rsid w:val="004919C0"/>
    <w:rsid w:val="00491B07"/>
    <w:rsid w:val="00492279"/>
    <w:rsid w:val="0049367C"/>
    <w:rsid w:val="004938D3"/>
    <w:rsid w:val="00493C76"/>
    <w:rsid w:val="00497630"/>
    <w:rsid w:val="004A1572"/>
    <w:rsid w:val="004A65A2"/>
    <w:rsid w:val="004A7A03"/>
    <w:rsid w:val="004B0B4A"/>
    <w:rsid w:val="004B36F9"/>
    <w:rsid w:val="004B7B57"/>
    <w:rsid w:val="004C74EB"/>
    <w:rsid w:val="004D07D7"/>
    <w:rsid w:val="004D12DB"/>
    <w:rsid w:val="004E0CAB"/>
    <w:rsid w:val="004E36B5"/>
    <w:rsid w:val="004E5CA3"/>
    <w:rsid w:val="004E6875"/>
    <w:rsid w:val="004F0EF6"/>
    <w:rsid w:val="004F293B"/>
    <w:rsid w:val="004F440A"/>
    <w:rsid w:val="004F4C22"/>
    <w:rsid w:val="00502805"/>
    <w:rsid w:val="00504243"/>
    <w:rsid w:val="00505E8B"/>
    <w:rsid w:val="00510651"/>
    <w:rsid w:val="00510C6E"/>
    <w:rsid w:val="005115F8"/>
    <w:rsid w:val="0051296B"/>
    <w:rsid w:val="005161F3"/>
    <w:rsid w:val="0051799D"/>
    <w:rsid w:val="00517DFE"/>
    <w:rsid w:val="00517E7C"/>
    <w:rsid w:val="00521E1D"/>
    <w:rsid w:val="00522070"/>
    <w:rsid w:val="0052502D"/>
    <w:rsid w:val="005272DF"/>
    <w:rsid w:val="00527474"/>
    <w:rsid w:val="005329E0"/>
    <w:rsid w:val="00537365"/>
    <w:rsid w:val="005379C9"/>
    <w:rsid w:val="00541057"/>
    <w:rsid w:val="00542042"/>
    <w:rsid w:val="005439BD"/>
    <w:rsid w:val="005443E4"/>
    <w:rsid w:val="00545C6B"/>
    <w:rsid w:val="005460C0"/>
    <w:rsid w:val="005469BA"/>
    <w:rsid w:val="00547E0A"/>
    <w:rsid w:val="00551E88"/>
    <w:rsid w:val="005534CC"/>
    <w:rsid w:val="005601AA"/>
    <w:rsid w:val="005619BF"/>
    <w:rsid w:val="00562343"/>
    <w:rsid w:val="00566F5E"/>
    <w:rsid w:val="0056718A"/>
    <w:rsid w:val="00567690"/>
    <w:rsid w:val="005711EB"/>
    <w:rsid w:val="00571B98"/>
    <w:rsid w:val="0057464B"/>
    <w:rsid w:val="0058105A"/>
    <w:rsid w:val="005818AF"/>
    <w:rsid w:val="005827ED"/>
    <w:rsid w:val="00584986"/>
    <w:rsid w:val="0058558A"/>
    <w:rsid w:val="00591597"/>
    <w:rsid w:val="0059263E"/>
    <w:rsid w:val="00592FA3"/>
    <w:rsid w:val="00593294"/>
    <w:rsid w:val="00594275"/>
    <w:rsid w:val="005A1A47"/>
    <w:rsid w:val="005A2984"/>
    <w:rsid w:val="005A35D9"/>
    <w:rsid w:val="005A3CE6"/>
    <w:rsid w:val="005A54E3"/>
    <w:rsid w:val="005A6305"/>
    <w:rsid w:val="005A7811"/>
    <w:rsid w:val="005A7F56"/>
    <w:rsid w:val="005B1093"/>
    <w:rsid w:val="005B1A20"/>
    <w:rsid w:val="005B5090"/>
    <w:rsid w:val="005B7359"/>
    <w:rsid w:val="005B73F4"/>
    <w:rsid w:val="005B78F6"/>
    <w:rsid w:val="005C2F21"/>
    <w:rsid w:val="005C5BD4"/>
    <w:rsid w:val="005D4078"/>
    <w:rsid w:val="005D4121"/>
    <w:rsid w:val="005D4536"/>
    <w:rsid w:val="005D6A31"/>
    <w:rsid w:val="005D7F96"/>
    <w:rsid w:val="005E1DB8"/>
    <w:rsid w:val="005E26FC"/>
    <w:rsid w:val="005E2AD4"/>
    <w:rsid w:val="005E2B86"/>
    <w:rsid w:val="005E41CC"/>
    <w:rsid w:val="005F1766"/>
    <w:rsid w:val="005F6151"/>
    <w:rsid w:val="006007BB"/>
    <w:rsid w:val="006027E2"/>
    <w:rsid w:val="00606536"/>
    <w:rsid w:val="00607153"/>
    <w:rsid w:val="006072D3"/>
    <w:rsid w:val="0060767C"/>
    <w:rsid w:val="006112FE"/>
    <w:rsid w:val="0061224E"/>
    <w:rsid w:val="0061276F"/>
    <w:rsid w:val="00613165"/>
    <w:rsid w:val="00613320"/>
    <w:rsid w:val="006172A2"/>
    <w:rsid w:val="006177B4"/>
    <w:rsid w:val="00617CC1"/>
    <w:rsid w:val="006203E2"/>
    <w:rsid w:val="0062119E"/>
    <w:rsid w:val="006256FD"/>
    <w:rsid w:val="0062749D"/>
    <w:rsid w:val="00632747"/>
    <w:rsid w:val="00635F5B"/>
    <w:rsid w:val="0063674B"/>
    <w:rsid w:val="00640E33"/>
    <w:rsid w:val="006415F6"/>
    <w:rsid w:val="006438EF"/>
    <w:rsid w:val="00644262"/>
    <w:rsid w:val="006461A4"/>
    <w:rsid w:val="006469B0"/>
    <w:rsid w:val="006478B8"/>
    <w:rsid w:val="00651342"/>
    <w:rsid w:val="00651719"/>
    <w:rsid w:val="00654116"/>
    <w:rsid w:val="006541FB"/>
    <w:rsid w:val="006545C9"/>
    <w:rsid w:val="006618DD"/>
    <w:rsid w:val="00662397"/>
    <w:rsid w:val="00664E5B"/>
    <w:rsid w:val="006658F4"/>
    <w:rsid w:val="006667DA"/>
    <w:rsid w:val="006761C4"/>
    <w:rsid w:val="00676DE7"/>
    <w:rsid w:val="00681EA4"/>
    <w:rsid w:val="006835EC"/>
    <w:rsid w:val="00683781"/>
    <w:rsid w:val="0068596D"/>
    <w:rsid w:val="00685ADA"/>
    <w:rsid w:val="00692394"/>
    <w:rsid w:val="00692D54"/>
    <w:rsid w:val="0069375F"/>
    <w:rsid w:val="00695824"/>
    <w:rsid w:val="00697ED5"/>
    <w:rsid w:val="006A0B0E"/>
    <w:rsid w:val="006A1077"/>
    <w:rsid w:val="006A1998"/>
    <w:rsid w:val="006A6D46"/>
    <w:rsid w:val="006B1E2B"/>
    <w:rsid w:val="006B3EF1"/>
    <w:rsid w:val="006B5306"/>
    <w:rsid w:val="006B5C61"/>
    <w:rsid w:val="006B7966"/>
    <w:rsid w:val="006C17E0"/>
    <w:rsid w:val="006C49BD"/>
    <w:rsid w:val="006C516D"/>
    <w:rsid w:val="006C56A3"/>
    <w:rsid w:val="006D0140"/>
    <w:rsid w:val="006D3A9E"/>
    <w:rsid w:val="006D439A"/>
    <w:rsid w:val="006D43F9"/>
    <w:rsid w:val="006D592F"/>
    <w:rsid w:val="006E0E0C"/>
    <w:rsid w:val="006E1304"/>
    <w:rsid w:val="006E37D4"/>
    <w:rsid w:val="006E3A7F"/>
    <w:rsid w:val="006E3BF5"/>
    <w:rsid w:val="006E4458"/>
    <w:rsid w:val="006E4A3F"/>
    <w:rsid w:val="006E5411"/>
    <w:rsid w:val="006F0082"/>
    <w:rsid w:val="006F0AC7"/>
    <w:rsid w:val="006F2612"/>
    <w:rsid w:val="006F3E94"/>
    <w:rsid w:val="006F5F0F"/>
    <w:rsid w:val="00700BCA"/>
    <w:rsid w:val="00702F7D"/>
    <w:rsid w:val="007038B4"/>
    <w:rsid w:val="007046CF"/>
    <w:rsid w:val="00711205"/>
    <w:rsid w:val="00715F0C"/>
    <w:rsid w:val="00716C29"/>
    <w:rsid w:val="007213A9"/>
    <w:rsid w:val="00721B81"/>
    <w:rsid w:val="00727BA1"/>
    <w:rsid w:val="00731350"/>
    <w:rsid w:val="0073273F"/>
    <w:rsid w:val="00736D39"/>
    <w:rsid w:val="0073729A"/>
    <w:rsid w:val="007403F4"/>
    <w:rsid w:val="007412B0"/>
    <w:rsid w:val="00741D39"/>
    <w:rsid w:val="0074465E"/>
    <w:rsid w:val="007474F2"/>
    <w:rsid w:val="00747E35"/>
    <w:rsid w:val="00750820"/>
    <w:rsid w:val="00752441"/>
    <w:rsid w:val="00754459"/>
    <w:rsid w:val="0075523B"/>
    <w:rsid w:val="00755FF0"/>
    <w:rsid w:val="007604F0"/>
    <w:rsid w:val="007632DF"/>
    <w:rsid w:val="00763D83"/>
    <w:rsid w:val="00767B71"/>
    <w:rsid w:val="007719D0"/>
    <w:rsid w:val="00773019"/>
    <w:rsid w:val="0077374B"/>
    <w:rsid w:val="00780597"/>
    <w:rsid w:val="007820C5"/>
    <w:rsid w:val="00783267"/>
    <w:rsid w:val="00784343"/>
    <w:rsid w:val="00785D74"/>
    <w:rsid w:val="00786621"/>
    <w:rsid w:val="007910C0"/>
    <w:rsid w:val="00793882"/>
    <w:rsid w:val="00793910"/>
    <w:rsid w:val="00794632"/>
    <w:rsid w:val="00794E1E"/>
    <w:rsid w:val="007A0547"/>
    <w:rsid w:val="007A48F5"/>
    <w:rsid w:val="007A48FF"/>
    <w:rsid w:val="007A4D20"/>
    <w:rsid w:val="007A5A38"/>
    <w:rsid w:val="007B0D7C"/>
    <w:rsid w:val="007B0F16"/>
    <w:rsid w:val="007C31E4"/>
    <w:rsid w:val="007C64AE"/>
    <w:rsid w:val="007C6569"/>
    <w:rsid w:val="007C73F6"/>
    <w:rsid w:val="007D0039"/>
    <w:rsid w:val="007D2EA2"/>
    <w:rsid w:val="007D5307"/>
    <w:rsid w:val="007D5561"/>
    <w:rsid w:val="007D5AB8"/>
    <w:rsid w:val="007D6088"/>
    <w:rsid w:val="007D6098"/>
    <w:rsid w:val="007E090D"/>
    <w:rsid w:val="007E161F"/>
    <w:rsid w:val="007E182D"/>
    <w:rsid w:val="007E7BB0"/>
    <w:rsid w:val="007F29F0"/>
    <w:rsid w:val="007F440B"/>
    <w:rsid w:val="007F5109"/>
    <w:rsid w:val="007F528D"/>
    <w:rsid w:val="007F5545"/>
    <w:rsid w:val="007F5E7D"/>
    <w:rsid w:val="007F6A7A"/>
    <w:rsid w:val="007F70D3"/>
    <w:rsid w:val="007F76AD"/>
    <w:rsid w:val="008000DA"/>
    <w:rsid w:val="00802684"/>
    <w:rsid w:val="00802BEB"/>
    <w:rsid w:val="00803940"/>
    <w:rsid w:val="00805983"/>
    <w:rsid w:val="008063F9"/>
    <w:rsid w:val="00810609"/>
    <w:rsid w:val="00814361"/>
    <w:rsid w:val="00817ED6"/>
    <w:rsid w:val="00821023"/>
    <w:rsid w:val="00822450"/>
    <w:rsid w:val="008242B1"/>
    <w:rsid w:val="00827F9A"/>
    <w:rsid w:val="008328B2"/>
    <w:rsid w:val="00832A7F"/>
    <w:rsid w:val="008334DE"/>
    <w:rsid w:val="0083512F"/>
    <w:rsid w:val="008359C2"/>
    <w:rsid w:val="00840AB4"/>
    <w:rsid w:val="008442CF"/>
    <w:rsid w:val="00844A00"/>
    <w:rsid w:val="0084688B"/>
    <w:rsid w:val="00850E06"/>
    <w:rsid w:val="0085189E"/>
    <w:rsid w:val="00852DB1"/>
    <w:rsid w:val="0085466C"/>
    <w:rsid w:val="00855962"/>
    <w:rsid w:val="00856148"/>
    <w:rsid w:val="00856C05"/>
    <w:rsid w:val="00856CC0"/>
    <w:rsid w:val="00861301"/>
    <w:rsid w:val="00866492"/>
    <w:rsid w:val="00867BE2"/>
    <w:rsid w:val="008704CC"/>
    <w:rsid w:val="0087070F"/>
    <w:rsid w:val="008723AF"/>
    <w:rsid w:val="00872875"/>
    <w:rsid w:val="00880F7D"/>
    <w:rsid w:val="008825EB"/>
    <w:rsid w:val="008835BE"/>
    <w:rsid w:val="008838B4"/>
    <w:rsid w:val="00885221"/>
    <w:rsid w:val="00885636"/>
    <w:rsid w:val="00892054"/>
    <w:rsid w:val="00893262"/>
    <w:rsid w:val="008938AE"/>
    <w:rsid w:val="008939E1"/>
    <w:rsid w:val="0089405F"/>
    <w:rsid w:val="00894D03"/>
    <w:rsid w:val="00895060"/>
    <w:rsid w:val="00896FD2"/>
    <w:rsid w:val="008A052A"/>
    <w:rsid w:val="008A0767"/>
    <w:rsid w:val="008A0CA3"/>
    <w:rsid w:val="008A673E"/>
    <w:rsid w:val="008B0CDE"/>
    <w:rsid w:val="008B1570"/>
    <w:rsid w:val="008B3398"/>
    <w:rsid w:val="008B3791"/>
    <w:rsid w:val="008B3F0A"/>
    <w:rsid w:val="008B6E33"/>
    <w:rsid w:val="008B7CA5"/>
    <w:rsid w:val="008C037C"/>
    <w:rsid w:val="008C04D7"/>
    <w:rsid w:val="008C06ED"/>
    <w:rsid w:val="008C5C7B"/>
    <w:rsid w:val="008C5F5F"/>
    <w:rsid w:val="008D06DB"/>
    <w:rsid w:val="008D378A"/>
    <w:rsid w:val="008D391C"/>
    <w:rsid w:val="008D3F79"/>
    <w:rsid w:val="008D56D2"/>
    <w:rsid w:val="008D73DB"/>
    <w:rsid w:val="008D75A3"/>
    <w:rsid w:val="008D7980"/>
    <w:rsid w:val="008D7F1E"/>
    <w:rsid w:val="008E2FCD"/>
    <w:rsid w:val="008E312A"/>
    <w:rsid w:val="008E6FEC"/>
    <w:rsid w:val="008E72CA"/>
    <w:rsid w:val="008F00D6"/>
    <w:rsid w:val="008F53E7"/>
    <w:rsid w:val="008F6FD5"/>
    <w:rsid w:val="008F7E29"/>
    <w:rsid w:val="00903CBC"/>
    <w:rsid w:val="009068C8"/>
    <w:rsid w:val="009143DB"/>
    <w:rsid w:val="00920460"/>
    <w:rsid w:val="00923DC8"/>
    <w:rsid w:val="009252DC"/>
    <w:rsid w:val="009253A3"/>
    <w:rsid w:val="009255EC"/>
    <w:rsid w:val="00925793"/>
    <w:rsid w:val="009274E4"/>
    <w:rsid w:val="0093162A"/>
    <w:rsid w:val="00933B98"/>
    <w:rsid w:val="00933BDE"/>
    <w:rsid w:val="00934B08"/>
    <w:rsid w:val="00935AC0"/>
    <w:rsid w:val="00936E4B"/>
    <w:rsid w:val="009378B4"/>
    <w:rsid w:val="00944B64"/>
    <w:rsid w:val="00946AA6"/>
    <w:rsid w:val="0095172F"/>
    <w:rsid w:val="009521F6"/>
    <w:rsid w:val="009531AB"/>
    <w:rsid w:val="009536D4"/>
    <w:rsid w:val="00955865"/>
    <w:rsid w:val="009564DE"/>
    <w:rsid w:val="00960F57"/>
    <w:rsid w:val="009627D0"/>
    <w:rsid w:val="00962CA3"/>
    <w:rsid w:val="0096607C"/>
    <w:rsid w:val="00966095"/>
    <w:rsid w:val="0096635C"/>
    <w:rsid w:val="00972491"/>
    <w:rsid w:val="00975D38"/>
    <w:rsid w:val="00976104"/>
    <w:rsid w:val="009762E3"/>
    <w:rsid w:val="009765B8"/>
    <w:rsid w:val="00977BB2"/>
    <w:rsid w:val="00980592"/>
    <w:rsid w:val="00980FB0"/>
    <w:rsid w:val="009811B4"/>
    <w:rsid w:val="009820A5"/>
    <w:rsid w:val="009867E9"/>
    <w:rsid w:val="009909EA"/>
    <w:rsid w:val="00990D19"/>
    <w:rsid w:val="0099169D"/>
    <w:rsid w:val="0099389C"/>
    <w:rsid w:val="00993D3E"/>
    <w:rsid w:val="009941A8"/>
    <w:rsid w:val="009958D2"/>
    <w:rsid w:val="00995EC5"/>
    <w:rsid w:val="0099635D"/>
    <w:rsid w:val="0099637C"/>
    <w:rsid w:val="00996393"/>
    <w:rsid w:val="009A1773"/>
    <w:rsid w:val="009A38EE"/>
    <w:rsid w:val="009A4C04"/>
    <w:rsid w:val="009A4EE1"/>
    <w:rsid w:val="009A4FED"/>
    <w:rsid w:val="009A770D"/>
    <w:rsid w:val="009B2A46"/>
    <w:rsid w:val="009B2B5A"/>
    <w:rsid w:val="009B3562"/>
    <w:rsid w:val="009B3CD4"/>
    <w:rsid w:val="009B5323"/>
    <w:rsid w:val="009B5C8F"/>
    <w:rsid w:val="009B67F7"/>
    <w:rsid w:val="009C0D74"/>
    <w:rsid w:val="009C2582"/>
    <w:rsid w:val="009C2698"/>
    <w:rsid w:val="009C333B"/>
    <w:rsid w:val="009C3E12"/>
    <w:rsid w:val="009C456B"/>
    <w:rsid w:val="009C57A7"/>
    <w:rsid w:val="009D16ED"/>
    <w:rsid w:val="009D3986"/>
    <w:rsid w:val="009D684E"/>
    <w:rsid w:val="009E0F6D"/>
    <w:rsid w:val="009E304F"/>
    <w:rsid w:val="009E3D32"/>
    <w:rsid w:val="009E5C51"/>
    <w:rsid w:val="009F20D0"/>
    <w:rsid w:val="009F216A"/>
    <w:rsid w:val="009F27F8"/>
    <w:rsid w:val="009F3C1C"/>
    <w:rsid w:val="00A03186"/>
    <w:rsid w:val="00A060D2"/>
    <w:rsid w:val="00A06CF1"/>
    <w:rsid w:val="00A1211A"/>
    <w:rsid w:val="00A13354"/>
    <w:rsid w:val="00A17187"/>
    <w:rsid w:val="00A20ED1"/>
    <w:rsid w:val="00A21C16"/>
    <w:rsid w:val="00A21DF3"/>
    <w:rsid w:val="00A21F7F"/>
    <w:rsid w:val="00A24CD0"/>
    <w:rsid w:val="00A27B71"/>
    <w:rsid w:val="00A30311"/>
    <w:rsid w:val="00A3032C"/>
    <w:rsid w:val="00A32C68"/>
    <w:rsid w:val="00A34933"/>
    <w:rsid w:val="00A34BBC"/>
    <w:rsid w:val="00A3515B"/>
    <w:rsid w:val="00A352AC"/>
    <w:rsid w:val="00A356F2"/>
    <w:rsid w:val="00A3571D"/>
    <w:rsid w:val="00A377A5"/>
    <w:rsid w:val="00A42763"/>
    <w:rsid w:val="00A433FD"/>
    <w:rsid w:val="00A43E83"/>
    <w:rsid w:val="00A44F87"/>
    <w:rsid w:val="00A47B09"/>
    <w:rsid w:val="00A47FA1"/>
    <w:rsid w:val="00A506A6"/>
    <w:rsid w:val="00A51124"/>
    <w:rsid w:val="00A5356E"/>
    <w:rsid w:val="00A53845"/>
    <w:rsid w:val="00A5707C"/>
    <w:rsid w:val="00A576BE"/>
    <w:rsid w:val="00A6199F"/>
    <w:rsid w:val="00A63D6D"/>
    <w:rsid w:val="00A641B4"/>
    <w:rsid w:val="00A642DC"/>
    <w:rsid w:val="00A65E0E"/>
    <w:rsid w:val="00A6700E"/>
    <w:rsid w:val="00A678C6"/>
    <w:rsid w:val="00A71A73"/>
    <w:rsid w:val="00A751BE"/>
    <w:rsid w:val="00A76B88"/>
    <w:rsid w:val="00A76DC5"/>
    <w:rsid w:val="00A831D1"/>
    <w:rsid w:val="00A851F4"/>
    <w:rsid w:val="00A90526"/>
    <w:rsid w:val="00A9388B"/>
    <w:rsid w:val="00A9618F"/>
    <w:rsid w:val="00A96D2A"/>
    <w:rsid w:val="00A96E0A"/>
    <w:rsid w:val="00A96F35"/>
    <w:rsid w:val="00AA0002"/>
    <w:rsid w:val="00AA0EAC"/>
    <w:rsid w:val="00AA15AD"/>
    <w:rsid w:val="00AA15C8"/>
    <w:rsid w:val="00AA521B"/>
    <w:rsid w:val="00AA708E"/>
    <w:rsid w:val="00AB4318"/>
    <w:rsid w:val="00AB5620"/>
    <w:rsid w:val="00AC01DC"/>
    <w:rsid w:val="00AC4D58"/>
    <w:rsid w:val="00AC5E15"/>
    <w:rsid w:val="00AC6ADD"/>
    <w:rsid w:val="00AD6B1D"/>
    <w:rsid w:val="00AD721F"/>
    <w:rsid w:val="00AE0485"/>
    <w:rsid w:val="00AE2EB6"/>
    <w:rsid w:val="00AE75DD"/>
    <w:rsid w:val="00AE7954"/>
    <w:rsid w:val="00AF0DA3"/>
    <w:rsid w:val="00AF180E"/>
    <w:rsid w:val="00AF2CAF"/>
    <w:rsid w:val="00AF349B"/>
    <w:rsid w:val="00AF4AC1"/>
    <w:rsid w:val="00AF502F"/>
    <w:rsid w:val="00AF7E6C"/>
    <w:rsid w:val="00B00204"/>
    <w:rsid w:val="00B05551"/>
    <w:rsid w:val="00B0580C"/>
    <w:rsid w:val="00B0709C"/>
    <w:rsid w:val="00B12D7F"/>
    <w:rsid w:val="00B1319F"/>
    <w:rsid w:val="00B13691"/>
    <w:rsid w:val="00B148C2"/>
    <w:rsid w:val="00B14A0C"/>
    <w:rsid w:val="00B257F5"/>
    <w:rsid w:val="00B27B6D"/>
    <w:rsid w:val="00B27FAA"/>
    <w:rsid w:val="00B31185"/>
    <w:rsid w:val="00B3128C"/>
    <w:rsid w:val="00B31E90"/>
    <w:rsid w:val="00B32CBA"/>
    <w:rsid w:val="00B366C6"/>
    <w:rsid w:val="00B416F5"/>
    <w:rsid w:val="00B437A4"/>
    <w:rsid w:val="00B461AE"/>
    <w:rsid w:val="00B467EC"/>
    <w:rsid w:val="00B46EF1"/>
    <w:rsid w:val="00B50036"/>
    <w:rsid w:val="00B5082E"/>
    <w:rsid w:val="00B568D9"/>
    <w:rsid w:val="00B60CD2"/>
    <w:rsid w:val="00B61BB8"/>
    <w:rsid w:val="00B6304A"/>
    <w:rsid w:val="00B63241"/>
    <w:rsid w:val="00B65D57"/>
    <w:rsid w:val="00B70C62"/>
    <w:rsid w:val="00B72EE4"/>
    <w:rsid w:val="00B72F2B"/>
    <w:rsid w:val="00B80A2B"/>
    <w:rsid w:val="00B83938"/>
    <w:rsid w:val="00B83B38"/>
    <w:rsid w:val="00B8481F"/>
    <w:rsid w:val="00B84C58"/>
    <w:rsid w:val="00B85F7F"/>
    <w:rsid w:val="00B86C2D"/>
    <w:rsid w:val="00B90646"/>
    <w:rsid w:val="00B91F6E"/>
    <w:rsid w:val="00B9626D"/>
    <w:rsid w:val="00B97DFE"/>
    <w:rsid w:val="00BA07C6"/>
    <w:rsid w:val="00BA09C1"/>
    <w:rsid w:val="00BA0DA0"/>
    <w:rsid w:val="00BA1E1D"/>
    <w:rsid w:val="00BA3401"/>
    <w:rsid w:val="00BA4065"/>
    <w:rsid w:val="00BA5E91"/>
    <w:rsid w:val="00BA634D"/>
    <w:rsid w:val="00BA76DB"/>
    <w:rsid w:val="00BA7894"/>
    <w:rsid w:val="00BB08A1"/>
    <w:rsid w:val="00BB0F75"/>
    <w:rsid w:val="00BB6334"/>
    <w:rsid w:val="00BB6BB0"/>
    <w:rsid w:val="00BB6D2F"/>
    <w:rsid w:val="00BB7723"/>
    <w:rsid w:val="00BB7A7B"/>
    <w:rsid w:val="00BD4479"/>
    <w:rsid w:val="00BD4B32"/>
    <w:rsid w:val="00BD52EC"/>
    <w:rsid w:val="00BD754A"/>
    <w:rsid w:val="00BD7FAC"/>
    <w:rsid w:val="00BE1AD5"/>
    <w:rsid w:val="00BE39DE"/>
    <w:rsid w:val="00BE4AFA"/>
    <w:rsid w:val="00BE6441"/>
    <w:rsid w:val="00BE7B86"/>
    <w:rsid w:val="00BF24E8"/>
    <w:rsid w:val="00BF2ACC"/>
    <w:rsid w:val="00BF3418"/>
    <w:rsid w:val="00BF392B"/>
    <w:rsid w:val="00BF3DE5"/>
    <w:rsid w:val="00BF4024"/>
    <w:rsid w:val="00BF4B80"/>
    <w:rsid w:val="00BF5E63"/>
    <w:rsid w:val="00C0003A"/>
    <w:rsid w:val="00C02A48"/>
    <w:rsid w:val="00C047EE"/>
    <w:rsid w:val="00C06AA7"/>
    <w:rsid w:val="00C10470"/>
    <w:rsid w:val="00C15721"/>
    <w:rsid w:val="00C203EB"/>
    <w:rsid w:val="00C23119"/>
    <w:rsid w:val="00C23CF0"/>
    <w:rsid w:val="00C252CA"/>
    <w:rsid w:val="00C2530F"/>
    <w:rsid w:val="00C26F95"/>
    <w:rsid w:val="00C27E34"/>
    <w:rsid w:val="00C30B25"/>
    <w:rsid w:val="00C32A6C"/>
    <w:rsid w:val="00C3300E"/>
    <w:rsid w:val="00C34F32"/>
    <w:rsid w:val="00C353D1"/>
    <w:rsid w:val="00C35DB1"/>
    <w:rsid w:val="00C36F08"/>
    <w:rsid w:val="00C373E8"/>
    <w:rsid w:val="00C43188"/>
    <w:rsid w:val="00C444AC"/>
    <w:rsid w:val="00C4650B"/>
    <w:rsid w:val="00C47D81"/>
    <w:rsid w:val="00C50315"/>
    <w:rsid w:val="00C53B12"/>
    <w:rsid w:val="00C6041D"/>
    <w:rsid w:val="00C60F04"/>
    <w:rsid w:val="00C632AD"/>
    <w:rsid w:val="00C65F2C"/>
    <w:rsid w:val="00C70A3E"/>
    <w:rsid w:val="00C719C4"/>
    <w:rsid w:val="00C71C2E"/>
    <w:rsid w:val="00C72E5B"/>
    <w:rsid w:val="00C74EA7"/>
    <w:rsid w:val="00C7627B"/>
    <w:rsid w:val="00C76FAC"/>
    <w:rsid w:val="00C77992"/>
    <w:rsid w:val="00C801FE"/>
    <w:rsid w:val="00C8399C"/>
    <w:rsid w:val="00C83A58"/>
    <w:rsid w:val="00C841C2"/>
    <w:rsid w:val="00C87DE3"/>
    <w:rsid w:val="00C90BBC"/>
    <w:rsid w:val="00C94638"/>
    <w:rsid w:val="00C95F65"/>
    <w:rsid w:val="00C96FAF"/>
    <w:rsid w:val="00CA061D"/>
    <w:rsid w:val="00CA279A"/>
    <w:rsid w:val="00CA7479"/>
    <w:rsid w:val="00CA7FF6"/>
    <w:rsid w:val="00CB0D71"/>
    <w:rsid w:val="00CB3539"/>
    <w:rsid w:val="00CB35FF"/>
    <w:rsid w:val="00CB3774"/>
    <w:rsid w:val="00CB6559"/>
    <w:rsid w:val="00CC13FB"/>
    <w:rsid w:val="00CC1E7C"/>
    <w:rsid w:val="00CC1EA5"/>
    <w:rsid w:val="00CC2059"/>
    <w:rsid w:val="00CC2807"/>
    <w:rsid w:val="00CC3405"/>
    <w:rsid w:val="00CC731A"/>
    <w:rsid w:val="00CD02A3"/>
    <w:rsid w:val="00CD1893"/>
    <w:rsid w:val="00CD1A94"/>
    <w:rsid w:val="00CD1F64"/>
    <w:rsid w:val="00CD35B2"/>
    <w:rsid w:val="00CD4244"/>
    <w:rsid w:val="00CD5A68"/>
    <w:rsid w:val="00CD5BD3"/>
    <w:rsid w:val="00CE026B"/>
    <w:rsid w:val="00CE2851"/>
    <w:rsid w:val="00CE36B3"/>
    <w:rsid w:val="00CE3BD2"/>
    <w:rsid w:val="00CE3FAB"/>
    <w:rsid w:val="00CE404E"/>
    <w:rsid w:val="00CE7BD0"/>
    <w:rsid w:val="00CF10A9"/>
    <w:rsid w:val="00CF593B"/>
    <w:rsid w:val="00CF62F9"/>
    <w:rsid w:val="00D000AA"/>
    <w:rsid w:val="00D01632"/>
    <w:rsid w:val="00D0343F"/>
    <w:rsid w:val="00D0388F"/>
    <w:rsid w:val="00D03F68"/>
    <w:rsid w:val="00D0497A"/>
    <w:rsid w:val="00D051E4"/>
    <w:rsid w:val="00D057EA"/>
    <w:rsid w:val="00D05CFD"/>
    <w:rsid w:val="00D10311"/>
    <w:rsid w:val="00D13025"/>
    <w:rsid w:val="00D147C9"/>
    <w:rsid w:val="00D15F9A"/>
    <w:rsid w:val="00D15FA3"/>
    <w:rsid w:val="00D16426"/>
    <w:rsid w:val="00D20874"/>
    <w:rsid w:val="00D22EF2"/>
    <w:rsid w:val="00D24533"/>
    <w:rsid w:val="00D3315D"/>
    <w:rsid w:val="00D35B56"/>
    <w:rsid w:val="00D40703"/>
    <w:rsid w:val="00D4337A"/>
    <w:rsid w:val="00D43B97"/>
    <w:rsid w:val="00D47400"/>
    <w:rsid w:val="00D5189F"/>
    <w:rsid w:val="00D52216"/>
    <w:rsid w:val="00D5293C"/>
    <w:rsid w:val="00D52BC7"/>
    <w:rsid w:val="00D55BDF"/>
    <w:rsid w:val="00D563A2"/>
    <w:rsid w:val="00D56DF6"/>
    <w:rsid w:val="00D620A8"/>
    <w:rsid w:val="00D62811"/>
    <w:rsid w:val="00D6666A"/>
    <w:rsid w:val="00D67085"/>
    <w:rsid w:val="00D67737"/>
    <w:rsid w:val="00D72AF0"/>
    <w:rsid w:val="00D74591"/>
    <w:rsid w:val="00D757A5"/>
    <w:rsid w:val="00D75980"/>
    <w:rsid w:val="00D807A6"/>
    <w:rsid w:val="00D8096D"/>
    <w:rsid w:val="00D80DEF"/>
    <w:rsid w:val="00D80EB1"/>
    <w:rsid w:val="00D81AA5"/>
    <w:rsid w:val="00D8241C"/>
    <w:rsid w:val="00D871F1"/>
    <w:rsid w:val="00D91405"/>
    <w:rsid w:val="00D92152"/>
    <w:rsid w:val="00D93B7F"/>
    <w:rsid w:val="00DA0C37"/>
    <w:rsid w:val="00DA2D4A"/>
    <w:rsid w:val="00DA3C4D"/>
    <w:rsid w:val="00DB202A"/>
    <w:rsid w:val="00DB27B7"/>
    <w:rsid w:val="00DB4051"/>
    <w:rsid w:val="00DB526A"/>
    <w:rsid w:val="00DB7436"/>
    <w:rsid w:val="00DB7EFC"/>
    <w:rsid w:val="00DC2B47"/>
    <w:rsid w:val="00DC5E52"/>
    <w:rsid w:val="00DC6425"/>
    <w:rsid w:val="00DD0025"/>
    <w:rsid w:val="00DD00B7"/>
    <w:rsid w:val="00DD0361"/>
    <w:rsid w:val="00DD1183"/>
    <w:rsid w:val="00DD13C2"/>
    <w:rsid w:val="00DD2EA9"/>
    <w:rsid w:val="00DE418C"/>
    <w:rsid w:val="00DE545C"/>
    <w:rsid w:val="00DE5662"/>
    <w:rsid w:val="00DE6548"/>
    <w:rsid w:val="00DE73E5"/>
    <w:rsid w:val="00DF0E3F"/>
    <w:rsid w:val="00DF1317"/>
    <w:rsid w:val="00DF27A6"/>
    <w:rsid w:val="00DF4074"/>
    <w:rsid w:val="00DF58AB"/>
    <w:rsid w:val="00DF6C06"/>
    <w:rsid w:val="00E00239"/>
    <w:rsid w:val="00E03FC4"/>
    <w:rsid w:val="00E06114"/>
    <w:rsid w:val="00E079C6"/>
    <w:rsid w:val="00E1013A"/>
    <w:rsid w:val="00E10AB9"/>
    <w:rsid w:val="00E11477"/>
    <w:rsid w:val="00E16BD0"/>
    <w:rsid w:val="00E16CEA"/>
    <w:rsid w:val="00E215A7"/>
    <w:rsid w:val="00E21F12"/>
    <w:rsid w:val="00E24716"/>
    <w:rsid w:val="00E25099"/>
    <w:rsid w:val="00E250AE"/>
    <w:rsid w:val="00E259B1"/>
    <w:rsid w:val="00E25C2E"/>
    <w:rsid w:val="00E25D8D"/>
    <w:rsid w:val="00E26721"/>
    <w:rsid w:val="00E35AAD"/>
    <w:rsid w:val="00E41D05"/>
    <w:rsid w:val="00E4385F"/>
    <w:rsid w:val="00E46907"/>
    <w:rsid w:val="00E46F6A"/>
    <w:rsid w:val="00E5000B"/>
    <w:rsid w:val="00E5215E"/>
    <w:rsid w:val="00E5442C"/>
    <w:rsid w:val="00E54921"/>
    <w:rsid w:val="00E557DA"/>
    <w:rsid w:val="00E56D87"/>
    <w:rsid w:val="00E64018"/>
    <w:rsid w:val="00E652AF"/>
    <w:rsid w:val="00E66371"/>
    <w:rsid w:val="00E66605"/>
    <w:rsid w:val="00E678BA"/>
    <w:rsid w:val="00E74A77"/>
    <w:rsid w:val="00E74DE3"/>
    <w:rsid w:val="00E803C6"/>
    <w:rsid w:val="00E83AF3"/>
    <w:rsid w:val="00E86FEF"/>
    <w:rsid w:val="00E92997"/>
    <w:rsid w:val="00E9321E"/>
    <w:rsid w:val="00E93486"/>
    <w:rsid w:val="00E96234"/>
    <w:rsid w:val="00EA196D"/>
    <w:rsid w:val="00EA3F46"/>
    <w:rsid w:val="00EA67C0"/>
    <w:rsid w:val="00EB35DC"/>
    <w:rsid w:val="00EB38DA"/>
    <w:rsid w:val="00EB4495"/>
    <w:rsid w:val="00EB6384"/>
    <w:rsid w:val="00EB66A9"/>
    <w:rsid w:val="00EC151A"/>
    <w:rsid w:val="00EC4E5B"/>
    <w:rsid w:val="00EC7B7C"/>
    <w:rsid w:val="00ED088F"/>
    <w:rsid w:val="00ED2E8A"/>
    <w:rsid w:val="00ED4465"/>
    <w:rsid w:val="00ED45F7"/>
    <w:rsid w:val="00ED4D6D"/>
    <w:rsid w:val="00ED6BFF"/>
    <w:rsid w:val="00ED7BDC"/>
    <w:rsid w:val="00ED7EFC"/>
    <w:rsid w:val="00EE419A"/>
    <w:rsid w:val="00EE58CA"/>
    <w:rsid w:val="00EE686C"/>
    <w:rsid w:val="00EE6DE7"/>
    <w:rsid w:val="00EE736F"/>
    <w:rsid w:val="00EF0357"/>
    <w:rsid w:val="00EF3118"/>
    <w:rsid w:val="00EF7219"/>
    <w:rsid w:val="00F016B0"/>
    <w:rsid w:val="00F02C4D"/>
    <w:rsid w:val="00F03A8B"/>
    <w:rsid w:val="00F049CE"/>
    <w:rsid w:val="00F05325"/>
    <w:rsid w:val="00F06621"/>
    <w:rsid w:val="00F06D54"/>
    <w:rsid w:val="00F072D7"/>
    <w:rsid w:val="00F10653"/>
    <w:rsid w:val="00F108E1"/>
    <w:rsid w:val="00F109B2"/>
    <w:rsid w:val="00F1358B"/>
    <w:rsid w:val="00F15EBA"/>
    <w:rsid w:val="00F167F8"/>
    <w:rsid w:val="00F21488"/>
    <w:rsid w:val="00F24BB5"/>
    <w:rsid w:val="00F24E80"/>
    <w:rsid w:val="00F266E6"/>
    <w:rsid w:val="00F272D6"/>
    <w:rsid w:val="00F31DCB"/>
    <w:rsid w:val="00F32C85"/>
    <w:rsid w:val="00F36632"/>
    <w:rsid w:val="00F36804"/>
    <w:rsid w:val="00F3742D"/>
    <w:rsid w:val="00F378E0"/>
    <w:rsid w:val="00F4073C"/>
    <w:rsid w:val="00F42304"/>
    <w:rsid w:val="00F4287D"/>
    <w:rsid w:val="00F4427C"/>
    <w:rsid w:val="00F46093"/>
    <w:rsid w:val="00F4698B"/>
    <w:rsid w:val="00F51123"/>
    <w:rsid w:val="00F54BBB"/>
    <w:rsid w:val="00F565AE"/>
    <w:rsid w:val="00F60089"/>
    <w:rsid w:val="00F65A9B"/>
    <w:rsid w:val="00F65B44"/>
    <w:rsid w:val="00F66CA4"/>
    <w:rsid w:val="00F72C19"/>
    <w:rsid w:val="00F73B09"/>
    <w:rsid w:val="00F73D7A"/>
    <w:rsid w:val="00F77652"/>
    <w:rsid w:val="00F80A55"/>
    <w:rsid w:val="00F829F1"/>
    <w:rsid w:val="00F82B9C"/>
    <w:rsid w:val="00F843DE"/>
    <w:rsid w:val="00F8689D"/>
    <w:rsid w:val="00F873BF"/>
    <w:rsid w:val="00F87B46"/>
    <w:rsid w:val="00F90B6B"/>
    <w:rsid w:val="00F91EB7"/>
    <w:rsid w:val="00F926CF"/>
    <w:rsid w:val="00F940A4"/>
    <w:rsid w:val="00F960B4"/>
    <w:rsid w:val="00F9755C"/>
    <w:rsid w:val="00F97751"/>
    <w:rsid w:val="00FA0D0B"/>
    <w:rsid w:val="00FA1BDE"/>
    <w:rsid w:val="00FA4CB5"/>
    <w:rsid w:val="00FA5744"/>
    <w:rsid w:val="00FA6EC5"/>
    <w:rsid w:val="00FB31A3"/>
    <w:rsid w:val="00FB41BD"/>
    <w:rsid w:val="00FB4A40"/>
    <w:rsid w:val="00FB6B1B"/>
    <w:rsid w:val="00FB7D75"/>
    <w:rsid w:val="00FC26ED"/>
    <w:rsid w:val="00FC30E9"/>
    <w:rsid w:val="00FC57C8"/>
    <w:rsid w:val="00FC6860"/>
    <w:rsid w:val="00FC7E84"/>
    <w:rsid w:val="00FD01FF"/>
    <w:rsid w:val="00FD0B3E"/>
    <w:rsid w:val="00FD556B"/>
    <w:rsid w:val="00FD5E9E"/>
    <w:rsid w:val="00FD6D96"/>
    <w:rsid w:val="00FE01C2"/>
    <w:rsid w:val="00FE3225"/>
    <w:rsid w:val="00FE3D21"/>
    <w:rsid w:val="00FE4659"/>
    <w:rsid w:val="00FE6642"/>
    <w:rsid w:val="00FE6664"/>
    <w:rsid w:val="00FE6808"/>
    <w:rsid w:val="00FF0306"/>
    <w:rsid w:val="00FF5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73A9D44"/>
  <w15:chartTrackingRefBased/>
  <w15:docId w15:val="{1297426D-6005-465C-92E6-60DB2303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Normal"/>
    <w:link w:val="Heading4Char"/>
    <w:semiHidden/>
    <w:unhideWhenUsed/>
    <w:qFormat/>
    <w:rsid w:val="001F5D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qFormat/>
    <w:pPr>
      <w:keepNext/>
      <w:jc w:val="center"/>
      <w:outlineLvl w:val="8"/>
    </w:pPr>
    <w:rPr>
      <w:b/>
      <w:i/>
      <w:color w:val="000080"/>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CommentText">
    <w:name w:val="annotation text"/>
    <w:basedOn w:val="Normal"/>
    <w:link w:val="CommentTextChar"/>
    <w:uiPriority w:val="99"/>
    <w:rPr>
      <w:sz w:val="20"/>
      <w:szCs w:val="20"/>
    </w:rPr>
  </w:style>
  <w:style w:type="paragraph" w:customStyle="1" w:styleId="Normal-Cover">
    <w:name w:val="Normal-Cover"/>
    <w:basedOn w:val="Normal"/>
    <w:pPr>
      <w:widowControl w:val="0"/>
    </w:pPr>
    <w:rPr>
      <w:rFonts w:ascii="Book Antiqua" w:hAnsi="Book Antiqua"/>
      <w:szCs w:val="20"/>
    </w:rPr>
  </w:style>
  <w:style w:type="paragraph" w:styleId="FootnoteText">
    <w:name w:val="footnote text"/>
    <w:basedOn w:val="Normal"/>
    <w:link w:val="FootnoteTextChar"/>
    <w:semiHidden/>
    <w:pPr>
      <w:widowControl w:val="0"/>
      <w:spacing w:before="120"/>
      <w:ind w:left="1440" w:hanging="720"/>
      <w:jc w:val="both"/>
    </w:pPr>
    <w:rPr>
      <w:rFonts w:ascii="Book Antiqua" w:hAnsi="Book Antiqua"/>
      <w:sz w:val="20"/>
      <w:szCs w:val="20"/>
    </w:rPr>
  </w:style>
  <w:style w:type="character" w:styleId="FootnoteReference">
    <w:name w:val="footnote reference"/>
    <w:semiHidden/>
    <w:rPr>
      <w:vertAlign w:val="superscript"/>
    </w:r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Web1">
    <w:name w:val="Normal (Web)1"/>
    <w:basedOn w:val="Normal"/>
    <w:rsid w:val="00584986"/>
    <w:pPr>
      <w:spacing w:before="240" w:after="240" w:line="336" w:lineRule="auto"/>
    </w:pPr>
    <w:rPr>
      <w:lang w:eastAsia="en-AU"/>
    </w:rPr>
  </w:style>
  <w:style w:type="character" w:customStyle="1" w:styleId="byline1">
    <w:name w:val="byline1"/>
    <w:rsid w:val="00584986"/>
    <w:rPr>
      <w:rFonts w:ascii="Verdana" w:hAnsi="Verdana" w:hint="default"/>
      <w:b w:val="0"/>
      <w:bCs w:val="0"/>
      <w:color w:val="666666"/>
      <w:sz w:val="19"/>
      <w:szCs w:val="19"/>
    </w:rPr>
  </w:style>
  <w:style w:type="paragraph" w:customStyle="1" w:styleId="Quote1">
    <w:name w:val="Quote1"/>
    <w:basedOn w:val="Normal"/>
    <w:rsid w:val="00C53B12"/>
    <w:pPr>
      <w:widowControl w:val="0"/>
      <w:spacing w:before="240"/>
      <w:ind w:left="1440" w:right="720"/>
      <w:jc w:val="both"/>
    </w:pPr>
    <w:rPr>
      <w:rFonts w:ascii="Book Antiqua" w:hAnsi="Book Antiqua"/>
      <w:sz w:val="22"/>
      <w:szCs w:val="20"/>
    </w:rPr>
  </w:style>
  <w:style w:type="paragraph" w:customStyle="1" w:styleId="Catchwords">
    <w:name w:val="Catchwords"/>
    <w:basedOn w:val="Normal"/>
    <w:rsid w:val="008D3F79"/>
    <w:pPr>
      <w:widowControl w:val="0"/>
      <w:jc w:val="both"/>
    </w:pPr>
    <w:rPr>
      <w:rFonts w:ascii="Book Antiqua" w:hAnsi="Book Antiqua"/>
      <w:szCs w:val="20"/>
    </w:rPr>
  </w:style>
  <w:style w:type="table" w:styleId="TableGrid">
    <w:name w:val="Table Grid"/>
    <w:basedOn w:val="TableNormal"/>
    <w:rsid w:val="00CD1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5082E"/>
    <w:rPr>
      <w:b/>
      <w:bCs/>
    </w:rPr>
  </w:style>
  <w:style w:type="paragraph" w:customStyle="1" w:styleId="BodySectionSub">
    <w:name w:val="Body Section (Sub)"/>
    <w:next w:val="Normal"/>
    <w:link w:val="BodySectionSubChar"/>
    <w:rsid w:val="00FE6808"/>
    <w:pPr>
      <w:overflowPunct w:val="0"/>
      <w:autoSpaceDE w:val="0"/>
      <w:autoSpaceDN w:val="0"/>
      <w:adjustRightInd w:val="0"/>
      <w:spacing w:before="120"/>
      <w:ind w:left="1361"/>
      <w:textAlignment w:val="baseline"/>
    </w:pPr>
    <w:rPr>
      <w:sz w:val="24"/>
      <w:lang w:eastAsia="en-US"/>
    </w:rPr>
  </w:style>
  <w:style w:type="paragraph" w:customStyle="1" w:styleId="DraftHeading3">
    <w:name w:val="Draft Heading 3"/>
    <w:basedOn w:val="Normal"/>
    <w:next w:val="Normal"/>
    <w:rsid w:val="00FE6808"/>
    <w:pPr>
      <w:overflowPunct w:val="0"/>
      <w:autoSpaceDE w:val="0"/>
      <w:autoSpaceDN w:val="0"/>
      <w:adjustRightInd w:val="0"/>
      <w:spacing w:before="120"/>
      <w:textAlignment w:val="baseline"/>
    </w:pPr>
    <w:rPr>
      <w:szCs w:val="20"/>
    </w:rPr>
  </w:style>
  <w:style w:type="paragraph" w:customStyle="1" w:styleId="DraftHeading4">
    <w:name w:val="Draft Heading 4"/>
    <w:basedOn w:val="Normal"/>
    <w:next w:val="Normal"/>
    <w:link w:val="DraftHeading4Char"/>
    <w:rsid w:val="00FE6808"/>
    <w:pPr>
      <w:overflowPunct w:val="0"/>
      <w:autoSpaceDE w:val="0"/>
      <w:autoSpaceDN w:val="0"/>
      <w:adjustRightInd w:val="0"/>
      <w:spacing w:before="120"/>
      <w:textAlignment w:val="baseline"/>
    </w:pPr>
    <w:rPr>
      <w:szCs w:val="20"/>
    </w:rPr>
  </w:style>
  <w:style w:type="paragraph" w:customStyle="1" w:styleId="Normal-Indent">
    <w:name w:val="Normal - Indent"/>
    <w:basedOn w:val="Normal"/>
    <w:rsid w:val="006E0E0C"/>
    <w:pPr>
      <w:widowControl w:val="0"/>
      <w:spacing w:after="240" w:line="480" w:lineRule="atLeast"/>
      <w:ind w:left="720"/>
      <w:jc w:val="both"/>
    </w:pPr>
    <w:rPr>
      <w:rFonts w:ascii="Book Antiqua" w:hAnsi="Book Antiqua"/>
      <w:szCs w:val="20"/>
    </w:rPr>
  </w:style>
  <w:style w:type="character" w:customStyle="1" w:styleId="FootnoteTextChar">
    <w:name w:val="Footnote Text Char"/>
    <w:link w:val="FootnoteText"/>
    <w:semiHidden/>
    <w:rsid w:val="006E0E0C"/>
    <w:rPr>
      <w:rFonts w:ascii="Book Antiqua" w:hAnsi="Book Antiqua"/>
      <w:lang w:val="en-AU" w:eastAsia="en-US" w:bidi="ar-SA"/>
    </w:rPr>
  </w:style>
  <w:style w:type="character" w:customStyle="1" w:styleId="footnotedescriptionChar">
    <w:name w:val="footnote description Char"/>
    <w:link w:val="footnotedescription"/>
    <w:locked/>
    <w:rsid w:val="00E11477"/>
    <w:rPr>
      <w:rFonts w:ascii="Book Antiqua" w:eastAsia="Book Antiqua" w:hAnsi="Book Antiqua" w:cs="Book Antiqua"/>
      <w:color w:val="000000"/>
    </w:rPr>
  </w:style>
  <w:style w:type="paragraph" w:customStyle="1" w:styleId="footnotedescription">
    <w:name w:val="footnote description"/>
    <w:next w:val="Normal"/>
    <w:link w:val="footnotedescriptionChar"/>
    <w:rsid w:val="00E11477"/>
    <w:pPr>
      <w:spacing w:line="256" w:lineRule="auto"/>
    </w:pPr>
    <w:rPr>
      <w:rFonts w:ascii="Book Antiqua" w:eastAsia="Book Antiqua" w:hAnsi="Book Antiqua" w:cs="Book Antiqua"/>
      <w:color w:val="000000"/>
    </w:rPr>
  </w:style>
  <w:style w:type="character" w:customStyle="1" w:styleId="footnotemark">
    <w:name w:val="footnote mark"/>
    <w:rsid w:val="00E11477"/>
    <w:rPr>
      <w:rFonts w:ascii="Book Antiqua" w:eastAsia="Book Antiqua" w:hAnsi="Book Antiqua" w:cs="Book Antiqua" w:hint="default"/>
      <w:color w:val="000000"/>
      <w:sz w:val="20"/>
      <w:vertAlign w:val="superscript"/>
    </w:rPr>
  </w:style>
  <w:style w:type="table" w:customStyle="1" w:styleId="TableGrid0">
    <w:name w:val="TableGrid"/>
    <w:rsid w:val="00A21C16"/>
    <w:rPr>
      <w:rFonts w:ascii="Calibri" w:hAnsi="Calibri"/>
      <w:sz w:val="22"/>
      <w:szCs w:val="22"/>
    </w:rPr>
    <w:tblPr>
      <w:tblCellMar>
        <w:top w:w="0" w:type="dxa"/>
        <w:left w:w="0" w:type="dxa"/>
        <w:bottom w:w="0" w:type="dxa"/>
        <w:right w:w="0" w:type="dxa"/>
      </w:tblCellMar>
    </w:tblPr>
  </w:style>
  <w:style w:type="character" w:styleId="UnresolvedMention">
    <w:name w:val="Unresolved Mention"/>
    <w:uiPriority w:val="99"/>
    <w:semiHidden/>
    <w:unhideWhenUsed/>
    <w:rsid w:val="00A21C16"/>
    <w:rPr>
      <w:color w:val="605E5C"/>
      <w:shd w:val="clear" w:color="auto" w:fill="E1DFDD"/>
    </w:rPr>
  </w:style>
  <w:style w:type="character" w:styleId="FollowedHyperlink">
    <w:name w:val="FollowedHyperlink"/>
    <w:rsid w:val="00A21C16"/>
    <w:rPr>
      <w:color w:val="954F72"/>
      <w:u w:val="single"/>
    </w:rPr>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780597"/>
    <w:pPr>
      <w:ind w:left="720"/>
    </w:pPr>
    <w:rPr>
      <w:szCs w:val="20"/>
    </w:rPr>
  </w:style>
  <w:style w:type="character" w:customStyle="1" w:styleId="Heading2Char">
    <w:name w:val="Heading 2 Char"/>
    <w:link w:val="Heading2"/>
    <w:rsid w:val="000D7DAB"/>
    <w:rPr>
      <w:rFonts w:ascii="Book Antiqua" w:hAnsi="Book Antiqua"/>
      <w:kern w:val="28"/>
      <w:sz w:val="24"/>
      <w:lang w:val="en-GB" w:eastAsia="en-US"/>
    </w:rPr>
  </w:style>
  <w:style w:type="paragraph" w:styleId="BalloonText">
    <w:name w:val="Balloon Text"/>
    <w:basedOn w:val="Normal"/>
    <w:link w:val="BalloonTextChar"/>
    <w:rsid w:val="00591597"/>
    <w:rPr>
      <w:rFonts w:ascii="Segoe UI" w:hAnsi="Segoe UI" w:cs="Segoe UI"/>
      <w:sz w:val="18"/>
      <w:szCs w:val="18"/>
    </w:rPr>
  </w:style>
  <w:style w:type="character" w:customStyle="1" w:styleId="BalloonTextChar">
    <w:name w:val="Balloon Text Char"/>
    <w:basedOn w:val="DefaultParagraphFont"/>
    <w:link w:val="BalloonText"/>
    <w:rsid w:val="00591597"/>
    <w:rPr>
      <w:rFonts w:ascii="Segoe UI" w:hAnsi="Segoe UI" w:cs="Segoe UI"/>
      <w:sz w:val="18"/>
      <w:szCs w:val="18"/>
      <w:lang w:eastAsia="en-US"/>
    </w:rPr>
  </w:style>
  <w:style w:type="paragraph" w:styleId="NormalWeb">
    <w:name w:val="Normal (Web)"/>
    <w:basedOn w:val="Normal"/>
    <w:uiPriority w:val="99"/>
    <w:unhideWhenUsed/>
    <w:rsid w:val="00C0003A"/>
    <w:pPr>
      <w:spacing w:before="100" w:beforeAutospacing="1" w:after="100" w:afterAutospacing="1"/>
    </w:pPr>
    <w:rPr>
      <w:lang w:eastAsia="en-AU"/>
    </w:rPr>
  </w:style>
  <w:style w:type="character" w:styleId="CommentReference">
    <w:name w:val="annotation reference"/>
    <w:basedOn w:val="DefaultParagraphFont"/>
    <w:rsid w:val="00464CB4"/>
    <w:rPr>
      <w:sz w:val="16"/>
      <w:szCs w:val="16"/>
    </w:rPr>
  </w:style>
  <w:style w:type="paragraph" w:styleId="CommentSubject">
    <w:name w:val="annotation subject"/>
    <w:basedOn w:val="CommentText"/>
    <w:next w:val="CommentText"/>
    <w:link w:val="CommentSubjectChar"/>
    <w:rsid w:val="00464CB4"/>
    <w:rPr>
      <w:b/>
      <w:bCs/>
    </w:rPr>
  </w:style>
  <w:style w:type="character" w:customStyle="1" w:styleId="CommentTextChar">
    <w:name w:val="Comment Text Char"/>
    <w:basedOn w:val="DefaultParagraphFont"/>
    <w:link w:val="CommentText"/>
    <w:uiPriority w:val="99"/>
    <w:rsid w:val="00464CB4"/>
    <w:rPr>
      <w:lang w:eastAsia="en-US"/>
    </w:rPr>
  </w:style>
  <w:style w:type="character" w:customStyle="1" w:styleId="CommentSubjectChar">
    <w:name w:val="Comment Subject Char"/>
    <w:basedOn w:val="CommentTextChar"/>
    <w:link w:val="CommentSubject"/>
    <w:rsid w:val="00464CB4"/>
    <w:rPr>
      <w:b/>
      <w:bCs/>
      <w:lang w:eastAsia="en-US"/>
    </w:rPr>
  </w:style>
  <w:style w:type="character" w:customStyle="1" w:styleId="popup-wrap">
    <w:name w:val="popup-wrap"/>
    <w:basedOn w:val="DefaultParagraphFont"/>
    <w:rsid w:val="00BD4B32"/>
  </w:style>
  <w:style w:type="paragraph" w:customStyle="1" w:styleId="BodySection">
    <w:name w:val="Body Section"/>
    <w:next w:val="Normal"/>
    <w:rsid w:val="00BD4B32"/>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link w:val="DraftHeading1Char"/>
    <w:rsid w:val="00064AF0"/>
    <w:pPr>
      <w:overflowPunct w:val="0"/>
      <w:autoSpaceDE w:val="0"/>
      <w:autoSpaceDN w:val="0"/>
      <w:spacing w:before="120"/>
    </w:pPr>
    <w:rPr>
      <w:rFonts w:eastAsiaTheme="minorHAnsi"/>
      <w:b/>
      <w:bCs/>
    </w:rPr>
  </w:style>
  <w:style w:type="paragraph" w:customStyle="1" w:styleId="DraftHeading2">
    <w:name w:val="Draft Heading 2"/>
    <w:basedOn w:val="Normal"/>
    <w:link w:val="DraftHeading2Char"/>
    <w:rsid w:val="00064AF0"/>
    <w:pPr>
      <w:overflowPunct w:val="0"/>
      <w:autoSpaceDE w:val="0"/>
      <w:autoSpaceDN w:val="0"/>
      <w:spacing w:before="120"/>
    </w:pPr>
    <w:rPr>
      <w:rFonts w:eastAsiaTheme="minorHAnsi"/>
    </w:rPr>
  </w:style>
  <w:style w:type="paragraph" w:customStyle="1" w:styleId="SideNote">
    <w:name w:val="Side Note"/>
    <w:basedOn w:val="Normal"/>
    <w:rsid w:val="00064AF0"/>
    <w:pPr>
      <w:framePr w:w="964" w:h="340" w:hSpace="180" w:vSpace="180" w:wrap="around" w:vAnchor="text" w:hAnchor="page" w:xAlign="outside" w:y="1"/>
      <w:overflowPunct w:val="0"/>
      <w:autoSpaceDE w:val="0"/>
      <w:autoSpaceDN w:val="0"/>
      <w:spacing w:before="120"/>
    </w:pPr>
    <w:rPr>
      <w:rFonts w:ascii="Arial" w:eastAsiaTheme="minorHAnsi" w:hAnsi="Arial" w:cs="Arial"/>
      <w:b/>
      <w:bCs/>
      <w:spacing w:val="-10"/>
      <w:sz w:val="16"/>
      <w:szCs w:val="16"/>
    </w:rPr>
  </w:style>
  <w:style w:type="paragraph" w:customStyle="1" w:styleId="DraftPenalty2">
    <w:name w:val="Draft Penalty 2"/>
    <w:basedOn w:val="Normal"/>
    <w:rsid w:val="00064AF0"/>
    <w:pPr>
      <w:overflowPunct w:val="0"/>
      <w:autoSpaceDE w:val="0"/>
      <w:autoSpaceDN w:val="0"/>
      <w:spacing w:before="120"/>
      <w:ind w:left="2382" w:hanging="1021"/>
    </w:pPr>
    <w:rPr>
      <w:rFonts w:eastAsiaTheme="minorHAnsi"/>
    </w:rPr>
  </w:style>
  <w:style w:type="paragraph" w:customStyle="1" w:styleId="DraftSub-sectionEg">
    <w:name w:val="Draft Sub-section Eg"/>
    <w:basedOn w:val="Normal"/>
    <w:rsid w:val="00064AF0"/>
    <w:pPr>
      <w:spacing w:before="120"/>
      <w:ind w:left="1361"/>
    </w:pPr>
    <w:rPr>
      <w:rFonts w:eastAsiaTheme="minorHAnsi"/>
      <w:sz w:val="20"/>
      <w:szCs w:val="20"/>
    </w:rPr>
  </w:style>
  <w:style w:type="paragraph" w:customStyle="1" w:styleId="xmsonormal">
    <w:name w:val="x_msonormal"/>
    <w:basedOn w:val="Normal"/>
    <w:rsid w:val="00593294"/>
    <w:rPr>
      <w:rFonts w:ascii="Calibri" w:eastAsiaTheme="minorHAnsi" w:hAnsi="Calibri" w:cs="Calibri"/>
      <w:sz w:val="22"/>
      <w:szCs w:val="22"/>
      <w:lang w:eastAsia="en-AU"/>
    </w:rPr>
  </w:style>
  <w:style w:type="paragraph" w:customStyle="1" w:styleId="AmendHeading1">
    <w:name w:val="Amend. Heading 1"/>
    <w:basedOn w:val="Normal"/>
    <w:next w:val="Normal"/>
    <w:rsid w:val="00D15FA3"/>
    <w:pPr>
      <w:overflowPunct w:val="0"/>
      <w:autoSpaceDE w:val="0"/>
      <w:autoSpaceDN w:val="0"/>
      <w:adjustRightInd w:val="0"/>
      <w:spacing w:before="120"/>
      <w:textAlignment w:val="baseline"/>
    </w:pPr>
    <w:rPr>
      <w:szCs w:val="20"/>
    </w:rPr>
  </w:style>
  <w:style w:type="character" w:customStyle="1" w:styleId="BodySectionSubChar">
    <w:name w:val="Body Section (Sub) Char"/>
    <w:basedOn w:val="DefaultParagraphFont"/>
    <w:link w:val="BodySectionSub"/>
    <w:locked/>
    <w:rsid w:val="00D15FA3"/>
    <w:rPr>
      <w:sz w:val="24"/>
      <w:lang w:eastAsia="en-US"/>
    </w:rPr>
  </w:style>
  <w:style w:type="paragraph" w:customStyle="1" w:styleId="DraftSub-sectionNote">
    <w:name w:val="Draft Sub-section Note"/>
    <w:next w:val="Normal"/>
    <w:rsid w:val="0075523B"/>
    <w:pPr>
      <w:spacing w:before="120"/>
    </w:pPr>
    <w:rPr>
      <w:lang w:eastAsia="en-US"/>
    </w:rPr>
  </w:style>
  <w:style w:type="character" w:customStyle="1" w:styleId="hgkelc">
    <w:name w:val="hgkelc"/>
    <w:basedOn w:val="DefaultParagraphFont"/>
    <w:rsid w:val="00692D54"/>
  </w:style>
  <w:style w:type="character" w:customStyle="1" w:styleId="kx21rb">
    <w:name w:val="kx21rb"/>
    <w:basedOn w:val="DefaultParagraphFont"/>
    <w:rsid w:val="00692D54"/>
  </w:style>
  <w:style w:type="character" w:customStyle="1" w:styleId="Heading4Char">
    <w:name w:val="Heading 4 Char"/>
    <w:basedOn w:val="DefaultParagraphFont"/>
    <w:link w:val="Heading4"/>
    <w:semiHidden/>
    <w:rsid w:val="001F5D53"/>
    <w:rPr>
      <w:rFonts w:asciiTheme="majorHAnsi" w:eastAsiaTheme="majorEastAsia" w:hAnsiTheme="majorHAnsi" w:cstheme="majorBidi"/>
      <w:i/>
      <w:iCs/>
      <w:color w:val="2F5496" w:themeColor="accent1" w:themeShade="BF"/>
      <w:sz w:val="24"/>
      <w:szCs w:val="24"/>
      <w:lang w:eastAsia="en-US"/>
    </w:rPr>
  </w:style>
  <w:style w:type="paragraph" w:customStyle="1" w:styleId="published-date">
    <w:name w:val="published-date"/>
    <w:basedOn w:val="Normal"/>
    <w:rsid w:val="001F5D53"/>
    <w:pPr>
      <w:spacing w:before="100" w:beforeAutospacing="1" w:after="100" w:afterAutospacing="1"/>
    </w:pPr>
    <w:rPr>
      <w:lang w:eastAsia="en-AU"/>
    </w:rPr>
  </w:style>
  <w:style w:type="character" w:customStyle="1" w:styleId="apple-converted-space">
    <w:name w:val="apple-converted-space"/>
    <w:rsid w:val="00C26F95"/>
  </w:style>
  <w:style w:type="character" w:styleId="Emphasis">
    <w:name w:val="Emphasis"/>
    <w:uiPriority w:val="20"/>
    <w:qFormat/>
    <w:rsid w:val="00C26F95"/>
    <w:rPr>
      <w:i/>
      <w:iCs/>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C23CF0"/>
    <w:rPr>
      <w:sz w:val="24"/>
      <w:lang w:eastAsia="en-US"/>
    </w:rPr>
  </w:style>
  <w:style w:type="paragraph" w:customStyle="1" w:styleId="DraftDefinition2">
    <w:name w:val="Draft Definition 2"/>
    <w:next w:val="Normal"/>
    <w:rsid w:val="00A1335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Heading2Char">
    <w:name w:val="Draft Heading 2 Char"/>
    <w:basedOn w:val="DefaultParagraphFont"/>
    <w:link w:val="DraftHeading2"/>
    <w:rsid w:val="00241DE8"/>
    <w:rPr>
      <w:rFonts w:eastAsiaTheme="minorHAnsi"/>
      <w:sz w:val="24"/>
      <w:szCs w:val="24"/>
      <w:lang w:eastAsia="en-US"/>
    </w:rPr>
  </w:style>
  <w:style w:type="paragraph" w:customStyle="1" w:styleId="Heading-PART">
    <w:name w:val="Heading - PART"/>
    <w:next w:val="Normal"/>
    <w:link w:val="Heading-PARTChar"/>
    <w:rsid w:val="00141992"/>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Stars">
    <w:name w:val="Stars"/>
    <w:basedOn w:val="BodySection"/>
    <w:next w:val="Normal"/>
    <w:rsid w:val="00141992"/>
    <w:pPr>
      <w:tabs>
        <w:tab w:val="right" w:pos="1418"/>
        <w:tab w:val="right" w:pos="2552"/>
        <w:tab w:val="right" w:pos="3686"/>
        <w:tab w:val="right" w:pos="4820"/>
        <w:tab w:val="right" w:pos="5954"/>
      </w:tabs>
      <w:ind w:left="851"/>
    </w:pPr>
  </w:style>
  <w:style w:type="paragraph" w:customStyle="1" w:styleId="DraftSectionNote">
    <w:name w:val="Draft Section Note"/>
    <w:next w:val="Normal"/>
    <w:rsid w:val="00141992"/>
    <w:pPr>
      <w:spacing w:before="120"/>
    </w:pPr>
    <w:rPr>
      <w:lang w:eastAsia="en-US"/>
    </w:rPr>
  </w:style>
  <w:style w:type="character" w:customStyle="1" w:styleId="DraftHeading1Char">
    <w:name w:val="Draft Heading 1 Char"/>
    <w:basedOn w:val="DefaultParagraphFont"/>
    <w:link w:val="DraftHeading1"/>
    <w:locked/>
    <w:rsid w:val="00141992"/>
    <w:rPr>
      <w:rFonts w:eastAsiaTheme="minorHAnsi"/>
      <w:b/>
      <w:bCs/>
      <w:sz w:val="24"/>
      <w:szCs w:val="24"/>
      <w:lang w:eastAsia="en-US"/>
    </w:rPr>
  </w:style>
  <w:style w:type="character" w:customStyle="1" w:styleId="Heading-PARTChar">
    <w:name w:val="Heading - PART Char"/>
    <w:basedOn w:val="DefaultParagraphFont"/>
    <w:link w:val="Heading-PART"/>
    <w:rsid w:val="00141992"/>
    <w:rPr>
      <w:b/>
      <w:caps/>
      <w:sz w:val="22"/>
      <w:lang w:eastAsia="en-US"/>
    </w:rPr>
  </w:style>
  <w:style w:type="character" w:customStyle="1" w:styleId="DraftHeading4Char">
    <w:name w:val="Draft Heading 4 Char"/>
    <w:basedOn w:val="DefaultParagraphFont"/>
    <w:link w:val="DraftHeading4"/>
    <w:rsid w:val="0014199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257">
      <w:bodyDiv w:val="1"/>
      <w:marLeft w:val="0"/>
      <w:marRight w:val="0"/>
      <w:marTop w:val="0"/>
      <w:marBottom w:val="0"/>
      <w:divBdr>
        <w:top w:val="none" w:sz="0" w:space="0" w:color="auto"/>
        <w:left w:val="none" w:sz="0" w:space="0" w:color="auto"/>
        <w:bottom w:val="none" w:sz="0" w:space="0" w:color="auto"/>
        <w:right w:val="none" w:sz="0" w:space="0" w:color="auto"/>
      </w:divBdr>
    </w:div>
    <w:div w:id="76827923">
      <w:bodyDiv w:val="1"/>
      <w:marLeft w:val="0"/>
      <w:marRight w:val="0"/>
      <w:marTop w:val="0"/>
      <w:marBottom w:val="0"/>
      <w:divBdr>
        <w:top w:val="none" w:sz="0" w:space="0" w:color="auto"/>
        <w:left w:val="none" w:sz="0" w:space="0" w:color="auto"/>
        <w:bottom w:val="none" w:sz="0" w:space="0" w:color="auto"/>
        <w:right w:val="none" w:sz="0" w:space="0" w:color="auto"/>
      </w:divBdr>
    </w:div>
    <w:div w:id="102769595">
      <w:bodyDiv w:val="1"/>
      <w:marLeft w:val="0"/>
      <w:marRight w:val="0"/>
      <w:marTop w:val="0"/>
      <w:marBottom w:val="0"/>
      <w:divBdr>
        <w:top w:val="none" w:sz="0" w:space="0" w:color="auto"/>
        <w:left w:val="none" w:sz="0" w:space="0" w:color="auto"/>
        <w:bottom w:val="none" w:sz="0" w:space="0" w:color="auto"/>
        <w:right w:val="none" w:sz="0" w:space="0" w:color="auto"/>
      </w:divBdr>
    </w:div>
    <w:div w:id="119037186">
      <w:bodyDiv w:val="1"/>
      <w:marLeft w:val="0"/>
      <w:marRight w:val="0"/>
      <w:marTop w:val="0"/>
      <w:marBottom w:val="0"/>
      <w:divBdr>
        <w:top w:val="none" w:sz="0" w:space="0" w:color="auto"/>
        <w:left w:val="none" w:sz="0" w:space="0" w:color="auto"/>
        <w:bottom w:val="none" w:sz="0" w:space="0" w:color="auto"/>
        <w:right w:val="none" w:sz="0" w:space="0" w:color="auto"/>
      </w:divBdr>
    </w:div>
    <w:div w:id="181551882">
      <w:bodyDiv w:val="1"/>
      <w:marLeft w:val="0"/>
      <w:marRight w:val="0"/>
      <w:marTop w:val="0"/>
      <w:marBottom w:val="0"/>
      <w:divBdr>
        <w:top w:val="none" w:sz="0" w:space="0" w:color="auto"/>
        <w:left w:val="none" w:sz="0" w:space="0" w:color="auto"/>
        <w:bottom w:val="none" w:sz="0" w:space="0" w:color="auto"/>
        <w:right w:val="none" w:sz="0" w:space="0" w:color="auto"/>
      </w:divBdr>
    </w:div>
    <w:div w:id="187529730">
      <w:bodyDiv w:val="1"/>
      <w:marLeft w:val="0"/>
      <w:marRight w:val="0"/>
      <w:marTop w:val="0"/>
      <w:marBottom w:val="0"/>
      <w:divBdr>
        <w:top w:val="none" w:sz="0" w:space="0" w:color="auto"/>
        <w:left w:val="none" w:sz="0" w:space="0" w:color="auto"/>
        <w:bottom w:val="none" w:sz="0" w:space="0" w:color="auto"/>
        <w:right w:val="none" w:sz="0" w:space="0" w:color="auto"/>
      </w:divBdr>
    </w:div>
    <w:div w:id="232085516">
      <w:bodyDiv w:val="1"/>
      <w:marLeft w:val="0"/>
      <w:marRight w:val="0"/>
      <w:marTop w:val="0"/>
      <w:marBottom w:val="0"/>
      <w:divBdr>
        <w:top w:val="none" w:sz="0" w:space="0" w:color="auto"/>
        <w:left w:val="none" w:sz="0" w:space="0" w:color="auto"/>
        <w:bottom w:val="none" w:sz="0" w:space="0" w:color="auto"/>
        <w:right w:val="none" w:sz="0" w:space="0" w:color="auto"/>
      </w:divBdr>
    </w:div>
    <w:div w:id="327178390">
      <w:bodyDiv w:val="1"/>
      <w:marLeft w:val="0"/>
      <w:marRight w:val="0"/>
      <w:marTop w:val="0"/>
      <w:marBottom w:val="0"/>
      <w:divBdr>
        <w:top w:val="none" w:sz="0" w:space="0" w:color="auto"/>
        <w:left w:val="none" w:sz="0" w:space="0" w:color="auto"/>
        <w:bottom w:val="none" w:sz="0" w:space="0" w:color="auto"/>
        <w:right w:val="none" w:sz="0" w:space="0" w:color="auto"/>
      </w:divBdr>
    </w:div>
    <w:div w:id="364019490">
      <w:bodyDiv w:val="1"/>
      <w:marLeft w:val="0"/>
      <w:marRight w:val="0"/>
      <w:marTop w:val="0"/>
      <w:marBottom w:val="0"/>
      <w:divBdr>
        <w:top w:val="none" w:sz="0" w:space="0" w:color="auto"/>
        <w:left w:val="none" w:sz="0" w:space="0" w:color="auto"/>
        <w:bottom w:val="none" w:sz="0" w:space="0" w:color="auto"/>
        <w:right w:val="none" w:sz="0" w:space="0" w:color="auto"/>
      </w:divBdr>
    </w:div>
    <w:div w:id="381441462">
      <w:bodyDiv w:val="1"/>
      <w:marLeft w:val="0"/>
      <w:marRight w:val="0"/>
      <w:marTop w:val="0"/>
      <w:marBottom w:val="0"/>
      <w:divBdr>
        <w:top w:val="none" w:sz="0" w:space="0" w:color="auto"/>
        <w:left w:val="none" w:sz="0" w:space="0" w:color="auto"/>
        <w:bottom w:val="none" w:sz="0" w:space="0" w:color="auto"/>
        <w:right w:val="none" w:sz="0" w:space="0" w:color="auto"/>
      </w:divBdr>
    </w:div>
    <w:div w:id="454953205">
      <w:bodyDiv w:val="1"/>
      <w:marLeft w:val="0"/>
      <w:marRight w:val="0"/>
      <w:marTop w:val="0"/>
      <w:marBottom w:val="0"/>
      <w:divBdr>
        <w:top w:val="none" w:sz="0" w:space="0" w:color="auto"/>
        <w:left w:val="none" w:sz="0" w:space="0" w:color="auto"/>
        <w:bottom w:val="none" w:sz="0" w:space="0" w:color="auto"/>
        <w:right w:val="none" w:sz="0" w:space="0" w:color="auto"/>
      </w:divBdr>
    </w:div>
    <w:div w:id="529956436">
      <w:bodyDiv w:val="1"/>
      <w:marLeft w:val="0"/>
      <w:marRight w:val="0"/>
      <w:marTop w:val="0"/>
      <w:marBottom w:val="0"/>
      <w:divBdr>
        <w:top w:val="none" w:sz="0" w:space="0" w:color="auto"/>
        <w:left w:val="none" w:sz="0" w:space="0" w:color="auto"/>
        <w:bottom w:val="none" w:sz="0" w:space="0" w:color="auto"/>
        <w:right w:val="none" w:sz="0" w:space="0" w:color="auto"/>
      </w:divBdr>
      <w:divsChild>
        <w:div w:id="1059552273">
          <w:marLeft w:val="0"/>
          <w:marRight w:val="0"/>
          <w:marTop w:val="0"/>
          <w:marBottom w:val="0"/>
          <w:divBdr>
            <w:top w:val="none" w:sz="0" w:space="0" w:color="auto"/>
            <w:left w:val="none" w:sz="0" w:space="0" w:color="auto"/>
            <w:bottom w:val="none" w:sz="0" w:space="0" w:color="auto"/>
            <w:right w:val="none" w:sz="0" w:space="0" w:color="auto"/>
          </w:divBdr>
          <w:divsChild>
            <w:div w:id="723453812">
              <w:marLeft w:val="0"/>
              <w:marRight w:val="0"/>
              <w:marTop w:val="0"/>
              <w:marBottom w:val="0"/>
              <w:divBdr>
                <w:top w:val="none" w:sz="0" w:space="0" w:color="auto"/>
                <w:left w:val="none" w:sz="0" w:space="0" w:color="auto"/>
                <w:bottom w:val="none" w:sz="0" w:space="0" w:color="auto"/>
                <w:right w:val="none" w:sz="0" w:space="0" w:color="auto"/>
              </w:divBdr>
            </w:div>
            <w:div w:id="2007980187">
              <w:marLeft w:val="0"/>
              <w:marRight w:val="0"/>
              <w:marTop w:val="0"/>
              <w:marBottom w:val="0"/>
              <w:divBdr>
                <w:top w:val="none" w:sz="0" w:space="0" w:color="auto"/>
                <w:left w:val="none" w:sz="0" w:space="0" w:color="auto"/>
                <w:bottom w:val="none" w:sz="0" w:space="0" w:color="auto"/>
                <w:right w:val="none" w:sz="0" w:space="0" w:color="auto"/>
              </w:divBdr>
            </w:div>
            <w:div w:id="1546016676">
              <w:marLeft w:val="0"/>
              <w:marRight w:val="0"/>
              <w:marTop w:val="0"/>
              <w:marBottom w:val="0"/>
              <w:divBdr>
                <w:top w:val="none" w:sz="0" w:space="0" w:color="auto"/>
                <w:left w:val="none" w:sz="0" w:space="0" w:color="auto"/>
                <w:bottom w:val="none" w:sz="0" w:space="0" w:color="auto"/>
                <w:right w:val="none" w:sz="0" w:space="0" w:color="auto"/>
              </w:divBdr>
            </w:div>
            <w:div w:id="1305771686">
              <w:marLeft w:val="0"/>
              <w:marRight w:val="0"/>
              <w:marTop w:val="0"/>
              <w:marBottom w:val="0"/>
              <w:divBdr>
                <w:top w:val="none" w:sz="0" w:space="0" w:color="auto"/>
                <w:left w:val="none" w:sz="0" w:space="0" w:color="auto"/>
                <w:bottom w:val="none" w:sz="0" w:space="0" w:color="auto"/>
                <w:right w:val="none" w:sz="0" w:space="0" w:color="auto"/>
              </w:divBdr>
            </w:div>
          </w:divsChild>
        </w:div>
        <w:div w:id="1043407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159454">
      <w:bodyDiv w:val="1"/>
      <w:marLeft w:val="0"/>
      <w:marRight w:val="0"/>
      <w:marTop w:val="0"/>
      <w:marBottom w:val="0"/>
      <w:divBdr>
        <w:top w:val="none" w:sz="0" w:space="0" w:color="auto"/>
        <w:left w:val="none" w:sz="0" w:space="0" w:color="auto"/>
        <w:bottom w:val="none" w:sz="0" w:space="0" w:color="auto"/>
        <w:right w:val="none" w:sz="0" w:space="0" w:color="auto"/>
      </w:divBdr>
      <w:divsChild>
        <w:div w:id="411859053">
          <w:marLeft w:val="0"/>
          <w:marRight w:val="0"/>
          <w:marTop w:val="0"/>
          <w:marBottom w:val="0"/>
          <w:divBdr>
            <w:top w:val="none" w:sz="0" w:space="0" w:color="auto"/>
            <w:left w:val="none" w:sz="0" w:space="0" w:color="auto"/>
            <w:bottom w:val="none" w:sz="0" w:space="0" w:color="auto"/>
            <w:right w:val="none" w:sz="0" w:space="0" w:color="auto"/>
          </w:divBdr>
          <w:divsChild>
            <w:div w:id="1148210756">
              <w:marLeft w:val="0"/>
              <w:marRight w:val="0"/>
              <w:marTop w:val="0"/>
              <w:marBottom w:val="0"/>
              <w:divBdr>
                <w:top w:val="none" w:sz="0" w:space="0" w:color="auto"/>
                <w:left w:val="none" w:sz="0" w:space="0" w:color="auto"/>
                <w:bottom w:val="none" w:sz="0" w:space="0" w:color="auto"/>
                <w:right w:val="none" w:sz="0" w:space="0" w:color="auto"/>
              </w:divBdr>
              <w:divsChild>
                <w:div w:id="1612779149">
                  <w:marLeft w:val="0"/>
                  <w:marRight w:val="0"/>
                  <w:marTop w:val="0"/>
                  <w:marBottom w:val="0"/>
                  <w:divBdr>
                    <w:top w:val="none" w:sz="0" w:space="0" w:color="auto"/>
                    <w:left w:val="none" w:sz="0" w:space="0" w:color="auto"/>
                    <w:bottom w:val="none" w:sz="0" w:space="0" w:color="auto"/>
                    <w:right w:val="none" w:sz="0" w:space="0" w:color="auto"/>
                  </w:divBdr>
                  <w:divsChild>
                    <w:div w:id="1755056274">
                      <w:marLeft w:val="0"/>
                      <w:marRight w:val="0"/>
                      <w:marTop w:val="0"/>
                      <w:marBottom w:val="0"/>
                      <w:divBdr>
                        <w:top w:val="none" w:sz="0" w:space="0" w:color="auto"/>
                        <w:left w:val="none" w:sz="0" w:space="0" w:color="auto"/>
                        <w:bottom w:val="none" w:sz="0" w:space="0" w:color="auto"/>
                        <w:right w:val="none" w:sz="0" w:space="0" w:color="auto"/>
                      </w:divBdr>
                      <w:divsChild>
                        <w:div w:id="1243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880392">
      <w:bodyDiv w:val="1"/>
      <w:marLeft w:val="0"/>
      <w:marRight w:val="0"/>
      <w:marTop w:val="0"/>
      <w:marBottom w:val="0"/>
      <w:divBdr>
        <w:top w:val="none" w:sz="0" w:space="0" w:color="auto"/>
        <w:left w:val="none" w:sz="0" w:space="0" w:color="auto"/>
        <w:bottom w:val="none" w:sz="0" w:space="0" w:color="auto"/>
        <w:right w:val="none" w:sz="0" w:space="0" w:color="auto"/>
      </w:divBdr>
    </w:div>
    <w:div w:id="711460308">
      <w:bodyDiv w:val="1"/>
      <w:marLeft w:val="0"/>
      <w:marRight w:val="0"/>
      <w:marTop w:val="0"/>
      <w:marBottom w:val="0"/>
      <w:divBdr>
        <w:top w:val="none" w:sz="0" w:space="0" w:color="auto"/>
        <w:left w:val="none" w:sz="0" w:space="0" w:color="auto"/>
        <w:bottom w:val="none" w:sz="0" w:space="0" w:color="auto"/>
        <w:right w:val="none" w:sz="0" w:space="0" w:color="auto"/>
      </w:divBdr>
    </w:div>
    <w:div w:id="718669564">
      <w:bodyDiv w:val="1"/>
      <w:marLeft w:val="0"/>
      <w:marRight w:val="0"/>
      <w:marTop w:val="0"/>
      <w:marBottom w:val="0"/>
      <w:divBdr>
        <w:top w:val="none" w:sz="0" w:space="0" w:color="auto"/>
        <w:left w:val="none" w:sz="0" w:space="0" w:color="auto"/>
        <w:bottom w:val="none" w:sz="0" w:space="0" w:color="auto"/>
        <w:right w:val="none" w:sz="0" w:space="0" w:color="auto"/>
      </w:divBdr>
    </w:div>
    <w:div w:id="763915604">
      <w:bodyDiv w:val="1"/>
      <w:marLeft w:val="0"/>
      <w:marRight w:val="0"/>
      <w:marTop w:val="0"/>
      <w:marBottom w:val="0"/>
      <w:divBdr>
        <w:top w:val="none" w:sz="0" w:space="0" w:color="auto"/>
        <w:left w:val="none" w:sz="0" w:space="0" w:color="auto"/>
        <w:bottom w:val="none" w:sz="0" w:space="0" w:color="auto"/>
        <w:right w:val="none" w:sz="0" w:space="0" w:color="auto"/>
      </w:divBdr>
      <w:divsChild>
        <w:div w:id="1405490782">
          <w:marLeft w:val="0"/>
          <w:marRight w:val="0"/>
          <w:marTop w:val="0"/>
          <w:marBottom w:val="0"/>
          <w:divBdr>
            <w:top w:val="none" w:sz="0" w:space="0" w:color="auto"/>
            <w:left w:val="none" w:sz="0" w:space="0" w:color="auto"/>
            <w:bottom w:val="none" w:sz="0" w:space="0" w:color="auto"/>
            <w:right w:val="none" w:sz="0" w:space="0" w:color="auto"/>
          </w:divBdr>
          <w:divsChild>
            <w:div w:id="1447310569">
              <w:marLeft w:val="0"/>
              <w:marRight w:val="0"/>
              <w:marTop w:val="0"/>
              <w:marBottom w:val="0"/>
              <w:divBdr>
                <w:top w:val="none" w:sz="0" w:space="0" w:color="auto"/>
                <w:left w:val="none" w:sz="0" w:space="0" w:color="auto"/>
                <w:bottom w:val="none" w:sz="0" w:space="0" w:color="auto"/>
                <w:right w:val="none" w:sz="0" w:space="0" w:color="auto"/>
              </w:divBdr>
              <w:divsChild>
                <w:div w:id="854996768">
                  <w:marLeft w:val="0"/>
                  <w:marRight w:val="0"/>
                  <w:marTop w:val="0"/>
                  <w:marBottom w:val="0"/>
                  <w:divBdr>
                    <w:top w:val="none" w:sz="0" w:space="0" w:color="auto"/>
                    <w:left w:val="none" w:sz="0" w:space="0" w:color="auto"/>
                    <w:bottom w:val="none" w:sz="0" w:space="0" w:color="auto"/>
                    <w:right w:val="none" w:sz="0" w:space="0" w:color="auto"/>
                  </w:divBdr>
                  <w:divsChild>
                    <w:div w:id="855731342">
                      <w:marLeft w:val="0"/>
                      <w:marRight w:val="0"/>
                      <w:marTop w:val="0"/>
                      <w:marBottom w:val="0"/>
                      <w:divBdr>
                        <w:top w:val="none" w:sz="0" w:space="0" w:color="auto"/>
                        <w:left w:val="none" w:sz="0" w:space="0" w:color="auto"/>
                        <w:bottom w:val="none" w:sz="0" w:space="0" w:color="auto"/>
                        <w:right w:val="none" w:sz="0" w:space="0" w:color="auto"/>
                      </w:divBdr>
                      <w:divsChild>
                        <w:div w:id="16273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042668">
      <w:bodyDiv w:val="1"/>
      <w:marLeft w:val="0"/>
      <w:marRight w:val="0"/>
      <w:marTop w:val="0"/>
      <w:marBottom w:val="0"/>
      <w:divBdr>
        <w:top w:val="none" w:sz="0" w:space="0" w:color="auto"/>
        <w:left w:val="none" w:sz="0" w:space="0" w:color="auto"/>
        <w:bottom w:val="none" w:sz="0" w:space="0" w:color="auto"/>
        <w:right w:val="none" w:sz="0" w:space="0" w:color="auto"/>
      </w:divBdr>
    </w:div>
    <w:div w:id="768624732">
      <w:bodyDiv w:val="1"/>
      <w:marLeft w:val="0"/>
      <w:marRight w:val="0"/>
      <w:marTop w:val="0"/>
      <w:marBottom w:val="0"/>
      <w:divBdr>
        <w:top w:val="none" w:sz="0" w:space="0" w:color="auto"/>
        <w:left w:val="none" w:sz="0" w:space="0" w:color="auto"/>
        <w:bottom w:val="none" w:sz="0" w:space="0" w:color="auto"/>
        <w:right w:val="none" w:sz="0" w:space="0" w:color="auto"/>
      </w:divBdr>
    </w:div>
    <w:div w:id="781077339">
      <w:bodyDiv w:val="1"/>
      <w:marLeft w:val="0"/>
      <w:marRight w:val="0"/>
      <w:marTop w:val="0"/>
      <w:marBottom w:val="0"/>
      <w:divBdr>
        <w:top w:val="none" w:sz="0" w:space="0" w:color="auto"/>
        <w:left w:val="none" w:sz="0" w:space="0" w:color="auto"/>
        <w:bottom w:val="none" w:sz="0" w:space="0" w:color="auto"/>
        <w:right w:val="none" w:sz="0" w:space="0" w:color="auto"/>
      </w:divBdr>
    </w:div>
    <w:div w:id="909539989">
      <w:bodyDiv w:val="1"/>
      <w:marLeft w:val="0"/>
      <w:marRight w:val="0"/>
      <w:marTop w:val="0"/>
      <w:marBottom w:val="0"/>
      <w:divBdr>
        <w:top w:val="none" w:sz="0" w:space="0" w:color="auto"/>
        <w:left w:val="none" w:sz="0" w:space="0" w:color="auto"/>
        <w:bottom w:val="none" w:sz="0" w:space="0" w:color="auto"/>
        <w:right w:val="none" w:sz="0" w:space="0" w:color="auto"/>
      </w:divBdr>
    </w:div>
    <w:div w:id="986667284">
      <w:bodyDiv w:val="1"/>
      <w:marLeft w:val="0"/>
      <w:marRight w:val="0"/>
      <w:marTop w:val="0"/>
      <w:marBottom w:val="0"/>
      <w:divBdr>
        <w:top w:val="none" w:sz="0" w:space="0" w:color="auto"/>
        <w:left w:val="none" w:sz="0" w:space="0" w:color="auto"/>
        <w:bottom w:val="none" w:sz="0" w:space="0" w:color="auto"/>
        <w:right w:val="none" w:sz="0" w:space="0" w:color="auto"/>
      </w:divBdr>
    </w:div>
    <w:div w:id="1060052251">
      <w:bodyDiv w:val="1"/>
      <w:marLeft w:val="0"/>
      <w:marRight w:val="0"/>
      <w:marTop w:val="0"/>
      <w:marBottom w:val="0"/>
      <w:divBdr>
        <w:top w:val="none" w:sz="0" w:space="0" w:color="auto"/>
        <w:left w:val="none" w:sz="0" w:space="0" w:color="auto"/>
        <w:bottom w:val="none" w:sz="0" w:space="0" w:color="auto"/>
        <w:right w:val="none" w:sz="0" w:space="0" w:color="auto"/>
      </w:divBdr>
    </w:div>
    <w:div w:id="1505172039">
      <w:bodyDiv w:val="1"/>
      <w:marLeft w:val="0"/>
      <w:marRight w:val="0"/>
      <w:marTop w:val="0"/>
      <w:marBottom w:val="0"/>
      <w:divBdr>
        <w:top w:val="none" w:sz="0" w:space="0" w:color="auto"/>
        <w:left w:val="none" w:sz="0" w:space="0" w:color="auto"/>
        <w:bottom w:val="none" w:sz="0" w:space="0" w:color="auto"/>
        <w:right w:val="none" w:sz="0" w:space="0" w:color="auto"/>
      </w:divBdr>
      <w:divsChild>
        <w:div w:id="7215114">
          <w:marLeft w:val="0"/>
          <w:marRight w:val="0"/>
          <w:marTop w:val="0"/>
          <w:marBottom w:val="0"/>
          <w:divBdr>
            <w:top w:val="none" w:sz="0" w:space="0" w:color="auto"/>
            <w:left w:val="none" w:sz="0" w:space="0" w:color="auto"/>
            <w:bottom w:val="none" w:sz="0" w:space="0" w:color="auto"/>
            <w:right w:val="none" w:sz="0" w:space="0" w:color="auto"/>
          </w:divBdr>
          <w:divsChild>
            <w:div w:id="393771307">
              <w:marLeft w:val="0"/>
              <w:marRight w:val="0"/>
              <w:marTop w:val="0"/>
              <w:marBottom w:val="0"/>
              <w:divBdr>
                <w:top w:val="none" w:sz="0" w:space="0" w:color="auto"/>
                <w:left w:val="none" w:sz="0" w:space="0" w:color="auto"/>
                <w:bottom w:val="none" w:sz="0" w:space="0" w:color="auto"/>
                <w:right w:val="none" w:sz="0" w:space="0" w:color="auto"/>
              </w:divBdr>
              <w:divsChild>
                <w:div w:id="1514613306">
                  <w:marLeft w:val="0"/>
                  <w:marRight w:val="0"/>
                  <w:marTop w:val="0"/>
                  <w:marBottom w:val="0"/>
                  <w:divBdr>
                    <w:top w:val="none" w:sz="0" w:space="0" w:color="auto"/>
                    <w:left w:val="none" w:sz="0" w:space="0" w:color="auto"/>
                    <w:bottom w:val="none" w:sz="0" w:space="0" w:color="auto"/>
                    <w:right w:val="none" w:sz="0" w:space="0" w:color="auto"/>
                  </w:divBdr>
                  <w:divsChild>
                    <w:div w:id="332345760">
                      <w:marLeft w:val="0"/>
                      <w:marRight w:val="0"/>
                      <w:marTop w:val="0"/>
                      <w:marBottom w:val="0"/>
                      <w:divBdr>
                        <w:top w:val="none" w:sz="0" w:space="0" w:color="auto"/>
                        <w:left w:val="none" w:sz="0" w:space="0" w:color="auto"/>
                        <w:bottom w:val="none" w:sz="0" w:space="0" w:color="auto"/>
                        <w:right w:val="none" w:sz="0" w:space="0" w:color="auto"/>
                      </w:divBdr>
                      <w:divsChild>
                        <w:div w:id="7338203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92760">
      <w:bodyDiv w:val="1"/>
      <w:marLeft w:val="0"/>
      <w:marRight w:val="0"/>
      <w:marTop w:val="0"/>
      <w:marBottom w:val="0"/>
      <w:divBdr>
        <w:top w:val="none" w:sz="0" w:space="0" w:color="auto"/>
        <w:left w:val="none" w:sz="0" w:space="0" w:color="auto"/>
        <w:bottom w:val="none" w:sz="0" w:space="0" w:color="auto"/>
        <w:right w:val="none" w:sz="0" w:space="0" w:color="auto"/>
      </w:divBdr>
    </w:div>
    <w:div w:id="1661230175">
      <w:bodyDiv w:val="1"/>
      <w:marLeft w:val="0"/>
      <w:marRight w:val="0"/>
      <w:marTop w:val="0"/>
      <w:marBottom w:val="0"/>
      <w:divBdr>
        <w:top w:val="none" w:sz="0" w:space="0" w:color="auto"/>
        <w:left w:val="none" w:sz="0" w:space="0" w:color="auto"/>
        <w:bottom w:val="none" w:sz="0" w:space="0" w:color="auto"/>
        <w:right w:val="none" w:sz="0" w:space="0" w:color="auto"/>
      </w:divBdr>
    </w:div>
    <w:div w:id="1701660692">
      <w:bodyDiv w:val="1"/>
      <w:marLeft w:val="0"/>
      <w:marRight w:val="0"/>
      <w:marTop w:val="0"/>
      <w:marBottom w:val="0"/>
      <w:divBdr>
        <w:top w:val="none" w:sz="0" w:space="0" w:color="auto"/>
        <w:left w:val="none" w:sz="0" w:space="0" w:color="auto"/>
        <w:bottom w:val="none" w:sz="0" w:space="0" w:color="auto"/>
        <w:right w:val="none" w:sz="0" w:space="0" w:color="auto"/>
      </w:divBdr>
      <w:divsChild>
        <w:div w:id="1570186363">
          <w:blockQuote w:val="1"/>
          <w:marLeft w:val="720"/>
          <w:marRight w:val="720"/>
          <w:marTop w:val="100"/>
          <w:marBottom w:val="100"/>
          <w:divBdr>
            <w:top w:val="none" w:sz="0" w:space="0" w:color="auto"/>
            <w:left w:val="none" w:sz="0" w:space="0" w:color="auto"/>
            <w:bottom w:val="none" w:sz="0" w:space="0" w:color="auto"/>
            <w:right w:val="none" w:sz="0" w:space="0" w:color="auto"/>
          </w:divBdr>
        </w:div>
        <w:div w:id="92807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7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88128">
      <w:bodyDiv w:val="1"/>
      <w:marLeft w:val="0"/>
      <w:marRight w:val="0"/>
      <w:marTop w:val="0"/>
      <w:marBottom w:val="0"/>
      <w:divBdr>
        <w:top w:val="none" w:sz="0" w:space="0" w:color="auto"/>
        <w:left w:val="none" w:sz="0" w:space="0" w:color="auto"/>
        <w:bottom w:val="none" w:sz="0" w:space="0" w:color="auto"/>
        <w:right w:val="none" w:sz="0" w:space="0" w:color="auto"/>
      </w:divBdr>
    </w:div>
    <w:div w:id="19975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ustice.vic.gov.au/justi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dicialcollege.vic.edu.au/bench-books-open-courts-bench-boo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reform.vic.gov.au/publication/contempt-of-court-report/14-take-down-orders/" TargetMode="External"/><Relationship Id="rId5" Type="http://schemas.openxmlformats.org/officeDocument/2006/relationships/webSettings" Target="webSettings.xml"/><Relationship Id="rId15" Type="http://schemas.openxmlformats.org/officeDocument/2006/relationships/hyperlink" Target="mailto:childwitnessservice@justice.vic.gov.au" TargetMode="External"/><Relationship Id="rId10" Type="http://schemas.openxmlformats.org/officeDocument/2006/relationships/hyperlink" Target="https://www.childrenscourt.vic.gov.au/court-forms/general-for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orrookforjustice.org.au/wp-content/uploads/2023/08/Yoorrook-for-justice-report.pdf" TargetMode="External"/><Relationship Id="rId14" Type="http://schemas.openxmlformats.org/officeDocument/2006/relationships/hyperlink" Target="http://www.rvahj.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AD7D2-C546-4F6F-B9CF-40155F75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31908</Words>
  <Characters>181882</Characters>
  <Application>Microsoft Office Word</Application>
  <DocSecurity>0</DocSecurity>
  <Lines>1515</Lines>
  <Paragraphs>426</Paragraphs>
  <ScaleCrop>false</ScaleCrop>
  <HeadingPairs>
    <vt:vector size="2" baseType="variant">
      <vt:variant>
        <vt:lpstr>Title</vt:lpstr>
      </vt:variant>
      <vt:variant>
        <vt:i4>1</vt:i4>
      </vt:variant>
    </vt:vector>
  </HeadingPairs>
  <TitlesOfParts>
    <vt:vector size="1" baseType="lpstr">
      <vt:lpstr>2</vt:lpstr>
    </vt:vector>
  </TitlesOfParts>
  <Company>Hewlett-Packard</Company>
  <LinksUpToDate>false</LinksUpToDate>
  <CharactersWithSpaces>213364</CharactersWithSpaces>
  <SharedDoc>false</SharedDoc>
  <HLinks>
    <vt:vector size="168" baseType="variant">
      <vt:variant>
        <vt:i4>327713</vt:i4>
      </vt:variant>
      <vt:variant>
        <vt:i4>84</vt:i4>
      </vt:variant>
      <vt:variant>
        <vt:i4>0</vt:i4>
      </vt:variant>
      <vt:variant>
        <vt:i4>5</vt:i4>
      </vt:variant>
      <vt:variant>
        <vt:lpwstr>mailto:childwitnessservice@justice.vic.gov.au</vt:lpwstr>
      </vt:variant>
      <vt:variant>
        <vt:lpwstr/>
      </vt:variant>
      <vt:variant>
        <vt:i4>1310793</vt:i4>
      </vt:variant>
      <vt:variant>
        <vt:i4>81</vt:i4>
      </vt:variant>
      <vt:variant>
        <vt:i4>0</vt:i4>
      </vt:variant>
      <vt:variant>
        <vt:i4>5</vt:i4>
      </vt:variant>
      <vt:variant>
        <vt:lpwstr>http://www.rvahj.org.au/</vt:lpwstr>
      </vt:variant>
      <vt:variant>
        <vt:lpwstr/>
      </vt:variant>
      <vt:variant>
        <vt:i4>6619258</vt:i4>
      </vt:variant>
      <vt:variant>
        <vt:i4>78</vt:i4>
      </vt:variant>
      <vt:variant>
        <vt:i4>0</vt:i4>
      </vt:variant>
      <vt:variant>
        <vt:i4>5</vt:i4>
      </vt:variant>
      <vt:variant>
        <vt:lpwstr>http://www.justice.vic.gov.au/justices</vt:lpwstr>
      </vt:variant>
      <vt:variant>
        <vt:lpwstr/>
      </vt:variant>
      <vt:variant>
        <vt:i4>2752514</vt:i4>
      </vt:variant>
      <vt:variant>
        <vt:i4>72</vt:i4>
      </vt:variant>
      <vt:variant>
        <vt:i4>0</vt:i4>
      </vt:variant>
      <vt:variant>
        <vt:i4>5</vt:i4>
      </vt:variant>
      <vt:variant>
        <vt:lpwstr/>
      </vt:variant>
      <vt:variant>
        <vt:lpwstr>_2.10.6_Salvation_Army</vt:lpwstr>
      </vt:variant>
      <vt:variant>
        <vt:i4>7995503</vt:i4>
      </vt:variant>
      <vt:variant>
        <vt:i4>69</vt:i4>
      </vt:variant>
      <vt:variant>
        <vt:i4>0</vt:i4>
      </vt:variant>
      <vt:variant>
        <vt:i4>5</vt:i4>
      </vt:variant>
      <vt:variant>
        <vt:lpwstr/>
      </vt:variant>
      <vt:variant>
        <vt:lpwstr>_2.10.5_Interpreters</vt:lpwstr>
      </vt:variant>
      <vt:variant>
        <vt:i4>1769533</vt:i4>
      </vt:variant>
      <vt:variant>
        <vt:i4>66</vt:i4>
      </vt:variant>
      <vt:variant>
        <vt:i4>0</vt:i4>
      </vt:variant>
      <vt:variant>
        <vt:i4>5</vt:i4>
      </vt:variant>
      <vt:variant>
        <vt:lpwstr/>
      </vt:variant>
      <vt:variant>
        <vt:lpwstr>_2.10.4_Victoria_Legal</vt:lpwstr>
      </vt:variant>
      <vt:variant>
        <vt:i4>983054</vt:i4>
      </vt:variant>
      <vt:variant>
        <vt:i4>63</vt:i4>
      </vt:variant>
      <vt:variant>
        <vt:i4>0</vt:i4>
      </vt:variant>
      <vt:variant>
        <vt:i4>5</vt:i4>
      </vt:variant>
      <vt:variant>
        <vt:lpwstr/>
      </vt:variant>
      <vt:variant>
        <vt:lpwstr>_2.10.3_Court_Network_1</vt:lpwstr>
      </vt:variant>
      <vt:variant>
        <vt:i4>6094971</vt:i4>
      </vt:variant>
      <vt:variant>
        <vt:i4>60</vt:i4>
      </vt:variant>
      <vt:variant>
        <vt:i4>0</vt:i4>
      </vt:variant>
      <vt:variant>
        <vt:i4>5</vt:i4>
      </vt:variant>
      <vt:variant>
        <vt:lpwstr/>
      </vt:variant>
      <vt:variant>
        <vt:lpwstr>_2.10.2_Child_Witness</vt:lpwstr>
      </vt:variant>
      <vt:variant>
        <vt:i4>5505124</vt:i4>
      </vt:variant>
      <vt:variant>
        <vt:i4>57</vt:i4>
      </vt:variant>
      <vt:variant>
        <vt:i4>0</vt:i4>
      </vt:variant>
      <vt:variant>
        <vt:i4>5</vt:i4>
      </vt:variant>
      <vt:variant>
        <vt:lpwstr/>
      </vt:variant>
      <vt:variant>
        <vt:lpwstr>_2.10.1_Youth_Justice</vt:lpwstr>
      </vt:variant>
      <vt:variant>
        <vt:i4>1900590</vt:i4>
      </vt:variant>
      <vt:variant>
        <vt:i4>54</vt:i4>
      </vt:variant>
      <vt:variant>
        <vt:i4>0</vt:i4>
      </vt:variant>
      <vt:variant>
        <vt:i4>5</vt:i4>
      </vt:variant>
      <vt:variant>
        <vt:lpwstr/>
      </vt:variant>
      <vt:variant>
        <vt:lpwstr>_2.10_Court_services</vt:lpwstr>
      </vt:variant>
      <vt:variant>
        <vt:i4>5111862</vt:i4>
      </vt:variant>
      <vt:variant>
        <vt:i4>51</vt:i4>
      </vt:variant>
      <vt:variant>
        <vt:i4>0</vt:i4>
      </vt:variant>
      <vt:variant>
        <vt:i4>5</vt:i4>
      </vt:variant>
      <vt:variant>
        <vt:lpwstr/>
      </vt:variant>
      <vt:variant>
        <vt:lpwstr>_2.9_Bail_justices</vt:lpwstr>
      </vt:variant>
      <vt:variant>
        <vt:i4>1966116</vt:i4>
      </vt:variant>
      <vt:variant>
        <vt:i4>48</vt:i4>
      </vt:variant>
      <vt:variant>
        <vt:i4>0</vt:i4>
      </vt:variant>
      <vt:variant>
        <vt:i4>5</vt:i4>
      </vt:variant>
      <vt:variant>
        <vt:lpwstr/>
      </vt:variant>
      <vt:variant>
        <vt:lpwstr>_2.8.3_Section_10(5)</vt:lpwstr>
      </vt:variant>
      <vt:variant>
        <vt:i4>4456500</vt:i4>
      </vt:variant>
      <vt:variant>
        <vt:i4>45</vt:i4>
      </vt:variant>
      <vt:variant>
        <vt:i4>0</vt:i4>
      </vt:variant>
      <vt:variant>
        <vt:i4>5</vt:i4>
      </vt:variant>
      <vt:variant>
        <vt:lpwstr/>
      </vt:variant>
      <vt:variant>
        <vt:lpwstr>_2.8.2_Suppression_orders</vt:lpwstr>
      </vt:variant>
      <vt:variant>
        <vt:i4>5374010</vt:i4>
      </vt:variant>
      <vt:variant>
        <vt:i4>42</vt:i4>
      </vt:variant>
      <vt:variant>
        <vt:i4>0</vt:i4>
      </vt:variant>
      <vt:variant>
        <vt:i4>5</vt:i4>
      </vt:variant>
      <vt:variant>
        <vt:lpwstr/>
      </vt:variant>
      <vt:variant>
        <vt:lpwstr>_2.8.1_Statutory_prohibition</vt:lpwstr>
      </vt:variant>
      <vt:variant>
        <vt:i4>7471122</vt:i4>
      </vt:variant>
      <vt:variant>
        <vt:i4>39</vt:i4>
      </vt:variant>
      <vt:variant>
        <vt:i4>0</vt:i4>
      </vt:variant>
      <vt:variant>
        <vt:i4>5</vt:i4>
      </vt:variant>
      <vt:variant>
        <vt:lpwstr/>
      </vt:variant>
      <vt:variant>
        <vt:lpwstr>_2.8_Restriction_on</vt:lpwstr>
      </vt:variant>
      <vt:variant>
        <vt:i4>1638468</vt:i4>
      </vt:variant>
      <vt:variant>
        <vt:i4>36</vt:i4>
      </vt:variant>
      <vt:variant>
        <vt:i4>0</vt:i4>
      </vt:variant>
      <vt:variant>
        <vt:i4>5</vt:i4>
      </vt:variant>
      <vt:variant>
        <vt:lpwstr/>
      </vt:variant>
      <vt:variant>
        <vt:lpwstr>_2.7.5_Media_applications_1</vt:lpwstr>
      </vt:variant>
      <vt:variant>
        <vt:i4>4653111</vt:i4>
      </vt:variant>
      <vt:variant>
        <vt:i4>33</vt:i4>
      </vt:variant>
      <vt:variant>
        <vt:i4>0</vt:i4>
      </vt:variant>
      <vt:variant>
        <vt:i4>5</vt:i4>
      </vt:variant>
      <vt:variant>
        <vt:lpwstr/>
      </vt:variant>
      <vt:variant>
        <vt:lpwstr>_2.7.4_Media_applications</vt:lpwstr>
      </vt:variant>
      <vt:variant>
        <vt:i4>3997784</vt:i4>
      </vt:variant>
      <vt:variant>
        <vt:i4>30</vt:i4>
      </vt:variant>
      <vt:variant>
        <vt:i4>0</vt:i4>
      </vt:variant>
      <vt:variant>
        <vt:i4>5</vt:i4>
      </vt:variant>
      <vt:variant>
        <vt:lpwstr/>
      </vt:variant>
      <vt:variant>
        <vt:lpwstr>_2.7.3_Pseudonym_orders</vt:lpwstr>
      </vt:variant>
      <vt:variant>
        <vt:i4>4653119</vt:i4>
      </vt:variant>
      <vt:variant>
        <vt:i4>27</vt:i4>
      </vt:variant>
      <vt:variant>
        <vt:i4>0</vt:i4>
      </vt:variant>
      <vt:variant>
        <vt:i4>5</vt:i4>
      </vt:variant>
      <vt:variant>
        <vt:lpwstr/>
      </vt:variant>
      <vt:variant>
        <vt:lpwstr>_2.7.2_Sections_28</vt:lpwstr>
      </vt:variant>
      <vt:variant>
        <vt:i4>2424851</vt:i4>
      </vt:variant>
      <vt:variant>
        <vt:i4>24</vt:i4>
      </vt:variant>
      <vt:variant>
        <vt:i4>0</vt:i4>
      </vt:variant>
      <vt:variant>
        <vt:i4>5</vt:i4>
      </vt:variant>
      <vt:variant>
        <vt:lpwstr/>
      </vt:variant>
      <vt:variant>
        <vt:lpwstr>_2.7.1_Section_523</vt:lpwstr>
      </vt:variant>
      <vt:variant>
        <vt:i4>7733252</vt:i4>
      </vt:variant>
      <vt:variant>
        <vt:i4>21</vt:i4>
      </vt:variant>
      <vt:variant>
        <vt:i4>0</vt:i4>
      </vt:variant>
      <vt:variant>
        <vt:i4>5</vt:i4>
      </vt:variant>
      <vt:variant>
        <vt:lpwstr/>
      </vt:variant>
      <vt:variant>
        <vt:lpwstr>_2.7_The_Court</vt:lpwstr>
      </vt:variant>
      <vt:variant>
        <vt:i4>327786</vt:i4>
      </vt:variant>
      <vt:variant>
        <vt:i4>18</vt:i4>
      </vt:variant>
      <vt:variant>
        <vt:i4>0</vt:i4>
      </vt:variant>
      <vt:variant>
        <vt:i4>5</vt:i4>
      </vt:variant>
      <vt:variant>
        <vt:lpwstr/>
      </vt:variant>
      <vt:variant>
        <vt:lpwstr>_2.6_A_specialist</vt:lpwstr>
      </vt:variant>
      <vt:variant>
        <vt:i4>4390946</vt:i4>
      </vt:variant>
      <vt:variant>
        <vt:i4>15</vt:i4>
      </vt:variant>
      <vt:variant>
        <vt:i4>0</vt:i4>
      </vt:variant>
      <vt:variant>
        <vt:i4>5</vt:i4>
      </vt:variant>
      <vt:variant>
        <vt:lpwstr/>
      </vt:variant>
      <vt:variant>
        <vt:lpwstr>_2.5_Venues_of</vt:lpwstr>
      </vt:variant>
      <vt:variant>
        <vt:i4>1310838</vt:i4>
      </vt:variant>
      <vt:variant>
        <vt:i4>12</vt:i4>
      </vt:variant>
      <vt:variant>
        <vt:i4>0</vt:i4>
      </vt:variant>
      <vt:variant>
        <vt:i4>5</vt:i4>
      </vt:variant>
      <vt:variant>
        <vt:lpwstr/>
      </vt:variant>
      <vt:variant>
        <vt:lpwstr>_2.4_Divisions_of</vt:lpwstr>
      </vt:variant>
      <vt:variant>
        <vt:i4>3539017</vt:i4>
      </vt:variant>
      <vt:variant>
        <vt:i4>9</vt:i4>
      </vt:variant>
      <vt:variant>
        <vt:i4>0</vt:i4>
      </vt:variant>
      <vt:variant>
        <vt:i4>5</vt:i4>
      </vt:variant>
      <vt:variant>
        <vt:lpwstr/>
      </vt:variant>
      <vt:variant>
        <vt:lpwstr>_2.3_Organisational_structure</vt:lpwstr>
      </vt:variant>
      <vt:variant>
        <vt:i4>5439543</vt:i4>
      </vt:variant>
      <vt:variant>
        <vt:i4>6</vt:i4>
      </vt:variant>
      <vt:variant>
        <vt:i4>0</vt:i4>
      </vt:variant>
      <vt:variant>
        <vt:i4>5</vt:i4>
      </vt:variant>
      <vt:variant>
        <vt:lpwstr/>
      </vt:variant>
      <vt:variant>
        <vt:lpwstr>_2.2_Judicial_&amp;</vt:lpwstr>
      </vt:variant>
      <vt:variant>
        <vt:i4>5308518</vt:i4>
      </vt:variant>
      <vt:variant>
        <vt:i4>3</vt:i4>
      </vt:variant>
      <vt:variant>
        <vt:i4>0</vt:i4>
      </vt:variant>
      <vt:variant>
        <vt:i4>5</vt:i4>
      </vt:variant>
      <vt:variant>
        <vt:lpwstr/>
      </vt:variant>
      <vt:variant>
        <vt:lpwstr>_2.1_Establishment,_Vision</vt:lpwstr>
      </vt:variant>
      <vt:variant>
        <vt:i4>983091</vt:i4>
      </vt:variant>
      <vt:variant>
        <vt:i4>0</vt:i4>
      </vt:variant>
      <vt:variant>
        <vt:i4>0</vt:i4>
      </vt:variant>
      <vt:variant>
        <vt:i4>5</vt:i4>
      </vt:variant>
      <vt:variant>
        <vt:lpwstr/>
      </vt:variant>
      <vt:variant>
        <vt:lpwstr>_2.__COURT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Peter Power</dc:creator>
  <cp:keywords/>
  <cp:lastModifiedBy>Peter Power (CSV)</cp:lastModifiedBy>
  <cp:revision>2</cp:revision>
  <cp:lastPrinted>2024-10-17T21:22:00Z</cp:lastPrinted>
  <dcterms:created xsi:type="dcterms:W3CDTF">2024-10-17T22:15:00Z</dcterms:created>
  <dcterms:modified xsi:type="dcterms:W3CDTF">2024-10-17T22:15:00Z</dcterms:modified>
</cp:coreProperties>
</file>