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CF42" w14:textId="7B5A862B"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565B63" w:rsidRDefault="00D7335E">
      <w:pPr>
        <w:jc w:val="both"/>
        <w:rPr>
          <w:rFonts w:ascii="Arial" w:hAnsi="Arial" w:cs="Arial"/>
          <w:b/>
          <w:sz w:val="12"/>
          <w:szCs w:val="20"/>
        </w:rPr>
      </w:pPr>
    </w:p>
    <w:p w14:paraId="036920E8" w14:textId="77777777" w:rsidR="00D7335E" w:rsidRPr="00A87562" w:rsidRDefault="00D7335E">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308A072B" w14:textId="5DF12E70" w:rsidR="003032AA" w:rsidRPr="00E25B40" w:rsidRDefault="003032AA" w:rsidP="004A6074">
      <w:pPr>
        <w:pBdr>
          <w:top w:val="single" w:sz="4" w:space="1" w:color="auto"/>
          <w:left w:val="single" w:sz="4" w:space="4" w:color="auto"/>
          <w:bottom w:val="single" w:sz="4" w:space="1" w:color="auto"/>
          <w:right w:val="single" w:sz="4" w:space="4" w:color="auto"/>
        </w:pBdr>
        <w:spacing w:before="10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4A6074">
      <w:pPr>
        <w:pStyle w:val="Heading3"/>
        <w:pBdr>
          <w:top w:val="single" w:sz="4" w:space="1" w:color="auto"/>
          <w:left w:val="single" w:sz="4" w:space="4" w:color="auto"/>
          <w:bottom w:val="single" w:sz="4" w:space="1" w:color="auto"/>
          <w:right w:val="single" w:sz="4" w:space="4" w:color="auto"/>
        </w:pBdr>
        <w:spacing w:before="10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4A6074">
      <w:pPr>
        <w:pBdr>
          <w:top w:val="single" w:sz="4" w:space="1" w:color="auto"/>
          <w:left w:val="single" w:sz="4" w:space="4" w:color="auto"/>
          <w:bottom w:val="single" w:sz="4" w:space="1" w:color="auto"/>
          <w:right w:val="single" w:sz="4" w:space="4" w:color="auto"/>
        </w:pBdr>
        <w:spacing w:before="10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D01EA6F" w14:textId="644BF2FD"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4A6074">
      <w:pPr>
        <w:pBdr>
          <w:top w:val="single" w:sz="4" w:space="1" w:color="auto"/>
          <w:left w:val="single" w:sz="4" w:space="4" w:color="auto"/>
          <w:bottom w:val="single" w:sz="4" w:space="1" w:color="auto"/>
          <w:right w:val="single" w:sz="4" w:space="4" w:color="auto"/>
        </w:pBdr>
        <w:spacing w:before="10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4A6074">
      <w:pPr>
        <w:pBdr>
          <w:top w:val="single" w:sz="4" w:space="1" w:color="auto"/>
          <w:left w:val="single" w:sz="4" w:space="4" w:color="auto"/>
          <w:bottom w:val="single" w:sz="4" w:space="1" w:color="auto"/>
          <w:right w:val="single" w:sz="4" w:space="4" w:color="auto"/>
        </w:pBdr>
        <w:spacing w:before="10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w:t>
        </w:r>
        <w:r w:rsidR="00904A21" w:rsidRPr="00904A21">
          <w:rPr>
            <w:rStyle w:val="Hyperlink"/>
            <w:rFonts w:ascii="Arial" w:hAnsi="Arial" w:cs="Arial"/>
            <w:b/>
            <w:color w:val="0000FF"/>
            <w:sz w:val="20"/>
            <w:szCs w:val="20"/>
            <w:u w:val="none"/>
          </w:rPr>
          <w:t>f</w:t>
        </w:r>
        <w:r w:rsidR="00904A21" w:rsidRPr="00904A21">
          <w:rPr>
            <w:rStyle w:val="Hyperlink"/>
            <w:rFonts w:ascii="Arial" w:hAnsi="Arial" w:cs="Arial"/>
            <w:b/>
            <w:color w:val="0000FF"/>
            <w:sz w:val="20"/>
            <w:szCs w:val="20"/>
            <w:u w:val="none"/>
          </w:rPr>
          <w:t xml:space="preserve"> mental im</w:t>
        </w:r>
        <w:r w:rsidR="00904A21" w:rsidRPr="00904A21">
          <w:rPr>
            <w:rStyle w:val="Hyperlink"/>
            <w:rFonts w:ascii="Arial" w:hAnsi="Arial" w:cs="Arial"/>
            <w:b/>
            <w:color w:val="0000FF"/>
            <w:sz w:val="20"/>
            <w:szCs w:val="20"/>
            <w:u w:val="none"/>
          </w:rPr>
          <w:t>p</w:t>
        </w:r>
        <w:r w:rsidR="00904A21" w:rsidRPr="00904A21">
          <w:rPr>
            <w:rStyle w:val="Hyperlink"/>
            <w:rFonts w:ascii="Arial" w:hAnsi="Arial" w:cs="Arial"/>
            <w:b/>
            <w:color w:val="0000FF"/>
            <w:sz w:val="20"/>
            <w:szCs w:val="20"/>
            <w:u w:val="none"/>
          </w:rPr>
          <w:t>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7FB6BC98" w:rsidR="00275AD9" w:rsidRPr="00684F48"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INCOMPATIBILITY_OF" w:history="1">
        <w:r w:rsidRPr="002A36D4">
          <w:rPr>
            <w:rStyle w:val="Hyperlink"/>
            <w:rFonts w:ascii="Arial" w:hAnsi="Arial" w:cs="Arial"/>
            <w:b/>
            <w:color w:val="FFFFFF" w:themeColor="background1"/>
            <w:sz w:val="20"/>
            <w:szCs w:val="20"/>
            <w:u w:val="none"/>
            <w:shd w:val="clear" w:color="auto" w:fill="000000" w:themeFill="text1"/>
          </w:rPr>
          <w:t>I</w:t>
        </w:r>
        <w:r w:rsidRPr="00684F48">
          <w:rPr>
            <w:rStyle w:val="Hyperlink"/>
            <w:rFonts w:ascii="Arial" w:hAnsi="Arial" w:cs="Arial"/>
            <w:b/>
            <w:color w:val="0000FF"/>
            <w:sz w:val="20"/>
            <w:szCs w:val="20"/>
            <w:u w:val="none"/>
          </w:rPr>
          <w:tab/>
          <w:t>Incompatibility of diversion and licence cancellation/suspension</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4966C7B7" w14:textId="20B4E227" w:rsidR="00275AD9" w:rsidRPr="0082031D"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hyperlink w:anchor="_K_STATISTICS" w:history="1">
        <w:r w:rsidRPr="002A36D4">
          <w:rPr>
            <w:rStyle w:val="Hyperlink"/>
            <w:rFonts w:ascii="Arial" w:hAnsi="Arial" w:cs="Arial"/>
            <w:b/>
            <w:color w:val="FFFFFF" w:themeColor="background1"/>
            <w:sz w:val="20"/>
            <w:szCs w:val="20"/>
            <w:u w:val="none"/>
            <w:shd w:val="clear" w:color="auto" w:fill="000000" w:themeFill="text1"/>
          </w:rPr>
          <w:t>K</w:t>
        </w:r>
        <w:r w:rsidRPr="00684F48">
          <w:rPr>
            <w:rStyle w:val="Hyperlink"/>
            <w:rFonts w:ascii="Arial" w:hAnsi="Arial" w:cs="Arial"/>
            <w:b/>
            <w:color w:val="0000FF"/>
            <w:sz w:val="20"/>
            <w:szCs w:val="20"/>
            <w:u w:val="none"/>
          </w:rPr>
          <w:tab/>
        </w:r>
        <w:r w:rsidRPr="0082031D">
          <w:rPr>
            <w:rStyle w:val="Hyperlink"/>
            <w:rFonts w:ascii="Arial" w:hAnsi="Arial" w:cs="Arial"/>
            <w:b/>
            <w:color w:val="0000FF"/>
            <w:sz w:val="20"/>
            <w:szCs w:val="20"/>
            <w:u w:val="none"/>
          </w:rPr>
          <w:t>Statistics</w:t>
        </w:r>
      </w:hyperlink>
    </w:p>
    <w:p w14:paraId="5654B527" w14:textId="5B0860FF"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7B75A8" w:rsidRPr="002A36D4">
        <w:rPr>
          <w:rStyle w:val="Hyperlink"/>
          <w:rFonts w:ascii="Arial" w:hAnsi="Arial" w:cs="Arial"/>
          <w:b/>
          <w:color w:val="FFFFFF" w:themeColor="background1"/>
          <w:sz w:val="20"/>
          <w:szCs w:val="20"/>
          <w:u w:val="none"/>
          <w:shd w:val="clear" w:color="auto" w:fill="000000" w:themeFill="text1"/>
        </w:rPr>
        <w:t>L</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 xml:space="preserve">Section 522A(1)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522A(2)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142EDC7C" w14:textId="297B6335" w:rsidR="001243AC" w:rsidRDefault="001243AC" w:rsidP="00D6714D">
      <w:pPr>
        <w:jc w:val="both"/>
        <w:rPr>
          <w:rFonts w:ascii="Arial" w:hAnsi="Arial" w:cs="Arial"/>
          <w:sz w:val="20"/>
        </w:rPr>
      </w:pPr>
    </w:p>
    <w:p w14:paraId="7D99B9FF" w14:textId="27F6AACB" w:rsidR="008808B1" w:rsidRDefault="008808B1" w:rsidP="00D6714D">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4392E67D" w14:textId="0BDA3AA4" w:rsidR="008808B1" w:rsidRDefault="008808B1" w:rsidP="008808B1">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decided to re-examine. Common sense was jettisoned. This was an unnecessary and hazardous course. The prosecutor responded to defence counsel’s mild suggestion that the complainant was ‘making up’ his evidence, and decided to ‘up the ante’. The following irresponsible re-examination occurred</w:t>
      </w:r>
      <w:r>
        <w:rPr>
          <w:rFonts w:ascii="Arial" w:hAnsi="Arial" w:cs="Arial"/>
          <w:sz w:val="20"/>
          <w:szCs w:val="20"/>
        </w:rPr>
        <w:t>..</w:t>
      </w:r>
      <w:r w:rsidRPr="008808B1">
        <w:rPr>
          <w:rFonts w:ascii="Arial" w:hAnsi="Arial" w:cs="Arial"/>
          <w:sz w:val="20"/>
          <w:szCs w:val="20"/>
        </w:rPr>
        <w:t xml:space="preserve">. </w:t>
      </w:r>
    </w:p>
    <w:p w14:paraId="5B57CCBF" w14:textId="74E599A2"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63726E24" w14:textId="55C74BEC"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1E011FD9" w14:textId="0F7998C2" w:rsidR="008808B1" w:rsidRPr="0048594F"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sidR="0048594F">
        <w:rPr>
          <w:rFonts w:ascii="Arial" w:hAnsi="Arial" w:cs="Arial"/>
          <w:sz w:val="20"/>
          <w:szCs w:val="20"/>
        </w:rPr>
        <w:noBreakHyphen/>
      </w:r>
      <w:r w:rsidRPr="0048594F">
        <w:rPr>
          <w:rFonts w:ascii="Arial" w:hAnsi="Arial" w:cs="Arial"/>
          <w:sz w:val="20"/>
          <w:szCs w:val="20"/>
        </w:rPr>
        <w:t>4; [1983] HCA 427 Deane J said:</w:t>
      </w:r>
    </w:p>
    <w:p w14:paraId="34D0F4EA" w14:textId="4CE63BB5" w:rsidR="008808B1" w:rsidRDefault="0048594F" w:rsidP="0048594F">
      <w:pPr>
        <w:pStyle w:val="NormalWeb"/>
        <w:spacing w:before="60" w:beforeAutospacing="0" w:after="0" w:afterAutospacing="0"/>
        <w:ind w:left="1021" w:right="1021"/>
        <w:jc w:val="both"/>
        <w:rPr>
          <w:rFonts w:ascii="Arial" w:hAnsi="Arial" w:cs="Arial"/>
          <w:sz w:val="20"/>
          <w:szCs w:val="20"/>
        </w:rPr>
      </w:pPr>
      <w:r w:rsidRPr="008808B1">
        <w:rPr>
          <w:rFonts w:ascii="Arial" w:hAnsi="Arial" w:cs="Arial"/>
          <w:sz w:val="20"/>
          <w:szCs w:val="20"/>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27A56439" w14:textId="3A3FC157" w:rsidR="008808B1" w:rsidRP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74831AA5" w14:textId="77777777" w:rsidR="008808B1" w:rsidRDefault="008808B1" w:rsidP="00D6714D">
      <w:pPr>
        <w:jc w:val="both"/>
        <w:rPr>
          <w:rFonts w:ascii="Arial" w:hAnsi="Arial" w:cs="Arial"/>
          <w:sz w:val="20"/>
        </w:rPr>
      </w:pPr>
    </w:p>
    <w:p w14:paraId="0C89EFFB" w14:textId="5B66DCBB" w:rsidR="00D6714D" w:rsidRDefault="00D6714D" w:rsidP="00D6714D">
      <w:pPr>
        <w:jc w:val="both"/>
        <w:rPr>
          <w:rFonts w:ascii="Arial" w:hAnsi="Arial" w:cs="Arial"/>
          <w:sz w:val="20"/>
        </w:rPr>
      </w:pPr>
      <w:r>
        <w:rPr>
          <w:rFonts w:ascii="Arial" w:hAnsi="Arial" w:cs="Arial"/>
          <w:sz w:val="20"/>
        </w:rPr>
        <w:t xml:space="preserve">Other important obligations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lastRenderedPageBreak/>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5CF9A47D" w14:textId="77777777" w:rsidR="00ED017F" w:rsidRDefault="00ED017F"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exist</w:t>
      </w:r>
      <w:r w:rsidR="00E637A9">
        <w:rPr>
          <w:rFonts w:ascii="Arial" w:hAnsi="Arial" w:cs="Arial"/>
          <w:sz w:val="20"/>
          <w:szCs w:val="20"/>
        </w:rPr>
        <w:t>: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proofErr w:type="gramStart"/>
      <w:r w:rsidR="005E3696">
        <w:rPr>
          <w:rFonts w:ascii="Arial" w:hAnsi="Arial" w:cs="Arial"/>
          <w:color w:val="000000"/>
          <w:sz w:val="20"/>
        </w:rPr>
        <w:t>16 &amp; 17 year olds</w:t>
      </w:r>
      <w:proofErr w:type="gramEnd"/>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 xml:space="preserve">356A(1)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for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City">
        <w:smartTag w:uri="urn:schemas-microsoft-com:office:smarttags" w:element="place">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lastRenderedPageBreak/>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5C5E3E">
      <w:pPr>
        <w:pStyle w:val="Heading3"/>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lastRenderedPageBreak/>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w:t>
      </w:r>
      <w:r w:rsidR="00E52E84" w:rsidRPr="00E52E84">
        <w:rPr>
          <w:rFonts w:ascii="Arial" w:hAnsi="Arial" w:cs="Arial"/>
          <w:sz w:val="20"/>
          <w:szCs w:val="20"/>
        </w:rPr>
        <w:lastRenderedPageBreak/>
        <w:t xml:space="preserve">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 xml:space="preserve">t is perhaps </w:t>
      </w:r>
      <w:r w:rsidRPr="002537F1">
        <w:rPr>
          <w:rFonts w:ascii="Arial" w:hAnsi="Arial" w:cs="Arial"/>
          <w:sz w:val="20"/>
          <w:szCs w:val="20"/>
        </w:rPr>
        <w:lastRenderedPageBreak/>
        <w:t>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 do not consider that the classification of 'exceptional circumstances' in s.134(3)(b) is limited to the circumstances of the charge.  In my view, it includes the circumstances of the </w:t>
      </w:r>
      <w:r>
        <w:rPr>
          <w:rFonts w:ascii="Arial" w:hAnsi="Arial" w:cs="Arial"/>
          <w:sz w:val="20"/>
        </w:rPr>
        <w:lastRenderedPageBreak/>
        <w:t>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w:t>
      </w:r>
      <w:proofErr w:type="spellStart"/>
      <w:r w:rsidR="005C0825" w:rsidRPr="005C0825">
        <w:rPr>
          <w:rFonts w:ascii="Arial" w:hAnsi="Arial" w:cs="Arial"/>
          <w:color w:val="000000"/>
          <w:sz w:val="20"/>
        </w:rPr>
        <w:t>Lasry</w:t>
      </w:r>
      <w:proofErr w:type="spellEnd"/>
      <w:r w:rsidR="005C0825" w:rsidRPr="005C0825">
        <w:rPr>
          <w:rFonts w:ascii="Arial" w:hAnsi="Arial" w:cs="Arial"/>
          <w:color w:val="000000"/>
          <w:sz w:val="20"/>
        </w:rPr>
        <w:t xml:space="preserve">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w:t>
      </w:r>
      <w:proofErr w:type="spellStart"/>
      <w:r w:rsidRPr="005C0825">
        <w:rPr>
          <w:rFonts w:ascii="Arial" w:hAnsi="Arial" w:cs="Arial"/>
          <w:color w:val="000000"/>
          <w:sz w:val="20"/>
        </w:rPr>
        <w:t>Lasry</w:t>
      </w:r>
      <w:proofErr w:type="spellEnd"/>
      <w:r w:rsidRPr="005C0825">
        <w:rPr>
          <w:rFonts w:ascii="Arial" w:hAnsi="Arial" w:cs="Arial"/>
          <w:color w:val="000000"/>
          <w:sz w:val="20"/>
        </w:rPr>
        <w:t xml:space="preserve">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w:t>
      </w:r>
      <w:proofErr w:type="spellStart"/>
      <w:r w:rsidRPr="009831B9">
        <w:rPr>
          <w:rFonts w:ascii="Arial" w:hAnsi="Arial" w:cs="Arial"/>
          <w:i/>
          <w:color w:val="000000"/>
          <w:sz w:val="20"/>
        </w:rPr>
        <w:t>Ors</w:t>
      </w:r>
      <w:proofErr w:type="spellEnd"/>
      <w:r w:rsidRPr="009831B9">
        <w:rPr>
          <w:rFonts w:ascii="Arial" w:hAnsi="Arial" w:cs="Arial"/>
          <w:i/>
          <w:color w:val="000000"/>
          <w:sz w:val="20"/>
        </w:rPr>
        <w:t xml:space="preserve"> </w:t>
      </w:r>
      <w:r w:rsidRPr="009831B9">
        <w:rPr>
          <w:rFonts w:ascii="Arial" w:hAnsi="Arial" w:cs="Arial"/>
          <w:color w:val="000000"/>
          <w:sz w:val="20"/>
        </w:rPr>
        <w:t xml:space="preserve">[2010] VSC 517 at [66], </w:t>
      </w:r>
      <w:proofErr w:type="spellStart"/>
      <w:r w:rsidRPr="009831B9">
        <w:rPr>
          <w:rFonts w:ascii="Arial" w:hAnsi="Arial" w:cs="Arial"/>
          <w:color w:val="000000"/>
          <w:sz w:val="20"/>
        </w:rPr>
        <w:t>Lasry</w:t>
      </w:r>
      <w:proofErr w:type="spellEnd"/>
      <w:r w:rsidRPr="009831B9">
        <w:rPr>
          <w:rFonts w:ascii="Arial" w:hAnsi="Arial" w:cs="Arial"/>
          <w:color w:val="000000"/>
          <w:sz w:val="20"/>
        </w:rPr>
        <w:t xml:space="preserve">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lastRenderedPageBreak/>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 xml:space="preserve">A Child v A Magistrate of the Children’s Court &amp; </w:t>
      </w:r>
      <w:proofErr w:type="spellStart"/>
      <w:r w:rsidRPr="00174761">
        <w:rPr>
          <w:rFonts w:ascii="Arial" w:hAnsi="Arial" w:cs="Arial"/>
          <w:i/>
          <w:color w:val="000000"/>
          <w:sz w:val="20"/>
        </w:rPr>
        <w:t>Ors</w:t>
      </w:r>
      <w:proofErr w:type="spellEnd"/>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 xml:space="preserve">DL (A Minor by his Litigation Guardian) &amp; </w:t>
      </w:r>
      <w:proofErr w:type="spellStart"/>
      <w:r w:rsidRPr="00174761">
        <w:rPr>
          <w:rFonts w:ascii="Arial" w:hAnsi="Arial" w:cs="Arial"/>
          <w:i/>
          <w:color w:val="000000"/>
          <w:sz w:val="20"/>
        </w:rPr>
        <w:t>Ors</w:t>
      </w:r>
      <w:proofErr w:type="spellEnd"/>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 xml:space="preserve">DL (A Minor by his Litigation Guardian) &amp; </w:t>
      </w:r>
      <w:proofErr w:type="spellStart"/>
      <w:r w:rsidRPr="00174761">
        <w:rPr>
          <w:rFonts w:ascii="Arial" w:hAnsi="Arial" w:cs="Arial"/>
          <w:i/>
          <w:color w:val="000000"/>
          <w:sz w:val="20"/>
        </w:rPr>
        <w:t>Ors</w:t>
      </w:r>
      <w:proofErr w:type="spellEnd"/>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w:t>
      </w:r>
      <w:r w:rsidRPr="00174761">
        <w:rPr>
          <w:rFonts w:ascii="Arial" w:hAnsi="Arial" w:cs="Arial"/>
          <w:color w:val="000000"/>
          <w:sz w:val="20"/>
        </w:rPr>
        <w:lastRenderedPageBreak/>
        <w:t>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lastRenderedPageBreak/>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 xml:space="preserve">on an agreed basis other than as outlined in these reasons, then the question of jurisdiction may need to be further considered.  If this were to occur following committal, </w:t>
      </w:r>
      <w:r w:rsidR="00CE17AB">
        <w:rPr>
          <w:rFonts w:ascii="Arial" w:hAnsi="Arial" w:cs="Arial"/>
          <w:color w:val="000000"/>
          <w:sz w:val="20"/>
        </w:rPr>
        <w:lastRenderedPageBreak/>
        <w:t>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w:t>
      </w:r>
      <w:proofErr w:type="spellStart"/>
      <w:r w:rsidR="008D722E" w:rsidRPr="00CB6410">
        <w:rPr>
          <w:rFonts w:ascii="Arial" w:hAnsi="Arial" w:cs="Arial"/>
          <w:b/>
          <w:bCs/>
          <w:i/>
          <w:iCs/>
          <w:color w:val="000000"/>
          <w:sz w:val="20"/>
          <w:u w:val="single"/>
        </w:rPr>
        <w:t>O</w:t>
      </w:r>
      <w:r w:rsidRPr="00CB6410">
        <w:rPr>
          <w:rFonts w:ascii="Arial" w:hAnsi="Arial" w:cs="Arial"/>
          <w:b/>
          <w:bCs/>
          <w:i/>
          <w:iCs/>
          <w:color w:val="000000"/>
          <w:sz w:val="20"/>
          <w:u w:val="single"/>
        </w:rPr>
        <w:t>rs</w:t>
      </w:r>
      <w:proofErr w:type="spellEnd"/>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 xml:space="preserve">A Child v A Magistrate of the Children’s Court and </w:t>
      </w:r>
      <w:proofErr w:type="spellStart"/>
      <w:r w:rsidRPr="00C85D23">
        <w:rPr>
          <w:rFonts w:ascii="Arial" w:hAnsi="Arial" w:cs="Arial"/>
          <w:i/>
          <w:iCs/>
          <w:sz w:val="20"/>
          <w:szCs w:val="20"/>
        </w:rPr>
        <w:t>Ors</w:t>
      </w:r>
      <w:proofErr w:type="spellEnd"/>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w:t>
      </w:r>
      <w:r w:rsidRPr="00C85D23">
        <w:rPr>
          <w:rFonts w:ascii="Arial" w:hAnsi="Arial" w:cs="Arial"/>
          <w:sz w:val="20"/>
          <w:szCs w:val="20"/>
        </w:rPr>
        <w:lastRenderedPageBreak/>
        <w:t>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lastRenderedPageBreak/>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 xml:space="preserve">In forming this view I have </w:t>
      </w:r>
      <w:proofErr w:type="gramStart"/>
      <w:r w:rsidRPr="00F658D3">
        <w:rPr>
          <w:rFonts w:ascii="Arial" w:hAnsi="Arial" w:cs="Arial"/>
          <w:sz w:val="20"/>
          <w:szCs w:val="20"/>
        </w:rPr>
        <w:t>taken into account</w:t>
      </w:r>
      <w:proofErr w:type="gramEnd"/>
      <w:r w:rsidRPr="00F658D3">
        <w:rPr>
          <w:rFonts w:ascii="Arial" w:hAnsi="Arial" w:cs="Arial"/>
          <w:sz w:val="20"/>
          <w:szCs w:val="20"/>
        </w:rPr>
        <w:t xml:space="preserve">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77777777"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168A(1) </w:t>
      </w:r>
      <w:r w:rsidR="004468BB" w:rsidRPr="00CC7A4B">
        <w:rPr>
          <w:rFonts w:ascii="Arial" w:hAnsi="Arial" w:cs="Arial"/>
          <w:sz w:val="20"/>
          <w:szCs w:val="20"/>
        </w:rPr>
        <w:t xml:space="preserve">&amp; 168A(2)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lastRenderedPageBreak/>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 xml:space="preserve">I consider the test to be a ‘relatively </w:t>
      </w:r>
      <w:r w:rsidR="00661B16" w:rsidRPr="00F97E14">
        <w:rPr>
          <w:rFonts w:ascii="Arial" w:hAnsi="Arial" w:cs="Arial"/>
          <w:b/>
          <w:bCs/>
          <w:color w:val="000000"/>
          <w:sz w:val="20"/>
        </w:rPr>
        <w:lastRenderedPageBreak/>
        <w:t>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8" w:name="_10.1.7_Transfer_of"/>
      <w:bookmarkEnd w:id="78"/>
      <w:r>
        <w:rPr>
          <w:rFonts w:ascii="Arial" w:hAnsi="Arial" w:cs="Arial"/>
          <w:b/>
          <w:bCs/>
          <w:sz w:val="20"/>
        </w:rPr>
        <w:lastRenderedPageBreak/>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052C1053" w14:textId="77777777" w:rsidR="00D20C86" w:rsidRDefault="00D20C86" w:rsidP="00D20C86">
      <w:pPr>
        <w:jc w:val="both"/>
        <w:rPr>
          <w:rFonts w:ascii="Arial" w:hAnsi="Arial" w:cs="Arial"/>
          <w:sz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79" w:name="_10.2_Committal_proceedings"/>
      <w:bookmarkEnd w:id="79"/>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0" w:name="_10.2.1_Purposes"/>
      <w:bookmarkEnd w:id="80"/>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1" w:name="_10.2.2_Nature_of"/>
      <w:bookmarkEnd w:id="81"/>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 xml:space="preserve">Mokbel v DPP (Vic) &amp; </w:t>
      </w:r>
      <w:proofErr w:type="spellStart"/>
      <w:r w:rsidR="00D2564A" w:rsidRPr="00D2564A">
        <w:rPr>
          <w:rFonts w:ascii="Arial" w:hAnsi="Arial" w:cs="Arial"/>
          <w:i/>
          <w:sz w:val="20"/>
        </w:rPr>
        <w:t>Ors</w:t>
      </w:r>
      <w:proofErr w:type="spellEnd"/>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2" w:name="_10.2.3_Hearings,_case"/>
      <w:bookmarkEnd w:id="82"/>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3"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3"/>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4" w:name="_10.2.4_Joint_committal"/>
      <w:bookmarkEnd w:id="84"/>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s’ Court.  Section 516</w:t>
      </w:r>
      <w:proofErr w:type="gramStart"/>
      <w:r w:rsidR="00D21213">
        <w:rPr>
          <w:rFonts w:ascii="Arial" w:hAnsi="Arial" w:cs="Arial"/>
          <w:sz w:val="20"/>
        </w:rPr>
        <w:t>A(</w:t>
      </w:r>
      <w:proofErr w:type="gramEnd"/>
      <w:r w:rsidR="00D21213">
        <w:rPr>
          <w:rFonts w:ascii="Arial" w:hAnsi="Arial" w:cs="Arial"/>
          <w:sz w:val="20"/>
        </w:rPr>
        <w:t xml:space="preserve">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5" w:name="_10.2.5_Determination_of"/>
      <w:bookmarkEnd w:id="85"/>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Street">
        <w:smartTag w:uri="urn:schemas-microsoft-com:office:smarttags" w:element="address">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6"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6"/>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7" w:name="_10.2.6_Effect_of"/>
      <w:bookmarkEnd w:id="87"/>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place">
        <w:smartTag w:uri="urn:schemas-microsoft-com:office:smarttags" w:element="country-region">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8" w:name="_10.2.7_Taking_evidence"/>
      <w:bookmarkEnd w:id="88"/>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w:t>
      </w:r>
      <w:proofErr w:type="spellStart"/>
      <w:r>
        <w:rPr>
          <w:rFonts w:ascii="Arial" w:hAnsi="Arial" w:cs="Arial"/>
          <w:i/>
          <w:sz w:val="20"/>
        </w:rPr>
        <w:t>Ors</w:t>
      </w:r>
      <w:proofErr w:type="spellEnd"/>
      <w:r>
        <w:rPr>
          <w:rFonts w:ascii="Arial" w:hAnsi="Arial" w:cs="Arial"/>
          <w:i/>
          <w:sz w:val="20"/>
        </w:rPr>
        <w:t xml:space="preserve">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89" w:name="_Toc30691450"/>
      <w:bookmarkStart w:id="90" w:name="_Toc30691829"/>
      <w:bookmarkStart w:id="91" w:name="_Toc30692209"/>
      <w:bookmarkStart w:id="92" w:name="_Toc30692967"/>
      <w:bookmarkStart w:id="93" w:name="_Toc30693346"/>
      <w:bookmarkStart w:id="94" w:name="_Toc30693724"/>
      <w:bookmarkStart w:id="95" w:name="_Toc30694102"/>
      <w:bookmarkStart w:id="96" w:name="_Toc30694482"/>
      <w:bookmarkStart w:id="97" w:name="_Toc30699072"/>
      <w:bookmarkStart w:id="98" w:name="_Toc30699457"/>
      <w:bookmarkStart w:id="99" w:name="_Toc30699842"/>
      <w:bookmarkStart w:id="100" w:name="_Toc30700997"/>
      <w:bookmarkStart w:id="101" w:name="_Toc30701384"/>
      <w:bookmarkStart w:id="102" w:name="_Toc30743989"/>
      <w:bookmarkStart w:id="103" w:name="_Toc30754812"/>
      <w:bookmarkStart w:id="104" w:name="_Toc30757268"/>
      <w:bookmarkStart w:id="105" w:name="_Toc30757816"/>
      <w:bookmarkStart w:id="106" w:name="_Toc30758216"/>
      <w:bookmarkStart w:id="107" w:name="_Toc30762977"/>
      <w:bookmarkStart w:id="108" w:name="_Toc30767631"/>
      <w:bookmarkStart w:id="109"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0" w:name="_Fast_tracking_of"/>
      <w:bookmarkStart w:id="111" w:name="_10.2.8_Fast_tracking"/>
      <w:bookmarkEnd w:id="110"/>
      <w:bookmarkEnd w:id="111"/>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2" w:name="_Committal_and_‘uplift’"/>
      <w:bookmarkEnd w:id="112"/>
    </w:p>
    <w:p w14:paraId="34DC7D39" w14:textId="0A5A3097" w:rsidR="00634DDC" w:rsidRPr="00634DDC" w:rsidRDefault="008A267A" w:rsidP="008A267A">
      <w:pPr>
        <w:pStyle w:val="Heading3"/>
        <w:spacing w:line="240" w:lineRule="auto"/>
        <w:rPr>
          <w:rFonts w:ascii="Arial" w:hAnsi="Arial" w:cs="Arial"/>
          <w:b/>
          <w:bCs/>
          <w:sz w:val="20"/>
          <w:szCs w:val="16"/>
        </w:rPr>
      </w:pPr>
      <w:bookmarkStart w:id="113" w:name="_10.2.9_Committal_and"/>
      <w:bookmarkEnd w:id="113"/>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65B7D873" w:rsidR="00890B4D" w:rsidRDefault="00890B4D" w:rsidP="00CE2EA1">
            <w:pPr>
              <w:pStyle w:val="ListParagraph"/>
              <w:spacing w:before="120"/>
              <w:ind w:left="0"/>
              <w:jc w:val="center"/>
              <w:rPr>
                <w:b/>
                <w:bCs/>
                <w:sz w:val="20"/>
                <w:szCs w:val="20"/>
              </w:rPr>
            </w:pPr>
            <w:r>
              <w:rPr>
                <w:b/>
                <w:bCs/>
                <w:sz w:val="20"/>
                <w:szCs w:val="20"/>
              </w:rPr>
              <w:t>0</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77777777" w:rsidR="0060404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75CCC3DA" w:rsidR="00604042" w:rsidRDefault="00604042" w:rsidP="00CE2EA1">
            <w:pPr>
              <w:pStyle w:val="ListParagraph"/>
              <w:spacing w:before="120"/>
              <w:ind w:left="0"/>
              <w:jc w:val="center"/>
              <w:rPr>
                <w:b/>
                <w:bCs/>
                <w:sz w:val="20"/>
                <w:szCs w:val="20"/>
              </w:rPr>
            </w:pPr>
            <w:r>
              <w:rPr>
                <w:b/>
                <w:bCs/>
                <w:sz w:val="20"/>
                <w:szCs w:val="20"/>
              </w:rPr>
              <w:t>6</w:t>
            </w:r>
            <w:r w:rsidR="008B58A9">
              <w:rPr>
                <w:b/>
                <w:bCs/>
                <w:sz w:val="20"/>
                <w:szCs w:val="20"/>
              </w:rPr>
              <w:t>8</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5045A00F"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63 young people who were </w:t>
      </w:r>
      <w:r w:rsidR="00604042">
        <w:rPr>
          <w:rFonts w:ascii="Arial" w:hAnsi="Arial" w:cs="Arial"/>
          <w:sz w:val="20"/>
        </w:rPr>
        <w:t>the subjects of committal orders made by the Children’s Court statewide from 2013/14 to 2021/22.  It does not distinguish between those of the 6</w:t>
      </w:r>
      <w:r w:rsidR="00301A91">
        <w:rPr>
          <w:rFonts w:ascii="Arial" w:hAnsi="Arial" w:cs="Arial"/>
          <w:sz w:val="20"/>
        </w:rPr>
        <w:t>8</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0997DCFF"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for the 47 young persons who were aged 16 or 17 and lists the major charge on which each young person was committed.</w:t>
      </w:r>
      <w:r w:rsidR="00B50ABC">
        <w:rPr>
          <w:rFonts w:ascii="Arial" w:hAnsi="Arial" w:cs="Arial"/>
          <w:sz w:val="20"/>
          <w:szCs w:val="20"/>
        </w:rPr>
        <w:t xml:space="preserve">  The lilac boxes in this Table indicate that 14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D3D6530" w:rsidR="00DC0B3F" w:rsidRPr="00B148B3" w:rsidRDefault="00DC0B3F" w:rsidP="00DD16AF">
            <w:pPr>
              <w:spacing w:before="80"/>
              <w:jc w:val="center"/>
              <w:rPr>
                <w:b/>
                <w:bCs/>
              </w:rPr>
            </w:pPr>
            <w:r w:rsidRPr="00B148B3">
              <w:rPr>
                <w:b/>
                <w:bCs/>
              </w:rPr>
              <w:t>CCV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77777777" w:rsidR="00DC0B3F" w:rsidRPr="00622A59" w:rsidRDefault="00DC0B3F" w:rsidP="00CE2EA1">
            <w:pPr>
              <w:spacing w:before="80"/>
              <w:jc w:val="center"/>
              <w:rPr>
                <w:b/>
                <w:bCs/>
              </w:rPr>
            </w:pPr>
            <w:r w:rsidRPr="00622A59">
              <w:rPr>
                <w:b/>
                <w:bCs/>
              </w:rPr>
              <w:t xml:space="preserve">EXIT </w:t>
            </w:r>
            <w:r>
              <w:rPr>
                <w:b/>
                <w:bCs/>
              </w:rPr>
              <w:t>CCV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77777777" w:rsidR="00DC0B3F" w:rsidRPr="00622A59" w:rsidRDefault="00DC0B3F" w:rsidP="00CE2EA1">
            <w:pPr>
              <w:jc w:val="center"/>
              <w:rPr>
                <w:b/>
                <w:bCs/>
                <w:sz w:val="20"/>
                <w:szCs w:val="20"/>
              </w:rPr>
            </w:pPr>
            <w:r>
              <w:rPr>
                <w:b/>
                <w:bCs/>
                <w:sz w:val="20"/>
                <w:szCs w:val="20"/>
              </w:rPr>
              <w:t>Transfer back to CCV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77777777" w:rsidR="00DC0B3F" w:rsidRPr="00622A59" w:rsidRDefault="00DC0B3F" w:rsidP="00CE2EA1">
            <w:pPr>
              <w:jc w:val="center"/>
              <w:rPr>
                <w:b/>
                <w:bCs/>
                <w:sz w:val="20"/>
                <w:szCs w:val="20"/>
              </w:rPr>
            </w:pPr>
            <w:r>
              <w:rPr>
                <w:b/>
                <w:bCs/>
                <w:sz w:val="20"/>
                <w:szCs w:val="20"/>
              </w:rPr>
              <w:t>Transfer back to CCV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05091C16" w:rsidR="00440183" w:rsidRPr="00440183" w:rsidRDefault="00440183" w:rsidP="001A4B0E">
      <w:pPr>
        <w:keepNext/>
        <w:keepLines/>
        <w:jc w:val="both"/>
        <w:rPr>
          <w:rFonts w:ascii="Arial" w:hAnsi="Arial" w:cs="Arial"/>
          <w:sz w:val="20"/>
          <w:szCs w:val="20"/>
        </w:rPr>
      </w:pPr>
      <w:r w:rsidRPr="003B1103">
        <w:rPr>
          <w:rFonts w:ascii="Arial" w:hAnsi="Arial" w:cs="Arial"/>
          <w:b/>
          <w:bCs/>
          <w:sz w:val="20"/>
          <w:szCs w:val="20"/>
        </w:rPr>
        <w:lastRenderedPageBreak/>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CCV’s own research.  It details the 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 xml:space="preserve">In the </w:t>
      </w:r>
      <w:proofErr w:type="gramStart"/>
      <w:r w:rsidRPr="001D3D77">
        <w:rPr>
          <w:rFonts w:ascii="Arial" w:hAnsi="Arial" w:cs="Arial"/>
          <w:sz w:val="20"/>
          <w:szCs w:val="20"/>
        </w:rPr>
        <w:t>3 year</w:t>
      </w:r>
      <w:proofErr w:type="gramEnd"/>
      <w:r w:rsidRPr="001D3D77">
        <w:rPr>
          <w:rFonts w:ascii="Arial" w:hAnsi="Arial" w:cs="Arial"/>
          <w:sz w:val="20"/>
          <w:szCs w:val="20"/>
        </w:rPr>
        <w:t xml:space="preserve">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 xml:space="preserve">2 were transferred back to the CCV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0CF7A796"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CCV</w:t>
      </w:r>
      <w:r w:rsidR="00BF122D">
        <w:rPr>
          <w:rFonts w:ascii="Arial" w:hAnsi="Arial" w:cs="Arial"/>
          <w:sz w:val="20"/>
          <w:szCs w:val="20"/>
        </w:rPr>
        <w:t>–</w:t>
      </w:r>
    </w:p>
    <w:p w14:paraId="069C9959" w14:textId="34A98B9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6FF57A19"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4"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p w14:paraId="22F82D7F" w14:textId="7FDDE3E7"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p>
    <w:p w14:paraId="6D14361C" w14:textId="77777777" w:rsidR="00BF122D" w:rsidRDefault="00BF122D" w:rsidP="00D20C86">
      <w:pPr>
        <w:rPr>
          <w:rFonts w:ascii="Arial" w:hAnsi="Arial" w:cs="Arial"/>
          <w:sz w:val="20"/>
          <w:szCs w:val="20"/>
        </w:rPr>
      </w:pPr>
    </w:p>
    <w:bookmarkEnd w:id="114"/>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5" w:name="_10.3_Criminal_Division"/>
      <w:bookmarkEnd w:id="115"/>
      <w:r>
        <w:rPr>
          <w:rFonts w:ascii="Arial" w:hAnsi="Arial" w:cs="Arial"/>
          <w:b/>
          <w:bCs/>
        </w:rPr>
        <w:lastRenderedPageBreak/>
        <w:t>10.3</w:t>
      </w:r>
      <w:r>
        <w:rPr>
          <w:rFonts w:ascii="Arial" w:hAnsi="Arial" w:cs="Arial"/>
          <w:b/>
          <w:bCs/>
        </w:rPr>
        <w:tab/>
        <w:t>Criminal Division summary proceedings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6" w:name="_10.3.1_Jurisdiction"/>
      <w:bookmarkStart w:id="117" w:name="_Toc30743990"/>
      <w:bookmarkStart w:id="118" w:name="_Toc30754813"/>
      <w:bookmarkStart w:id="119" w:name="_Toc30757269"/>
      <w:bookmarkStart w:id="120" w:name="_Toc30757817"/>
      <w:bookmarkStart w:id="121" w:name="_Toc30758217"/>
      <w:bookmarkStart w:id="122" w:name="_Toc30762978"/>
      <w:bookmarkStart w:id="123" w:name="_Toc30767632"/>
      <w:bookmarkStart w:id="124" w:name="_Toc34823650"/>
      <w:bookmarkEnd w:id="116"/>
      <w:r>
        <w:rPr>
          <w:rFonts w:ascii="Arial" w:hAnsi="Arial" w:cs="Arial"/>
          <w:b/>
          <w:bCs/>
          <w:sz w:val="20"/>
        </w:rPr>
        <w:t>10.3.1</w:t>
      </w:r>
      <w:r>
        <w:rPr>
          <w:rFonts w:ascii="Arial" w:hAnsi="Arial" w:cs="Arial"/>
          <w:b/>
          <w:bCs/>
          <w:sz w:val="20"/>
        </w:rPr>
        <w:tab/>
        <w:t>Jurisdiction</w:t>
      </w:r>
      <w:bookmarkEnd w:id="117"/>
      <w:bookmarkEnd w:id="118"/>
      <w:bookmarkEnd w:id="119"/>
      <w:bookmarkEnd w:id="120"/>
      <w:bookmarkEnd w:id="121"/>
      <w:bookmarkEnd w:id="122"/>
      <w:bookmarkEnd w:id="123"/>
      <w:bookmarkEnd w:id="124"/>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5" w:name="_10.3.2_Transfer_of"/>
      <w:bookmarkEnd w:id="125"/>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6" w:name="_10.3.2_Hearings"/>
      <w:bookmarkStart w:id="127" w:name="_Toc30743991"/>
      <w:bookmarkStart w:id="128" w:name="_Toc30754814"/>
      <w:bookmarkStart w:id="129" w:name="_Toc30757270"/>
      <w:bookmarkStart w:id="130" w:name="_Toc30757818"/>
      <w:bookmarkStart w:id="131" w:name="_Toc30758218"/>
      <w:bookmarkStart w:id="132" w:name="_Toc30762979"/>
      <w:bookmarkStart w:id="133" w:name="_Toc30767633"/>
      <w:bookmarkStart w:id="134" w:name="_Toc34823651"/>
      <w:bookmarkEnd w:id="126"/>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7"/>
      <w:bookmarkEnd w:id="128"/>
      <w:bookmarkEnd w:id="129"/>
      <w:bookmarkEnd w:id="130"/>
      <w:bookmarkEnd w:id="131"/>
      <w:bookmarkEnd w:id="132"/>
      <w:bookmarkEnd w:id="133"/>
      <w:bookmarkEnd w:id="134"/>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5" w:name="_10.3.2.1_Mention"/>
      <w:bookmarkEnd w:id="135"/>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6" w:name="_10.3.2.2_Divers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7" w:name="_10.3.2.3_Summary_case"/>
      <w:bookmarkEnd w:id="137"/>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8" w:name="_10.3.2.3_Contest_mention"/>
      <w:bookmarkEnd w:id="138"/>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39" w:name="_10.3.2.4_Contested_hearing"/>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0" w:name="_10.3.3.5A_Contested_hearing"/>
      <w:bookmarkEnd w:id="140"/>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w:t>
            </w:r>
            <w:proofErr w:type="gramStart"/>
            <w:r>
              <w:rPr>
                <w:rFonts w:ascii="Arial" w:hAnsi="Arial" w:cs="Arial"/>
                <w:sz w:val="20"/>
              </w:rPr>
              <w:t>for</w:t>
            </w:r>
            <w:proofErr w:type="gramEnd"/>
            <w:r>
              <w:rPr>
                <w:rFonts w:ascii="Arial" w:hAnsi="Arial" w:cs="Arial"/>
                <w:sz w:val="20"/>
              </w:rPr>
              <w:t xml:space="preserve">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1"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1"/>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w:t>
      </w:r>
      <w:proofErr w:type="spellStart"/>
      <w:r w:rsidRPr="005C40A1">
        <w:rPr>
          <w:rFonts w:ascii="Arial" w:hAnsi="Arial" w:cs="Arial"/>
          <w:i/>
          <w:color w:val="000000"/>
          <w:sz w:val="20"/>
        </w:rPr>
        <w:t>Ors</w:t>
      </w:r>
      <w:proofErr w:type="spellEnd"/>
      <w:r w:rsidRPr="005C40A1">
        <w:rPr>
          <w:rFonts w:ascii="Arial" w:hAnsi="Arial" w:cs="Arial"/>
          <w:i/>
          <w:color w:val="000000"/>
          <w:sz w:val="20"/>
        </w:rPr>
        <w:t xml:space="preserve">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2" w:name="_10.3.3.5B_Contested_hearing"/>
      <w:bookmarkStart w:id="143" w:name="_Hlk155616675"/>
      <w:bookmarkEnd w:id="142"/>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3"/>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4"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Pr="00852046" w:rsidRDefault="00852046" w:rsidP="00302C9E">
      <w:pPr>
        <w:jc w:val="both"/>
        <w:rPr>
          <w:rFonts w:ascii="Arial" w:hAnsi="Arial" w:cs="Arial"/>
          <w:sz w:val="20"/>
          <w:szCs w:val="20"/>
        </w:rPr>
      </w:pPr>
      <w:bookmarkStart w:id="145" w:name="_Hlk170306861"/>
    </w:p>
    <w:bookmarkEnd w:id="144"/>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6"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6"/>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5"/>
    <w:p w14:paraId="3AA81459" w14:textId="77777777" w:rsidR="00862C33" w:rsidRDefault="00862C33" w:rsidP="00862C33">
      <w:pPr>
        <w:jc w:val="both"/>
        <w:rPr>
          <w:rFonts w:ascii="Arial" w:hAnsi="Arial" w:cs="Arial"/>
          <w:color w:val="000000"/>
          <w:sz w:val="20"/>
          <w:szCs w:val="20"/>
        </w:rPr>
      </w:pPr>
      <w:r>
        <w:rPr>
          <w:rFonts w:ascii="Arial" w:hAnsi="Arial" w:cs="Arial"/>
          <w:sz w:val="20"/>
        </w:rPr>
        <w:lastRenderedPageBreak/>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3404D4C1" w14:textId="24C64290" w:rsidR="005B36DF" w:rsidRDefault="005B36DF"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w:t>
      </w:r>
      <w:proofErr w:type="gramStart"/>
      <w:r>
        <w:rPr>
          <w:rFonts w:ascii="Arial" w:hAnsi="Arial" w:cs="Arial"/>
          <w:sz w:val="20"/>
        </w:rPr>
        <w:t>16 year old</w:t>
      </w:r>
      <w:proofErr w:type="gramEnd"/>
      <w:r>
        <w:rPr>
          <w:rFonts w:ascii="Arial" w:hAnsi="Arial" w:cs="Arial"/>
          <w:sz w:val="20"/>
        </w:rPr>
        <w:t xml:space="preserve">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 xml:space="preserve">DPP v JA &amp; </w:t>
      </w:r>
      <w:proofErr w:type="spellStart"/>
      <w:r w:rsidRPr="00030B49">
        <w:rPr>
          <w:rFonts w:ascii="Arial" w:hAnsi="Arial" w:cs="Arial"/>
          <w:i/>
          <w:iCs/>
          <w:sz w:val="20"/>
          <w:szCs w:val="20"/>
        </w:rPr>
        <w:t>Ors</w:t>
      </w:r>
      <w:proofErr w:type="spellEnd"/>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w:t>
      </w:r>
      <w:proofErr w:type="gramStart"/>
      <w:r w:rsidRPr="001766CF">
        <w:rPr>
          <w:rFonts w:ascii="Arial" w:hAnsi="Arial" w:cs="Arial"/>
          <w:sz w:val="20"/>
          <w:szCs w:val="20"/>
        </w:rPr>
        <w:t>46]</w:t>
      </w:r>
      <w:r w:rsidR="00D94E75">
        <w:rPr>
          <w:rFonts w:ascii="Arial" w:hAnsi="Arial" w:cs="Arial"/>
          <w:sz w:val="20"/>
          <w:szCs w:val="20"/>
        </w:rPr>
        <w:noBreakHyphen/>
      </w:r>
      <w:proofErr w:type="gramEnd"/>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lastRenderedPageBreak/>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 xml:space="preserve">DPP v SA &amp; </w:t>
      </w:r>
      <w:proofErr w:type="spellStart"/>
      <w:r w:rsidR="00E977E5" w:rsidRPr="00E977E5">
        <w:rPr>
          <w:rFonts w:ascii="Arial" w:hAnsi="Arial" w:cs="Arial"/>
          <w:i/>
          <w:iCs/>
          <w:sz w:val="20"/>
          <w:szCs w:val="20"/>
        </w:rPr>
        <w:t>Ors</w:t>
      </w:r>
      <w:proofErr w:type="spellEnd"/>
      <w:r w:rsidR="00E977E5" w:rsidRPr="00E977E5">
        <w:rPr>
          <w:rFonts w:ascii="Arial" w:hAnsi="Arial" w:cs="Arial"/>
          <w:i/>
          <w:iCs/>
          <w:sz w:val="20"/>
          <w:szCs w:val="20"/>
        </w:rPr>
        <w:t xml:space="preserve">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77777777"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was–</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xml:space="preserve">, the Court of Appeal granted the </w:t>
      </w:r>
      <w:r>
        <w:rPr>
          <w:rFonts w:ascii="Arial" w:hAnsi="Arial" w:cs="Arial"/>
          <w:sz w:val="20"/>
          <w:szCs w:val="20"/>
        </w:rPr>
        <w:lastRenderedPageBreak/>
        <w:t>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2F212EC1" w14:textId="7171516F" w:rsidR="00666439" w:rsidRPr="003A751C"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7"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8"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7"/>
      <w:bookmarkEnd w:id="148"/>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49" w:name="_10.3.3.5C_Contested_hearing"/>
      <w:bookmarkStart w:id="150" w:name="_Hlk164835213"/>
      <w:bookmarkEnd w:id="149"/>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0"/>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xml:space="preserve">, Incerti J &amp; Jane </w:t>
      </w:r>
      <w:r w:rsidR="006815C8">
        <w:rPr>
          <w:rFonts w:ascii="Arial" w:hAnsi="Arial" w:cs="Arial"/>
          <w:sz w:val="20"/>
          <w:szCs w:val="20"/>
        </w:rPr>
        <w:lastRenderedPageBreak/>
        <w:t>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w:t>
      </w:r>
      <w:r w:rsidRPr="002C7020">
        <w:rPr>
          <w:rFonts w:ascii="Arial" w:hAnsi="Arial" w:cs="Arial"/>
          <w:sz w:val="20"/>
          <w:szCs w:val="20"/>
        </w:rPr>
        <w:lastRenderedPageBreak/>
        <w:t>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lastRenderedPageBreak/>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189663C2" w14:textId="2BF26DD8"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w:t>
      </w:r>
      <w:proofErr w:type="gramStart"/>
      <w:r w:rsidR="00535178">
        <w:rPr>
          <w:rFonts w:ascii="Arial" w:hAnsi="Arial" w:cs="Arial"/>
          <w:color w:val="000000"/>
          <w:sz w:val="20"/>
          <w:szCs w:val="20"/>
        </w:rPr>
        <w:t>71]</w:t>
      </w:r>
      <w:r w:rsidR="00535178">
        <w:rPr>
          <w:rFonts w:ascii="Arial" w:hAnsi="Arial" w:cs="Arial"/>
          <w:color w:val="000000"/>
          <w:sz w:val="20"/>
          <w:szCs w:val="20"/>
        </w:rPr>
        <w:noBreakHyphen/>
      </w:r>
      <w:proofErr w:type="gramEnd"/>
      <w:r w:rsidR="00535178">
        <w:rPr>
          <w:rFonts w:ascii="Arial" w:hAnsi="Arial" w:cs="Arial"/>
          <w:color w:val="000000"/>
          <w:sz w:val="20"/>
          <w:szCs w:val="20"/>
        </w:rPr>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1"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1"/>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proofErr w:type="gramStart"/>
      <w:r>
        <w:rPr>
          <w:rFonts w:ascii="Arial" w:hAnsi="Arial" w:cs="Arial"/>
          <w:color w:val="000000"/>
          <w:sz w:val="20"/>
          <w:szCs w:val="20"/>
        </w:rPr>
        <w:t>}</w:t>
      </w:r>
      <w:r w:rsidR="000077FD" w:rsidRPr="000077FD">
        <w:rPr>
          <w:rFonts w:ascii="Arial" w:hAnsi="Arial" w:cs="Arial"/>
          <w:color w:val="000000"/>
          <w:sz w:val="16"/>
          <w:szCs w:val="16"/>
        </w:rPr>
        <w:t>;</w:t>
      </w:r>
      <w:proofErr w:type="gramEnd"/>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roofErr w:type="gramStart"/>
      <w:r>
        <w:rPr>
          <w:rFonts w:ascii="Arial" w:hAnsi="Arial" w:cs="Arial"/>
          <w:color w:val="000000"/>
          <w:sz w:val="20"/>
          <w:szCs w:val="20"/>
        </w:rPr>
        <w:t>};</w:t>
      </w:r>
      <w:proofErr w:type="gramEnd"/>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roofErr w:type="gramStart"/>
      <w:r w:rsidRPr="006668EE">
        <w:rPr>
          <w:rFonts w:ascii="Arial" w:hAnsi="Arial" w:cs="Arial"/>
          <w:sz w:val="20"/>
          <w:szCs w:val="20"/>
        </w:rPr>
        <w:t>};</w:t>
      </w:r>
      <w:proofErr w:type="gramEnd"/>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proofErr w:type="gramStart"/>
      <w:r>
        <w:rPr>
          <w:rFonts w:ascii="Arial" w:hAnsi="Arial" w:cs="Arial"/>
          <w:sz w:val="20"/>
          <w:szCs w:val="20"/>
        </w:rPr>
        <w:t>}</w:t>
      </w:r>
      <w:r w:rsidR="006668EE">
        <w:rPr>
          <w:rFonts w:ascii="Arial" w:hAnsi="Arial" w:cs="Arial"/>
          <w:color w:val="000000"/>
          <w:sz w:val="20"/>
          <w:szCs w:val="20"/>
        </w:rPr>
        <w:t>;</w:t>
      </w:r>
      <w:proofErr w:type="gramEnd"/>
    </w:p>
    <w:p w14:paraId="1D6DEC6F" w14:textId="004C865C" w:rsidR="006668EE" w:rsidRPr="000077FD" w:rsidRDefault="006668EE" w:rsidP="006668EE">
      <w:pPr>
        <w:pStyle w:val="ListParagraph"/>
        <w:numPr>
          <w:ilvl w:val="0"/>
          <w:numId w:val="95"/>
        </w:numPr>
        <w:ind w:left="357" w:hanging="357"/>
        <w:jc w:val="both"/>
        <w:rPr>
          <w:rFonts w:ascii="Arial" w:hAnsi="Arial" w:cs="Arial"/>
          <w:color w:val="000000"/>
          <w:sz w:val="16"/>
          <w:szCs w:val="16"/>
        </w:rPr>
      </w:pPr>
      <w:bookmarkStart w:id="152" w:name="_10.3.3.5D_Contested_hearing"/>
      <w:bookmarkStart w:id="153" w:name="_10.3.3.5D_Contested_hearing_1"/>
      <w:bookmarkEnd w:id="152"/>
      <w:bookmarkEnd w:id="153"/>
      <w:r w:rsidRPr="001E3540">
        <w:rPr>
          <w:rFonts w:ascii="Arial" w:hAnsi="Arial" w:cs="Arial"/>
          <w:i/>
          <w:iCs/>
          <w:sz w:val="20"/>
          <w:szCs w:val="20"/>
        </w:rPr>
        <w:t>Bangoura v The King</w:t>
      </w:r>
      <w:r>
        <w:rPr>
          <w:rFonts w:ascii="Arial" w:hAnsi="Arial" w:cs="Arial"/>
          <w:sz w:val="20"/>
          <w:szCs w:val="20"/>
        </w:rPr>
        <w:t xml:space="preserve"> [2024] VSCA 292 {re ss.20-22 JDA}</w:t>
      </w:r>
      <w:r>
        <w:rPr>
          <w:rFonts w:ascii="Arial" w:hAnsi="Arial" w:cs="Arial"/>
          <w:color w:val="000000"/>
          <w:sz w:val="20"/>
          <w:szCs w:val="20"/>
        </w:rPr>
        <w:t>.</w:t>
      </w:r>
    </w:p>
    <w:p w14:paraId="01D47875" w14:textId="64422D67"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4"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4"/>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5"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5"/>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w:t>
      </w:r>
      <w:proofErr w:type="spellStart"/>
      <w:r>
        <w:rPr>
          <w:rFonts w:ascii="Arial" w:hAnsi="Arial" w:cs="Arial"/>
          <w:sz w:val="20"/>
        </w:rPr>
        <w:t>Lasry</w:t>
      </w:r>
      <w:proofErr w:type="spellEnd"/>
      <w:r>
        <w:rPr>
          <w:rFonts w:ascii="Arial" w:hAnsi="Arial" w:cs="Arial"/>
          <w:sz w:val="20"/>
        </w:rPr>
        <w:t xml:space="preserve">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 xml:space="preserve">Chaarani &amp; </w:t>
      </w:r>
      <w:proofErr w:type="spellStart"/>
      <w:r w:rsidRPr="009139A3">
        <w:rPr>
          <w:rFonts w:ascii="Arial" w:hAnsi="Arial" w:cs="Arial"/>
          <w:i/>
          <w:iCs/>
          <w:sz w:val="20"/>
          <w:szCs w:val="20"/>
        </w:rPr>
        <w:t>Ors</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 xml:space="preserve">Chaarani &amp; </w:t>
      </w:r>
      <w:proofErr w:type="spellStart"/>
      <w:r w:rsidR="00140D52" w:rsidRPr="00140D52">
        <w:rPr>
          <w:rFonts w:ascii="Arial" w:hAnsi="Arial" w:cs="Arial"/>
          <w:i/>
          <w:iCs/>
          <w:sz w:val="20"/>
          <w:szCs w:val="20"/>
        </w:rPr>
        <w:t>Ors</w:t>
      </w:r>
      <w:proofErr w:type="spellEnd"/>
      <w:r w:rsidR="00140D52" w:rsidRPr="00140D52">
        <w:rPr>
          <w:rFonts w:ascii="Arial" w:hAnsi="Arial" w:cs="Arial"/>
          <w:i/>
          <w:iCs/>
          <w:sz w:val="20"/>
          <w:szCs w:val="20"/>
        </w:rPr>
        <w:t xml:space="preserve">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Pr="00920BCD" w:rsidRDefault="009139A3"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56" w:name="_10.3.3_‘No-case’_procedure"/>
      <w:bookmarkStart w:id="157" w:name="_Toc73162082"/>
      <w:bookmarkEnd w:id="156"/>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proofErr w:type="spellStart"/>
      <w:r w:rsidRPr="00CF53CA">
        <w:rPr>
          <w:rFonts w:ascii="Arial" w:hAnsi="Arial" w:cs="Arial"/>
          <w:color w:val="000000"/>
          <w:sz w:val="20"/>
        </w:rPr>
        <w:t>Lasry</w:t>
      </w:r>
      <w:proofErr w:type="spellEnd"/>
      <w:r w:rsidRPr="00CF53CA">
        <w:rPr>
          <w:rFonts w:ascii="Arial" w:hAnsi="Arial" w:cs="Arial"/>
          <w:color w:val="000000"/>
          <w:sz w:val="20"/>
        </w:rPr>
        <w:t xml:space="preserve">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lastRenderedPageBreak/>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lastRenderedPageBreak/>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proofErr w:type="spellStart"/>
      <w:r>
        <w:rPr>
          <w:rFonts w:ascii="Arial" w:hAnsi="Arial" w:cs="Arial"/>
          <w:i/>
          <w:sz w:val="20"/>
          <w:szCs w:val="20"/>
        </w:rPr>
        <w:t>O</w:t>
      </w:r>
      <w:r w:rsidRPr="00DF6D00">
        <w:rPr>
          <w:rFonts w:ascii="Arial" w:hAnsi="Arial" w:cs="Arial"/>
          <w:i/>
          <w:sz w:val="20"/>
          <w:szCs w:val="20"/>
        </w:rPr>
        <w:t>rs</w:t>
      </w:r>
      <w:proofErr w:type="spellEnd"/>
      <w:r w:rsidRPr="00DF6D00">
        <w:rPr>
          <w:rFonts w:ascii="Arial" w:hAnsi="Arial" w:cs="Arial"/>
          <w:i/>
          <w:sz w:val="20"/>
          <w:szCs w:val="20"/>
        </w:rPr>
        <w:t xml:space="preserve">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 xml:space="preserve">The Queen v The Herald &amp; Weekly Times Pty Ltd &amp; </w:t>
      </w:r>
      <w:proofErr w:type="spellStart"/>
      <w:r w:rsidRPr="001F4A4B">
        <w:rPr>
          <w:rFonts w:ascii="Arial" w:hAnsi="Arial" w:cs="Arial"/>
          <w:i/>
          <w:iCs/>
          <w:sz w:val="20"/>
          <w:szCs w:val="20"/>
        </w:rPr>
        <w:t>Ors</w:t>
      </w:r>
      <w:proofErr w:type="spellEnd"/>
      <w:r w:rsidRPr="001F4A4B">
        <w:rPr>
          <w:rFonts w:ascii="Arial" w:hAnsi="Arial" w:cs="Arial"/>
          <w:i/>
          <w:iCs/>
          <w:sz w:val="20"/>
          <w:szCs w:val="20"/>
        </w:rPr>
        <w:t xml:space="preserve">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lastRenderedPageBreak/>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 xml:space="preserve">DPP v McCartin &amp; </w:t>
      </w:r>
      <w:proofErr w:type="spellStart"/>
      <w:r w:rsidR="003A01E1" w:rsidRPr="003A01E1">
        <w:rPr>
          <w:rFonts w:ascii="Arial" w:hAnsi="Arial" w:cs="Arial"/>
          <w:i/>
          <w:iCs/>
          <w:color w:val="000000"/>
          <w:sz w:val="20"/>
        </w:rPr>
        <w:t>Ors</w:t>
      </w:r>
      <w:proofErr w:type="spellEnd"/>
      <w:r w:rsidR="003A01E1" w:rsidRPr="003A01E1">
        <w:rPr>
          <w:rFonts w:ascii="Arial" w:hAnsi="Arial" w:cs="Arial"/>
          <w:i/>
          <w:iCs/>
          <w:color w:val="000000"/>
          <w:sz w:val="20"/>
        </w:rPr>
        <w:t xml:space="preserve">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w:t>
      </w:r>
      <w:proofErr w:type="spellStart"/>
      <w:r w:rsidRPr="00D44176">
        <w:rPr>
          <w:rFonts w:ascii="Arial" w:hAnsi="Arial" w:cs="Arial"/>
          <w:i/>
          <w:sz w:val="20"/>
        </w:rPr>
        <w:t>Ors</w:t>
      </w:r>
      <w:proofErr w:type="spellEnd"/>
      <w:r w:rsidRPr="00D44176">
        <w:rPr>
          <w:rFonts w:ascii="Arial" w:hAnsi="Arial" w:cs="Arial"/>
          <w:i/>
          <w:sz w:val="20"/>
        </w:rPr>
        <w:t xml:space="preserve">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58" w:name="_10.3.5_Sentence_indication"/>
      <w:bookmarkEnd w:id="157"/>
      <w:bookmarkEnd w:id="158"/>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Street">
        <w:smartTag w:uri="urn:schemas-microsoft-com:office:smarttags" w:element="address">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lastRenderedPageBreak/>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59" w:name="_10.3.5_No_summary"/>
      <w:bookmarkStart w:id="160" w:name="_10.3.5_Summary_case"/>
      <w:bookmarkEnd w:id="159"/>
      <w:bookmarkEnd w:id="160"/>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w:t>
      </w:r>
      <w:r w:rsidRPr="00CF7E5C">
        <w:rPr>
          <w:rFonts w:ascii="Arial" w:hAnsi="Arial" w:cs="Arial"/>
          <w:sz w:val="20"/>
          <w:szCs w:val="20"/>
        </w:rPr>
        <w:lastRenderedPageBreak/>
        <w:t xml:space="preserve">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w:t>
      </w:r>
      <w:proofErr w:type="gramStart"/>
      <w:r>
        <w:rPr>
          <w:rFonts w:ascii="Arial" w:hAnsi="Arial" w:cs="Arial"/>
          <w:sz w:val="20"/>
          <w:szCs w:val="20"/>
        </w:rPr>
        <w:t>22 year old</w:t>
      </w:r>
      <w:proofErr w:type="gramEnd"/>
      <w:r>
        <w:rPr>
          <w:rFonts w:ascii="Arial" w:hAnsi="Arial" w:cs="Arial"/>
          <w:sz w:val="20"/>
          <w:szCs w:val="20"/>
        </w:rPr>
        <w:t xml:space="preserve">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 xml:space="preserve">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w:t>
      </w:r>
      <w:proofErr w:type="gramStart"/>
      <w:r w:rsidRPr="0014509B">
        <w:rPr>
          <w:rFonts w:ascii="Arial" w:hAnsi="Arial" w:cs="Arial"/>
          <w:sz w:val="20"/>
          <w:szCs w:val="20"/>
        </w:rPr>
        <w:t>takes into account</w:t>
      </w:r>
      <w:proofErr w:type="gramEnd"/>
      <w:r w:rsidRPr="0014509B">
        <w:rPr>
          <w:rFonts w:ascii="Arial" w:hAnsi="Arial" w:cs="Arial"/>
          <w:sz w:val="20"/>
          <w:szCs w:val="20"/>
        </w:rPr>
        <w:t xml:space="preserve">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1" w:name="_10.3.6_Plea_agreements"/>
      <w:bookmarkEnd w:id="161"/>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 xml:space="preserve">GAS v The Queen; </w:t>
      </w:r>
      <w:r>
        <w:rPr>
          <w:rFonts w:ascii="Arial" w:hAnsi="Arial" w:cs="Arial"/>
          <w:i/>
          <w:iCs/>
          <w:sz w:val="20"/>
        </w:rPr>
        <w:lastRenderedPageBreak/>
        <w:t>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2" w:name="_10.3.7_Withdrawal_of"/>
      <w:bookmarkEnd w:id="162"/>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place">
        <w:smartTag w:uri="urn:schemas-microsoft-com:office:smarttags" w:element="City">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lastRenderedPageBreak/>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24613A31"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3" w:name="_10.3.8_Duplicity,_Uncertainty"/>
      <w:bookmarkEnd w:id="163"/>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Default="00D7335E" w:rsidP="005B1658">
      <w:pPr>
        <w:spacing w:after="60"/>
        <w:ind w:left="1134" w:right="1134"/>
        <w:jc w:val="both"/>
        <w:rPr>
          <w:rFonts w:ascii="Arial" w:hAnsi="Arial" w:cs="Arial"/>
          <w:sz w:val="20"/>
        </w:rPr>
      </w:pPr>
      <w:r>
        <w:rPr>
          <w:rFonts w:ascii="Arial" w:hAnsi="Arial" w:cs="Arial"/>
          <w:sz w:val="20"/>
        </w:rPr>
        <w:t xml:space="preserve">'...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w:t>
      </w:r>
      <w:r>
        <w:rPr>
          <w:rFonts w:ascii="Arial" w:hAnsi="Arial" w:cs="Arial"/>
          <w:sz w:val="20"/>
        </w:rPr>
        <w:lastRenderedPageBreak/>
        <w:t>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035AFB">
      <w:pPr>
        <w:spacing w:before="60" w:after="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4" w:name="_10.3.9_“Representative”_counts"/>
      <w:bookmarkEnd w:id="164"/>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lastRenderedPageBreak/>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w:t>
      </w:r>
      <w:proofErr w:type="spellStart"/>
      <w:r>
        <w:rPr>
          <w:rFonts w:ascii="Arial" w:hAnsi="Arial" w:cs="Arial"/>
          <w:sz w:val="20"/>
        </w:rPr>
        <w:t>Lasry</w:t>
      </w:r>
      <w:proofErr w:type="spellEnd"/>
      <w:r>
        <w:rPr>
          <w:rFonts w:ascii="Arial" w:hAnsi="Arial" w:cs="Arial"/>
          <w:sz w:val="20"/>
        </w:rPr>
        <w:t xml:space="preserve">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w:t>
      </w:r>
      <w:r>
        <w:rPr>
          <w:rFonts w:ascii="Arial" w:hAnsi="Arial" w:cs="Arial"/>
          <w:color w:val="000000"/>
          <w:sz w:val="20"/>
        </w:rPr>
        <w:lastRenderedPageBreak/>
        <w:t>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w:t>
      </w:r>
      <w:r>
        <w:rPr>
          <w:rFonts w:ascii="Arial" w:hAnsi="Arial" w:cs="Arial"/>
          <w:sz w:val="20"/>
        </w:rPr>
        <w:lastRenderedPageBreak/>
        <w:t xml:space="preserve">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5" w:name="_Toc30691451"/>
      <w:bookmarkStart w:id="166" w:name="_Toc30691830"/>
      <w:bookmarkStart w:id="167" w:name="_Toc30692210"/>
      <w:bookmarkStart w:id="168" w:name="_Toc30692968"/>
      <w:bookmarkStart w:id="169" w:name="_Toc30693347"/>
      <w:bookmarkStart w:id="170" w:name="_Toc30693725"/>
      <w:bookmarkStart w:id="171" w:name="_Toc30694103"/>
      <w:bookmarkStart w:id="172" w:name="_Toc30694483"/>
      <w:bookmarkStart w:id="173" w:name="_Toc30699073"/>
      <w:bookmarkStart w:id="174" w:name="_Toc30699458"/>
      <w:bookmarkStart w:id="175" w:name="_Toc30699843"/>
      <w:bookmarkStart w:id="176" w:name="_Toc30700998"/>
      <w:bookmarkStart w:id="177" w:name="_Toc30701385"/>
      <w:bookmarkStart w:id="178" w:name="_Toc30743992"/>
      <w:bookmarkStart w:id="179" w:name="_Toc30754815"/>
      <w:bookmarkStart w:id="180" w:name="_Toc30757271"/>
      <w:bookmarkStart w:id="181" w:name="_Toc30757819"/>
      <w:bookmarkStart w:id="182" w:name="_Toc30758219"/>
      <w:bookmarkStart w:id="183" w:name="_Toc30762980"/>
      <w:bookmarkStart w:id="184" w:name="_Toc30767634"/>
      <w:bookmarkStart w:id="185"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86" w:name="_10.3.10_Right_to"/>
      <w:bookmarkEnd w:id="186"/>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 xml:space="preserve">Mokbel v DPP (Vic) &amp; </w:t>
      </w:r>
      <w:proofErr w:type="spellStart"/>
      <w:r w:rsidR="008646F4" w:rsidRPr="00321119">
        <w:rPr>
          <w:rFonts w:ascii="Arial" w:hAnsi="Arial" w:cs="Arial"/>
          <w:i/>
          <w:sz w:val="20"/>
        </w:rPr>
        <w:t>Ors</w:t>
      </w:r>
      <w:proofErr w:type="spellEnd"/>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87"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87"/>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w:t>
      </w:r>
      <w:r w:rsidRPr="00136FB6">
        <w:rPr>
          <w:rFonts w:ascii="Arial" w:hAnsi="Arial" w:cs="Arial"/>
          <w:sz w:val="20"/>
        </w:rPr>
        <w:lastRenderedPageBreak/>
        <w:t xml:space="preserve">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w:t>
      </w:r>
      <w:proofErr w:type="spellStart"/>
      <w:r w:rsidR="00E02E3D" w:rsidRPr="00E02E3D">
        <w:rPr>
          <w:rFonts w:ascii="Arial" w:eastAsia="Book Antiqua" w:hAnsi="Arial" w:cs="Arial"/>
          <w:i/>
          <w:sz w:val="20"/>
        </w:rPr>
        <w:t>Ors</w:t>
      </w:r>
      <w:proofErr w:type="spellEnd"/>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lastRenderedPageBreak/>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7777777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w:t>
      </w:r>
      <w:proofErr w:type="spellStart"/>
      <w:r>
        <w:rPr>
          <w:rFonts w:ascii="Arial" w:hAnsi="Arial" w:cs="Arial"/>
          <w:sz w:val="20"/>
        </w:rPr>
        <w:t>Lasry</w:t>
      </w:r>
      <w:proofErr w:type="spellEnd"/>
      <w:r>
        <w:rPr>
          <w:rFonts w:ascii="Arial" w:hAnsi="Arial" w:cs="Arial"/>
          <w:sz w:val="20"/>
        </w:rPr>
        <w:t xml:space="preserve"> J allowed an application by the accused and 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In </w:t>
      </w:r>
      <w:r w:rsidR="008F75C6">
        <w:rPr>
          <w:rFonts w:ascii="Arial" w:hAnsi="Arial" w:cs="Arial"/>
          <w:sz w:val="20"/>
        </w:rPr>
        <w:t xml:space="preserve">his judgment </w:t>
      </w:r>
      <w:proofErr w:type="spellStart"/>
      <w:r w:rsidR="008F75C6">
        <w:rPr>
          <w:rFonts w:ascii="Arial" w:hAnsi="Arial" w:cs="Arial"/>
          <w:sz w:val="20"/>
        </w:rPr>
        <w:t>Lasry</w:t>
      </w:r>
      <w:proofErr w:type="spellEnd"/>
      <w:r w:rsidR="008F75C6">
        <w:rPr>
          <w:rFonts w:ascii="Arial" w:hAnsi="Arial" w:cs="Arial"/>
          <w:sz w:val="20"/>
        </w:rPr>
        <w:t xml:space="preserve"> J </w:t>
      </w:r>
      <w:r w:rsidR="0032286B">
        <w:rPr>
          <w:rFonts w:ascii="Arial" w:hAnsi="Arial" w:cs="Arial"/>
          <w:sz w:val="20"/>
        </w:rPr>
        <w:t xml:space="preserve">outlined the </w:t>
      </w:r>
      <w:r w:rsidR="005816F7">
        <w:rPr>
          <w:rFonts w:ascii="Arial" w:hAnsi="Arial" w:cs="Arial"/>
          <w:sz w:val="20"/>
        </w:rPr>
        <w:t>relevant principles</w:t>
      </w:r>
      <w:r w:rsidR="008F75C6">
        <w:rPr>
          <w:rFonts w:ascii="Arial" w:hAnsi="Arial" w:cs="Arial"/>
          <w:sz w:val="20"/>
        </w:rPr>
        <w:t xml:space="preserve"> at [6</w:t>
      </w:r>
      <w:r w:rsidR="005816F7">
        <w:rPr>
          <w:rFonts w:ascii="Arial" w:hAnsi="Arial" w:cs="Arial"/>
          <w:sz w:val="20"/>
        </w:rPr>
        <w:t>3</w:t>
      </w:r>
      <w:r w:rsidR="008F75C6">
        <w:rPr>
          <w:rFonts w:ascii="Arial" w:hAnsi="Arial" w:cs="Arial"/>
          <w:sz w:val="20"/>
        </w:rPr>
        <w:t>]-[</w:t>
      </w:r>
      <w:r w:rsidR="0032286B">
        <w:rPr>
          <w:rFonts w:ascii="Arial" w:hAnsi="Arial" w:cs="Arial"/>
          <w:sz w:val="20"/>
        </w:rPr>
        <w:t>70</w:t>
      </w:r>
      <w:r w:rsidR="008F75C6">
        <w:rPr>
          <w:rFonts w:ascii="Arial" w:hAnsi="Arial" w:cs="Arial"/>
          <w:sz w:val="20"/>
        </w:rPr>
        <w:t>]:</w:t>
      </w:r>
    </w:p>
    <w:p w14:paraId="35874B57" w14:textId="77777777" w:rsidR="00ED1F3D" w:rsidRDefault="005816F7" w:rsidP="00ED1F3D">
      <w:pPr>
        <w:spacing w:before="60" w:after="60"/>
        <w:ind w:left="567" w:right="567"/>
        <w:jc w:val="both"/>
        <w:rPr>
          <w:rFonts w:ascii="Arial" w:hAnsi="Arial" w:cs="Arial"/>
          <w:sz w:val="20"/>
        </w:rPr>
      </w:pPr>
      <w:r>
        <w:rPr>
          <w:rFonts w:ascii="Arial" w:hAnsi="Arial" w:cs="Arial"/>
          <w:sz w:val="20"/>
        </w:rPr>
        <w:t>[63] “</w:t>
      </w:r>
      <w:r w:rsidRPr="005816F7">
        <w:rPr>
          <w:rFonts w:ascii="Arial" w:hAnsi="Arial" w:cs="Arial"/>
          <w:sz w:val="20"/>
          <w:szCs w:val="16"/>
        </w:rPr>
        <w:t>Ordering that a criminal indictment be stayed is a step to be taken rarely and in extraordinary or exceptional circumstances in the way that phrase is commonly understood. As it is often said, such a step represents a refusal by the Court to exercise jurisdiction. As I understand it, the categories of cases where such a remedy is appropriate are not closed and this application is not governed by any rigid categories, which is not to say that threshold is low – it clearly is not. A stay is a rare and exceptional order to make.</w:t>
      </w:r>
    </w:p>
    <w:p w14:paraId="2B1C4230"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w:t>
      </w:r>
      <w:r w:rsidRPr="005816F7">
        <w:rPr>
          <w:rFonts w:ascii="Arial" w:hAnsi="Arial" w:cs="Arial"/>
          <w:sz w:val="20"/>
          <w:szCs w:val="16"/>
        </w:rPr>
        <w:t>64</w:t>
      </w:r>
      <w:r>
        <w:rPr>
          <w:rFonts w:ascii="Arial" w:hAnsi="Arial" w:cs="Arial"/>
          <w:sz w:val="20"/>
          <w:szCs w:val="16"/>
        </w:rPr>
        <w:t>]</w:t>
      </w:r>
      <w:r w:rsidRPr="005816F7">
        <w:rPr>
          <w:rFonts w:ascii="Arial" w:hAnsi="Arial" w:cs="Arial"/>
          <w:sz w:val="20"/>
          <w:szCs w:val="16"/>
        </w:rPr>
        <w:t xml:space="preserve"> Counsel for the accused has relied primarily on the aspects of oppression, delay and a misuse of the Court process.</w:t>
      </w:r>
    </w:p>
    <w:p w14:paraId="5D085C31" w14:textId="77777777" w:rsidR="00ED1F3D" w:rsidRPr="00F77F34" w:rsidRDefault="0032286B" w:rsidP="00ED1F3D">
      <w:pPr>
        <w:spacing w:before="60" w:after="60"/>
        <w:ind w:left="567" w:right="567"/>
        <w:jc w:val="both"/>
        <w:rPr>
          <w:rFonts w:ascii="Arial" w:hAnsi="Arial" w:cs="Arial"/>
          <w:sz w:val="20"/>
        </w:rPr>
      </w:pPr>
      <w:r w:rsidRPr="0032286B">
        <w:rPr>
          <w:rFonts w:ascii="Arial" w:hAnsi="Arial" w:cs="Arial"/>
          <w:sz w:val="20"/>
        </w:rPr>
        <w:t xml:space="preserve">[65] </w:t>
      </w:r>
      <w:r w:rsidR="008F75C6" w:rsidRPr="0032286B">
        <w:rPr>
          <w:rFonts w:ascii="Arial" w:hAnsi="Arial" w:cs="Arial"/>
          <w:sz w:val="20"/>
        </w:rPr>
        <w:t xml:space="preserve">A most useful, and I think apposite, statement of principle was given by the Court of Appeal in 2016 </w:t>
      </w:r>
      <w:bookmarkStart w:id="188" w:name="_Hlk149033492"/>
      <w:r w:rsidR="008F75C6" w:rsidRPr="00F77F34">
        <w:rPr>
          <w:rFonts w:ascii="Arial" w:hAnsi="Arial" w:cs="Arial"/>
          <w:sz w:val="20"/>
        </w:rPr>
        <w:t xml:space="preserve">in </w:t>
      </w:r>
      <w:r w:rsidR="008F75C6" w:rsidRPr="00F77F34">
        <w:rPr>
          <w:rFonts w:ascii="Arial" w:hAnsi="Arial" w:cs="Arial"/>
          <w:i/>
          <w:iCs/>
          <w:sz w:val="20"/>
        </w:rPr>
        <w:t>Clark v The Queen</w:t>
      </w:r>
      <w:r w:rsidRPr="00F77F34">
        <w:rPr>
          <w:rFonts w:ascii="Arial" w:hAnsi="Arial" w:cs="Arial"/>
          <w:i/>
          <w:iCs/>
          <w:sz w:val="20"/>
        </w:rPr>
        <w:t xml:space="preserve"> </w:t>
      </w:r>
      <w:r w:rsidRPr="00F77F34">
        <w:rPr>
          <w:rFonts w:ascii="Arial" w:hAnsi="Arial" w:cs="Arial"/>
          <w:sz w:val="20"/>
        </w:rPr>
        <w:t>[2016] VSCA 96</w:t>
      </w:r>
      <w:r w:rsidR="008F75C6" w:rsidRPr="00F77F34">
        <w:rPr>
          <w:rFonts w:ascii="Arial" w:hAnsi="Arial" w:cs="Arial"/>
          <w:sz w:val="20"/>
        </w:rPr>
        <w:t xml:space="preserve">. </w:t>
      </w:r>
      <w:r w:rsidRPr="00F77F34">
        <w:rPr>
          <w:rFonts w:ascii="Arial" w:hAnsi="Arial" w:cs="Arial"/>
          <w:sz w:val="20"/>
        </w:rPr>
        <w:t xml:space="preserve"> </w:t>
      </w:r>
      <w:r w:rsidR="008F75C6" w:rsidRPr="00F77F34">
        <w:rPr>
          <w:rFonts w:ascii="Arial" w:hAnsi="Arial" w:cs="Arial"/>
          <w:sz w:val="20"/>
        </w:rPr>
        <w:t>Their Honours (Weinberg, Ashley and Coghlan JJA), describing the principles, said at [13]</w:t>
      </w:r>
      <w:r w:rsidRPr="00F77F34">
        <w:rPr>
          <w:rFonts w:ascii="Arial" w:hAnsi="Arial" w:cs="Arial"/>
          <w:sz w:val="20"/>
        </w:rPr>
        <w:t>-[19]</w:t>
      </w:r>
      <w:r w:rsidR="008F75C6" w:rsidRPr="00F77F34">
        <w:rPr>
          <w:rFonts w:ascii="Arial" w:hAnsi="Arial" w:cs="Arial"/>
          <w:sz w:val="20"/>
        </w:rPr>
        <w:t>:</w:t>
      </w:r>
    </w:p>
    <w:p w14:paraId="02A06D1E"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13</w:t>
      </w:r>
      <w:r w:rsidRPr="00F77F34">
        <w:rPr>
          <w:rFonts w:ascii="Arial" w:hAnsi="Arial" w:cs="Arial"/>
          <w:sz w:val="18"/>
          <w:szCs w:val="14"/>
        </w:rPr>
        <w:t>]</w:t>
      </w:r>
      <w:r w:rsidR="008F75C6" w:rsidRPr="00F77F34">
        <w:rPr>
          <w:rFonts w:ascii="Arial" w:hAnsi="Arial" w:cs="Arial"/>
          <w:sz w:val="18"/>
          <w:szCs w:val="14"/>
        </w:rPr>
        <w:t xml:space="preserve"> </w:t>
      </w:r>
      <w:r w:rsidR="00AB1714" w:rsidRPr="00F77F34">
        <w:rPr>
          <w:rFonts w:ascii="Arial" w:hAnsi="Arial" w:cs="Arial"/>
          <w:sz w:val="18"/>
          <w:szCs w:val="14"/>
        </w:rPr>
        <w:t>‘</w:t>
      </w:r>
      <w:r w:rsidR="008F75C6" w:rsidRPr="00F77F34">
        <w:rPr>
          <w:rFonts w:ascii="Arial" w:hAnsi="Arial" w:cs="Arial"/>
          <w:sz w:val="18"/>
          <w:szCs w:val="14"/>
        </w:rPr>
        <w:t>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1EC202B0"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14</w:t>
      </w:r>
      <w:r w:rsidRPr="00F77F34">
        <w:rPr>
          <w:rFonts w:ascii="Arial" w:hAnsi="Arial" w:cs="Arial"/>
          <w:sz w:val="18"/>
          <w:szCs w:val="14"/>
        </w:rPr>
        <w:t>]</w:t>
      </w:r>
      <w:r w:rsidR="008F75C6" w:rsidRPr="00F77F34">
        <w:rPr>
          <w:rFonts w:ascii="Arial" w:hAnsi="Arial" w:cs="Arial"/>
          <w:sz w:val="18"/>
          <w:szCs w:val="14"/>
        </w:rPr>
        <w:t xml:space="preserve">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w:t>
      </w:r>
    </w:p>
    <w:p w14:paraId="267ADB56"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15</w:t>
      </w:r>
      <w:r w:rsidRPr="00F77F34">
        <w:rPr>
          <w:rFonts w:ascii="Arial" w:hAnsi="Arial" w:cs="Arial"/>
          <w:sz w:val="18"/>
          <w:szCs w:val="14"/>
        </w:rPr>
        <w:t>]</w:t>
      </w:r>
      <w:r w:rsidR="008F75C6" w:rsidRPr="00F77F34">
        <w:rPr>
          <w:rFonts w:ascii="Arial" w:hAnsi="Arial" w:cs="Arial"/>
          <w:sz w:val="18"/>
          <w:szCs w:val="14"/>
        </w:rPr>
        <w:t xml:space="preserve"> The continuation of proceedings that are unjustifiably and unfairly oppressive will, of itself, amount to an abuse of process. Moreover, as is well understood, a prosecution can be stayed if it has been instituted and maintained for an improper purpose.</w:t>
      </w:r>
    </w:p>
    <w:p w14:paraId="0FCE4AA8"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16</w:t>
      </w:r>
      <w:r w:rsidRPr="00F77F34">
        <w:rPr>
          <w:rFonts w:ascii="Arial" w:hAnsi="Arial" w:cs="Arial"/>
          <w:sz w:val="18"/>
          <w:szCs w:val="14"/>
        </w:rPr>
        <w:t>]</w:t>
      </w:r>
      <w:r w:rsidR="008F75C6" w:rsidRPr="00F77F34">
        <w:rPr>
          <w:rFonts w:ascii="Arial" w:hAnsi="Arial" w:cs="Arial"/>
          <w:sz w:val="18"/>
          <w:szCs w:val="14"/>
        </w:rPr>
        <w:t xml:space="preserve"> In a criminal context, the term ‘abuse of process’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w:t>
      </w:r>
    </w:p>
    <w:p w14:paraId="0289093B"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17</w:t>
      </w:r>
      <w:r w:rsidRPr="00F77F34">
        <w:rPr>
          <w:rFonts w:ascii="Arial" w:hAnsi="Arial" w:cs="Arial"/>
          <w:sz w:val="18"/>
          <w:szCs w:val="14"/>
        </w:rPr>
        <w:t>]</w:t>
      </w:r>
      <w:r w:rsidR="008F75C6" w:rsidRPr="00F77F34">
        <w:rPr>
          <w:rFonts w:ascii="Arial" w:hAnsi="Arial" w:cs="Arial"/>
          <w:sz w:val="18"/>
          <w:szCs w:val="14"/>
        </w:rPr>
        <w:t xml:space="preserve"> It is only in an extreme case that a permanent stay of proceedings will be ordered. Necessarily, such cases will be rare. It follows that an applicant for a permanent stay must discharge a heavy onus if a court is to be persuaded to grant that remedy.</w:t>
      </w:r>
    </w:p>
    <w:p w14:paraId="0448F47F"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18</w:t>
      </w:r>
      <w:r w:rsidRPr="00F77F34">
        <w:rPr>
          <w:rFonts w:ascii="Arial" w:hAnsi="Arial" w:cs="Arial"/>
          <w:sz w:val="18"/>
          <w:szCs w:val="14"/>
        </w:rPr>
        <w:t>]</w:t>
      </w:r>
      <w:r w:rsidR="008F75C6" w:rsidRPr="00F77F34">
        <w:rPr>
          <w:rFonts w:ascii="Arial" w:hAnsi="Arial" w:cs="Arial"/>
          <w:sz w:val="18"/>
          <w:szCs w:val="14"/>
        </w:rPr>
        <w:t xml:space="preserve">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w:t>
      </w:r>
    </w:p>
    <w:p w14:paraId="702F4356" w14:textId="77777777" w:rsidR="00ED1F3D"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19</w:t>
      </w:r>
      <w:r w:rsidRPr="00F77F34">
        <w:rPr>
          <w:rFonts w:ascii="Arial" w:hAnsi="Arial" w:cs="Arial"/>
          <w:sz w:val="18"/>
          <w:szCs w:val="14"/>
        </w:rPr>
        <w:t>]</w:t>
      </w:r>
      <w:r w:rsidR="008F75C6" w:rsidRPr="00F77F34">
        <w:rPr>
          <w:rFonts w:ascii="Arial" w:hAnsi="Arial" w:cs="Arial"/>
          <w:sz w:val="18"/>
          <w:szCs w:val="14"/>
        </w:rPr>
        <w:t xml:space="preserve">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r w:rsidR="00AB1714" w:rsidRPr="00F77F34">
        <w:rPr>
          <w:rFonts w:ascii="Arial" w:hAnsi="Arial" w:cs="Arial"/>
          <w:sz w:val="18"/>
          <w:szCs w:val="14"/>
        </w:rPr>
        <w:t>’</w:t>
      </w:r>
    </w:p>
    <w:bookmarkEnd w:id="188"/>
    <w:p w14:paraId="4C76EBAA" w14:textId="77777777" w:rsidR="00ED1F3D" w:rsidRDefault="0032286B" w:rsidP="00ED1F3D">
      <w:pPr>
        <w:spacing w:before="60" w:after="60"/>
        <w:ind w:left="567" w:right="567"/>
        <w:jc w:val="both"/>
        <w:rPr>
          <w:rFonts w:ascii="Arial" w:hAnsi="Arial" w:cs="Arial"/>
          <w:sz w:val="20"/>
        </w:rPr>
      </w:pPr>
      <w:r w:rsidRPr="00AB1714">
        <w:rPr>
          <w:rFonts w:ascii="Arial" w:hAnsi="Arial" w:cs="Arial"/>
          <w:sz w:val="20"/>
        </w:rPr>
        <w:t>[66] Their Honours emphasised the substantial burden on an applicant for such a remedy.</w:t>
      </w:r>
    </w:p>
    <w:p w14:paraId="5153B3DC" w14:textId="77777777" w:rsidR="00ED1F3D" w:rsidRDefault="0032286B" w:rsidP="00ED1F3D">
      <w:pPr>
        <w:spacing w:before="60" w:after="60"/>
        <w:ind w:left="567" w:right="567"/>
        <w:jc w:val="both"/>
        <w:rPr>
          <w:rFonts w:ascii="Arial" w:hAnsi="Arial" w:cs="Arial"/>
          <w:sz w:val="20"/>
        </w:rPr>
      </w:pPr>
      <w:r>
        <w:rPr>
          <w:rFonts w:ascii="Arial" w:hAnsi="Arial" w:cs="Arial"/>
          <w:sz w:val="20"/>
          <w:szCs w:val="16"/>
        </w:rPr>
        <w:t xml:space="preserve">[67] </w:t>
      </w:r>
      <w:r w:rsidRPr="008F75C6">
        <w:rPr>
          <w:rFonts w:ascii="Arial" w:hAnsi="Arial" w:cs="Arial"/>
          <w:sz w:val="20"/>
          <w:szCs w:val="16"/>
        </w:rPr>
        <w:t>Dealing with pre-trial procedures and the way in which they may affect the fairness</w:t>
      </w:r>
      <w:r w:rsidR="00EC59A4">
        <w:rPr>
          <w:rFonts w:ascii="Arial" w:hAnsi="Arial" w:cs="Arial"/>
          <w:sz w:val="18"/>
          <w:szCs w:val="14"/>
        </w:rPr>
        <w:t xml:space="preserve"> of </w:t>
      </w:r>
      <w:r w:rsidR="008F75C6" w:rsidRPr="008F75C6">
        <w:rPr>
          <w:rFonts w:ascii="Arial" w:hAnsi="Arial" w:cs="Arial"/>
          <w:sz w:val="20"/>
          <w:szCs w:val="16"/>
        </w:rPr>
        <w:t xml:space="preserve">a trial, Deane J said in </w:t>
      </w:r>
      <w:r w:rsidR="00AB1714" w:rsidRPr="00AB1714">
        <w:rPr>
          <w:rFonts w:ascii="Arial" w:hAnsi="Arial" w:cs="Arial"/>
          <w:i/>
          <w:iCs/>
          <w:sz w:val="20"/>
          <w:szCs w:val="16"/>
        </w:rPr>
        <w:t>Jago v District Court of New South Wales</w:t>
      </w:r>
      <w:r w:rsidR="00AB1714" w:rsidRPr="008F75C6">
        <w:rPr>
          <w:rFonts w:ascii="Arial" w:hAnsi="Arial" w:cs="Arial"/>
          <w:sz w:val="20"/>
          <w:szCs w:val="16"/>
        </w:rPr>
        <w:t xml:space="preserve"> (1989) 168 CLR 23 at [601]</w:t>
      </w:r>
      <w:r w:rsidR="00AB1714">
        <w:rPr>
          <w:rFonts w:ascii="Arial" w:hAnsi="Arial" w:cs="Arial"/>
          <w:sz w:val="20"/>
          <w:szCs w:val="16"/>
        </w:rPr>
        <w:t>: ‘</w:t>
      </w:r>
      <w:r w:rsidR="008F75C6" w:rsidRPr="008F75C6">
        <w:rPr>
          <w:rFonts w:ascii="Arial" w:hAnsi="Arial" w:cs="Arial"/>
          <w:sz w:val="20"/>
          <w:szCs w:val="16"/>
        </w:rPr>
        <w:t>Thus, it can be said, as a general proposition, that default or impropriety on the part of the prosecution in pre-trial procedures can, depending on the circumstances, be so prejudicial to an accused that the trial itself is made an unfair one.</w:t>
      </w:r>
      <w:r w:rsidR="00AB1714">
        <w:rPr>
          <w:rFonts w:ascii="Arial" w:hAnsi="Arial" w:cs="Arial"/>
          <w:sz w:val="20"/>
          <w:szCs w:val="16"/>
        </w:rPr>
        <w:t>’</w:t>
      </w:r>
    </w:p>
    <w:p w14:paraId="0707B05B"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68</w:t>
      </w:r>
      <w:r>
        <w:rPr>
          <w:rFonts w:ascii="Arial" w:hAnsi="Arial" w:cs="Arial"/>
          <w:sz w:val="20"/>
          <w:szCs w:val="16"/>
        </w:rPr>
        <w:t>]</w:t>
      </w:r>
      <w:r w:rsidR="008F75C6" w:rsidRPr="008F75C6">
        <w:rPr>
          <w:rFonts w:ascii="Arial" w:hAnsi="Arial" w:cs="Arial"/>
          <w:sz w:val="20"/>
          <w:szCs w:val="16"/>
        </w:rPr>
        <w:t xml:space="preserve"> That is the category that, in my opinion, the prosecution’s case against this accused is in.</w:t>
      </w:r>
    </w:p>
    <w:p w14:paraId="5C9E1C64"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lastRenderedPageBreak/>
        <w:t>[</w:t>
      </w:r>
      <w:r w:rsidR="008F75C6" w:rsidRPr="008F75C6">
        <w:rPr>
          <w:rFonts w:ascii="Arial" w:hAnsi="Arial" w:cs="Arial"/>
          <w:sz w:val="20"/>
          <w:szCs w:val="16"/>
        </w:rPr>
        <w:t>69</w:t>
      </w:r>
      <w:r>
        <w:rPr>
          <w:rFonts w:ascii="Arial" w:hAnsi="Arial" w:cs="Arial"/>
          <w:sz w:val="20"/>
          <w:szCs w:val="16"/>
        </w:rPr>
        <w:t>]</w:t>
      </w:r>
      <w:r w:rsidR="008F75C6" w:rsidRPr="008F75C6">
        <w:rPr>
          <w:rFonts w:ascii="Arial" w:hAnsi="Arial" w:cs="Arial"/>
          <w:sz w:val="20"/>
          <w:szCs w:val="16"/>
        </w:rPr>
        <w:t xml:space="preserve"> In </w:t>
      </w:r>
      <w:r w:rsidR="008F75C6" w:rsidRPr="00EC59A4">
        <w:rPr>
          <w:rFonts w:ascii="Arial" w:hAnsi="Arial" w:cs="Arial"/>
          <w:i/>
          <w:iCs/>
          <w:sz w:val="20"/>
          <w:szCs w:val="16"/>
        </w:rPr>
        <w:t>R v Rogers</w:t>
      </w:r>
      <w:r w:rsidR="008F75C6" w:rsidRPr="008F75C6">
        <w:rPr>
          <w:rFonts w:ascii="Arial" w:hAnsi="Arial" w:cs="Arial"/>
          <w:sz w:val="20"/>
          <w:szCs w:val="16"/>
        </w:rPr>
        <w:t>, 15 Mason CJ of the High Court of Australia said at [256]:</w:t>
      </w:r>
    </w:p>
    <w:p w14:paraId="3DED25A6" w14:textId="77777777" w:rsidR="00ED1F3D" w:rsidRDefault="00AB1714" w:rsidP="00ED1F3D">
      <w:pPr>
        <w:spacing w:before="60" w:after="60"/>
        <w:ind w:left="1021" w:right="1021"/>
        <w:jc w:val="both"/>
        <w:rPr>
          <w:rFonts w:ascii="Arial" w:hAnsi="Arial" w:cs="Arial"/>
          <w:sz w:val="20"/>
        </w:rPr>
      </w:pPr>
      <w:r w:rsidRPr="005816F7">
        <w:rPr>
          <w:rFonts w:ascii="Arial" w:hAnsi="Arial" w:cs="Arial"/>
          <w:sz w:val="18"/>
          <w:szCs w:val="14"/>
        </w:rPr>
        <w:t>‘</w:t>
      </w:r>
      <w:r w:rsidR="008F75C6" w:rsidRPr="005816F7">
        <w:rPr>
          <w:rFonts w:ascii="Arial" w:hAnsi="Arial" w:cs="Arial"/>
          <w:sz w:val="18"/>
          <w:szCs w:val="14"/>
        </w:rPr>
        <w:t>These statements indicate that there are two aspects to abuse of process: first, the aspect of vexation, oppression and unfairness to the other party to the litigation and, secondly, the fact that the matter complained of will bring the administration of justice into disrepute. This led the majority in Walton v. Gardiner to state that the question whether criminal proceedings should be permanently stayed was to be determined by a weighing process involving a balancing of a variety of considerations. Those considerations, which reflect the two aspects of abuse of process outlined above, include: "the requirements of fairness to the accused, the legitimate public interest in the disposition of charges of serious offences and in the conviction of those guilty of crime, and the need to maintain public confidence in the administration of justice.</w:t>
      </w:r>
      <w:r w:rsidRPr="005816F7">
        <w:rPr>
          <w:rFonts w:ascii="Arial" w:hAnsi="Arial" w:cs="Arial"/>
          <w:sz w:val="18"/>
          <w:szCs w:val="14"/>
        </w:rPr>
        <w:t>’</w:t>
      </w:r>
    </w:p>
    <w:p w14:paraId="6F02E36D"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70</w:t>
      </w:r>
      <w:r>
        <w:rPr>
          <w:rFonts w:ascii="Arial" w:hAnsi="Arial" w:cs="Arial"/>
          <w:sz w:val="20"/>
          <w:szCs w:val="16"/>
        </w:rPr>
        <w:t>]</w:t>
      </w:r>
      <w:r w:rsidR="008F75C6" w:rsidRPr="008F75C6">
        <w:rPr>
          <w:rFonts w:ascii="Arial" w:hAnsi="Arial" w:cs="Arial"/>
          <w:sz w:val="20"/>
          <w:szCs w:val="16"/>
        </w:rPr>
        <w:t xml:space="preserve"> In </w:t>
      </w:r>
      <w:r w:rsidR="008F75C6" w:rsidRPr="00EC59A4">
        <w:rPr>
          <w:rFonts w:ascii="Arial" w:hAnsi="Arial" w:cs="Arial"/>
          <w:i/>
          <w:iCs/>
          <w:sz w:val="20"/>
          <w:szCs w:val="16"/>
        </w:rPr>
        <w:t>Moti v The Queen</w:t>
      </w:r>
      <w:r>
        <w:rPr>
          <w:rFonts w:ascii="Arial" w:hAnsi="Arial" w:cs="Arial"/>
          <w:sz w:val="20"/>
          <w:szCs w:val="16"/>
        </w:rPr>
        <w:t xml:space="preserve"> </w:t>
      </w:r>
      <w:r w:rsidRPr="008F75C6">
        <w:rPr>
          <w:rFonts w:ascii="Arial" w:hAnsi="Arial" w:cs="Arial"/>
          <w:sz w:val="20"/>
          <w:szCs w:val="16"/>
        </w:rPr>
        <w:t>[2011] HCA 50</w:t>
      </w:r>
      <w:r>
        <w:rPr>
          <w:rFonts w:ascii="Arial" w:hAnsi="Arial" w:cs="Arial"/>
          <w:sz w:val="20"/>
          <w:szCs w:val="16"/>
        </w:rPr>
        <w:t xml:space="preserve">, </w:t>
      </w:r>
      <w:r w:rsidR="008F75C6" w:rsidRPr="008F75C6">
        <w:rPr>
          <w:rFonts w:ascii="Arial" w:hAnsi="Arial" w:cs="Arial"/>
          <w:sz w:val="20"/>
          <w:szCs w:val="16"/>
        </w:rPr>
        <w:t>the High Court (French CJ, Gummow, Hayne, Crennan, Kiefel and Bell JJ) confirmed two categories of abuse of process at [57]:</w:t>
      </w:r>
    </w:p>
    <w:p w14:paraId="609B13F7" w14:textId="77777777" w:rsidR="00ED1F3D" w:rsidRDefault="005816F7" w:rsidP="00ED1F3D">
      <w:pPr>
        <w:spacing w:before="60" w:after="60"/>
        <w:ind w:left="1021" w:right="1021"/>
        <w:jc w:val="both"/>
        <w:rPr>
          <w:rFonts w:ascii="Arial" w:hAnsi="Arial" w:cs="Arial"/>
          <w:sz w:val="20"/>
        </w:rPr>
      </w:pPr>
      <w:r>
        <w:rPr>
          <w:rFonts w:ascii="Arial" w:hAnsi="Arial" w:cs="Arial"/>
          <w:sz w:val="18"/>
          <w:szCs w:val="14"/>
        </w:rPr>
        <w:t>‘</w:t>
      </w:r>
      <w:r w:rsidRPr="005816F7">
        <w:rPr>
          <w:rFonts w:ascii="Arial" w:hAnsi="Arial" w:cs="Arial"/>
          <w:sz w:val="18"/>
          <w:szCs w:val="14"/>
        </w:rPr>
        <w:t xml:space="preserve">The third basic proposition is that, as pointed out in the joint reasons of four members of this Court in </w:t>
      </w:r>
      <w:r w:rsidRPr="005816F7">
        <w:rPr>
          <w:rFonts w:ascii="Arial" w:hAnsi="Arial" w:cs="Arial"/>
          <w:i/>
          <w:iCs/>
          <w:sz w:val="18"/>
          <w:szCs w:val="14"/>
        </w:rPr>
        <w:t>Williams v Spautz</w:t>
      </w:r>
      <w:r w:rsidRPr="005816F7">
        <w:rPr>
          <w:rFonts w:ascii="Arial" w:hAnsi="Arial" w:cs="Arial"/>
          <w:sz w:val="18"/>
          <w:szCs w:val="14"/>
        </w:rPr>
        <w:t>, two fundamental policy considerations affect abuse of process in criminal proceedings. First, "the public interest in the administration of justice requires that the court protect its ability to function as a court of law by ensuring that its processes are used fairly by State and citizen alike". Second, "unless the court protects its ability so to function in that way, its failure will lead to an erosion of public confidence by reason of concern that the court's processes may lend themselves to oppression and injustice". Public confidence in this context refers to the trust reposed constitutionally in the courts to protect the integrity and fairness of their processes. The concept of abuse of process extends to a use of the courts' processes in a way that is inconsistent with those fundamental requirements.</w:t>
      </w:r>
      <w:r>
        <w:rPr>
          <w:rFonts w:ascii="Arial" w:hAnsi="Arial" w:cs="Arial"/>
          <w:sz w:val="18"/>
          <w:szCs w:val="14"/>
        </w:rPr>
        <w:t>’</w:t>
      </w:r>
    </w:p>
    <w:p w14:paraId="74728711"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His Honour con</w:t>
      </w:r>
      <w:r w:rsidR="00266DEC">
        <w:rPr>
          <w:rFonts w:ascii="Arial" w:hAnsi="Arial" w:cs="Arial"/>
          <w:sz w:val="20"/>
          <w:szCs w:val="16"/>
        </w:rPr>
        <w:t>tinu</w:t>
      </w:r>
      <w:r>
        <w:rPr>
          <w:rFonts w:ascii="Arial" w:hAnsi="Arial" w:cs="Arial"/>
          <w:sz w:val="20"/>
          <w:szCs w:val="16"/>
        </w:rPr>
        <w:t>ed at [71]-[74]:</w:t>
      </w:r>
    </w:p>
    <w:p w14:paraId="677EE630" w14:textId="77777777" w:rsidR="006448DD" w:rsidRDefault="005816F7" w:rsidP="006448DD">
      <w:pPr>
        <w:spacing w:before="60" w:after="60"/>
        <w:ind w:left="567" w:right="567"/>
        <w:jc w:val="both"/>
        <w:rPr>
          <w:rFonts w:ascii="Arial" w:hAnsi="Arial" w:cs="Arial"/>
          <w:sz w:val="20"/>
        </w:rPr>
      </w:pPr>
      <w:r>
        <w:rPr>
          <w:rFonts w:ascii="Arial" w:hAnsi="Arial" w:cs="Arial"/>
          <w:sz w:val="20"/>
          <w:szCs w:val="16"/>
        </w:rPr>
        <w:t>[71] “</w:t>
      </w:r>
      <w:r w:rsidRPr="008F75C6">
        <w:rPr>
          <w:rFonts w:ascii="Arial" w:hAnsi="Arial" w:cs="Arial"/>
          <w:sz w:val="20"/>
          <w:szCs w:val="16"/>
        </w:rPr>
        <w:t>This is not simply a case where the Director has ‘struggled to comply with case management procedures’. In my opinion, the Court’s processes have been, at a minimum, used oppressively and unfairly by the Director of Public Prosecutions at various stages of this case. Continuing four charges of manslaughter against the accused for more than a year in circumstances where it must have been known there was no viable case to be made against the accused is, I consider, a glaring and oppressive misuse of the Court process. There is, among other things, a requirement that before an indictment is filed, some assessment is made of the evidence to satisfy the decision makers that there is a realistic prospect of conviction.</w:t>
      </w:r>
    </w:p>
    <w:p w14:paraId="6FFE39FD"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 xml:space="preserve">[72] </w:t>
      </w:r>
      <w:r w:rsidR="008F75C6" w:rsidRPr="008F75C6">
        <w:rPr>
          <w:rFonts w:ascii="Arial" w:hAnsi="Arial" w:cs="Arial"/>
          <w:sz w:val="20"/>
          <w:szCs w:val="16"/>
        </w:rPr>
        <w:t xml:space="preserve">The charges of manslaughter also had the effect of requiring the matter to be dealt with in this Court rather than a summary hearing for the alleged offences against the HVNL. In my opinion, the history of that aspect of the case demonstrates the kind of impropriety that was discussed by the High Court in </w:t>
      </w:r>
      <w:r w:rsidR="008F75C6" w:rsidRPr="005816F7">
        <w:rPr>
          <w:rFonts w:ascii="Arial" w:hAnsi="Arial" w:cs="Arial"/>
          <w:i/>
          <w:iCs/>
          <w:sz w:val="20"/>
          <w:szCs w:val="16"/>
        </w:rPr>
        <w:t>Williams v Spautz</w:t>
      </w:r>
      <w:r w:rsidR="008F75C6" w:rsidRPr="00266DEC">
        <w:rPr>
          <w:rFonts w:ascii="Arial" w:hAnsi="Arial" w:cs="Arial"/>
          <w:sz w:val="16"/>
          <w:szCs w:val="12"/>
        </w:rPr>
        <w:t xml:space="preserve"> </w:t>
      </w:r>
      <w:r w:rsidR="00266DEC" w:rsidRPr="00266DEC">
        <w:rPr>
          <w:rFonts w:ascii="Arial" w:hAnsi="Arial" w:cs="Arial"/>
          <w:sz w:val="20"/>
          <w:szCs w:val="16"/>
        </w:rPr>
        <w:t>(1992) 174 CLR 509</w:t>
      </w:r>
      <w:r w:rsidR="00266DEC">
        <w:rPr>
          <w:rFonts w:ascii="Arial" w:hAnsi="Arial" w:cs="Arial"/>
          <w:sz w:val="20"/>
          <w:szCs w:val="16"/>
        </w:rPr>
        <w:t xml:space="preserve">, </w:t>
      </w:r>
      <w:r w:rsidR="008F75C6" w:rsidRPr="008F75C6">
        <w:rPr>
          <w:rFonts w:ascii="Arial" w:hAnsi="Arial" w:cs="Arial"/>
          <w:sz w:val="20"/>
          <w:szCs w:val="16"/>
        </w:rPr>
        <w:t>though the facts of that case were significantly different from this one. While the Court in that case was concerned with the institution or maintenance of criminal proceedings for an improper purpose, the misuse of the Court process in this case also raises the need for the Court to ensure that it protects its ability to function as a Court of law and avoid erosion of public confidence by lending the Court’s processes oppression and injustice.</w:t>
      </w:r>
    </w:p>
    <w:p w14:paraId="323511E1"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73</w:t>
      </w:r>
      <w:r>
        <w:rPr>
          <w:rFonts w:ascii="Arial" w:hAnsi="Arial" w:cs="Arial"/>
          <w:sz w:val="20"/>
          <w:szCs w:val="16"/>
        </w:rPr>
        <w:t>]</w:t>
      </w:r>
      <w:r w:rsidR="008F75C6" w:rsidRPr="008F75C6">
        <w:rPr>
          <w:rFonts w:ascii="Arial" w:hAnsi="Arial" w:cs="Arial"/>
          <w:sz w:val="20"/>
          <w:szCs w:val="16"/>
        </w:rPr>
        <w:t xml:space="preserve"> In relation to the HVNL charges, the DPP has fundamentally altered the case on several occasions including by substantially expanding the factual area the charges were based on. The DPP has also fundamentally altered the case concerning the HVNL charges in the third indictment, introducing for the first time, the concept of tendency evidence and, further, by asserting a reliance on knowledge by the accused, not just of Singh’s fatigue, but his psychological condition.</w:t>
      </w:r>
    </w:p>
    <w:p w14:paraId="294D0DA9"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74</w:t>
      </w:r>
      <w:r>
        <w:rPr>
          <w:rFonts w:ascii="Arial" w:hAnsi="Arial" w:cs="Arial"/>
          <w:sz w:val="20"/>
          <w:szCs w:val="16"/>
        </w:rPr>
        <w:t>]</w:t>
      </w:r>
      <w:r w:rsidR="008F75C6" w:rsidRPr="008F75C6">
        <w:rPr>
          <w:rFonts w:ascii="Arial" w:hAnsi="Arial" w:cs="Arial"/>
          <w:sz w:val="20"/>
          <w:szCs w:val="16"/>
        </w:rPr>
        <w:t xml:space="preserve"> In relation to disclosure, there was a failure at the earliest opportunity to disclose the interviews conducted under s 570A of the HVNL.</w:t>
      </w:r>
      <w:r>
        <w:rPr>
          <w:rFonts w:ascii="Arial" w:hAnsi="Arial" w:cs="Arial"/>
          <w:sz w:val="20"/>
          <w:szCs w:val="16"/>
        </w:rPr>
        <w:t>”</w:t>
      </w:r>
    </w:p>
    <w:p w14:paraId="38F782DB" w14:textId="77777777" w:rsidR="00ED1F3D" w:rsidRDefault="008F75C6" w:rsidP="00ED1F3D">
      <w:pPr>
        <w:jc w:val="both"/>
        <w:rPr>
          <w:rFonts w:ascii="Arial" w:hAnsi="Arial" w:cs="Arial"/>
          <w:sz w:val="20"/>
        </w:rPr>
      </w:pPr>
      <w:r>
        <w:rPr>
          <w:rFonts w:ascii="Arial" w:hAnsi="Arial" w:cs="Arial"/>
          <w:sz w:val="20"/>
        </w:rPr>
        <w:t xml:space="preserve">In holding that the conduct of the prosecution amounted to an abuse of process based on issues of delay and oppression his Honour concluded at </w:t>
      </w:r>
      <w:r w:rsidR="00A0437A">
        <w:rPr>
          <w:rFonts w:ascii="Arial" w:hAnsi="Arial" w:cs="Arial"/>
          <w:sz w:val="20"/>
        </w:rPr>
        <w:t xml:space="preserve">[78] &amp; </w:t>
      </w:r>
      <w:r>
        <w:rPr>
          <w:rFonts w:ascii="Arial" w:hAnsi="Arial" w:cs="Arial"/>
          <w:sz w:val="20"/>
        </w:rPr>
        <w:t>[84]-[85]: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 xml:space="preserve">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w:t>
      </w:r>
      <w:r w:rsidRPr="008F75C6">
        <w:rPr>
          <w:rFonts w:ascii="Arial" w:hAnsi="Arial" w:cs="Arial"/>
          <w:sz w:val="20"/>
          <w:szCs w:val="16"/>
        </w:rPr>
        <w:lastRenderedPageBreak/>
        <w:t>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4DB08C18" w14:textId="2E037151" w:rsidR="00F66DBE" w:rsidRDefault="00F66DBE" w:rsidP="009003F8">
      <w:pPr>
        <w:pStyle w:val="Heading2"/>
        <w:tabs>
          <w:tab w:val="left" w:pos="567"/>
        </w:tabs>
        <w:spacing w:line="240" w:lineRule="auto"/>
        <w:rPr>
          <w:rFonts w:ascii="Arial" w:hAnsi="Arial" w:cs="Arial"/>
          <w:sz w:val="20"/>
        </w:rPr>
      </w:pPr>
    </w:p>
    <w:p w14:paraId="27BAA8CF" w14:textId="77777777" w:rsidR="00ED1F3D" w:rsidRDefault="00CE2EA1" w:rsidP="00ED1F3D">
      <w:pPr>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w:t>
      </w:r>
      <w:proofErr w:type="spellStart"/>
      <w:r w:rsidR="008627AF">
        <w:rPr>
          <w:rFonts w:ascii="Arial" w:hAnsi="Arial" w:cs="Arial"/>
          <w:sz w:val="20"/>
        </w:rPr>
        <w:t>Lasry</w:t>
      </w:r>
      <w:proofErr w:type="spellEnd"/>
      <w:r w:rsidR="008627AF">
        <w:rPr>
          <w:rFonts w:ascii="Arial" w:hAnsi="Arial" w:cs="Arial"/>
          <w:sz w:val="20"/>
        </w:rPr>
        <w:t xml:space="preserve">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89"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89"/>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lastRenderedPageBreak/>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337CAA16" w14:textId="77777777" w:rsidR="00ED1F3D" w:rsidRDefault="00A27C15" w:rsidP="00ED1F3D">
      <w:pPr>
        <w:spacing w:before="60" w:after="60"/>
        <w:ind w:left="567" w:right="567"/>
        <w:jc w:val="both"/>
        <w:rPr>
          <w:rFonts w:ascii="Arial" w:hAnsi="Arial" w:cs="Arial"/>
          <w:sz w:val="20"/>
        </w:rPr>
      </w:pPr>
      <w:r>
        <w:rPr>
          <w:rFonts w:ascii="Arial" w:hAnsi="Arial" w:cs="Arial"/>
          <w:color w:val="000000"/>
          <w:sz w:val="20"/>
        </w:rPr>
        <w:t xml:space="preserve">At [43] their Honours </w:t>
      </w:r>
      <w:r w:rsidR="00686CC6">
        <w:rPr>
          <w:rFonts w:ascii="Arial" w:hAnsi="Arial" w:cs="Arial"/>
          <w:color w:val="000000"/>
          <w:sz w:val="20"/>
        </w:rPr>
        <w:t>set out</w:t>
      </w:r>
      <w:r>
        <w:rPr>
          <w:rFonts w:ascii="Arial" w:hAnsi="Arial" w:cs="Arial"/>
          <w:color w:val="000000"/>
          <w:sz w:val="20"/>
        </w:rPr>
        <w:t xml:space="preserve"> the ruling of </w:t>
      </w:r>
      <w:proofErr w:type="spellStart"/>
      <w:r>
        <w:rPr>
          <w:rFonts w:ascii="Arial" w:hAnsi="Arial" w:cs="Arial"/>
          <w:color w:val="000000"/>
          <w:sz w:val="20"/>
        </w:rPr>
        <w:t>Lasry</w:t>
      </w:r>
      <w:proofErr w:type="spellEnd"/>
      <w:r>
        <w:rPr>
          <w:rFonts w:ascii="Arial" w:hAnsi="Arial" w:cs="Arial"/>
          <w:color w:val="000000"/>
          <w:sz w:val="20"/>
        </w:rPr>
        <w:t xml:space="preserve"> J at [71]-[85], most of which is </w:t>
      </w:r>
      <w:r w:rsidR="00686CC6">
        <w:rPr>
          <w:rFonts w:ascii="Arial" w:hAnsi="Arial" w:cs="Arial"/>
          <w:color w:val="000000"/>
          <w:sz w:val="20"/>
        </w:rPr>
        <w:t>detailed</w:t>
      </w:r>
      <w:r>
        <w:rPr>
          <w:rFonts w:ascii="Arial" w:hAnsi="Arial" w:cs="Arial"/>
          <w:color w:val="000000"/>
          <w:sz w:val="20"/>
        </w:rPr>
        <w:t xml:space="preserve"> above.</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 xml:space="preserve">If, however, a stay is sought to stop a prosecution which has been instituted and maintained for an improper purpose, it by no means follows that it is necessary, before </w:t>
      </w:r>
      <w:r w:rsidRPr="0016086E">
        <w:rPr>
          <w:rFonts w:ascii="Arial" w:hAnsi="Arial" w:cs="Arial"/>
          <w:sz w:val="18"/>
          <w:szCs w:val="14"/>
        </w:rPr>
        <w:lastRenderedPageBreak/>
        <w:t>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 xml:space="preserve">The expression ‘abuse of process’ encompasses not only circumstances within the narrow conception of that term — such as bringing a proceeding for an improper </w:t>
      </w:r>
      <w:proofErr w:type="gramStart"/>
      <w:r w:rsidRPr="00523E6B">
        <w:rPr>
          <w:rFonts w:ascii="Arial" w:hAnsi="Arial" w:cs="Arial"/>
          <w:sz w:val="20"/>
          <w:szCs w:val="20"/>
        </w:rPr>
        <w:t>purpose, or</w:t>
      </w:r>
      <w:proofErr w:type="gramEnd"/>
      <w:r w:rsidRPr="00523E6B">
        <w:rPr>
          <w:rFonts w:ascii="Arial" w:hAnsi="Arial" w:cs="Arial"/>
          <w:sz w:val="20"/>
          <w:szCs w:val="20"/>
        </w:rPr>
        <w:t xml:space="preserve">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lastRenderedPageBreak/>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w:t>
      </w:r>
      <w:proofErr w:type="gramStart"/>
      <w:r w:rsidRPr="00523E6B">
        <w:rPr>
          <w:rFonts w:ascii="Arial" w:hAnsi="Arial" w:cs="Arial"/>
          <w:sz w:val="20"/>
          <w:szCs w:val="20"/>
        </w:rPr>
        <w:t>–[</w:t>
      </w:r>
      <w:proofErr w:type="gramEnd"/>
      <w:r w:rsidRPr="00523E6B">
        <w:rPr>
          <w:rFonts w:ascii="Arial" w:hAnsi="Arial" w:cs="Arial"/>
          <w:sz w:val="20"/>
          <w:szCs w:val="20"/>
        </w:rPr>
        <w:t>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0" w:name="_10.3.11_Abuse_of"/>
      <w:bookmarkEnd w:id="190"/>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 xml:space="preserve">We are satisfied, on the basis of the authorities set out above and in accordance with general principle, that for the present proceeding on indictment to go ahead in the County Court would work an unacceptable unfairness to LM.  It would also have the consequence </w:t>
      </w:r>
      <w:r w:rsidRPr="00FF69FA">
        <w:rPr>
          <w:rFonts w:ascii="Arial" w:hAnsi="Arial" w:cs="Arial"/>
          <w:sz w:val="20"/>
        </w:rPr>
        <w:lastRenderedPageBreak/>
        <w:t>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1" w:name="_10.3.12_Joinder_or"/>
      <w:bookmarkEnd w:id="191"/>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Making reference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2"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2"/>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3" w:name="_Toc4663795"/>
      <w:r w:rsidRPr="000B6A21">
        <w:rPr>
          <w:rFonts w:ascii="Arial" w:hAnsi="Arial" w:cs="Arial"/>
          <w:sz w:val="20"/>
        </w:rPr>
        <w:t>57</w:t>
      </w:r>
      <w:r w:rsidRPr="000B6A21">
        <w:rPr>
          <w:rFonts w:ascii="Arial" w:hAnsi="Arial" w:cs="Arial"/>
          <w:sz w:val="20"/>
        </w:rPr>
        <w:tab/>
        <w:t>Joint hearing of charges on separate charge-sheets</w:t>
      </w:r>
      <w:bookmarkEnd w:id="193"/>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4" w:name="_Toc4663796"/>
      <w:r w:rsidRPr="000B6A21">
        <w:rPr>
          <w:rFonts w:ascii="Arial" w:hAnsi="Arial" w:cs="Arial"/>
          <w:sz w:val="20"/>
        </w:rPr>
        <w:t>58</w:t>
      </w:r>
      <w:r w:rsidRPr="000B6A21">
        <w:rPr>
          <w:rFonts w:ascii="Arial" w:hAnsi="Arial" w:cs="Arial"/>
          <w:sz w:val="20"/>
        </w:rPr>
        <w:tab/>
        <w:t>Order for separate hearing</w:t>
      </w:r>
      <w:bookmarkEnd w:id="194"/>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lastRenderedPageBreak/>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5" w:name="_Toc4664328"/>
      <w:r w:rsidRPr="000B6A21">
        <w:rPr>
          <w:rFonts w:ascii="Arial" w:hAnsi="Arial" w:cs="Arial"/>
          <w:sz w:val="20"/>
        </w:rPr>
        <w:t>5</w:t>
      </w:r>
      <w:r w:rsidRPr="000B6A21">
        <w:rPr>
          <w:rFonts w:ascii="Arial" w:hAnsi="Arial" w:cs="Arial"/>
          <w:sz w:val="20"/>
        </w:rPr>
        <w:tab/>
        <w:t>Joinder of charges</w:t>
      </w:r>
      <w:bookmarkEnd w:id="195"/>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 xml:space="preserve">Marcus White (a </w:t>
      </w:r>
      <w:r w:rsidR="001052E4" w:rsidRPr="001052E4">
        <w:rPr>
          <w:rFonts w:ascii="Arial" w:hAnsi="Arial" w:cs="Arial"/>
          <w:i/>
          <w:iCs/>
          <w:sz w:val="20"/>
          <w:szCs w:val="20"/>
        </w:rPr>
        <w:lastRenderedPageBreak/>
        <w:t>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 xml:space="preserve">R v Cox &amp; </w:t>
      </w:r>
      <w:proofErr w:type="spellStart"/>
      <w:r w:rsidRPr="000B6A21">
        <w:rPr>
          <w:rFonts w:ascii="Arial" w:hAnsi="Arial" w:cs="Arial"/>
          <w:i/>
          <w:iCs/>
          <w:sz w:val="20"/>
          <w:szCs w:val="20"/>
        </w:rPr>
        <w:t>Ors</w:t>
      </w:r>
      <w:proofErr w:type="spellEnd"/>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196" w:name="_10.3.13_Transfer_of"/>
      <w:bookmarkStart w:id="197" w:name="_10.4_Doli_incapax"/>
      <w:bookmarkEnd w:id="196"/>
      <w:bookmarkEnd w:id="197"/>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City">
        <w:smartTag w:uri="urn:schemas-microsoft-com:office:smarttags" w:element="place">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198" w:name="_10.4.1_The_principle"/>
      <w:bookmarkStart w:id="199" w:name="_Toc54454700"/>
      <w:bookmarkStart w:id="200" w:name="_Toc54544606"/>
      <w:bookmarkStart w:id="201" w:name="_Toc54634645"/>
      <w:bookmarkStart w:id="202" w:name="_Hlk111623801"/>
      <w:bookmarkEnd w:id="198"/>
      <w:r>
        <w:rPr>
          <w:rFonts w:ascii="Arial" w:hAnsi="Arial" w:cs="Arial"/>
          <w:b/>
          <w:bCs/>
          <w:sz w:val="20"/>
        </w:rPr>
        <w:t>10.4.1</w:t>
      </w:r>
      <w:r>
        <w:rPr>
          <w:rFonts w:ascii="Arial" w:hAnsi="Arial" w:cs="Arial"/>
          <w:b/>
          <w:bCs/>
          <w:sz w:val="20"/>
        </w:rPr>
        <w:tab/>
      </w:r>
      <w:bookmarkEnd w:id="199"/>
      <w:bookmarkEnd w:id="200"/>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1"/>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2"/>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3" w:name="_10.4.2_Earlier_Australian"/>
      <w:bookmarkStart w:id="204" w:name="_Toc54454701"/>
      <w:bookmarkStart w:id="205" w:name="_Toc54544607"/>
      <w:bookmarkStart w:id="206" w:name="_Toc54634646"/>
      <w:bookmarkEnd w:id="203"/>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4"/>
      <w:bookmarkEnd w:id="205"/>
      <w:r>
        <w:rPr>
          <w:rFonts w:ascii="Arial" w:hAnsi="Arial" w:cs="Arial"/>
          <w:b/>
          <w:bCs/>
          <w:sz w:val="20"/>
        </w:rPr>
        <w:t>ies</w:t>
      </w:r>
      <w:bookmarkEnd w:id="206"/>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07" w:name="_10.4.3_Demise_of"/>
      <w:bookmarkStart w:id="208" w:name="_Toc54544608"/>
      <w:bookmarkStart w:id="209" w:name="_Toc54634647"/>
      <w:bookmarkEnd w:id="207"/>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08"/>
      <w:bookmarkEnd w:id="209"/>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Street">
        <w:smartTag w:uri="urn:schemas-microsoft-com:office:smarttags" w:element="address">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0" w:name="_10.4.4_History_of"/>
      <w:bookmarkStart w:id="211" w:name="_Toc54544609"/>
      <w:bookmarkStart w:id="212" w:name="_Toc54634648"/>
      <w:bookmarkEnd w:id="210"/>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1"/>
      <w:bookmarkEnd w:id="212"/>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 xml:space="preserve">It was not until as late as 1588 that a clear age below which liability did not apply was fixed.  Lambard's </w:t>
      </w:r>
      <w:proofErr w:type="spellStart"/>
      <w:r>
        <w:rPr>
          <w:rFonts w:ascii="Arial" w:hAnsi="Arial" w:cs="Arial"/>
          <w:sz w:val="20"/>
        </w:rPr>
        <w:t>Eirenarcha</w:t>
      </w:r>
      <w:proofErr w:type="spellEnd"/>
      <w:r>
        <w:rPr>
          <w:rFonts w:ascii="Arial" w:hAnsi="Arial" w:cs="Arial"/>
          <w:sz w:val="20"/>
        </w:rPr>
        <w:t xml:space="preserve">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3" w:name="_10.4.5_The_principle"/>
      <w:bookmarkEnd w:id="213"/>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w:t>
      </w:r>
      <w:proofErr w:type="spellStart"/>
      <w:r w:rsidR="00D83E4A">
        <w:rPr>
          <w:rFonts w:ascii="Arial" w:hAnsi="Arial" w:cs="Arial"/>
          <w:sz w:val="20"/>
        </w:rPr>
        <w:t>Jagot</w:t>
      </w:r>
      <w:proofErr w:type="spellEnd"/>
      <w:r w:rsidR="00D83E4A">
        <w:rPr>
          <w:rFonts w:ascii="Arial" w:hAnsi="Arial" w:cs="Arial"/>
          <w:sz w:val="20"/>
        </w:rPr>
        <w:t xml:space="preserve">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4"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4"/>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 xml:space="preserve">not made </w:t>
      </w:r>
      <w:r w:rsidR="00E62793">
        <w:rPr>
          <w:rFonts w:ascii="Arial" w:hAnsi="Arial" w:cs="Arial"/>
          <w:sz w:val="20"/>
          <w:szCs w:val="16"/>
        </w:rPr>
        <w:lastRenderedPageBreak/>
        <w:t>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lastRenderedPageBreak/>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lastRenderedPageBreak/>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w:t>
      </w:r>
      <w:r w:rsidRPr="00A84DF8">
        <w:rPr>
          <w:rFonts w:ascii="Arial" w:hAnsi="Arial" w:cs="Arial"/>
          <w:sz w:val="20"/>
        </w:rPr>
        <w:lastRenderedPageBreak/>
        <w:t>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5" w:name="Heading1756"/>
      <w:bookmarkEnd w:id="215"/>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 xml:space="preserve">Accordingly, it is unnecessary for me to conclude whether the evidence establishes beyond reasonable doubt that PM entered into an agreement, arrangement or </w:t>
      </w:r>
      <w:r w:rsidRPr="004B5457">
        <w:rPr>
          <w:rFonts w:ascii="Arial" w:hAnsi="Arial" w:cs="Arial"/>
          <w:color w:val="000000"/>
          <w:sz w:val="20"/>
          <w:szCs w:val="20"/>
        </w:rPr>
        <w:lastRenderedPageBreak/>
        <w:t>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16" w:name="_Toc146090596"/>
      <w:bookmarkStart w:id="217" w:name="Heading1765"/>
      <w:bookmarkEnd w:id="216"/>
      <w:bookmarkEnd w:id="217"/>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18" w:name="_10.5_Effect_of"/>
      <w:bookmarkEnd w:id="218"/>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19" w:name="_10.5.1_Mandatory_adjournment"/>
      <w:bookmarkEnd w:id="219"/>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w:t>
      </w:r>
      <w:proofErr w:type="gramStart"/>
      <w:r>
        <w:rPr>
          <w:rFonts w:ascii="Arial" w:hAnsi="Arial" w:cs="Arial"/>
          <w:bCs/>
          <w:color w:val="000000"/>
          <w:sz w:val="20"/>
        </w:rPr>
        <w:t>2)(</w:t>
      </w:r>
      <w:proofErr w:type="spellStart"/>
      <w:proofErr w:type="gramEnd"/>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lastRenderedPageBreak/>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0" w:name="_10.5.2_Hearing_of"/>
      <w:bookmarkEnd w:id="220"/>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1" w:name="_10.5.3_Privilege_against"/>
      <w:bookmarkEnd w:id="221"/>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2" w:name="_10.6_Unfitness_to"/>
      <w:bookmarkEnd w:id="222"/>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3" w:name="_A_BACKGROUND_"/>
      <w:bookmarkEnd w:id="223"/>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w:t>
      </w:r>
      <w:proofErr w:type="spellStart"/>
      <w:r w:rsidR="00CF53CA" w:rsidRPr="00CF53CA">
        <w:rPr>
          <w:rFonts w:ascii="Arial" w:hAnsi="Arial" w:cs="Arial"/>
          <w:i/>
          <w:color w:val="000000"/>
          <w:sz w:val="20"/>
          <w:szCs w:val="20"/>
        </w:rPr>
        <w:t>Ors</w:t>
      </w:r>
      <w:proofErr w:type="spellEnd"/>
      <w:r w:rsidR="00CF53CA" w:rsidRPr="00CF53CA">
        <w:rPr>
          <w:rFonts w:ascii="Arial" w:hAnsi="Arial" w:cs="Arial"/>
          <w:i/>
          <w:color w:val="000000"/>
          <w:sz w:val="20"/>
          <w:szCs w:val="20"/>
        </w:rPr>
        <w:t xml:space="preserve"> </w:t>
      </w:r>
      <w:r w:rsidR="00CF53CA" w:rsidRPr="00CF53CA">
        <w:rPr>
          <w:rFonts w:ascii="Arial" w:hAnsi="Arial" w:cs="Arial"/>
          <w:color w:val="000000"/>
          <w:sz w:val="20"/>
          <w:szCs w:val="20"/>
        </w:rPr>
        <w:t xml:space="preserve">[2010] VSC 517 at [77] </w:t>
      </w:r>
      <w:proofErr w:type="spellStart"/>
      <w:r w:rsidR="00CF53CA" w:rsidRPr="00CF53CA">
        <w:rPr>
          <w:rFonts w:ascii="Arial" w:hAnsi="Arial" w:cs="Arial"/>
          <w:color w:val="000000"/>
          <w:sz w:val="20"/>
          <w:szCs w:val="20"/>
        </w:rPr>
        <w:t>Lasry</w:t>
      </w:r>
      <w:proofErr w:type="spellEnd"/>
      <w:r w:rsidR="00CF53CA" w:rsidRPr="00CF53CA">
        <w:rPr>
          <w:rFonts w:ascii="Arial" w:hAnsi="Arial" w:cs="Arial"/>
          <w:color w:val="000000"/>
          <w:sz w:val="20"/>
          <w:szCs w:val="20"/>
        </w:rPr>
        <w:t xml:space="preserve">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w:t>
      </w:r>
      <w:proofErr w:type="spellStart"/>
      <w:r>
        <w:rPr>
          <w:rFonts w:ascii="Arial" w:hAnsi="Arial" w:cs="Arial"/>
          <w:sz w:val="20"/>
          <w:szCs w:val="20"/>
        </w:rPr>
        <w:t>Lasry</w:t>
      </w:r>
      <w:proofErr w:type="spellEnd"/>
      <w:r>
        <w:rPr>
          <w:rFonts w:ascii="Arial" w:hAnsi="Arial" w:cs="Arial"/>
          <w:sz w:val="20"/>
          <w:szCs w:val="20"/>
        </w:rPr>
        <w:t xml:space="preserve">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w:t>
      </w:r>
      <w:proofErr w:type="spellStart"/>
      <w:r w:rsidR="009166EB" w:rsidRPr="000A3EA1">
        <w:rPr>
          <w:rFonts w:ascii="Arial" w:hAnsi="Arial" w:cs="Arial"/>
          <w:i/>
          <w:color w:val="000000"/>
          <w:sz w:val="20"/>
        </w:rPr>
        <w:t>Ors</w:t>
      </w:r>
      <w:proofErr w:type="spellEnd"/>
      <w:r w:rsidR="009166EB" w:rsidRPr="000A3EA1">
        <w:rPr>
          <w:rFonts w:ascii="Arial" w:hAnsi="Arial" w:cs="Arial"/>
          <w:i/>
          <w:color w:val="000000"/>
          <w:sz w:val="20"/>
        </w:rPr>
        <w:t xml:space="preserve"> </w:t>
      </w:r>
      <w:r w:rsidR="009166EB" w:rsidRPr="000A3EA1">
        <w:rPr>
          <w:rFonts w:ascii="Arial" w:hAnsi="Arial" w:cs="Arial"/>
          <w:color w:val="000000"/>
          <w:sz w:val="20"/>
        </w:rPr>
        <w:t xml:space="preserve">[2011] VSCA 227, the Court of Appeal refused leave to appeal from the decision of </w:t>
      </w:r>
      <w:proofErr w:type="spellStart"/>
      <w:r w:rsidR="009166EB" w:rsidRPr="000A3EA1">
        <w:rPr>
          <w:rFonts w:ascii="Arial" w:hAnsi="Arial" w:cs="Arial"/>
          <w:color w:val="000000"/>
          <w:sz w:val="20"/>
        </w:rPr>
        <w:t>Lasry</w:t>
      </w:r>
      <w:proofErr w:type="spellEnd"/>
      <w:r w:rsidR="009166EB" w:rsidRPr="000A3EA1">
        <w:rPr>
          <w:rFonts w:ascii="Arial" w:hAnsi="Arial" w:cs="Arial"/>
          <w:color w:val="000000"/>
          <w:sz w:val="20"/>
        </w:rPr>
        <w:t xml:space="preserve">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 xml:space="preserve">By contrast, at [25] </w:t>
      </w:r>
      <w:proofErr w:type="spellStart"/>
      <w:r w:rsidRPr="00CF53CA">
        <w:rPr>
          <w:rFonts w:ascii="Arial" w:hAnsi="Arial" w:cs="Arial"/>
          <w:sz w:val="20"/>
          <w:szCs w:val="20"/>
        </w:rPr>
        <w:t>Lasry</w:t>
      </w:r>
      <w:proofErr w:type="spellEnd"/>
      <w:r w:rsidRPr="00CF53CA">
        <w:rPr>
          <w:rFonts w:ascii="Arial" w:hAnsi="Arial" w:cs="Arial"/>
          <w:sz w:val="20"/>
          <w:szCs w:val="20"/>
        </w:rPr>
        <w:t xml:space="preserve">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4" w:name="_B_AMENDMENTS_TO"/>
      <w:bookmarkEnd w:id="224"/>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 xml:space="preserve">These provisions – largely intended to fill jurisdictional gaps partly identified by </w:t>
      </w:r>
      <w:proofErr w:type="spellStart"/>
      <w:r w:rsidRPr="00CF53CA">
        <w:rPr>
          <w:rFonts w:ascii="Arial" w:hAnsi="Arial" w:cs="Arial"/>
          <w:color w:val="000000"/>
          <w:sz w:val="20"/>
          <w:szCs w:val="20"/>
        </w:rPr>
        <w:t>Lasry</w:t>
      </w:r>
      <w:proofErr w:type="spellEnd"/>
      <w:r w:rsidRPr="00CF53CA">
        <w:rPr>
          <w:rFonts w:ascii="Arial" w:hAnsi="Arial" w:cs="Arial"/>
          <w:color w:val="000000"/>
          <w:sz w:val="20"/>
          <w:szCs w:val="20"/>
        </w:rPr>
        <w:t xml:space="preserve">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5" w:name="_C_APPLICATION_OF"/>
      <w:bookmarkEnd w:id="225"/>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26" w:name="_D_CONSTITUTION_OF"/>
      <w:bookmarkEnd w:id="226"/>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27" w:name="_E_WHEN_IS"/>
      <w:bookmarkEnd w:id="227"/>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28"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28"/>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29" w:name="_F_PRESUMPTIONS,_STANDARD"/>
      <w:bookmarkEnd w:id="229"/>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0" w:name="_G_QUESTION_OF"/>
      <w:bookmarkEnd w:id="230"/>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1" w:name="_H_INVESTIGATION_OF"/>
      <w:bookmarkEnd w:id="231"/>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2" w:name="_I_ORDERS_PENDING"/>
      <w:bookmarkEnd w:id="232"/>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3" w:name="_J_PROCEDURE_ON"/>
      <w:bookmarkEnd w:id="233"/>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 xml:space="preserve">81 per </w:t>
      </w:r>
      <w:proofErr w:type="spellStart"/>
      <w:r w:rsidR="002F1CF8">
        <w:rPr>
          <w:rFonts w:ascii="Arial" w:hAnsi="Arial" w:cs="Arial"/>
          <w:color w:val="000000"/>
          <w:sz w:val="20"/>
        </w:rPr>
        <w:t>Lasry</w:t>
      </w:r>
      <w:proofErr w:type="spellEnd"/>
      <w:r w:rsidR="002F1CF8">
        <w:rPr>
          <w:rFonts w:ascii="Arial" w:hAnsi="Arial" w:cs="Arial"/>
          <w:color w:val="000000"/>
          <w:sz w:val="20"/>
        </w:rPr>
        <w:t xml:space="preserve">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6C6EDF4B"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4" w:name="_K_WHAT_HAPPENS"/>
      <w:bookmarkEnd w:id="234"/>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WHAT HAPPENS AFTER AN INVESTIGATION INTO FITNESS?|</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5" w:name="_L_SPECIAL_HEARING"/>
      <w:bookmarkEnd w:id="235"/>
      <w:r>
        <w:rPr>
          <w:rFonts w:ascii="Arial" w:hAnsi="Arial" w:cs="Arial"/>
          <w:b/>
          <w:color w:val="FFFFFF"/>
          <w:sz w:val="22"/>
          <w:shd w:val="clear" w:color="auto" w:fill="000000"/>
        </w:rPr>
        <w:lastRenderedPageBreak/>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36" w:name="_M_DEFENCE_OF"/>
      <w:bookmarkEnd w:id="236"/>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lastRenderedPageBreak/>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081B3440"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w:t>
      </w:r>
      <w:r w:rsidR="0001278D">
        <w:rPr>
          <w:rFonts w:ascii="Arial" w:hAnsi="Arial" w:cs="Arial"/>
          <w:color w:val="000000"/>
          <w:sz w:val="20"/>
        </w:rPr>
        <w:lastRenderedPageBreak/>
        <w:t>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w:t>
      </w:r>
      <w:proofErr w:type="gramStart"/>
      <w:r w:rsidRPr="00422474">
        <w:rPr>
          <w:rFonts w:ascii="Arial" w:hAnsi="Arial" w:cs="Arial"/>
          <w:b/>
          <w:color w:val="FFFFFF"/>
          <w:sz w:val="18"/>
          <w:bdr w:val="single" w:sz="4" w:space="0" w:color="auto"/>
          <w:shd w:val="clear" w:color="auto" w:fill="000000"/>
        </w:rPr>
        <w:t>ZC(</w:t>
      </w:r>
      <w:proofErr w:type="gramEnd"/>
      <w:r w:rsidRPr="00422474">
        <w:rPr>
          <w:rFonts w:ascii="Arial" w:hAnsi="Arial" w:cs="Arial"/>
          <w:b/>
          <w:color w:val="FFFFFF"/>
          <w:sz w:val="18"/>
          <w:bdr w:val="single" w:sz="4" w:space="0" w:color="auto"/>
          <w:shd w:val="clear" w:color="auto" w:fill="000000"/>
        </w:rPr>
        <w:t>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 xml:space="preserve">The prosecution case was one of premeditated murder. The defence case was that the appellant entered the pine plantation intending to commit suicide in his father's presence and that at the last moment, in a </w:t>
      </w:r>
      <w:r w:rsidR="0018366F" w:rsidRPr="0018366F">
        <w:rPr>
          <w:rFonts w:ascii="Arial" w:hAnsi="Arial" w:cs="Arial"/>
          <w:color w:val="000000"/>
          <w:sz w:val="20"/>
          <w:szCs w:val="20"/>
          <w:shd w:val="clear" w:color="auto" w:fill="FFFFFF"/>
        </w:rPr>
        <w:lastRenderedPageBreak/>
        <w:t>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Minani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w:t>
      </w:r>
      <w:proofErr w:type="spellStart"/>
      <w:r w:rsidR="00472AA5">
        <w:rPr>
          <w:rFonts w:ascii="Arial" w:hAnsi="Arial" w:cs="Arial"/>
          <w:sz w:val="20"/>
          <w:szCs w:val="20"/>
        </w:rPr>
        <w:t>Lasry</w:t>
      </w:r>
      <w:proofErr w:type="spellEnd"/>
      <w:r w:rsidR="00472AA5">
        <w:rPr>
          <w:rFonts w:ascii="Arial" w:hAnsi="Arial" w:cs="Arial"/>
          <w:sz w:val="20"/>
          <w:szCs w:val="20"/>
        </w:rPr>
        <w:t xml:space="preserve">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 xml:space="preserve">[Same wording as CMIA-s.38Y(6)] The court must not order a child to be released </w:t>
      </w:r>
      <w:r w:rsidRPr="00F05ECF">
        <w:rPr>
          <w:rFonts w:ascii="Arial" w:hAnsi="Arial" w:cs="Arial"/>
          <w:color w:val="000000"/>
          <w:sz w:val="20"/>
        </w:rPr>
        <w:lastRenderedPageBreak/>
        <w:t>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37" w:name="_N_DISPOSITION_OF"/>
      <w:bookmarkEnd w:id="237"/>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lastRenderedPageBreak/>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38" w:name="_O_REPORTS_AS"/>
      <w:bookmarkEnd w:id="238"/>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39" w:name="_P_CERTIFICATE_OF"/>
      <w:bookmarkEnd w:id="239"/>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w:t>
      </w:r>
      <w:r w:rsidRPr="00F05ECF">
        <w:rPr>
          <w:rFonts w:ascii="Arial" w:hAnsi="Arial" w:cs="Arial"/>
          <w:sz w:val="20"/>
          <w:szCs w:val="20"/>
        </w:rPr>
        <w:lastRenderedPageBreak/>
        <w:t>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0" w:name="_Q_VARIATION,_REVOCATION,"/>
      <w:bookmarkEnd w:id="240"/>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w:t>
      </w:r>
      <w:r w:rsidR="00C02F70">
        <w:rPr>
          <w:rFonts w:ascii="Arial" w:hAnsi="Arial" w:cs="Arial"/>
          <w:sz w:val="20"/>
        </w:rPr>
        <w:lastRenderedPageBreak/>
        <w:t>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1"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1"/>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w:t>
      </w:r>
      <w:proofErr w:type="gramStart"/>
      <w:r w:rsidR="00B65F80">
        <w:rPr>
          <w:rFonts w:ascii="Arial" w:hAnsi="Arial" w:cs="Arial"/>
          <w:sz w:val="20"/>
          <w:szCs w:val="20"/>
        </w:rPr>
        <w:t>60 year old</w:t>
      </w:r>
      <w:proofErr w:type="gramEnd"/>
      <w:r w:rsidR="00B65F80">
        <w:rPr>
          <w:rFonts w:ascii="Arial" w:hAnsi="Arial" w:cs="Arial"/>
          <w:sz w:val="20"/>
          <w:szCs w:val="20"/>
        </w:rPr>
        <w:t xml:space="preserve">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w:t>
      </w:r>
      <w:proofErr w:type="spellStart"/>
      <w:r>
        <w:rPr>
          <w:rFonts w:ascii="Arial" w:hAnsi="Arial" w:cs="Arial"/>
          <w:color w:val="000000"/>
          <w:sz w:val="20"/>
          <w:szCs w:val="20"/>
        </w:rPr>
        <w:t>Lasry</w:t>
      </w:r>
      <w:proofErr w:type="spellEnd"/>
      <w:r>
        <w:rPr>
          <w:rFonts w:ascii="Arial" w:hAnsi="Arial" w:cs="Arial"/>
          <w:color w:val="000000"/>
          <w:sz w:val="20"/>
          <w:szCs w:val="20"/>
        </w:rPr>
        <w:t xml:space="preserve">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2"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2"/>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lastRenderedPageBreak/>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454B6C3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3" w:name="_R_NON-COMPLIANCE_WITH"/>
      <w:bookmarkEnd w:id="243"/>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place">
        <w:smartTag w:uri="urn:schemas-microsoft-com:office:smarttags" w:element="Stat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4" w:name="_S_AGE_JURISDICTION|CMIA-s.38ZG"/>
      <w:bookmarkEnd w:id="244"/>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5" w:name="_T_PRINCIPLES_ON"/>
      <w:bookmarkEnd w:id="245"/>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46" w:name="_U_MATTERS_TO"/>
      <w:bookmarkEnd w:id="246"/>
      <w:r>
        <w:rPr>
          <w:rFonts w:ascii="Arial" w:hAnsi="Arial" w:cs="Arial"/>
          <w:b/>
          <w:color w:val="FFFFFF"/>
          <w:sz w:val="22"/>
          <w:shd w:val="clear" w:color="auto" w:fill="000000"/>
        </w:rPr>
        <w:lastRenderedPageBreak/>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0B8E3544"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F45E5A" w:rsidRPr="00703514">
        <w:rPr>
          <w:rFonts w:ascii="Arial" w:hAnsi="Arial" w:cs="Arial"/>
          <w:sz w:val="20"/>
          <w:szCs w:val="20"/>
        </w:rPr>
        <w:t>.</w:t>
      </w:r>
    </w:p>
    <w:p w14:paraId="3B769D05" w14:textId="77777777"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47" w:name="_V_APPEALS|CMIA-Part_5A"/>
      <w:bookmarkEnd w:id="247"/>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48" w:name="_V_SUPPRESSION_ORDER|CMIA-s.75"/>
      <w:bookmarkEnd w:id="248"/>
      <w:r>
        <w:rPr>
          <w:rFonts w:ascii="Arial" w:hAnsi="Arial" w:cs="Arial"/>
          <w:b/>
          <w:color w:val="FFFFFF"/>
          <w:sz w:val="22"/>
          <w:shd w:val="clear" w:color="auto" w:fill="000000"/>
        </w:rPr>
        <w:lastRenderedPageBreak/>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49" w:name="_10.7_Court_diversion"/>
      <w:bookmarkEnd w:id="249"/>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0" w:name="_A_OFFENCES_FOR"/>
      <w:bookmarkEnd w:id="250"/>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77777777"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1" w:name="_B_PURPOSES_OF"/>
      <w:bookmarkEnd w:id="251"/>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2" w:name="_C_PRE-CONDITIONS_FOR"/>
      <w:bookmarkEnd w:id="252"/>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3" w:name="_D_ADJOURNMENT_TO"/>
      <w:bookmarkEnd w:id="253"/>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4" w:name="_E_MATTERS_TO"/>
      <w:bookmarkEnd w:id="254"/>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5" w:name="_F_THE_CHILDREN’S"/>
      <w:bookmarkEnd w:id="255"/>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56" w:name="_G_EXTENSION_OF"/>
      <w:bookmarkEnd w:id="256"/>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57" w:name="_H_CONCLUSION_OF"/>
      <w:bookmarkEnd w:id="257"/>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77777777"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356I(2) provides that if a child does not complete a diversion program to the satisfaction of the Court and the child is subsequently found guilty of the charge, the Court must take into account the extent to which the child complied with the diversion program when sentencing the child.</w:t>
      </w:r>
    </w:p>
    <w:p w14:paraId="6A985268" w14:textId="77777777" w:rsidR="0067169F" w:rsidRDefault="0067169F" w:rsidP="00C02F70">
      <w:pPr>
        <w:jc w:val="both"/>
        <w:rPr>
          <w:rFonts w:ascii="Arial" w:hAnsi="Arial" w:cs="Arial"/>
          <w:sz w:val="20"/>
        </w:rPr>
      </w:pPr>
    </w:p>
    <w:p w14:paraId="1BE603E8" w14:textId="77777777" w:rsidR="00800D84" w:rsidRDefault="0067169F" w:rsidP="00800D84">
      <w:pPr>
        <w:pStyle w:val="Heading3"/>
        <w:keepNext/>
        <w:spacing w:after="80" w:line="240" w:lineRule="auto"/>
        <w:ind w:left="284" w:hanging="284"/>
        <w:rPr>
          <w:rFonts w:ascii="Arial" w:hAnsi="Arial" w:cs="Arial"/>
          <w:b/>
          <w:bCs/>
          <w:sz w:val="20"/>
        </w:rPr>
      </w:pPr>
      <w:bookmarkStart w:id="258" w:name="_I_INCOMPATIBILITY_OF"/>
      <w:bookmarkEnd w:id="258"/>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INCOMPATIBILITY OF DIVERSION AND LICENCE CANCELLATION/SUSPENSION</w:t>
      </w:r>
    </w:p>
    <w:p w14:paraId="045F948C" w14:textId="77777777" w:rsidR="0067169F" w:rsidRDefault="0067169F" w:rsidP="0067169F">
      <w:pPr>
        <w:spacing w:before="60"/>
        <w:ind w:left="284"/>
        <w:jc w:val="both"/>
        <w:rPr>
          <w:rFonts w:ascii="Arial" w:hAnsi="Arial" w:cs="Arial"/>
          <w:sz w:val="20"/>
          <w:szCs w:val="20"/>
        </w:rPr>
      </w:pPr>
      <w:r>
        <w:rPr>
          <w:rFonts w:ascii="Arial" w:hAnsi="Arial" w:cs="Arial"/>
          <w:color w:val="000000"/>
          <w:sz w:val="20"/>
        </w:rPr>
        <w:t xml:space="preserve">While it follows from s.356B(1) of the CYFA </w:t>
      </w:r>
      <w:r w:rsidRPr="0045618B">
        <w:rPr>
          <w:rFonts w:ascii="Arial" w:hAnsi="Arial" w:cs="Arial"/>
          <w:color w:val="000000"/>
          <w:sz w:val="20"/>
        </w:rPr>
        <w:t xml:space="preserve">that diversion is available in the Children’s Court on a charge </w:t>
      </w:r>
      <w:r>
        <w:rPr>
          <w:rFonts w:ascii="Arial" w:hAnsi="Arial" w:cs="Arial"/>
          <w:color w:val="000000"/>
          <w:sz w:val="20"/>
        </w:rPr>
        <w:t xml:space="preserve">which is not punishable by a fixed sentence or penalty, it is the writer’s view that </w:t>
      </w:r>
      <w:r w:rsidRPr="00586133">
        <w:rPr>
          <w:rFonts w:ascii="Arial" w:hAnsi="Arial" w:cs="Arial"/>
          <w:color w:val="000000"/>
          <w:sz w:val="20"/>
          <w:u w:val="single"/>
        </w:rPr>
        <w:t>if diversion is granted on such a charge, the Children’s Court has no power to impose a discretionary cancellation or suspension of the child’s driver licence or permit</w:t>
      </w:r>
      <w:r>
        <w:rPr>
          <w:rFonts w:ascii="Arial" w:hAnsi="Arial" w:cs="Arial"/>
          <w:color w:val="000000"/>
          <w:sz w:val="20"/>
        </w:rPr>
        <w:t xml:space="preserve">.  In the first place, despite the words “or the </w:t>
      </w:r>
      <w:r w:rsidRPr="0010068D">
        <w:rPr>
          <w:rFonts w:ascii="Arial" w:hAnsi="Arial" w:cs="Arial"/>
          <w:i/>
          <w:iCs/>
          <w:color w:val="000000"/>
          <w:sz w:val="20"/>
        </w:rPr>
        <w:t>Sentencing Act 1991</w:t>
      </w:r>
      <w:r>
        <w:rPr>
          <w:rFonts w:ascii="Arial" w:hAnsi="Arial" w:cs="Arial"/>
          <w:color w:val="000000"/>
          <w:sz w:val="20"/>
        </w:rPr>
        <w:t xml:space="preserve">” in s.356B(1)(a), s.4 of the </w:t>
      </w:r>
      <w:r w:rsidRPr="0010068D">
        <w:rPr>
          <w:rFonts w:ascii="Arial" w:hAnsi="Arial" w:cs="Arial"/>
          <w:i/>
          <w:iCs/>
          <w:color w:val="000000"/>
          <w:sz w:val="20"/>
        </w:rPr>
        <w:t>Sentencing Act</w:t>
      </w:r>
      <w:r>
        <w:rPr>
          <w:rFonts w:ascii="Arial" w:hAnsi="Arial" w:cs="Arial"/>
          <w:color w:val="000000"/>
          <w:sz w:val="20"/>
        </w:rPr>
        <w:t xml:space="preserve"> makes it clear that </w:t>
      </w:r>
      <w:r w:rsidR="00A543E5">
        <w:rPr>
          <w:rFonts w:ascii="Arial" w:hAnsi="Arial" w:cs="Arial"/>
          <w:color w:val="000000"/>
          <w:sz w:val="20"/>
        </w:rPr>
        <w:t>ss.89 &amp; 89A of that Act do</w:t>
      </w:r>
      <w:r>
        <w:rPr>
          <w:rFonts w:ascii="Arial" w:hAnsi="Arial" w:cs="Arial"/>
          <w:color w:val="000000"/>
          <w:sz w:val="20"/>
        </w:rPr>
        <w:t xml:space="preserve"> </w:t>
      </w:r>
      <w:r w:rsidRPr="00586133">
        <w:rPr>
          <w:rFonts w:ascii="Arial" w:hAnsi="Arial" w:cs="Arial"/>
          <w:color w:val="000000"/>
          <w:sz w:val="20"/>
          <w:u w:val="single"/>
        </w:rPr>
        <w:t>not</w:t>
      </w:r>
      <w:r>
        <w:rPr>
          <w:rFonts w:ascii="Arial" w:hAnsi="Arial" w:cs="Arial"/>
          <w:color w:val="000000"/>
          <w:sz w:val="20"/>
        </w:rPr>
        <w:t xml:space="preserve"> apply to the Children’s Court.  In the second place, the general power of suspension or cancellation of a driver licence or permit contained in s.28 of the RSA has as a pre-condition to its exercise that the court </w:t>
      </w:r>
      <w:r w:rsidRPr="00586133">
        <w:rPr>
          <w:rFonts w:ascii="Arial" w:hAnsi="Arial" w:cs="Arial"/>
          <w:color w:val="000000"/>
          <w:sz w:val="20"/>
          <w:szCs w:val="20"/>
        </w:rPr>
        <w:t>“</w:t>
      </w:r>
      <w:r w:rsidRPr="00586133">
        <w:rPr>
          <w:rFonts w:ascii="Arial" w:hAnsi="Arial" w:cs="Arial"/>
          <w:sz w:val="20"/>
          <w:szCs w:val="20"/>
        </w:rPr>
        <w:t>convicts a person of, or is satisfied that a person is guilty of, an offence against this Act or of any other offence in connection with the driving of a motor vehicle</w:t>
      </w:r>
      <w:r>
        <w:rPr>
          <w:rFonts w:ascii="Arial" w:hAnsi="Arial" w:cs="Arial"/>
          <w:sz w:val="20"/>
          <w:szCs w:val="20"/>
        </w:rPr>
        <w:t xml:space="preserve">”.  But diversion does not involve either a conviction for an offence or a finding by the court that the child is </w:t>
      </w:r>
      <w:r>
        <w:rPr>
          <w:rFonts w:ascii="Arial" w:hAnsi="Arial" w:cs="Arial"/>
          <w:sz w:val="20"/>
          <w:szCs w:val="20"/>
        </w:rPr>
        <w:lastRenderedPageBreak/>
        <w:t>guilty of the offence.  Under s.356E(1)(a) the pre-condition for diversion is not a plea of guilty by the child.  It is merely an acknowledgement by the child “of responsibility for the offence”</w:t>
      </w:r>
      <w:r w:rsidR="00B140FF">
        <w:rPr>
          <w:rFonts w:ascii="Arial" w:hAnsi="Arial" w:cs="Arial"/>
          <w:sz w:val="20"/>
          <w:szCs w:val="20"/>
        </w:rPr>
        <w:t>.</w:t>
      </w:r>
      <w:r>
        <w:rPr>
          <w:rFonts w:ascii="Arial" w:hAnsi="Arial" w:cs="Arial"/>
          <w:sz w:val="20"/>
          <w:szCs w:val="20"/>
        </w:rPr>
        <w:t xml:space="preserve"> </w:t>
      </w:r>
      <w:r w:rsidR="00B140FF">
        <w:rPr>
          <w:rFonts w:ascii="Arial" w:hAnsi="Arial" w:cs="Arial"/>
          <w:sz w:val="20"/>
          <w:szCs w:val="20"/>
        </w:rPr>
        <w:t>And s.356E(2) specifically states that</w:t>
      </w:r>
      <w:r>
        <w:rPr>
          <w:rFonts w:ascii="Arial" w:hAnsi="Arial" w:cs="Arial"/>
          <w:sz w:val="20"/>
          <w:szCs w:val="20"/>
        </w:rPr>
        <w:t xml:space="preserve"> such acknowledgement does not constitute a plea.</w:t>
      </w:r>
    </w:p>
    <w:p w14:paraId="61D25FC0" w14:textId="77777777" w:rsidR="00366DDF" w:rsidRDefault="00366DDF" w:rsidP="00366DDF">
      <w:pPr>
        <w:jc w:val="both"/>
        <w:rPr>
          <w:rFonts w:ascii="Arial" w:hAnsi="Arial" w:cs="Arial"/>
          <w:sz w:val="20"/>
        </w:rPr>
      </w:pPr>
    </w:p>
    <w:p w14:paraId="7C37B644" w14:textId="77777777" w:rsidR="00800D84" w:rsidRDefault="00366DDF" w:rsidP="00800D84">
      <w:pPr>
        <w:pStyle w:val="Heading3"/>
        <w:keepNext/>
        <w:spacing w:after="80" w:line="240" w:lineRule="auto"/>
        <w:ind w:left="284" w:hanging="284"/>
        <w:rPr>
          <w:rFonts w:ascii="Arial" w:hAnsi="Arial" w:cs="Arial"/>
          <w:b/>
          <w:bCs/>
          <w:sz w:val="20"/>
        </w:rPr>
      </w:pPr>
      <w:bookmarkStart w:id="259" w:name="_J_SECRETARY_HAS"/>
      <w:bookmarkEnd w:id="259"/>
      <w:r>
        <w:rPr>
          <w:rFonts w:ascii="Arial" w:hAnsi="Arial" w:cs="Arial"/>
          <w:b/>
          <w:color w:val="FFFFFF"/>
          <w:sz w:val="22"/>
          <w:shd w:val="clear" w:color="auto" w:fill="000000"/>
        </w:rPr>
        <w:t>J</w:t>
      </w:r>
      <w:r>
        <w:rPr>
          <w:rFonts w:ascii="Arial" w:hAnsi="Arial" w:cs="Arial"/>
          <w:b/>
          <w:color w:val="000000"/>
          <w:sz w:val="22"/>
        </w:rPr>
        <w:tab/>
      </w:r>
      <w:r w:rsidR="005812F1">
        <w:rPr>
          <w:rFonts w:ascii="Arial" w:hAnsi="Arial" w:cs="Arial"/>
          <w:b/>
          <w:color w:val="FFFFFF"/>
          <w:sz w:val="22"/>
          <w:bdr w:val="single" w:sz="4" w:space="0" w:color="auto"/>
          <w:shd w:val="clear" w:color="auto" w:fill="000000"/>
        </w:rPr>
        <w:t>SECRETARY HAS N</w:t>
      </w:r>
      <w:r>
        <w:rPr>
          <w:rFonts w:ascii="Arial" w:hAnsi="Arial" w:cs="Arial"/>
          <w:b/>
          <w:color w:val="FFFFFF"/>
          <w:sz w:val="22"/>
          <w:bdr w:val="single" w:sz="4" w:space="0" w:color="auto"/>
          <w:shd w:val="clear" w:color="auto" w:fill="000000"/>
        </w:rPr>
        <w:t xml:space="preserve">O POWER TO ISSUE </w:t>
      </w:r>
      <w:r w:rsidR="005812F1">
        <w:rPr>
          <w:rFonts w:ascii="Arial" w:hAnsi="Arial" w:cs="Arial"/>
          <w:b/>
          <w:color w:val="FFFFFF"/>
          <w:sz w:val="22"/>
          <w:bdr w:val="single" w:sz="4" w:space="0" w:color="auto"/>
          <w:shd w:val="clear" w:color="auto" w:fill="000000"/>
        </w:rPr>
        <w:t xml:space="preserve">A </w:t>
      </w:r>
      <w:r>
        <w:rPr>
          <w:rFonts w:ascii="Arial" w:hAnsi="Arial" w:cs="Arial"/>
          <w:b/>
          <w:color w:val="FFFFFF"/>
          <w:sz w:val="22"/>
          <w:bdr w:val="single" w:sz="4" w:space="0" w:color="auto"/>
          <w:shd w:val="clear" w:color="auto" w:fill="000000"/>
        </w:rPr>
        <w:t xml:space="preserve">NEGATIVE ASSESSMENT UNDER </w:t>
      </w:r>
      <w:r w:rsidRPr="0001018D">
        <w:rPr>
          <w:rFonts w:ascii="Arial" w:hAnsi="Arial" w:cs="Arial"/>
          <w:b/>
          <w:i/>
          <w:iCs/>
          <w:color w:val="FFFFFF"/>
          <w:sz w:val="22"/>
          <w:bdr w:val="single" w:sz="4" w:space="0" w:color="auto"/>
          <w:shd w:val="clear" w:color="auto" w:fill="000000"/>
        </w:rPr>
        <w:t>WORKING WITH CHILDREN ACT 2005</w:t>
      </w:r>
      <w:r w:rsidR="006454C0">
        <w:rPr>
          <w:rFonts w:ascii="Arial" w:hAnsi="Arial" w:cs="Arial"/>
          <w:b/>
          <w:color w:val="FFFFFF"/>
          <w:sz w:val="22"/>
          <w:bdr w:val="single" w:sz="4" w:space="0" w:color="auto"/>
          <w:shd w:val="clear" w:color="auto" w:fill="000000"/>
        </w:rPr>
        <w:t xml:space="preserve"> WHERE CHARGES DEALT WITH BY DIVERSION</w:t>
      </w:r>
    </w:p>
    <w:p w14:paraId="2A6D3B84" w14:textId="77777777" w:rsidR="006454C0" w:rsidRDefault="00366DDF" w:rsidP="006454C0">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w:t>
      </w:r>
      <w:r w:rsidR="006454C0">
        <w:rPr>
          <w:rFonts w:ascii="Arial" w:hAnsi="Arial" w:cs="Arial"/>
          <w:sz w:val="20"/>
          <w:szCs w:val="20"/>
        </w:rPr>
        <w:t>plaintiff</w:t>
      </w:r>
      <w:r>
        <w:rPr>
          <w:rFonts w:ascii="Arial" w:hAnsi="Arial" w:cs="Arial"/>
          <w:sz w:val="20"/>
          <w:szCs w:val="20"/>
        </w:rPr>
        <w:t xml:space="preserve">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w:t>
      </w:r>
      <w:r w:rsidR="006454C0">
        <w:rPr>
          <w:rFonts w:ascii="Arial" w:hAnsi="Arial" w:cs="Arial"/>
          <w:sz w:val="20"/>
          <w:szCs w:val="20"/>
        </w:rPr>
        <w:t> </w:t>
      </w:r>
      <w:r>
        <w:rPr>
          <w:rFonts w:ascii="Arial" w:hAnsi="Arial" w:cs="Arial"/>
          <w:sz w:val="20"/>
          <w:szCs w:val="20"/>
        </w:rPr>
        <w:t xml:space="preserve">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sidR="006454C0">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w:t>
      </w:r>
      <w:r w:rsidR="006454C0">
        <w:rPr>
          <w:rFonts w:ascii="Arial" w:hAnsi="Arial" w:cs="Arial"/>
          <w:sz w:val="20"/>
          <w:szCs w:val="20"/>
        </w:rPr>
        <w:t xml:space="preserve">The Secretary subsequently issued a negative notice.  Ginnane J held that the plaintiff was </w:t>
      </w:r>
      <w:r w:rsidR="006454C0" w:rsidRPr="006454C0">
        <w:rPr>
          <w:rFonts w:ascii="Arial" w:hAnsi="Arial" w:cs="Arial"/>
          <w:sz w:val="20"/>
          <w:szCs w:val="20"/>
        </w:rPr>
        <w:t xml:space="preserve">entitled to a declaration that the Secretary had no power to refuse to give him an assessment notice under the </w:t>
      </w:r>
      <w:r w:rsidR="006454C0" w:rsidRPr="0001018D">
        <w:rPr>
          <w:rFonts w:ascii="Arial" w:hAnsi="Arial" w:cs="Arial"/>
          <w:i/>
          <w:iCs/>
          <w:sz w:val="20"/>
          <w:szCs w:val="20"/>
        </w:rPr>
        <w:t>Working with Children Act 2005</w:t>
      </w:r>
      <w:r w:rsidR="006454C0">
        <w:rPr>
          <w:rFonts w:ascii="Arial" w:hAnsi="Arial" w:cs="Arial"/>
          <w:sz w:val="20"/>
          <w:szCs w:val="20"/>
        </w:rPr>
        <w:t>.  Underpinning his Honour’s decision was his view at [35] that ss.</w:t>
      </w:r>
      <w:r w:rsidR="006454C0" w:rsidRPr="006454C0">
        <w:rPr>
          <w:rFonts w:ascii="Arial" w:hAnsi="Arial" w:cs="Arial"/>
          <w:sz w:val="20"/>
          <w:szCs w:val="20"/>
        </w:rPr>
        <w:t xml:space="preserve">1A </w:t>
      </w:r>
      <w:r w:rsidR="006454C0">
        <w:rPr>
          <w:rFonts w:ascii="Arial" w:hAnsi="Arial" w:cs="Arial"/>
          <w:sz w:val="20"/>
          <w:szCs w:val="20"/>
        </w:rPr>
        <w:t>&amp;</w:t>
      </w:r>
      <w:r w:rsidR="006454C0" w:rsidRPr="006454C0">
        <w:rPr>
          <w:rFonts w:ascii="Arial" w:hAnsi="Arial" w:cs="Arial"/>
          <w:sz w:val="20"/>
          <w:szCs w:val="20"/>
        </w:rPr>
        <w:t xml:space="preserve"> 17(3) of the Act, whether taken separately or jointly, do not </w:t>
      </w:r>
      <w:r w:rsidR="006454C0">
        <w:rPr>
          <w:rFonts w:ascii="Arial" w:hAnsi="Arial" w:cs="Arial"/>
          <w:sz w:val="20"/>
          <w:szCs w:val="20"/>
        </w:rPr>
        <w:t xml:space="preserve">empower the Secretary to </w:t>
      </w:r>
      <w:r w:rsidR="006454C0" w:rsidRPr="006454C0">
        <w:rPr>
          <w:rFonts w:ascii="Arial" w:hAnsi="Arial" w:cs="Arial"/>
          <w:sz w:val="20"/>
          <w:szCs w:val="20"/>
        </w:rPr>
        <w:t>issue a negative notice to a person whose application does not fall within categories A, B or C</w:t>
      </w:r>
      <w:r w:rsidR="006454C0">
        <w:rPr>
          <w:rFonts w:ascii="Arial" w:hAnsi="Arial" w:cs="Arial"/>
          <w:sz w:val="20"/>
          <w:szCs w:val="20"/>
        </w:rPr>
        <w:t xml:space="preserve"> in ss.12-14 respectively.</w:t>
      </w:r>
    </w:p>
    <w:p w14:paraId="3B90F4FF" w14:textId="77777777" w:rsidR="007236A2" w:rsidRDefault="007236A2" w:rsidP="007236A2">
      <w:pPr>
        <w:jc w:val="both"/>
        <w:rPr>
          <w:rFonts w:ascii="Arial" w:hAnsi="Arial" w:cs="Arial"/>
          <w:sz w:val="20"/>
        </w:rPr>
      </w:pPr>
    </w:p>
    <w:p w14:paraId="4023772B" w14:textId="77777777" w:rsidR="00800D84" w:rsidRDefault="007236A2" w:rsidP="00800D84">
      <w:pPr>
        <w:pStyle w:val="Heading3"/>
        <w:keepNext/>
        <w:spacing w:after="80" w:line="240" w:lineRule="auto"/>
        <w:ind w:left="284" w:hanging="284"/>
        <w:rPr>
          <w:rFonts w:ascii="Arial" w:hAnsi="Arial" w:cs="Arial"/>
          <w:b/>
          <w:bCs/>
          <w:sz w:val="20"/>
        </w:rPr>
      </w:pPr>
      <w:bookmarkStart w:id="260" w:name="_K_STATISTICS"/>
      <w:bookmarkEnd w:id="260"/>
      <w:r>
        <w:rPr>
          <w:rFonts w:ascii="Arial" w:hAnsi="Arial" w:cs="Arial"/>
          <w:b/>
          <w:color w:val="FFFFFF"/>
          <w:sz w:val="22"/>
          <w:shd w:val="clear" w:color="auto" w:fill="000000"/>
        </w:rPr>
        <w:t>K</w:t>
      </w:r>
      <w:r>
        <w:rPr>
          <w:rFonts w:ascii="Arial" w:hAnsi="Arial" w:cs="Arial"/>
          <w:b/>
          <w:color w:val="000000"/>
          <w:sz w:val="22"/>
        </w:rPr>
        <w:tab/>
      </w:r>
      <w:r>
        <w:rPr>
          <w:rFonts w:ascii="Arial" w:hAnsi="Arial" w:cs="Arial"/>
          <w:b/>
          <w:color w:val="FFFFFF"/>
          <w:sz w:val="22"/>
          <w:bdr w:val="single" w:sz="4" w:space="0" w:color="auto"/>
          <w:shd w:val="clear" w:color="auto" w:fill="000000"/>
        </w:rPr>
        <w:t>STATISTICS</w:t>
      </w:r>
    </w:p>
    <w:p w14:paraId="628A25D3" w14:textId="77777777" w:rsidR="007236A2" w:rsidRDefault="007236A2" w:rsidP="00CF53CA">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EC24DC" w:rsidRPr="002F0C63" w14:paraId="0B4C9389" w14:textId="77777777" w:rsidTr="00FB336D">
        <w:tc>
          <w:tcPr>
            <w:tcW w:w="9179" w:type="dxa"/>
            <w:gridSpan w:val="2"/>
            <w:shd w:val="clear" w:color="auto" w:fill="000000"/>
          </w:tcPr>
          <w:p w14:paraId="68D9EC56" w14:textId="32167E52" w:rsidR="00EC24DC" w:rsidRPr="00EC24DC" w:rsidRDefault="00FB336D" w:rsidP="00EC24DC">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B346A3" w:rsidRPr="002F0C63" w14:paraId="21CD9897" w14:textId="77777777" w:rsidTr="00FB336D">
        <w:tc>
          <w:tcPr>
            <w:tcW w:w="1242" w:type="dxa"/>
            <w:shd w:val="clear" w:color="auto" w:fill="000000"/>
          </w:tcPr>
          <w:p w14:paraId="13C49EA7" w14:textId="601617C1"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2017</w:t>
            </w:r>
            <w:r w:rsidR="00FB336D">
              <w:rPr>
                <w:rFonts w:ascii="Arial" w:hAnsi="Arial" w:cs="Arial"/>
                <w:b/>
                <w:bCs/>
                <w:sz w:val="22"/>
                <w:szCs w:val="22"/>
              </w:rPr>
              <w:t>/18</w:t>
            </w:r>
          </w:p>
        </w:tc>
        <w:tc>
          <w:tcPr>
            <w:tcW w:w="7937" w:type="dxa"/>
            <w:shd w:val="clear" w:color="auto" w:fill="auto"/>
          </w:tcPr>
          <w:p w14:paraId="790722C3" w14:textId="77777777" w:rsidR="00B346A3" w:rsidRPr="002F0C63" w:rsidRDefault="00735B04" w:rsidP="002F0C63">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w:t>
            </w:r>
            <w:r w:rsidR="00E30BE0" w:rsidRPr="002F0C63">
              <w:rPr>
                <w:rFonts w:ascii="Arial" w:hAnsi="Arial" w:cs="Arial"/>
                <w:sz w:val="20"/>
                <w:szCs w:val="20"/>
              </w:rPr>
              <w:t xml:space="preserve">(involving 1356 young people) </w:t>
            </w:r>
            <w:r w:rsidRPr="002F0C63">
              <w:rPr>
                <w:rFonts w:ascii="Arial" w:hAnsi="Arial" w:cs="Arial"/>
                <w:sz w:val="20"/>
                <w:szCs w:val="20"/>
              </w:rPr>
              <w:t>were ordered</w:t>
            </w:r>
            <w:r w:rsidR="00E30BE0" w:rsidRPr="002F0C63">
              <w:rPr>
                <w:rFonts w:ascii="Arial" w:hAnsi="Arial" w:cs="Arial"/>
                <w:sz w:val="20"/>
                <w:szCs w:val="20"/>
              </w:rPr>
              <w:t>.  Of these</w:t>
            </w:r>
            <w:r w:rsidRPr="002F0C63">
              <w:rPr>
                <w:rFonts w:ascii="Arial" w:hAnsi="Arial" w:cs="Arial"/>
                <w:sz w:val="20"/>
                <w:szCs w:val="20"/>
              </w:rPr>
              <w:t xml:space="preserv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B346A3" w:rsidRPr="002F0C63" w14:paraId="32784BB6" w14:textId="77777777" w:rsidTr="00FB336D">
        <w:tc>
          <w:tcPr>
            <w:tcW w:w="1242" w:type="dxa"/>
            <w:shd w:val="clear" w:color="auto" w:fill="000000"/>
          </w:tcPr>
          <w:p w14:paraId="6763952C" w14:textId="63D27DD3"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2018</w:t>
            </w:r>
            <w:r w:rsidR="00FB336D">
              <w:rPr>
                <w:rFonts w:ascii="Arial" w:hAnsi="Arial" w:cs="Arial"/>
                <w:b/>
                <w:bCs/>
                <w:sz w:val="22"/>
                <w:szCs w:val="22"/>
              </w:rPr>
              <w:t>/19</w:t>
            </w:r>
          </w:p>
        </w:tc>
        <w:tc>
          <w:tcPr>
            <w:tcW w:w="7937" w:type="dxa"/>
            <w:shd w:val="clear" w:color="auto" w:fill="DDDDDD"/>
          </w:tcPr>
          <w:p w14:paraId="725E9B4A" w14:textId="77777777" w:rsidR="00B346A3" w:rsidRPr="002F0C63" w:rsidRDefault="00B346A3" w:rsidP="002F0C63">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t>
            </w:r>
            <w:r w:rsidR="00631D99" w:rsidRPr="002F0C63">
              <w:rPr>
                <w:rFonts w:ascii="Arial" w:hAnsi="Arial" w:cs="Arial"/>
                <w:sz w:val="20"/>
                <w:szCs w:val="20"/>
              </w:rPr>
              <w:t>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B346A3" w:rsidRPr="002F0C63" w14:paraId="73C28C8B" w14:textId="77777777" w:rsidTr="00FB336D">
        <w:tc>
          <w:tcPr>
            <w:tcW w:w="1242" w:type="dxa"/>
            <w:shd w:val="clear" w:color="auto" w:fill="000000"/>
          </w:tcPr>
          <w:p w14:paraId="4BFD5943" w14:textId="41ADECA6" w:rsidR="00B346A3" w:rsidRPr="002F0C63" w:rsidRDefault="007E6AD4" w:rsidP="002F0C63">
            <w:pPr>
              <w:spacing w:before="40" w:after="40"/>
              <w:jc w:val="center"/>
              <w:rPr>
                <w:rFonts w:ascii="Arial" w:hAnsi="Arial" w:cs="Arial"/>
                <w:b/>
                <w:bCs/>
                <w:sz w:val="22"/>
                <w:szCs w:val="22"/>
              </w:rPr>
            </w:pPr>
            <w:r w:rsidRPr="002F0C63">
              <w:rPr>
                <w:rFonts w:ascii="Arial" w:hAnsi="Arial" w:cs="Arial"/>
                <w:b/>
                <w:bCs/>
                <w:sz w:val="22"/>
                <w:szCs w:val="22"/>
              </w:rPr>
              <w:t>2019</w:t>
            </w:r>
            <w:r w:rsidR="00FB336D">
              <w:rPr>
                <w:rFonts w:ascii="Arial" w:hAnsi="Arial" w:cs="Arial"/>
                <w:b/>
                <w:bCs/>
                <w:sz w:val="22"/>
                <w:szCs w:val="22"/>
              </w:rPr>
              <w:t>/20</w:t>
            </w:r>
          </w:p>
        </w:tc>
        <w:tc>
          <w:tcPr>
            <w:tcW w:w="7937" w:type="dxa"/>
            <w:shd w:val="clear" w:color="auto" w:fill="auto"/>
          </w:tcPr>
          <w:p w14:paraId="51563881" w14:textId="2E7E3427" w:rsidR="00B346A3" w:rsidRPr="002F0C63" w:rsidRDefault="00EC24DC" w:rsidP="002F0C63">
            <w:pPr>
              <w:spacing w:before="40" w:after="40"/>
              <w:jc w:val="both"/>
              <w:rPr>
                <w:rFonts w:ascii="Arial" w:hAnsi="Arial" w:cs="Arial"/>
                <w:sz w:val="20"/>
                <w:szCs w:val="20"/>
              </w:rPr>
            </w:pPr>
            <w:r w:rsidRPr="00C57C9F">
              <w:rPr>
                <w:rFonts w:ascii="Arial" w:hAnsi="Arial" w:cs="Arial"/>
                <w:b/>
                <w:bCs/>
                <w:sz w:val="20"/>
                <w:szCs w:val="20"/>
              </w:rPr>
              <w:t>1</w:t>
            </w:r>
            <w:r w:rsidR="00377DF9" w:rsidRPr="00C57C9F">
              <w:rPr>
                <w:rFonts w:ascii="Arial" w:hAnsi="Arial" w:cs="Arial"/>
                <w:b/>
                <w:bCs/>
                <w:sz w:val="20"/>
                <w:szCs w:val="20"/>
              </w:rPr>
              <w:t>170</w:t>
            </w:r>
            <w:r>
              <w:rPr>
                <w:rFonts w:ascii="Arial" w:hAnsi="Arial" w:cs="Arial"/>
                <w:sz w:val="20"/>
                <w:szCs w:val="20"/>
              </w:rPr>
              <w:t xml:space="preserve"> diversions were ordered</w:t>
            </w:r>
            <w:r w:rsidR="00377DF9">
              <w:rPr>
                <w:rFonts w:ascii="Arial" w:hAnsi="Arial" w:cs="Arial"/>
                <w:sz w:val="20"/>
                <w:szCs w:val="20"/>
              </w:rPr>
              <w:t>, of which 95% were successfully completed.</w:t>
            </w:r>
            <w:r>
              <w:rPr>
                <w:rFonts w:ascii="Arial" w:hAnsi="Arial" w:cs="Arial"/>
                <w:sz w:val="20"/>
                <w:szCs w:val="20"/>
              </w:rPr>
              <w:t xml:space="preserve">  By comparison </w:t>
            </w:r>
            <w:r w:rsidR="00B72A26">
              <w:rPr>
                <w:rFonts w:ascii="Arial" w:hAnsi="Arial" w:cs="Arial"/>
                <w:sz w:val="20"/>
                <w:szCs w:val="20"/>
              </w:rPr>
              <w:t xml:space="preserve">sentencing orders were made in </w:t>
            </w:r>
            <w:r>
              <w:rPr>
                <w:rFonts w:ascii="Arial" w:hAnsi="Arial" w:cs="Arial"/>
                <w:sz w:val="20"/>
                <w:szCs w:val="20"/>
              </w:rPr>
              <w:t>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sidR="000B76FC">
              <w:rPr>
                <w:rFonts w:ascii="Arial" w:hAnsi="Arial" w:cs="Arial"/>
                <w:sz w:val="20"/>
                <w:szCs w:val="20"/>
              </w:rPr>
              <w:t>11</w:t>
            </w:r>
            <w:r w:rsidRPr="002F0C63">
              <w:rPr>
                <w:rFonts w:ascii="Arial" w:hAnsi="Arial" w:cs="Arial"/>
                <w:sz w:val="20"/>
                <w:szCs w:val="20"/>
              </w:rPr>
              <w:t>% identified as Aboriginal or Torres Strait Islander or both.</w:t>
            </w:r>
            <w:r w:rsidR="000B76FC">
              <w:rPr>
                <w:rFonts w:ascii="Arial" w:hAnsi="Arial" w:cs="Arial"/>
                <w:sz w:val="20"/>
                <w:szCs w:val="20"/>
              </w:rPr>
              <w:t xml:space="preserve">  </w:t>
            </w:r>
            <w:r w:rsidR="00B72A26">
              <w:rPr>
                <w:rFonts w:ascii="Arial" w:hAnsi="Arial" w:cs="Arial"/>
                <w:sz w:val="20"/>
                <w:szCs w:val="20"/>
              </w:rPr>
              <w:t>40% of the diversion orders involved dishonesty or property offences and 33% offences against the person (other than family violence and sex offences).</w:t>
            </w:r>
          </w:p>
        </w:tc>
      </w:tr>
      <w:tr w:rsidR="00D247BF" w:rsidRPr="002908DC" w14:paraId="48FCFA7A" w14:textId="77777777" w:rsidTr="00FB336D">
        <w:tc>
          <w:tcPr>
            <w:tcW w:w="1242" w:type="dxa"/>
            <w:tcBorders>
              <w:top w:val="single" w:sz="4" w:space="0" w:color="auto"/>
              <w:left w:val="single" w:sz="4" w:space="0" w:color="auto"/>
              <w:bottom w:val="single" w:sz="4" w:space="0" w:color="auto"/>
              <w:right w:val="single" w:sz="4" w:space="0" w:color="auto"/>
            </w:tcBorders>
            <w:shd w:val="clear" w:color="auto" w:fill="000000"/>
          </w:tcPr>
          <w:p w14:paraId="0D4FB532" w14:textId="77777777" w:rsidR="00D247BF" w:rsidRPr="00D247BF" w:rsidRDefault="00D247BF" w:rsidP="00CE2EA1">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5E6F976" w14:textId="77777777" w:rsidR="00D247BF" w:rsidRPr="00D247BF" w:rsidRDefault="00D247BF" w:rsidP="00CE2EA1">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E7147E" w:rsidRPr="002908DC" w14:paraId="155DF25D"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67C092FC" w14:textId="5B0009AD"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61D3CCA0" w14:textId="19C43B4C" w:rsidR="00E7147E" w:rsidRPr="00E7147E" w:rsidRDefault="00E7147E" w:rsidP="00E7147E">
            <w:pPr>
              <w:spacing w:before="40" w:after="40"/>
              <w:jc w:val="center"/>
              <w:rPr>
                <w:rFonts w:ascii="Arial" w:hAnsi="Arial" w:cs="Arial"/>
                <w:b/>
                <w:bCs/>
                <w:sz w:val="20"/>
                <w:szCs w:val="20"/>
              </w:rPr>
            </w:pPr>
            <w:r>
              <w:rPr>
                <w:rFonts w:ascii="Arial" w:hAnsi="Arial" w:cs="Arial"/>
                <w:b/>
                <w:bCs/>
                <w:sz w:val="20"/>
                <w:szCs w:val="20"/>
              </w:rPr>
              <w:t>N/A</w:t>
            </w:r>
          </w:p>
        </w:tc>
      </w:tr>
      <w:tr w:rsidR="00E7147E" w:rsidRPr="002908DC" w14:paraId="365BEFC8"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241E5FD2" w14:textId="3084C986"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3C4ECEAF" w14:textId="1FAF7053" w:rsidR="00E7147E" w:rsidRPr="00E7147E" w:rsidRDefault="00E7147E" w:rsidP="00E7147E">
            <w:pPr>
              <w:spacing w:before="40" w:after="40"/>
              <w:jc w:val="both"/>
              <w:rPr>
                <w:rFonts w:ascii="Arial" w:hAnsi="Arial" w:cs="Arial"/>
                <w:b/>
                <w:bCs/>
                <w:sz w:val="20"/>
                <w:szCs w:val="20"/>
              </w:rPr>
            </w:pPr>
            <w:r w:rsidRPr="00C57C9F">
              <w:rPr>
                <w:rFonts w:ascii="Arial" w:hAnsi="Arial" w:cs="Arial"/>
                <w:b/>
                <w:bCs/>
                <w:sz w:val="20"/>
                <w:szCs w:val="20"/>
              </w:rPr>
              <w:t>1</w:t>
            </w:r>
            <w:r>
              <w:rPr>
                <w:rFonts w:ascii="Arial" w:hAnsi="Arial" w:cs="Arial"/>
                <w:b/>
                <w:bCs/>
                <w:sz w:val="20"/>
                <w:szCs w:val="20"/>
              </w:rPr>
              <w:t>454</w:t>
            </w:r>
            <w:r w:rsidRPr="00E7147E">
              <w:rPr>
                <w:rFonts w:ascii="Arial" w:hAnsi="Arial" w:cs="Arial"/>
                <w:b/>
                <w:bCs/>
                <w:sz w:val="20"/>
                <w:szCs w:val="20"/>
              </w:rPr>
              <w:t xml:space="preserve"> diversions were ordered</w:t>
            </w:r>
            <w:r>
              <w:rPr>
                <w:rFonts w:ascii="Arial" w:hAnsi="Arial" w:cs="Arial"/>
                <w:b/>
                <w:bCs/>
                <w:sz w:val="20"/>
                <w:szCs w:val="20"/>
              </w:rPr>
              <w:t xml:space="preserve">.  </w:t>
            </w:r>
            <w:bookmarkStart w:id="261" w:name="_Hlk148944254"/>
            <w:r>
              <w:rPr>
                <w:rFonts w:ascii="Arial" w:hAnsi="Arial" w:cs="Arial"/>
                <w:b/>
                <w:bCs/>
                <w:sz w:val="20"/>
                <w:szCs w:val="20"/>
              </w:rPr>
              <w:t xml:space="preserve">Excluding uncompleted diversions, 98% of </w:t>
            </w:r>
            <w:r w:rsidR="009D2434">
              <w:rPr>
                <w:rFonts w:ascii="Arial" w:hAnsi="Arial" w:cs="Arial"/>
                <w:b/>
                <w:bCs/>
                <w:sz w:val="20"/>
                <w:szCs w:val="20"/>
              </w:rPr>
              <w:t>diversion plans were successfully completed</w:t>
            </w:r>
            <w:r>
              <w:rPr>
                <w:rFonts w:ascii="Arial" w:hAnsi="Arial" w:cs="Arial"/>
                <w:b/>
                <w:bCs/>
                <w:sz w:val="20"/>
                <w:szCs w:val="20"/>
              </w:rPr>
              <w:t xml:space="preserve">.  </w:t>
            </w:r>
            <w:bookmarkEnd w:id="261"/>
            <w:r>
              <w:rPr>
                <w:rFonts w:ascii="Arial" w:hAnsi="Arial" w:cs="Arial"/>
                <w:b/>
                <w:bCs/>
                <w:sz w:val="20"/>
                <w:szCs w:val="20"/>
              </w:rPr>
              <w:t xml:space="preserve">By </w:t>
            </w:r>
            <w:r w:rsidRPr="00E7147E">
              <w:rPr>
                <w:rFonts w:ascii="Arial" w:hAnsi="Arial" w:cs="Arial"/>
                <w:b/>
                <w:bCs/>
                <w:sz w:val="20"/>
                <w:szCs w:val="20"/>
              </w:rPr>
              <w:t xml:space="preserve">comparison there were </w:t>
            </w:r>
            <w:r w:rsidR="003C0639">
              <w:rPr>
                <w:rFonts w:ascii="Arial" w:hAnsi="Arial" w:cs="Arial"/>
                <w:b/>
                <w:bCs/>
                <w:sz w:val="20"/>
                <w:szCs w:val="20"/>
              </w:rPr>
              <w:t>886</w:t>
            </w:r>
            <w:r w:rsidRPr="00E7147E">
              <w:rPr>
                <w:rFonts w:ascii="Arial" w:hAnsi="Arial" w:cs="Arial"/>
                <w:b/>
                <w:bCs/>
                <w:sz w:val="20"/>
                <w:szCs w:val="20"/>
              </w:rPr>
              <w:t xml:space="preserve"> cases in which sentencing orders were made.</w:t>
            </w:r>
          </w:p>
        </w:tc>
      </w:tr>
    </w:tbl>
    <w:p w14:paraId="3C14D62D" w14:textId="396F831E" w:rsidR="00EE5DC5" w:rsidRDefault="00EE5DC5" w:rsidP="00EE5DC5">
      <w:pPr>
        <w:rPr>
          <w:rFonts w:ascii="Arial" w:hAnsi="Arial" w:cs="Arial"/>
          <w:sz w:val="20"/>
        </w:rPr>
      </w:pPr>
    </w:p>
    <w:p w14:paraId="066940FC" w14:textId="77777777" w:rsidR="00EE5DC5" w:rsidRPr="0095662A" w:rsidRDefault="00EE5DC5" w:rsidP="00EE5DC5">
      <w:pPr>
        <w:keepNext/>
        <w:keepLines/>
        <w:jc w:val="center"/>
        <w:rPr>
          <w:rFonts w:ascii="Arial" w:hAnsi="Arial" w:cs="Arial"/>
          <w:sz w:val="22"/>
          <w:szCs w:val="36"/>
        </w:rPr>
      </w:pPr>
      <w:r w:rsidRPr="0095662A">
        <w:rPr>
          <w:rFonts w:ascii="Arial" w:hAnsi="Arial" w:cs="Arial"/>
          <w:b/>
          <w:bCs/>
          <w:sz w:val="22"/>
          <w:szCs w:val="28"/>
        </w:rPr>
        <w:t>THE REST OF THIS PAGE IS BLANK</w:t>
      </w:r>
    </w:p>
    <w:p w14:paraId="37A58DB7" w14:textId="653A7859" w:rsidR="00EE5DC5" w:rsidRDefault="00EE5DC5" w:rsidP="00CF53CA">
      <w:pPr>
        <w:spacing w:before="40"/>
        <w:jc w:val="both"/>
        <w:rPr>
          <w:rFonts w:ascii="Arial" w:hAnsi="Arial" w:cs="Arial"/>
          <w:sz w:val="20"/>
          <w:szCs w:val="20"/>
        </w:rPr>
      </w:pPr>
    </w:p>
    <w:p w14:paraId="0F27EA7E" w14:textId="095B966E" w:rsidR="00EE5DC5" w:rsidRDefault="00EE5DC5">
      <w:pPr>
        <w:rPr>
          <w:rFonts w:ascii="Arial" w:hAnsi="Arial" w:cs="Arial"/>
          <w:sz w:val="20"/>
          <w:szCs w:val="20"/>
        </w:rPr>
      </w:pPr>
      <w:r>
        <w:rPr>
          <w:rFonts w:ascii="Arial" w:hAnsi="Arial" w:cs="Arial"/>
          <w:sz w:val="20"/>
          <w:szCs w:val="20"/>
        </w:rPr>
        <w:br w:type="page"/>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4BAD608A" w:rsidR="003725A5" w:rsidRPr="00EC24DC" w:rsidRDefault="003725A5" w:rsidP="00CE2EA1">
            <w:pPr>
              <w:spacing w:before="40" w:after="40"/>
              <w:jc w:val="center"/>
              <w:rPr>
                <w:rFonts w:ascii="Arial" w:hAnsi="Arial" w:cs="Arial"/>
                <w:b/>
                <w:bCs/>
                <w:sz w:val="18"/>
                <w:szCs w:val="18"/>
              </w:rPr>
            </w:pPr>
            <w:r>
              <w:rPr>
                <w:rFonts w:ascii="Arial" w:hAnsi="Arial" w:cs="Arial"/>
                <w:b/>
                <w:bCs/>
                <w:sz w:val="20"/>
                <w:szCs w:val="20"/>
              </w:rPr>
              <w:lastRenderedPageBreak/>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65D971E0" w14:textId="15F8E55D" w:rsidR="007B75A8" w:rsidRDefault="007B75A8" w:rsidP="00960B50">
      <w:pPr>
        <w:pStyle w:val="Heading3"/>
        <w:keepNext/>
        <w:spacing w:after="80" w:line="240" w:lineRule="auto"/>
        <w:ind w:left="284" w:right="-170" w:hanging="284"/>
        <w:rPr>
          <w:rFonts w:ascii="Arial" w:hAnsi="Arial" w:cs="Arial"/>
          <w:b/>
          <w:bCs/>
          <w:sz w:val="20"/>
        </w:rPr>
      </w:pPr>
      <w:bookmarkStart w:id="262" w:name="_L_STATUTORY_REVIEW"/>
      <w:bookmarkEnd w:id="262"/>
      <w:r>
        <w:rPr>
          <w:rFonts w:ascii="Arial" w:hAnsi="Arial" w:cs="Arial"/>
          <w:b/>
          <w:color w:val="FFFFFF"/>
          <w:sz w:val="22"/>
          <w:shd w:val="clear" w:color="auto" w:fill="000000"/>
        </w:rPr>
        <w:t>L</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lastRenderedPageBreak/>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oung people in contact with the justice system often have multiple and complex needs that require time to address effectively. Evidence of reoffending among CCYD participants does not necessarily indicate CCYD was not successful. CCYD can put in place a 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CF53CA">
      <w:pPr>
        <w:spacing w:before="40"/>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lastRenderedPageBreak/>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3" w:name="_10.8_The_“ROPES”"/>
      <w:bookmarkEnd w:id="263"/>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4" w:name="_10.8.1_The_program"/>
      <w:bookmarkEnd w:id="264"/>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5" w:name="_10.8.2_The_target"/>
      <w:bookmarkEnd w:id="265"/>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place">
        <w:smartTag w:uri="urn:schemas-microsoft-com:office:smarttags" w:element="City">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lastRenderedPageBreak/>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66" w:name="_10.8.3_The_aims"/>
      <w:bookmarkEnd w:id="266"/>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67" w:name="_10.8.4_The_content"/>
      <w:bookmarkEnd w:id="267"/>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68" w:name="_10.8.5_The_consequence"/>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w:t>
      </w:r>
      <w:r w:rsidRPr="00102D2A">
        <w:rPr>
          <w:rFonts w:ascii="Arial" w:hAnsi="Arial" w:cs="Arial"/>
          <w:color w:val="000000"/>
          <w:sz w:val="20"/>
        </w:rPr>
        <w:lastRenderedPageBreak/>
        <w:t>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0AC1" w14:textId="77777777" w:rsidR="003A45E3" w:rsidRDefault="003A45E3">
      <w:r>
        <w:separator/>
      </w:r>
    </w:p>
  </w:endnote>
  <w:endnote w:type="continuationSeparator" w:id="0">
    <w:p w14:paraId="3440A1CE" w14:textId="77777777" w:rsidR="003A45E3" w:rsidRDefault="003A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50720B61" w:rsidR="00CB5B87" w:rsidRDefault="00CB5B87">
    <w:pPr>
      <w:pStyle w:val="Footer"/>
    </w:pPr>
    <w:r>
      <w:rPr>
        <w:rStyle w:val="PageNumber"/>
        <w:rFonts w:ascii="Arial" w:hAnsi="Arial" w:cs="Arial"/>
        <w:b/>
        <w:bCs/>
        <w:sz w:val="16"/>
      </w:rPr>
      <w:t xml:space="preserve">Last updated </w:t>
    </w:r>
    <w:r w:rsidR="007C3CE4">
      <w:rPr>
        <w:rStyle w:val="PageNumber"/>
        <w:rFonts w:ascii="Arial" w:hAnsi="Arial" w:cs="Arial"/>
        <w:b/>
        <w:bCs/>
        <w:sz w:val="16"/>
      </w:rPr>
      <w:t>11</w:t>
    </w:r>
    <w:r w:rsidR="001E3540">
      <w:rPr>
        <w:rStyle w:val="PageNumber"/>
        <w:rFonts w:ascii="Arial" w:hAnsi="Arial" w:cs="Arial"/>
        <w:b/>
        <w:bCs/>
        <w:sz w:val="16"/>
      </w:rPr>
      <w:t xml:space="preserve"> Decem</w:t>
    </w:r>
    <w:r w:rsidR="009642E6">
      <w:rPr>
        <w:rStyle w:val="PageNumber"/>
        <w:rFonts w:ascii="Arial" w:hAnsi="Arial" w:cs="Arial"/>
        <w:b/>
        <w:bCs/>
        <w:sz w:val="16"/>
      </w:rPr>
      <w:t>ber</w:t>
    </w:r>
    <w:r w:rsidR="00DE0D34">
      <w:rPr>
        <w:rStyle w:val="PageNumber"/>
        <w:rFonts w:ascii="Arial" w:hAnsi="Arial" w:cs="Arial"/>
        <w:b/>
        <w:bCs/>
        <w:sz w:val="16"/>
      </w:rPr>
      <w:t xml:space="preserve">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73321" w14:textId="77777777" w:rsidR="003A45E3" w:rsidRDefault="003A45E3">
      <w:r>
        <w:separator/>
      </w:r>
    </w:p>
  </w:footnote>
  <w:footnote w:type="continuationSeparator" w:id="0">
    <w:p w14:paraId="64A1C00A" w14:textId="77777777" w:rsidR="003A45E3" w:rsidRDefault="003A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2"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6"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8"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0"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0"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88770F"/>
    <w:multiLevelType w:val="hybridMultilevel"/>
    <w:tmpl w:val="A40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5"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0"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6"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9"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0"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2"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1"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2"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3"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4"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5"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7"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0"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1"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3"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4"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5"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8"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0"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3"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6"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7"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1"/>
  </w:num>
  <w:num w:numId="2" w16cid:durableId="1518930696">
    <w:abstractNumId w:val="39"/>
  </w:num>
  <w:num w:numId="3" w16cid:durableId="533857439">
    <w:abstractNumId w:val="38"/>
  </w:num>
  <w:num w:numId="4" w16cid:durableId="108941524">
    <w:abstractNumId w:val="73"/>
  </w:num>
  <w:num w:numId="5" w16cid:durableId="1290622740">
    <w:abstractNumId w:val="29"/>
  </w:num>
  <w:num w:numId="6" w16cid:durableId="293950207">
    <w:abstractNumId w:val="87"/>
  </w:num>
  <w:num w:numId="7" w16cid:durableId="932053166">
    <w:abstractNumId w:val="65"/>
  </w:num>
  <w:num w:numId="8" w16cid:durableId="1768575532">
    <w:abstractNumId w:val="46"/>
  </w:num>
  <w:num w:numId="9" w16cid:durableId="45297735">
    <w:abstractNumId w:val="20"/>
  </w:num>
  <w:num w:numId="10" w16cid:durableId="123163608">
    <w:abstractNumId w:val="44"/>
  </w:num>
  <w:num w:numId="11" w16cid:durableId="319044883">
    <w:abstractNumId w:val="66"/>
  </w:num>
  <w:num w:numId="12" w16cid:durableId="681787156">
    <w:abstractNumId w:val="91"/>
  </w:num>
  <w:num w:numId="13" w16cid:durableId="752706318">
    <w:abstractNumId w:val="90"/>
  </w:num>
  <w:num w:numId="14" w16cid:durableId="1053964263">
    <w:abstractNumId w:val="9"/>
  </w:num>
  <w:num w:numId="15" w16cid:durableId="211578649">
    <w:abstractNumId w:val="23"/>
  </w:num>
  <w:num w:numId="16" w16cid:durableId="27460194">
    <w:abstractNumId w:val="68"/>
  </w:num>
  <w:num w:numId="17" w16cid:durableId="29038114">
    <w:abstractNumId w:val="82"/>
  </w:num>
  <w:num w:numId="18" w16cid:durableId="603462408">
    <w:abstractNumId w:val="52"/>
  </w:num>
  <w:num w:numId="19" w16cid:durableId="854537546">
    <w:abstractNumId w:val="43"/>
  </w:num>
  <w:num w:numId="20" w16cid:durableId="1610428143">
    <w:abstractNumId w:val="7"/>
  </w:num>
  <w:num w:numId="21" w16cid:durableId="1028405940">
    <w:abstractNumId w:val="95"/>
  </w:num>
  <w:num w:numId="22" w16cid:durableId="570192650">
    <w:abstractNumId w:val="18"/>
  </w:num>
  <w:num w:numId="23" w16cid:durableId="699088725">
    <w:abstractNumId w:val="6"/>
  </w:num>
  <w:num w:numId="24" w16cid:durableId="967660956">
    <w:abstractNumId w:val="16"/>
  </w:num>
  <w:num w:numId="25" w16cid:durableId="672226692">
    <w:abstractNumId w:val="25"/>
  </w:num>
  <w:num w:numId="26" w16cid:durableId="1985113314">
    <w:abstractNumId w:val="53"/>
  </w:num>
  <w:num w:numId="27" w16cid:durableId="1387141631">
    <w:abstractNumId w:val="27"/>
  </w:num>
  <w:num w:numId="28" w16cid:durableId="1721057490">
    <w:abstractNumId w:val="11"/>
  </w:num>
  <w:num w:numId="29" w16cid:durableId="1760518028">
    <w:abstractNumId w:val="56"/>
  </w:num>
  <w:num w:numId="30" w16cid:durableId="964774121">
    <w:abstractNumId w:val="99"/>
  </w:num>
  <w:num w:numId="31" w16cid:durableId="344326424">
    <w:abstractNumId w:val="58"/>
  </w:num>
  <w:num w:numId="32" w16cid:durableId="1825929220">
    <w:abstractNumId w:val="19"/>
  </w:num>
  <w:num w:numId="33" w16cid:durableId="580993568">
    <w:abstractNumId w:val="35"/>
  </w:num>
  <w:num w:numId="34" w16cid:durableId="1285648812">
    <w:abstractNumId w:val="96"/>
  </w:num>
  <w:num w:numId="35" w16cid:durableId="1541282616">
    <w:abstractNumId w:val="98"/>
  </w:num>
  <w:num w:numId="36" w16cid:durableId="1020815478">
    <w:abstractNumId w:val="12"/>
  </w:num>
  <w:num w:numId="37" w16cid:durableId="1754549002">
    <w:abstractNumId w:val="3"/>
  </w:num>
  <w:num w:numId="38" w16cid:durableId="1396006305">
    <w:abstractNumId w:val="86"/>
  </w:num>
  <w:num w:numId="39" w16cid:durableId="1928877651">
    <w:abstractNumId w:val="83"/>
  </w:num>
  <w:num w:numId="40" w16cid:durableId="1241452986">
    <w:abstractNumId w:val="45"/>
  </w:num>
  <w:num w:numId="41" w16cid:durableId="1650743759">
    <w:abstractNumId w:val="67"/>
  </w:num>
  <w:num w:numId="42" w16cid:durableId="953974627">
    <w:abstractNumId w:val="94"/>
  </w:num>
  <w:num w:numId="43" w16cid:durableId="107045950">
    <w:abstractNumId w:val="32"/>
  </w:num>
  <w:num w:numId="44" w16cid:durableId="1183397123">
    <w:abstractNumId w:val="64"/>
  </w:num>
  <w:num w:numId="45" w16cid:durableId="1438016748">
    <w:abstractNumId w:val="47"/>
  </w:num>
  <w:num w:numId="46" w16cid:durableId="166482326">
    <w:abstractNumId w:val="5"/>
  </w:num>
  <w:num w:numId="47" w16cid:durableId="1982224275">
    <w:abstractNumId w:val="89"/>
  </w:num>
  <w:num w:numId="48" w16cid:durableId="2018994504">
    <w:abstractNumId w:val="2"/>
  </w:num>
  <w:num w:numId="49" w16cid:durableId="1937134170">
    <w:abstractNumId w:val="49"/>
  </w:num>
  <w:num w:numId="50" w16cid:durableId="1969820662">
    <w:abstractNumId w:val="48"/>
  </w:num>
  <w:num w:numId="51" w16cid:durableId="961762973">
    <w:abstractNumId w:val="70"/>
  </w:num>
  <w:num w:numId="52" w16cid:durableId="1174491273">
    <w:abstractNumId w:val="57"/>
  </w:num>
  <w:num w:numId="53" w16cid:durableId="150341575">
    <w:abstractNumId w:val="36"/>
  </w:num>
  <w:num w:numId="54" w16cid:durableId="2081051675">
    <w:abstractNumId w:val="59"/>
  </w:num>
  <w:num w:numId="55" w16cid:durableId="776102614">
    <w:abstractNumId w:val="26"/>
  </w:num>
  <w:num w:numId="56" w16cid:durableId="1008020792">
    <w:abstractNumId w:val="74"/>
  </w:num>
  <w:num w:numId="57" w16cid:durableId="1005354406">
    <w:abstractNumId w:val="85"/>
  </w:num>
  <w:num w:numId="58" w16cid:durableId="1134059955">
    <w:abstractNumId w:val="4"/>
  </w:num>
  <w:num w:numId="59" w16cid:durableId="423263357">
    <w:abstractNumId w:val="50"/>
  </w:num>
  <w:num w:numId="60" w16cid:durableId="1519781288">
    <w:abstractNumId w:val="8"/>
  </w:num>
  <w:num w:numId="61" w16cid:durableId="2140605916">
    <w:abstractNumId w:val="77"/>
  </w:num>
  <w:num w:numId="62" w16cid:durableId="317271790">
    <w:abstractNumId w:val="78"/>
  </w:num>
  <w:num w:numId="63" w16cid:durableId="1273515851">
    <w:abstractNumId w:val="54"/>
  </w:num>
  <w:num w:numId="64" w16cid:durableId="651179938">
    <w:abstractNumId w:val="33"/>
  </w:num>
  <w:num w:numId="65" w16cid:durableId="1669167818">
    <w:abstractNumId w:val="71"/>
  </w:num>
  <w:num w:numId="66" w16cid:durableId="609779310">
    <w:abstractNumId w:val="93"/>
  </w:num>
  <w:num w:numId="67" w16cid:durableId="2083946328">
    <w:abstractNumId w:val="34"/>
  </w:num>
  <w:num w:numId="68" w16cid:durableId="1665012405">
    <w:abstractNumId w:val="30"/>
  </w:num>
  <w:num w:numId="69" w16cid:durableId="1679691392">
    <w:abstractNumId w:val="37"/>
  </w:num>
  <w:num w:numId="70" w16cid:durableId="989481962">
    <w:abstractNumId w:val="1"/>
  </w:num>
  <w:num w:numId="71" w16cid:durableId="874856198">
    <w:abstractNumId w:val="60"/>
  </w:num>
  <w:num w:numId="72" w16cid:durableId="892499393">
    <w:abstractNumId w:val="62"/>
  </w:num>
  <w:num w:numId="73" w16cid:durableId="102193255">
    <w:abstractNumId w:val="14"/>
  </w:num>
  <w:num w:numId="74" w16cid:durableId="1669096050">
    <w:abstractNumId w:val="63"/>
  </w:num>
  <w:num w:numId="75" w16cid:durableId="693850865">
    <w:abstractNumId w:val="40"/>
  </w:num>
  <w:num w:numId="76" w16cid:durableId="338579296">
    <w:abstractNumId w:val="51"/>
  </w:num>
  <w:num w:numId="77" w16cid:durableId="154998671">
    <w:abstractNumId w:val="55"/>
  </w:num>
  <w:num w:numId="78" w16cid:durableId="1868179036">
    <w:abstractNumId w:val="17"/>
  </w:num>
  <w:num w:numId="79" w16cid:durableId="58485440">
    <w:abstractNumId w:val="92"/>
  </w:num>
  <w:num w:numId="80" w16cid:durableId="1061320167">
    <w:abstractNumId w:val="80"/>
  </w:num>
  <w:num w:numId="81" w16cid:durableId="1370957676">
    <w:abstractNumId w:val="69"/>
  </w:num>
  <w:num w:numId="82" w16cid:durableId="1959024595">
    <w:abstractNumId w:val="13"/>
  </w:num>
  <w:num w:numId="83" w16cid:durableId="1162818172">
    <w:abstractNumId w:val="72"/>
  </w:num>
  <w:num w:numId="84" w16cid:durableId="1829902836">
    <w:abstractNumId w:val="76"/>
  </w:num>
  <w:num w:numId="85" w16cid:durableId="1555846823">
    <w:abstractNumId w:val="28"/>
  </w:num>
  <w:num w:numId="86" w16cid:durableId="2111463123">
    <w:abstractNumId w:val="0"/>
  </w:num>
  <w:num w:numId="87" w16cid:durableId="853300517">
    <w:abstractNumId w:val="79"/>
  </w:num>
  <w:num w:numId="88" w16cid:durableId="1349454166">
    <w:abstractNumId w:val="75"/>
  </w:num>
  <w:num w:numId="89" w16cid:durableId="1713924764">
    <w:abstractNumId w:val="81"/>
  </w:num>
  <w:num w:numId="90" w16cid:durableId="934098101">
    <w:abstractNumId w:val="41"/>
  </w:num>
  <w:num w:numId="91" w16cid:durableId="137571430">
    <w:abstractNumId w:val="100"/>
  </w:num>
  <w:num w:numId="92" w16cid:durableId="414522899">
    <w:abstractNumId w:val="88"/>
  </w:num>
  <w:num w:numId="93" w16cid:durableId="1956406748">
    <w:abstractNumId w:val="97"/>
  </w:num>
  <w:num w:numId="94" w16cid:durableId="801000039">
    <w:abstractNumId w:val="24"/>
  </w:num>
  <w:num w:numId="95" w16cid:durableId="1016272444">
    <w:abstractNumId w:val="42"/>
  </w:num>
  <w:num w:numId="96" w16cid:durableId="1817606599">
    <w:abstractNumId w:val="10"/>
  </w:num>
  <w:num w:numId="97" w16cid:durableId="1959753109">
    <w:abstractNumId w:val="31"/>
  </w:num>
  <w:num w:numId="98" w16cid:durableId="1560171631">
    <w:abstractNumId w:val="22"/>
  </w:num>
  <w:num w:numId="99" w16cid:durableId="324893244">
    <w:abstractNumId w:val="84"/>
  </w:num>
  <w:num w:numId="100" w16cid:durableId="116341225">
    <w:abstractNumId w:val="61"/>
  </w:num>
  <w:num w:numId="101" w16cid:durableId="1577352012">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60C7D"/>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6D5E"/>
    <w:rsid w:val="00097FD3"/>
    <w:rsid w:val="000A1653"/>
    <w:rsid w:val="000A2D10"/>
    <w:rsid w:val="000A3EA1"/>
    <w:rsid w:val="000A44F4"/>
    <w:rsid w:val="000A6085"/>
    <w:rsid w:val="000A7670"/>
    <w:rsid w:val="000B0563"/>
    <w:rsid w:val="000B16A7"/>
    <w:rsid w:val="000B1D27"/>
    <w:rsid w:val="000B1E42"/>
    <w:rsid w:val="000B23AE"/>
    <w:rsid w:val="000B405A"/>
    <w:rsid w:val="000B4698"/>
    <w:rsid w:val="000B48C7"/>
    <w:rsid w:val="000B72C6"/>
    <w:rsid w:val="000B76FC"/>
    <w:rsid w:val="000B7FBB"/>
    <w:rsid w:val="000C1FE0"/>
    <w:rsid w:val="000C29B8"/>
    <w:rsid w:val="000C2A35"/>
    <w:rsid w:val="000C304E"/>
    <w:rsid w:val="000C307C"/>
    <w:rsid w:val="000C4353"/>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522F"/>
    <w:rsid w:val="001362CB"/>
    <w:rsid w:val="0013636E"/>
    <w:rsid w:val="00136FB6"/>
    <w:rsid w:val="00137901"/>
    <w:rsid w:val="00140D52"/>
    <w:rsid w:val="0014154B"/>
    <w:rsid w:val="00142540"/>
    <w:rsid w:val="00143050"/>
    <w:rsid w:val="00143128"/>
    <w:rsid w:val="00143C7B"/>
    <w:rsid w:val="00144475"/>
    <w:rsid w:val="0014509B"/>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735"/>
    <w:rsid w:val="0016670A"/>
    <w:rsid w:val="0016706F"/>
    <w:rsid w:val="001717E6"/>
    <w:rsid w:val="001720E7"/>
    <w:rsid w:val="00172C3C"/>
    <w:rsid w:val="00172CD6"/>
    <w:rsid w:val="001745A8"/>
    <w:rsid w:val="00174761"/>
    <w:rsid w:val="00174B32"/>
    <w:rsid w:val="001760B6"/>
    <w:rsid w:val="001766CF"/>
    <w:rsid w:val="001774E9"/>
    <w:rsid w:val="00177A10"/>
    <w:rsid w:val="0018044A"/>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65"/>
    <w:rsid w:val="00202383"/>
    <w:rsid w:val="002024C8"/>
    <w:rsid w:val="00202A14"/>
    <w:rsid w:val="00206C89"/>
    <w:rsid w:val="00206FA1"/>
    <w:rsid w:val="00206FC0"/>
    <w:rsid w:val="00210B58"/>
    <w:rsid w:val="00211C79"/>
    <w:rsid w:val="00212895"/>
    <w:rsid w:val="00212A18"/>
    <w:rsid w:val="002136E8"/>
    <w:rsid w:val="00213DB3"/>
    <w:rsid w:val="00214007"/>
    <w:rsid w:val="00216105"/>
    <w:rsid w:val="00217273"/>
    <w:rsid w:val="00224EDB"/>
    <w:rsid w:val="00226D28"/>
    <w:rsid w:val="00226E34"/>
    <w:rsid w:val="002277A2"/>
    <w:rsid w:val="00227D26"/>
    <w:rsid w:val="00227EDC"/>
    <w:rsid w:val="00232E3D"/>
    <w:rsid w:val="00233EAA"/>
    <w:rsid w:val="0023444B"/>
    <w:rsid w:val="00236A69"/>
    <w:rsid w:val="002404CA"/>
    <w:rsid w:val="002405F9"/>
    <w:rsid w:val="00241831"/>
    <w:rsid w:val="00242041"/>
    <w:rsid w:val="00242699"/>
    <w:rsid w:val="00243318"/>
    <w:rsid w:val="00243561"/>
    <w:rsid w:val="00244409"/>
    <w:rsid w:val="00245BD3"/>
    <w:rsid w:val="0024658C"/>
    <w:rsid w:val="00250173"/>
    <w:rsid w:val="00251729"/>
    <w:rsid w:val="0025181F"/>
    <w:rsid w:val="002521F8"/>
    <w:rsid w:val="0025537E"/>
    <w:rsid w:val="002569D8"/>
    <w:rsid w:val="00256B38"/>
    <w:rsid w:val="00256DD5"/>
    <w:rsid w:val="00257C47"/>
    <w:rsid w:val="00257C8B"/>
    <w:rsid w:val="00257F07"/>
    <w:rsid w:val="002604A6"/>
    <w:rsid w:val="00261DDC"/>
    <w:rsid w:val="00262458"/>
    <w:rsid w:val="0026415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DB2"/>
    <w:rsid w:val="00294C61"/>
    <w:rsid w:val="002968FD"/>
    <w:rsid w:val="00296A55"/>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4528"/>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5B9A"/>
    <w:rsid w:val="0036697F"/>
    <w:rsid w:val="00366DDF"/>
    <w:rsid w:val="003700D4"/>
    <w:rsid w:val="0037030E"/>
    <w:rsid w:val="003724BB"/>
    <w:rsid w:val="003724BF"/>
    <w:rsid w:val="003725A5"/>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AD9"/>
    <w:rsid w:val="003F46CC"/>
    <w:rsid w:val="003F68FE"/>
    <w:rsid w:val="003F6963"/>
    <w:rsid w:val="00400165"/>
    <w:rsid w:val="004011DC"/>
    <w:rsid w:val="00402274"/>
    <w:rsid w:val="00402BDC"/>
    <w:rsid w:val="00402FAE"/>
    <w:rsid w:val="00403C59"/>
    <w:rsid w:val="00403E2A"/>
    <w:rsid w:val="004040A4"/>
    <w:rsid w:val="00404B68"/>
    <w:rsid w:val="00404F8D"/>
    <w:rsid w:val="004057A7"/>
    <w:rsid w:val="00405A05"/>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8A0"/>
    <w:rsid w:val="004268E4"/>
    <w:rsid w:val="00426F8A"/>
    <w:rsid w:val="00427084"/>
    <w:rsid w:val="00427C30"/>
    <w:rsid w:val="00431271"/>
    <w:rsid w:val="00431667"/>
    <w:rsid w:val="00432898"/>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C4C"/>
    <w:rsid w:val="00456C55"/>
    <w:rsid w:val="00460FA7"/>
    <w:rsid w:val="00461897"/>
    <w:rsid w:val="00461F37"/>
    <w:rsid w:val="00462BDF"/>
    <w:rsid w:val="00464C4F"/>
    <w:rsid w:val="004658EC"/>
    <w:rsid w:val="00470389"/>
    <w:rsid w:val="00470780"/>
    <w:rsid w:val="00470787"/>
    <w:rsid w:val="00472AA5"/>
    <w:rsid w:val="00473923"/>
    <w:rsid w:val="00476B4E"/>
    <w:rsid w:val="00476E11"/>
    <w:rsid w:val="00477E8A"/>
    <w:rsid w:val="00477ED5"/>
    <w:rsid w:val="00480679"/>
    <w:rsid w:val="00483992"/>
    <w:rsid w:val="0048553C"/>
    <w:rsid w:val="0048594F"/>
    <w:rsid w:val="00491118"/>
    <w:rsid w:val="00493B0B"/>
    <w:rsid w:val="00493DF1"/>
    <w:rsid w:val="004942D6"/>
    <w:rsid w:val="00494F3E"/>
    <w:rsid w:val="0049689F"/>
    <w:rsid w:val="00497749"/>
    <w:rsid w:val="004A03B2"/>
    <w:rsid w:val="004A068B"/>
    <w:rsid w:val="004A0CA9"/>
    <w:rsid w:val="004A119A"/>
    <w:rsid w:val="004A26EC"/>
    <w:rsid w:val="004A3166"/>
    <w:rsid w:val="004A6074"/>
    <w:rsid w:val="004A61D9"/>
    <w:rsid w:val="004A6AFE"/>
    <w:rsid w:val="004A79EA"/>
    <w:rsid w:val="004B09A9"/>
    <w:rsid w:val="004B284D"/>
    <w:rsid w:val="004B2DBD"/>
    <w:rsid w:val="004B3059"/>
    <w:rsid w:val="004B4034"/>
    <w:rsid w:val="004B4CE4"/>
    <w:rsid w:val="004B5457"/>
    <w:rsid w:val="004B624F"/>
    <w:rsid w:val="004B6302"/>
    <w:rsid w:val="004B63BA"/>
    <w:rsid w:val="004B6E39"/>
    <w:rsid w:val="004B71A4"/>
    <w:rsid w:val="004B739E"/>
    <w:rsid w:val="004B7966"/>
    <w:rsid w:val="004C0264"/>
    <w:rsid w:val="004C067C"/>
    <w:rsid w:val="004C1D37"/>
    <w:rsid w:val="004C31C6"/>
    <w:rsid w:val="004C7B30"/>
    <w:rsid w:val="004D0222"/>
    <w:rsid w:val="004D23C6"/>
    <w:rsid w:val="004D2A10"/>
    <w:rsid w:val="004D49C1"/>
    <w:rsid w:val="004D68B2"/>
    <w:rsid w:val="004E0FEE"/>
    <w:rsid w:val="004E242B"/>
    <w:rsid w:val="004E2BD5"/>
    <w:rsid w:val="004E2F56"/>
    <w:rsid w:val="004E3B81"/>
    <w:rsid w:val="004E7470"/>
    <w:rsid w:val="004F183E"/>
    <w:rsid w:val="004F2FEE"/>
    <w:rsid w:val="004F389D"/>
    <w:rsid w:val="004F3C2B"/>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37A0"/>
    <w:rsid w:val="00533C5B"/>
    <w:rsid w:val="00535178"/>
    <w:rsid w:val="00535B4D"/>
    <w:rsid w:val="00535FCB"/>
    <w:rsid w:val="00540FFB"/>
    <w:rsid w:val="00542D39"/>
    <w:rsid w:val="00543740"/>
    <w:rsid w:val="00543D8C"/>
    <w:rsid w:val="00544408"/>
    <w:rsid w:val="005448AB"/>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3675"/>
    <w:rsid w:val="0056529F"/>
    <w:rsid w:val="00565B63"/>
    <w:rsid w:val="0056633F"/>
    <w:rsid w:val="00566C78"/>
    <w:rsid w:val="005672ED"/>
    <w:rsid w:val="005703FE"/>
    <w:rsid w:val="005714E2"/>
    <w:rsid w:val="005717AF"/>
    <w:rsid w:val="00571912"/>
    <w:rsid w:val="005727FB"/>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73AC"/>
    <w:rsid w:val="00607514"/>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54AC"/>
    <w:rsid w:val="00625940"/>
    <w:rsid w:val="00627516"/>
    <w:rsid w:val="00631D99"/>
    <w:rsid w:val="00631F0C"/>
    <w:rsid w:val="006323E2"/>
    <w:rsid w:val="00632555"/>
    <w:rsid w:val="006338D8"/>
    <w:rsid w:val="00633A77"/>
    <w:rsid w:val="00634DDC"/>
    <w:rsid w:val="00635AA6"/>
    <w:rsid w:val="00635B55"/>
    <w:rsid w:val="00636DC2"/>
    <w:rsid w:val="00641CFF"/>
    <w:rsid w:val="00643553"/>
    <w:rsid w:val="006448A4"/>
    <w:rsid w:val="006448DD"/>
    <w:rsid w:val="006450A5"/>
    <w:rsid w:val="006454C0"/>
    <w:rsid w:val="00645C41"/>
    <w:rsid w:val="0064653E"/>
    <w:rsid w:val="00646D5A"/>
    <w:rsid w:val="0064799F"/>
    <w:rsid w:val="00650532"/>
    <w:rsid w:val="00650CF9"/>
    <w:rsid w:val="00651066"/>
    <w:rsid w:val="00651327"/>
    <w:rsid w:val="00651955"/>
    <w:rsid w:val="00651B31"/>
    <w:rsid w:val="00651F47"/>
    <w:rsid w:val="006522C9"/>
    <w:rsid w:val="006527CF"/>
    <w:rsid w:val="00652F12"/>
    <w:rsid w:val="006551EB"/>
    <w:rsid w:val="00655547"/>
    <w:rsid w:val="006555B3"/>
    <w:rsid w:val="0065617E"/>
    <w:rsid w:val="006561FF"/>
    <w:rsid w:val="0065792B"/>
    <w:rsid w:val="00657948"/>
    <w:rsid w:val="00660A2C"/>
    <w:rsid w:val="00660ACA"/>
    <w:rsid w:val="0066162D"/>
    <w:rsid w:val="006619EE"/>
    <w:rsid w:val="00661B16"/>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43A4"/>
    <w:rsid w:val="006B4DE0"/>
    <w:rsid w:val="006B677C"/>
    <w:rsid w:val="006B72CD"/>
    <w:rsid w:val="006C16E2"/>
    <w:rsid w:val="006C24A8"/>
    <w:rsid w:val="006C3099"/>
    <w:rsid w:val="006C3325"/>
    <w:rsid w:val="006C3AC5"/>
    <w:rsid w:val="006C4A4A"/>
    <w:rsid w:val="006C6504"/>
    <w:rsid w:val="006C7B2F"/>
    <w:rsid w:val="006C7B93"/>
    <w:rsid w:val="006D0B24"/>
    <w:rsid w:val="006D0C11"/>
    <w:rsid w:val="006D16B9"/>
    <w:rsid w:val="006D284B"/>
    <w:rsid w:val="006D4E76"/>
    <w:rsid w:val="006D6CAC"/>
    <w:rsid w:val="006E04E6"/>
    <w:rsid w:val="006E231C"/>
    <w:rsid w:val="006E2482"/>
    <w:rsid w:val="006E33F5"/>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62E2"/>
    <w:rsid w:val="00716B8A"/>
    <w:rsid w:val="007174DC"/>
    <w:rsid w:val="007213F8"/>
    <w:rsid w:val="00723047"/>
    <w:rsid w:val="00723697"/>
    <w:rsid w:val="007236A2"/>
    <w:rsid w:val="00724416"/>
    <w:rsid w:val="00724776"/>
    <w:rsid w:val="0072537A"/>
    <w:rsid w:val="00727F7D"/>
    <w:rsid w:val="0073044E"/>
    <w:rsid w:val="007304C7"/>
    <w:rsid w:val="007348BC"/>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768C"/>
    <w:rsid w:val="007A7A3D"/>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55B8"/>
    <w:rsid w:val="007D63EB"/>
    <w:rsid w:val="007D6CBE"/>
    <w:rsid w:val="007E136D"/>
    <w:rsid w:val="007E2C85"/>
    <w:rsid w:val="007E45D1"/>
    <w:rsid w:val="007E504F"/>
    <w:rsid w:val="007E5294"/>
    <w:rsid w:val="007E6A83"/>
    <w:rsid w:val="007E6AD4"/>
    <w:rsid w:val="007E7B18"/>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7DE7"/>
    <w:rsid w:val="00810883"/>
    <w:rsid w:val="008110A0"/>
    <w:rsid w:val="0081156E"/>
    <w:rsid w:val="0081213E"/>
    <w:rsid w:val="00812B40"/>
    <w:rsid w:val="0081333C"/>
    <w:rsid w:val="00813935"/>
    <w:rsid w:val="00814932"/>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4441E"/>
    <w:rsid w:val="00845144"/>
    <w:rsid w:val="00846611"/>
    <w:rsid w:val="0085010D"/>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808B1"/>
    <w:rsid w:val="0088456E"/>
    <w:rsid w:val="00885A6D"/>
    <w:rsid w:val="0088623C"/>
    <w:rsid w:val="0088633A"/>
    <w:rsid w:val="00886936"/>
    <w:rsid w:val="00890310"/>
    <w:rsid w:val="0089055A"/>
    <w:rsid w:val="008907E3"/>
    <w:rsid w:val="00890898"/>
    <w:rsid w:val="00890B4D"/>
    <w:rsid w:val="00891114"/>
    <w:rsid w:val="0089267B"/>
    <w:rsid w:val="008926C1"/>
    <w:rsid w:val="008929CF"/>
    <w:rsid w:val="0089381C"/>
    <w:rsid w:val="008941B4"/>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D05"/>
    <w:rsid w:val="008E0CF6"/>
    <w:rsid w:val="008E111B"/>
    <w:rsid w:val="008E1CB6"/>
    <w:rsid w:val="008E2FD8"/>
    <w:rsid w:val="008E3651"/>
    <w:rsid w:val="008E3DB0"/>
    <w:rsid w:val="008E4BB2"/>
    <w:rsid w:val="008E519F"/>
    <w:rsid w:val="008E6B90"/>
    <w:rsid w:val="008E6FDC"/>
    <w:rsid w:val="008F6591"/>
    <w:rsid w:val="008F679C"/>
    <w:rsid w:val="008F75C6"/>
    <w:rsid w:val="0090020F"/>
    <w:rsid w:val="009003F8"/>
    <w:rsid w:val="0090184F"/>
    <w:rsid w:val="00903921"/>
    <w:rsid w:val="00904A21"/>
    <w:rsid w:val="00904F64"/>
    <w:rsid w:val="00910EAB"/>
    <w:rsid w:val="00911473"/>
    <w:rsid w:val="00911D12"/>
    <w:rsid w:val="009129AA"/>
    <w:rsid w:val="0091348D"/>
    <w:rsid w:val="009139A3"/>
    <w:rsid w:val="00913CE1"/>
    <w:rsid w:val="0091439B"/>
    <w:rsid w:val="00914EC1"/>
    <w:rsid w:val="00916078"/>
    <w:rsid w:val="009166EB"/>
    <w:rsid w:val="00917DB1"/>
    <w:rsid w:val="0092019D"/>
    <w:rsid w:val="00920BCD"/>
    <w:rsid w:val="00921002"/>
    <w:rsid w:val="00921415"/>
    <w:rsid w:val="0092339B"/>
    <w:rsid w:val="00923D96"/>
    <w:rsid w:val="0092421C"/>
    <w:rsid w:val="00926058"/>
    <w:rsid w:val="00926C37"/>
    <w:rsid w:val="00927272"/>
    <w:rsid w:val="00927FBD"/>
    <w:rsid w:val="00931994"/>
    <w:rsid w:val="00931C00"/>
    <w:rsid w:val="009330A5"/>
    <w:rsid w:val="009332D4"/>
    <w:rsid w:val="00936D50"/>
    <w:rsid w:val="0093792D"/>
    <w:rsid w:val="00937D1B"/>
    <w:rsid w:val="00940674"/>
    <w:rsid w:val="00940847"/>
    <w:rsid w:val="00940C67"/>
    <w:rsid w:val="00940EA2"/>
    <w:rsid w:val="00942280"/>
    <w:rsid w:val="0094266D"/>
    <w:rsid w:val="00944588"/>
    <w:rsid w:val="00944756"/>
    <w:rsid w:val="009452E9"/>
    <w:rsid w:val="00945AF9"/>
    <w:rsid w:val="00945F76"/>
    <w:rsid w:val="0095217E"/>
    <w:rsid w:val="00952251"/>
    <w:rsid w:val="00952705"/>
    <w:rsid w:val="00952943"/>
    <w:rsid w:val="0095305A"/>
    <w:rsid w:val="00953BC3"/>
    <w:rsid w:val="00954CEE"/>
    <w:rsid w:val="009554B3"/>
    <w:rsid w:val="00955853"/>
    <w:rsid w:val="0095614D"/>
    <w:rsid w:val="00956410"/>
    <w:rsid w:val="0095662A"/>
    <w:rsid w:val="00957469"/>
    <w:rsid w:val="00957CCF"/>
    <w:rsid w:val="00960A4F"/>
    <w:rsid w:val="00960B50"/>
    <w:rsid w:val="00961F5C"/>
    <w:rsid w:val="009622F9"/>
    <w:rsid w:val="00962F82"/>
    <w:rsid w:val="00963B32"/>
    <w:rsid w:val="0096405A"/>
    <w:rsid w:val="009642E6"/>
    <w:rsid w:val="00964648"/>
    <w:rsid w:val="00964A16"/>
    <w:rsid w:val="00964D3B"/>
    <w:rsid w:val="0096504A"/>
    <w:rsid w:val="0096630C"/>
    <w:rsid w:val="009713C2"/>
    <w:rsid w:val="00971BF7"/>
    <w:rsid w:val="009734CD"/>
    <w:rsid w:val="00973BBE"/>
    <w:rsid w:val="00973DAB"/>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3C09"/>
    <w:rsid w:val="009C5D4F"/>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8BB"/>
    <w:rsid w:val="009E6D92"/>
    <w:rsid w:val="009E7D7C"/>
    <w:rsid w:val="009F07DC"/>
    <w:rsid w:val="009F432B"/>
    <w:rsid w:val="009F60B3"/>
    <w:rsid w:val="009F6A04"/>
    <w:rsid w:val="009F7396"/>
    <w:rsid w:val="00A002C6"/>
    <w:rsid w:val="00A003A7"/>
    <w:rsid w:val="00A0120F"/>
    <w:rsid w:val="00A0133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D6B"/>
    <w:rsid w:val="00A22EBA"/>
    <w:rsid w:val="00A23730"/>
    <w:rsid w:val="00A2388A"/>
    <w:rsid w:val="00A23C21"/>
    <w:rsid w:val="00A2523A"/>
    <w:rsid w:val="00A25694"/>
    <w:rsid w:val="00A269C5"/>
    <w:rsid w:val="00A274BF"/>
    <w:rsid w:val="00A27C15"/>
    <w:rsid w:val="00A300D0"/>
    <w:rsid w:val="00A31F16"/>
    <w:rsid w:val="00A322D2"/>
    <w:rsid w:val="00A33523"/>
    <w:rsid w:val="00A341C9"/>
    <w:rsid w:val="00A35615"/>
    <w:rsid w:val="00A37256"/>
    <w:rsid w:val="00A427C6"/>
    <w:rsid w:val="00A42D04"/>
    <w:rsid w:val="00A436D3"/>
    <w:rsid w:val="00A44CB7"/>
    <w:rsid w:val="00A454DC"/>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DF8"/>
    <w:rsid w:val="00A87562"/>
    <w:rsid w:val="00A87F79"/>
    <w:rsid w:val="00A91E1F"/>
    <w:rsid w:val="00A9346E"/>
    <w:rsid w:val="00A94CF9"/>
    <w:rsid w:val="00A94DE8"/>
    <w:rsid w:val="00A9585F"/>
    <w:rsid w:val="00A961BF"/>
    <w:rsid w:val="00A96C26"/>
    <w:rsid w:val="00AA0FB3"/>
    <w:rsid w:val="00AA1403"/>
    <w:rsid w:val="00AA1451"/>
    <w:rsid w:val="00AA21F2"/>
    <w:rsid w:val="00AA302A"/>
    <w:rsid w:val="00AA3102"/>
    <w:rsid w:val="00AA33C0"/>
    <w:rsid w:val="00AA34C5"/>
    <w:rsid w:val="00AA616F"/>
    <w:rsid w:val="00AA648E"/>
    <w:rsid w:val="00AB0A8E"/>
    <w:rsid w:val="00AB1432"/>
    <w:rsid w:val="00AB1714"/>
    <w:rsid w:val="00AB1B85"/>
    <w:rsid w:val="00AB1E11"/>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7C31"/>
    <w:rsid w:val="00AC7E37"/>
    <w:rsid w:val="00AC7FE8"/>
    <w:rsid w:val="00AD036F"/>
    <w:rsid w:val="00AD0BC0"/>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C3"/>
    <w:rsid w:val="00B140FF"/>
    <w:rsid w:val="00B149B0"/>
    <w:rsid w:val="00B14E2B"/>
    <w:rsid w:val="00B1509E"/>
    <w:rsid w:val="00B17465"/>
    <w:rsid w:val="00B205DC"/>
    <w:rsid w:val="00B20F8D"/>
    <w:rsid w:val="00B21000"/>
    <w:rsid w:val="00B225CE"/>
    <w:rsid w:val="00B236AE"/>
    <w:rsid w:val="00B23F85"/>
    <w:rsid w:val="00B24C20"/>
    <w:rsid w:val="00B264F7"/>
    <w:rsid w:val="00B26D5C"/>
    <w:rsid w:val="00B27524"/>
    <w:rsid w:val="00B27574"/>
    <w:rsid w:val="00B31653"/>
    <w:rsid w:val="00B31CE4"/>
    <w:rsid w:val="00B31E9E"/>
    <w:rsid w:val="00B33F2E"/>
    <w:rsid w:val="00B340B5"/>
    <w:rsid w:val="00B345B6"/>
    <w:rsid w:val="00B346A3"/>
    <w:rsid w:val="00B3664A"/>
    <w:rsid w:val="00B368B7"/>
    <w:rsid w:val="00B37060"/>
    <w:rsid w:val="00B4128C"/>
    <w:rsid w:val="00B41297"/>
    <w:rsid w:val="00B42BEA"/>
    <w:rsid w:val="00B42C76"/>
    <w:rsid w:val="00B431D9"/>
    <w:rsid w:val="00B432F1"/>
    <w:rsid w:val="00B4442A"/>
    <w:rsid w:val="00B4457E"/>
    <w:rsid w:val="00B46674"/>
    <w:rsid w:val="00B46C24"/>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E99"/>
    <w:rsid w:val="00B70D1F"/>
    <w:rsid w:val="00B70F16"/>
    <w:rsid w:val="00B71092"/>
    <w:rsid w:val="00B71288"/>
    <w:rsid w:val="00B71B1D"/>
    <w:rsid w:val="00B71D43"/>
    <w:rsid w:val="00B72A26"/>
    <w:rsid w:val="00B7357C"/>
    <w:rsid w:val="00B74DB5"/>
    <w:rsid w:val="00B76518"/>
    <w:rsid w:val="00B802A5"/>
    <w:rsid w:val="00B80F2F"/>
    <w:rsid w:val="00B81254"/>
    <w:rsid w:val="00B8326A"/>
    <w:rsid w:val="00B8485A"/>
    <w:rsid w:val="00B86C0D"/>
    <w:rsid w:val="00B90314"/>
    <w:rsid w:val="00B903E6"/>
    <w:rsid w:val="00B90CC6"/>
    <w:rsid w:val="00B93469"/>
    <w:rsid w:val="00B94DA1"/>
    <w:rsid w:val="00B956E2"/>
    <w:rsid w:val="00B95FEA"/>
    <w:rsid w:val="00B967E4"/>
    <w:rsid w:val="00B96E07"/>
    <w:rsid w:val="00BA0209"/>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4818"/>
    <w:rsid w:val="00BE744D"/>
    <w:rsid w:val="00BE7DF9"/>
    <w:rsid w:val="00BF122D"/>
    <w:rsid w:val="00BF2527"/>
    <w:rsid w:val="00BF28A0"/>
    <w:rsid w:val="00BF2A36"/>
    <w:rsid w:val="00BF2FBC"/>
    <w:rsid w:val="00BF3503"/>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1E60"/>
    <w:rsid w:val="00C3233A"/>
    <w:rsid w:val="00C3342D"/>
    <w:rsid w:val="00C33F52"/>
    <w:rsid w:val="00C34B39"/>
    <w:rsid w:val="00C3502A"/>
    <w:rsid w:val="00C352BB"/>
    <w:rsid w:val="00C364C0"/>
    <w:rsid w:val="00C366ED"/>
    <w:rsid w:val="00C37F2B"/>
    <w:rsid w:val="00C40BC9"/>
    <w:rsid w:val="00C4156C"/>
    <w:rsid w:val="00C42022"/>
    <w:rsid w:val="00C42A78"/>
    <w:rsid w:val="00C42CBE"/>
    <w:rsid w:val="00C42E89"/>
    <w:rsid w:val="00C432D5"/>
    <w:rsid w:val="00C44D3C"/>
    <w:rsid w:val="00C45D0C"/>
    <w:rsid w:val="00C544E9"/>
    <w:rsid w:val="00C5574F"/>
    <w:rsid w:val="00C55A81"/>
    <w:rsid w:val="00C56B26"/>
    <w:rsid w:val="00C56FA6"/>
    <w:rsid w:val="00C57372"/>
    <w:rsid w:val="00C57AF5"/>
    <w:rsid w:val="00C57C9F"/>
    <w:rsid w:val="00C60482"/>
    <w:rsid w:val="00C60AFB"/>
    <w:rsid w:val="00C60EA3"/>
    <w:rsid w:val="00C61F8B"/>
    <w:rsid w:val="00C625BA"/>
    <w:rsid w:val="00C626C2"/>
    <w:rsid w:val="00C62A42"/>
    <w:rsid w:val="00C63205"/>
    <w:rsid w:val="00C63B7E"/>
    <w:rsid w:val="00C647D4"/>
    <w:rsid w:val="00C654B9"/>
    <w:rsid w:val="00C659D6"/>
    <w:rsid w:val="00C65D91"/>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4B92"/>
    <w:rsid w:val="00CB5B87"/>
    <w:rsid w:val="00CB5D5E"/>
    <w:rsid w:val="00CB5ED0"/>
    <w:rsid w:val="00CB62DE"/>
    <w:rsid w:val="00CB6410"/>
    <w:rsid w:val="00CB6CDE"/>
    <w:rsid w:val="00CC02B3"/>
    <w:rsid w:val="00CC0BB3"/>
    <w:rsid w:val="00CC142D"/>
    <w:rsid w:val="00CC255C"/>
    <w:rsid w:val="00CC3746"/>
    <w:rsid w:val="00CC3B9C"/>
    <w:rsid w:val="00CC5C98"/>
    <w:rsid w:val="00CC7A4B"/>
    <w:rsid w:val="00CD2188"/>
    <w:rsid w:val="00CD389C"/>
    <w:rsid w:val="00CD476F"/>
    <w:rsid w:val="00CD4B76"/>
    <w:rsid w:val="00CD59D5"/>
    <w:rsid w:val="00CD6178"/>
    <w:rsid w:val="00CD7F4C"/>
    <w:rsid w:val="00CE17AB"/>
    <w:rsid w:val="00CE26B4"/>
    <w:rsid w:val="00CE2EA1"/>
    <w:rsid w:val="00CE3E54"/>
    <w:rsid w:val="00CE5579"/>
    <w:rsid w:val="00CF01CA"/>
    <w:rsid w:val="00CF16BF"/>
    <w:rsid w:val="00CF2221"/>
    <w:rsid w:val="00CF282B"/>
    <w:rsid w:val="00CF290B"/>
    <w:rsid w:val="00CF418F"/>
    <w:rsid w:val="00CF4808"/>
    <w:rsid w:val="00CF53CA"/>
    <w:rsid w:val="00CF55D6"/>
    <w:rsid w:val="00CF5BCE"/>
    <w:rsid w:val="00CF7E5C"/>
    <w:rsid w:val="00D017DA"/>
    <w:rsid w:val="00D02936"/>
    <w:rsid w:val="00D029D3"/>
    <w:rsid w:val="00D03139"/>
    <w:rsid w:val="00D0514C"/>
    <w:rsid w:val="00D05839"/>
    <w:rsid w:val="00D1525F"/>
    <w:rsid w:val="00D15B50"/>
    <w:rsid w:val="00D20C86"/>
    <w:rsid w:val="00D21213"/>
    <w:rsid w:val="00D215B5"/>
    <w:rsid w:val="00D21F1E"/>
    <w:rsid w:val="00D22BD4"/>
    <w:rsid w:val="00D2358A"/>
    <w:rsid w:val="00D247BF"/>
    <w:rsid w:val="00D24EDF"/>
    <w:rsid w:val="00D2564A"/>
    <w:rsid w:val="00D269A0"/>
    <w:rsid w:val="00D32FAB"/>
    <w:rsid w:val="00D35EDB"/>
    <w:rsid w:val="00D4096E"/>
    <w:rsid w:val="00D4139E"/>
    <w:rsid w:val="00D416AA"/>
    <w:rsid w:val="00D43E00"/>
    <w:rsid w:val="00D44176"/>
    <w:rsid w:val="00D4672E"/>
    <w:rsid w:val="00D50635"/>
    <w:rsid w:val="00D51C5F"/>
    <w:rsid w:val="00D5377D"/>
    <w:rsid w:val="00D54844"/>
    <w:rsid w:val="00D54AAA"/>
    <w:rsid w:val="00D55A4E"/>
    <w:rsid w:val="00D56268"/>
    <w:rsid w:val="00D60042"/>
    <w:rsid w:val="00D61A8C"/>
    <w:rsid w:val="00D61E82"/>
    <w:rsid w:val="00D6313A"/>
    <w:rsid w:val="00D63605"/>
    <w:rsid w:val="00D63FFC"/>
    <w:rsid w:val="00D643DB"/>
    <w:rsid w:val="00D6515C"/>
    <w:rsid w:val="00D653D3"/>
    <w:rsid w:val="00D6714D"/>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5489"/>
    <w:rsid w:val="00D927C2"/>
    <w:rsid w:val="00D93E62"/>
    <w:rsid w:val="00D941B5"/>
    <w:rsid w:val="00D94636"/>
    <w:rsid w:val="00D94E75"/>
    <w:rsid w:val="00D96592"/>
    <w:rsid w:val="00D974EC"/>
    <w:rsid w:val="00D977C5"/>
    <w:rsid w:val="00DA0951"/>
    <w:rsid w:val="00DA132F"/>
    <w:rsid w:val="00DA2805"/>
    <w:rsid w:val="00DA2F68"/>
    <w:rsid w:val="00DA41EC"/>
    <w:rsid w:val="00DA58F8"/>
    <w:rsid w:val="00DA5C9A"/>
    <w:rsid w:val="00DA7521"/>
    <w:rsid w:val="00DA7558"/>
    <w:rsid w:val="00DB083D"/>
    <w:rsid w:val="00DB2425"/>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352"/>
    <w:rsid w:val="00DD0079"/>
    <w:rsid w:val="00DD02B6"/>
    <w:rsid w:val="00DD099D"/>
    <w:rsid w:val="00DD16AF"/>
    <w:rsid w:val="00DD49FA"/>
    <w:rsid w:val="00DD5AAB"/>
    <w:rsid w:val="00DD67B6"/>
    <w:rsid w:val="00DD6AB2"/>
    <w:rsid w:val="00DD7974"/>
    <w:rsid w:val="00DE0143"/>
    <w:rsid w:val="00DE0226"/>
    <w:rsid w:val="00DE03E3"/>
    <w:rsid w:val="00DE040A"/>
    <w:rsid w:val="00DE096E"/>
    <w:rsid w:val="00DE0D34"/>
    <w:rsid w:val="00DE1383"/>
    <w:rsid w:val="00DE2C65"/>
    <w:rsid w:val="00DE3882"/>
    <w:rsid w:val="00DE3EB9"/>
    <w:rsid w:val="00DE4FDF"/>
    <w:rsid w:val="00DE5D76"/>
    <w:rsid w:val="00DE7343"/>
    <w:rsid w:val="00DF00AA"/>
    <w:rsid w:val="00DF0909"/>
    <w:rsid w:val="00DF0B85"/>
    <w:rsid w:val="00DF1287"/>
    <w:rsid w:val="00DF16D2"/>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44A9"/>
    <w:rsid w:val="00E25B40"/>
    <w:rsid w:val="00E26A3C"/>
    <w:rsid w:val="00E30BE0"/>
    <w:rsid w:val="00E319CC"/>
    <w:rsid w:val="00E31A01"/>
    <w:rsid w:val="00E3298E"/>
    <w:rsid w:val="00E334BE"/>
    <w:rsid w:val="00E34432"/>
    <w:rsid w:val="00E3499F"/>
    <w:rsid w:val="00E37791"/>
    <w:rsid w:val="00E406BA"/>
    <w:rsid w:val="00E408B7"/>
    <w:rsid w:val="00E417DE"/>
    <w:rsid w:val="00E41ACC"/>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A0B"/>
    <w:rsid w:val="00E7004C"/>
    <w:rsid w:val="00E712CE"/>
    <w:rsid w:val="00E7147E"/>
    <w:rsid w:val="00E73009"/>
    <w:rsid w:val="00E74A29"/>
    <w:rsid w:val="00E7529F"/>
    <w:rsid w:val="00E75458"/>
    <w:rsid w:val="00E75F2D"/>
    <w:rsid w:val="00E77728"/>
    <w:rsid w:val="00E77CAC"/>
    <w:rsid w:val="00E80034"/>
    <w:rsid w:val="00E81184"/>
    <w:rsid w:val="00E8234B"/>
    <w:rsid w:val="00E83111"/>
    <w:rsid w:val="00E83264"/>
    <w:rsid w:val="00E8437A"/>
    <w:rsid w:val="00E849AA"/>
    <w:rsid w:val="00E854CE"/>
    <w:rsid w:val="00E875EC"/>
    <w:rsid w:val="00E879BC"/>
    <w:rsid w:val="00E87C3B"/>
    <w:rsid w:val="00E9110F"/>
    <w:rsid w:val="00E91812"/>
    <w:rsid w:val="00E91867"/>
    <w:rsid w:val="00E91CFF"/>
    <w:rsid w:val="00E927EC"/>
    <w:rsid w:val="00E92BFA"/>
    <w:rsid w:val="00E93B13"/>
    <w:rsid w:val="00E93CCA"/>
    <w:rsid w:val="00E93CCB"/>
    <w:rsid w:val="00E9424D"/>
    <w:rsid w:val="00E94E55"/>
    <w:rsid w:val="00E969D6"/>
    <w:rsid w:val="00E969E8"/>
    <w:rsid w:val="00E96DCE"/>
    <w:rsid w:val="00E96E86"/>
    <w:rsid w:val="00E977E5"/>
    <w:rsid w:val="00EA0827"/>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B5D"/>
    <w:rsid w:val="00ED1F3D"/>
    <w:rsid w:val="00ED2111"/>
    <w:rsid w:val="00ED3B92"/>
    <w:rsid w:val="00ED4766"/>
    <w:rsid w:val="00ED507F"/>
    <w:rsid w:val="00ED7A0B"/>
    <w:rsid w:val="00EE0294"/>
    <w:rsid w:val="00EE1221"/>
    <w:rsid w:val="00EE2DB7"/>
    <w:rsid w:val="00EE2F78"/>
    <w:rsid w:val="00EE338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3A9B"/>
    <w:rsid w:val="00F045E8"/>
    <w:rsid w:val="00F04669"/>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7307"/>
    <w:rsid w:val="00F27497"/>
    <w:rsid w:val="00F30618"/>
    <w:rsid w:val="00F318CA"/>
    <w:rsid w:val="00F32553"/>
    <w:rsid w:val="00F333AB"/>
    <w:rsid w:val="00F3502C"/>
    <w:rsid w:val="00F378BE"/>
    <w:rsid w:val="00F40600"/>
    <w:rsid w:val="00F40A36"/>
    <w:rsid w:val="00F4108F"/>
    <w:rsid w:val="00F42F74"/>
    <w:rsid w:val="00F43D0F"/>
    <w:rsid w:val="00F44C44"/>
    <w:rsid w:val="00F44C9D"/>
    <w:rsid w:val="00F45E5A"/>
    <w:rsid w:val="00F46614"/>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3210"/>
    <w:rsid w:val="00F77F34"/>
    <w:rsid w:val="00F816A0"/>
    <w:rsid w:val="00F82103"/>
    <w:rsid w:val="00F82384"/>
    <w:rsid w:val="00F83B65"/>
    <w:rsid w:val="00F83D2F"/>
    <w:rsid w:val="00F863F6"/>
    <w:rsid w:val="00F86EF4"/>
    <w:rsid w:val="00F8723D"/>
    <w:rsid w:val="00F906A7"/>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1225"/>
    <w:rsid w:val="00FB155E"/>
    <w:rsid w:val="00FB1589"/>
    <w:rsid w:val="00FB159B"/>
    <w:rsid w:val="00FB17A4"/>
    <w:rsid w:val="00FB19AC"/>
    <w:rsid w:val="00FB19C8"/>
    <w:rsid w:val="00FB1EC9"/>
    <w:rsid w:val="00FB3013"/>
    <w:rsid w:val="00FB336D"/>
    <w:rsid w:val="00FB3500"/>
    <w:rsid w:val="00FB45B3"/>
    <w:rsid w:val="00FB595F"/>
    <w:rsid w:val="00FC2FE1"/>
    <w:rsid w:val="00FC3BDC"/>
    <w:rsid w:val="00FC3D42"/>
    <w:rsid w:val="00FC4183"/>
    <w:rsid w:val="00FC50FC"/>
    <w:rsid w:val="00FC59E8"/>
    <w:rsid w:val="00FD0ADE"/>
    <w:rsid w:val="00FD1A7B"/>
    <w:rsid w:val="00FD2919"/>
    <w:rsid w:val="00FD404E"/>
    <w:rsid w:val="00FD4860"/>
    <w:rsid w:val="00FD50CC"/>
    <w:rsid w:val="00FD6727"/>
    <w:rsid w:val="00FE278A"/>
    <w:rsid w:val="00FE2E76"/>
    <w:rsid w:val="00FE4E5D"/>
    <w:rsid w:val="00FE4F82"/>
    <w:rsid w:val="00FE529F"/>
    <w:rsid w:val="00FE5888"/>
    <w:rsid w:val="00FE673C"/>
    <w:rsid w:val="00FF0A1C"/>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basedOn w:val="Normal"/>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74054</Words>
  <Characters>422113</Characters>
  <Application>Microsoft Office Word</Application>
  <DocSecurity>0</DocSecurity>
  <Lines>3517</Lines>
  <Paragraphs>990</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495177</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2024-12-08T21:37:00Z</dcterms:created>
  <dcterms:modified xsi:type="dcterms:W3CDTF">2024-12-08T21:37:00Z</dcterms:modified>
</cp:coreProperties>
</file>