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C30EDA">
      <w:pPr>
        <w:pStyle w:val="Heading3"/>
        <w:pBdr>
          <w:top w:val="single" w:sz="4" w:space="1" w:color="auto"/>
          <w:left w:val="single" w:sz="4" w:space="4" w:color="auto"/>
          <w:bottom w:val="single" w:sz="4" w:space="1" w:color="auto"/>
          <w:right w:val="single" w:sz="4" w:space="4" w:color="auto"/>
        </w:pBdr>
        <w:spacing w:before="8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2417A8A" w14:textId="09A91D7A" w:rsidR="00C30EDA" w:rsidRPr="00DB2696" w:rsidRDefault="00C30EDA" w:rsidP="00C30ED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DB2696">
        <w:rPr>
          <w:rFonts w:ascii="Arial" w:hAnsi="Arial" w:cs="Arial"/>
          <w:b/>
          <w:bCs/>
          <w:color w:val="0000FF"/>
          <w:sz w:val="20"/>
        </w:rPr>
        <w:tab/>
      </w:r>
      <w:r w:rsidRPr="00DB2696">
        <w:rPr>
          <w:rFonts w:ascii="Arial" w:hAnsi="Arial" w:cs="Arial"/>
          <w:b/>
          <w:bCs/>
          <w:color w:val="0000FF"/>
          <w:sz w:val="20"/>
        </w:rPr>
        <w:tab/>
      </w:r>
      <w:hyperlink w:anchor="_10.3.3.6_Duty_of" w:history="1">
        <w:r w:rsidRPr="00DB2696">
          <w:rPr>
            <w:rStyle w:val="Hyperlink"/>
            <w:rFonts w:ascii="Arial" w:hAnsi="Arial" w:cs="Arial"/>
            <w:b/>
            <w:bCs/>
            <w:color w:val="0000FF"/>
            <w:sz w:val="20"/>
            <w:u w:val="none"/>
          </w:rPr>
          <w:t>10.3.3.6 Duty of prosecutor</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 xml:space="preserve">‘model litigant’ obligations of a prosecutor </w:t>
      </w:r>
      <w:proofErr w:type="gramStart"/>
      <w:r>
        <w:rPr>
          <w:rFonts w:ascii="Arial" w:hAnsi="Arial" w:cs="Arial"/>
          <w:sz w:val="20"/>
        </w:rPr>
        <w:t>is</w:t>
      </w:r>
      <w:proofErr w:type="gramEnd"/>
      <w:r>
        <w:rPr>
          <w:rFonts w:ascii="Arial" w:hAnsi="Arial" w:cs="Arial"/>
          <w:sz w:val="20"/>
        </w:rPr>
        <w:t xml:space="preserve">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142EDC7C" w14:textId="297B6335" w:rsidR="001243AC" w:rsidRDefault="001243AC" w:rsidP="00D6714D">
      <w:pPr>
        <w:jc w:val="both"/>
        <w:rPr>
          <w:rFonts w:ascii="Arial" w:hAnsi="Arial" w:cs="Arial"/>
          <w:sz w:val="20"/>
        </w:rPr>
      </w:pPr>
    </w:p>
    <w:p w14:paraId="7D99B9FF" w14:textId="27F6AACB" w:rsidR="008808B1" w:rsidRDefault="008808B1" w:rsidP="00D6714D">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4392E67D" w14:textId="0BDA3AA4" w:rsidR="008808B1" w:rsidRDefault="008808B1" w:rsidP="008808B1">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 xml:space="preserve">decided to re-examine. Common sense was jettisoned. This was an unnecessary and hazardous course. The prosecutor responded to defence counsel’s mild suggestion that the complainant was ‘making up’ his </w:t>
      </w:r>
      <w:proofErr w:type="gramStart"/>
      <w:r w:rsidRPr="008808B1">
        <w:rPr>
          <w:rFonts w:ascii="Arial" w:hAnsi="Arial" w:cs="Arial"/>
          <w:sz w:val="20"/>
          <w:szCs w:val="20"/>
        </w:rPr>
        <w:t>evidence, and</w:t>
      </w:r>
      <w:proofErr w:type="gramEnd"/>
      <w:r w:rsidRPr="008808B1">
        <w:rPr>
          <w:rFonts w:ascii="Arial" w:hAnsi="Arial" w:cs="Arial"/>
          <w:sz w:val="20"/>
          <w:szCs w:val="20"/>
        </w:rPr>
        <w:t xml:space="preserve"> decided to ‘up the ante’. The following irresponsible re-examination occurred</w:t>
      </w:r>
      <w:r>
        <w:rPr>
          <w:rFonts w:ascii="Arial" w:hAnsi="Arial" w:cs="Arial"/>
          <w:sz w:val="20"/>
          <w:szCs w:val="20"/>
        </w:rPr>
        <w:t>..</w:t>
      </w:r>
      <w:r w:rsidRPr="008808B1">
        <w:rPr>
          <w:rFonts w:ascii="Arial" w:hAnsi="Arial" w:cs="Arial"/>
          <w:sz w:val="20"/>
          <w:szCs w:val="20"/>
        </w:rPr>
        <w:t xml:space="preserve">. </w:t>
      </w:r>
    </w:p>
    <w:p w14:paraId="5B57CCBF" w14:textId="74E599A2"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63726E24" w14:textId="55C74BEC"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1E011FD9" w14:textId="0F7998C2" w:rsidR="008808B1" w:rsidRPr="0048594F"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sidR="0048594F">
        <w:rPr>
          <w:rFonts w:ascii="Arial" w:hAnsi="Arial" w:cs="Arial"/>
          <w:sz w:val="20"/>
          <w:szCs w:val="20"/>
        </w:rPr>
        <w:noBreakHyphen/>
      </w:r>
      <w:r w:rsidRPr="0048594F">
        <w:rPr>
          <w:rFonts w:ascii="Arial" w:hAnsi="Arial" w:cs="Arial"/>
          <w:sz w:val="20"/>
          <w:szCs w:val="20"/>
        </w:rPr>
        <w:t>4; [1983] HCA 427 Deane J said:</w:t>
      </w:r>
    </w:p>
    <w:p w14:paraId="34D0F4EA" w14:textId="4CE63BB5" w:rsidR="008808B1" w:rsidRDefault="0048594F" w:rsidP="0048594F">
      <w:pPr>
        <w:pStyle w:val="NormalWeb"/>
        <w:spacing w:before="60" w:beforeAutospacing="0" w:after="0" w:afterAutospacing="0"/>
        <w:ind w:left="1021" w:right="1021"/>
        <w:jc w:val="both"/>
        <w:rPr>
          <w:rFonts w:ascii="Arial" w:hAnsi="Arial" w:cs="Arial"/>
          <w:sz w:val="20"/>
          <w:szCs w:val="20"/>
        </w:rPr>
      </w:pPr>
      <w:r w:rsidRPr="008808B1">
        <w:rPr>
          <w:rFonts w:ascii="Arial" w:hAnsi="Arial" w:cs="Arial"/>
          <w:sz w:val="20"/>
          <w:szCs w:val="20"/>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27A56439" w14:textId="3A3FC157" w:rsidR="008808B1" w:rsidRP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74831AA5" w14:textId="77777777" w:rsidR="008808B1" w:rsidRDefault="008808B1" w:rsidP="00D6714D">
      <w:pPr>
        <w:jc w:val="both"/>
        <w:rPr>
          <w:rFonts w:ascii="Arial" w:hAnsi="Arial" w:cs="Arial"/>
          <w:sz w:val="20"/>
        </w:rPr>
      </w:pPr>
    </w:p>
    <w:p w14:paraId="0C89EFFB" w14:textId="5B66DCBB" w:rsidR="00D6714D" w:rsidRDefault="00D6714D" w:rsidP="00D6714D">
      <w:pPr>
        <w:jc w:val="both"/>
        <w:rPr>
          <w:rFonts w:ascii="Arial" w:hAnsi="Arial" w:cs="Arial"/>
          <w:sz w:val="20"/>
        </w:rPr>
      </w:pPr>
      <w:r>
        <w:rPr>
          <w:rFonts w:ascii="Arial" w:hAnsi="Arial" w:cs="Arial"/>
          <w:sz w:val="20"/>
        </w:rPr>
        <w:t xml:space="preserve">Other important obligations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lastRenderedPageBreak/>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5CF9A47D" w14:textId="77777777" w:rsidR="00ED017F" w:rsidRDefault="00ED017F"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lastRenderedPageBreak/>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5C5E3E">
      <w:pPr>
        <w:pStyle w:val="Heading3"/>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lastRenderedPageBreak/>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w:t>
      </w:r>
      <w:r w:rsidR="00E52E84" w:rsidRPr="00E52E84">
        <w:rPr>
          <w:rFonts w:ascii="Arial" w:hAnsi="Arial" w:cs="Arial"/>
          <w:sz w:val="20"/>
          <w:szCs w:val="20"/>
        </w:rPr>
        <w:lastRenderedPageBreak/>
        <w:t xml:space="preserve">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 xml:space="preserve">t is perhaps </w:t>
      </w:r>
      <w:r w:rsidRPr="002537F1">
        <w:rPr>
          <w:rFonts w:ascii="Arial" w:hAnsi="Arial" w:cs="Arial"/>
          <w:sz w:val="20"/>
          <w:szCs w:val="20"/>
        </w:rPr>
        <w:lastRenderedPageBreak/>
        <w:t>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 do not consider that the classification of 'exceptional circumstances' in s.134(3)(b) is limited to the circumstances of the charge.  In my view, it includes the circumstances of the </w:t>
      </w:r>
      <w:r>
        <w:rPr>
          <w:rFonts w:ascii="Arial" w:hAnsi="Arial" w:cs="Arial"/>
          <w:sz w:val="20"/>
        </w:rPr>
        <w:lastRenderedPageBreak/>
        <w:t>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lastRenderedPageBreak/>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w:t>
      </w:r>
      <w:r w:rsidRPr="00174761">
        <w:rPr>
          <w:rFonts w:ascii="Arial" w:hAnsi="Arial" w:cs="Arial"/>
          <w:color w:val="000000"/>
          <w:sz w:val="20"/>
        </w:rPr>
        <w:lastRenderedPageBreak/>
        <w:t>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lastRenderedPageBreak/>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 xml:space="preserve">on an agreed basis other than as outlined in these reasons, then the question of jurisdiction may need to be further considered.  If this were to occur following committal, </w:t>
      </w:r>
      <w:r w:rsidR="00CE17AB">
        <w:rPr>
          <w:rFonts w:ascii="Arial" w:hAnsi="Arial" w:cs="Arial"/>
          <w:color w:val="000000"/>
          <w:sz w:val="20"/>
        </w:rPr>
        <w:lastRenderedPageBreak/>
        <w:t>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w:t>
      </w:r>
      <w:r w:rsidRPr="00C85D23">
        <w:rPr>
          <w:rFonts w:ascii="Arial" w:hAnsi="Arial" w:cs="Arial"/>
          <w:sz w:val="20"/>
          <w:szCs w:val="20"/>
        </w:rPr>
        <w:lastRenderedPageBreak/>
        <w:t>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lastRenderedPageBreak/>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 xml:space="preserve">&amp; 168A(2)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lastRenderedPageBreak/>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 xml:space="preserve">I consider the test to be a ‘relatively </w:t>
      </w:r>
      <w:r w:rsidR="00661B16" w:rsidRPr="00F97E14">
        <w:rPr>
          <w:rFonts w:ascii="Arial" w:hAnsi="Arial" w:cs="Arial"/>
          <w:b/>
          <w:bCs/>
          <w:color w:val="000000"/>
          <w:sz w:val="20"/>
        </w:rPr>
        <w:lastRenderedPageBreak/>
        <w:t>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Default="00A25EB6" w:rsidP="00DE120A">
      <w:pPr>
        <w:pStyle w:val="Heading2"/>
        <w:widowControl/>
        <w:tabs>
          <w:tab w:val="left" w:pos="567"/>
        </w:tabs>
        <w:spacing w:line="240" w:lineRule="auto"/>
        <w:rPr>
          <w:rFonts w:ascii="Arial" w:hAnsi="Arial" w:cs="Arial"/>
          <w:sz w:val="20"/>
        </w:rPr>
      </w:pPr>
      <w:r w:rsidRPr="00DE120A">
        <w:rPr>
          <w:rFonts w:ascii="Arial" w:hAnsi="Arial" w:cs="Arial"/>
          <w:sz w:val="20"/>
        </w:rPr>
        <w:lastRenderedPageBreak/>
        <w:t xml:space="preserve">In [2025] VSC 43 </w:t>
      </w:r>
      <w:r w:rsidR="00DA6D5E">
        <w:rPr>
          <w:rFonts w:ascii="Arial" w:hAnsi="Arial" w:cs="Arial"/>
          <w:sz w:val="20"/>
        </w:rPr>
        <w:t xml:space="preserve">Champion J granted an application to transfer substituted charges against the child applicant from the Supreme Court to the Children’s Court pursuant to s.168 of the </w:t>
      </w:r>
      <w:r w:rsidR="00DA6D5E" w:rsidRPr="00DE120A">
        <w:rPr>
          <w:rFonts w:ascii="Arial" w:hAnsi="Arial" w:cs="Arial"/>
          <w:i/>
          <w:iCs/>
          <w:sz w:val="20"/>
        </w:rPr>
        <w:t>Criminal Procedure Act 2009</w:t>
      </w:r>
      <w:r w:rsidR="00DA6D5E">
        <w:rPr>
          <w:rFonts w:ascii="Arial" w:hAnsi="Arial" w:cs="Arial"/>
          <w:sz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xml:space="preserve">… while summary offences may be transferred from the Magistrates’ Court to the County Court for summary determination, it is not permissible to transfer indictable offences which can be tried summarily for such determination. An indictable offence can only be brought </w:t>
      </w:r>
      <w:r w:rsidRPr="00507B6B">
        <w:rPr>
          <w:rFonts w:ascii="Arial" w:hAnsi="Arial" w:cs="Arial"/>
          <w:sz w:val="18"/>
          <w:szCs w:val="18"/>
        </w:rPr>
        <w:lastRenderedPageBreak/>
        <w:t>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80" w:name="_10.2_Committal_proceedings"/>
      <w:bookmarkEnd w:id="80"/>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proofErr w:type="spellStart"/>
      <w:r w:rsidRPr="008F18A3">
        <w:rPr>
          <w:rFonts w:ascii="Arial" w:hAnsi="Arial" w:cs="Arial"/>
          <w:i/>
          <w:iCs/>
          <w:sz w:val="20"/>
          <w:szCs w:val="20"/>
        </w:rPr>
        <w:t>Sherras</w:t>
      </w:r>
      <w:proofErr w:type="spellEnd"/>
      <w:r w:rsidRPr="008F18A3">
        <w:rPr>
          <w:rFonts w:ascii="Arial" w:hAnsi="Arial" w:cs="Arial"/>
          <w:i/>
          <w:iCs/>
          <w:sz w:val="20"/>
          <w:szCs w:val="20"/>
        </w:rPr>
        <w:t xml:space="preserve">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r w:rsidR="00B241A9" w:rsidRPr="00B241A9">
        <w:rPr>
          <w:rFonts w:ascii="Arial" w:hAnsi="Arial" w:cs="Arial"/>
          <w:sz w:val="20"/>
        </w:rPr>
        <w:t xml:space="preserve">Jagot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w:t>
      </w:r>
      <w:proofErr w:type="gramStart"/>
      <w:r>
        <w:rPr>
          <w:rFonts w:ascii="Arial" w:hAnsi="Arial" w:cs="Arial"/>
          <w:sz w:val="20"/>
        </w:rPr>
        <w:t>young accused</w:t>
      </w:r>
      <w:proofErr w:type="gramEnd"/>
      <w:r>
        <w:rPr>
          <w:rFonts w:ascii="Arial" w:hAnsi="Arial" w:cs="Arial"/>
          <w:sz w:val="20"/>
        </w:rPr>
        <w:t xml:space="preserve">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2B1F0FB5" w:rsidR="00666439" w:rsidRPr="003A751C"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0" w:name="_Hlk193092118"/>
      <w:r w:rsidR="00B34C16" w:rsidRPr="00B34C16">
        <w:rPr>
          <w:rFonts w:ascii="Arial" w:hAnsi="Arial" w:cs="Arial"/>
          <w:i/>
          <w:iCs/>
          <w:sz w:val="20"/>
          <w:szCs w:val="20"/>
        </w:rPr>
        <w:t xml:space="preserve">Pears v </w:t>
      </w:r>
      <w:r w:rsidR="00B34C16" w:rsidRPr="00B34C16">
        <w:rPr>
          <w:rFonts w:ascii="Arial" w:hAnsi="Arial" w:cs="Arial"/>
          <w:i/>
          <w:iCs/>
          <w:sz w:val="20"/>
          <w:szCs w:val="20"/>
        </w:rPr>
        <w:lastRenderedPageBreak/>
        <w:t>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4849D4">
        <w:rPr>
          <w:rFonts w:ascii="Arial" w:hAnsi="Arial" w:cs="Arial"/>
          <w:sz w:val="20"/>
          <w:szCs w:val="20"/>
        </w:rPr>
        <w:t>.</w:t>
      </w:r>
      <w:bookmarkEnd w:id="150"/>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1" w:name="_10.3.3.5C_Contested_hearing"/>
      <w:bookmarkStart w:id="152" w:name="_Hlk164835213"/>
      <w:bookmarkEnd w:id="151"/>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2"/>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w:t>
      </w:r>
      <w:r w:rsidR="00EA58BE" w:rsidRPr="0067504C">
        <w:rPr>
          <w:rFonts w:ascii="Arial" w:hAnsi="Arial" w:cs="Arial"/>
          <w:sz w:val="20"/>
          <w:szCs w:val="20"/>
        </w:rPr>
        <w:lastRenderedPageBreak/>
        <w:t>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w:t>
      </w:r>
      <w:r>
        <w:rPr>
          <w:rFonts w:ascii="Arial" w:hAnsi="Arial" w:cs="Arial"/>
          <w:sz w:val="20"/>
          <w:szCs w:val="20"/>
        </w:rPr>
        <w:lastRenderedPageBreak/>
        <w:t xml:space="preserve">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Jagot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18A7153D" w14:textId="77777777" w:rsidR="00CF4BD2" w:rsidRDefault="00CF4BD2" w:rsidP="00995462">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lastRenderedPageBreak/>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3"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3"/>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0077FD" w:rsidRPr="000077FD">
        <w:rPr>
          <w:rFonts w:ascii="Arial" w:hAnsi="Arial" w:cs="Arial"/>
          <w:color w:val="000000"/>
          <w:sz w:val="16"/>
          <w:szCs w:val="16"/>
        </w:rPr>
        <w:t>;</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4" w:name="_10.3.3.5D_Contested_hearing"/>
      <w:bookmarkStart w:id="155" w:name="_10.3.3.5D_Contested_hearing_1"/>
      <w:bookmarkEnd w:id="154"/>
      <w:bookmarkEnd w:id="155"/>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3CBC84C6"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6"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6"/>
      <w:r>
        <w:rPr>
          <w:rFonts w:ascii="Arial" w:hAnsi="Arial" w:cs="Arial"/>
          <w:sz w:val="20"/>
          <w:szCs w:val="20"/>
        </w:rPr>
        <w:t xml:space="preserve">{re </w:t>
      </w:r>
      <w:r w:rsidRPr="002408A1">
        <w:rPr>
          <w:rFonts w:ascii="Arial" w:hAnsi="Arial" w:cs="Arial"/>
          <w:sz w:val="20"/>
          <w:szCs w:val="20"/>
        </w:rPr>
        <w:t xml:space="preserve">ss 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A50832"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7"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7"/>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8"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8"/>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Default="009139A3" w:rsidP="001362CB">
      <w:pPr>
        <w:rPr>
          <w:rFonts w:ascii="Arial" w:hAnsi="Arial" w:cs="Arial"/>
          <w:sz w:val="20"/>
          <w:szCs w:val="20"/>
        </w:rPr>
      </w:pPr>
    </w:p>
    <w:p w14:paraId="5D2FF1B6" w14:textId="63A58BCD" w:rsidR="00C30EDA" w:rsidRDefault="00C30EDA" w:rsidP="00C30EDA">
      <w:pPr>
        <w:pStyle w:val="Heading3"/>
        <w:keepNext/>
        <w:spacing w:after="80" w:line="240" w:lineRule="auto"/>
        <w:rPr>
          <w:rFonts w:ascii="Arial" w:hAnsi="Arial" w:cs="Arial"/>
          <w:b/>
          <w:bCs/>
          <w:sz w:val="20"/>
        </w:rPr>
      </w:pPr>
      <w:bookmarkStart w:id="159" w:name="_10.3.3.6_Duty_of"/>
      <w:bookmarkEnd w:id="159"/>
      <w:r>
        <w:rPr>
          <w:rFonts w:ascii="Arial" w:hAnsi="Arial" w:cs="Arial"/>
          <w:b/>
          <w:bCs/>
          <w:sz w:val="20"/>
        </w:rPr>
        <w:t>10.3.3.6 Duty of prosecutor</w:t>
      </w:r>
    </w:p>
    <w:p w14:paraId="4254AA46" w14:textId="265867BE" w:rsidR="00C30EDA" w:rsidRDefault="00C30EDA" w:rsidP="00C30EDA">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w:t>
      </w:r>
      <w:r w:rsidR="0014732A">
        <w:rPr>
          <w:rFonts w:ascii="Arial" w:hAnsi="Arial" w:cs="Arial"/>
          <w:sz w:val="20"/>
          <w:szCs w:val="20"/>
        </w:rPr>
        <w:t xml:space="preserve">prosecutor’s </w:t>
      </w:r>
      <w:r>
        <w:rPr>
          <w:rFonts w:ascii="Arial" w:hAnsi="Arial" w:cs="Arial"/>
          <w:sz w:val="20"/>
          <w:szCs w:val="20"/>
        </w:rPr>
        <w:t xml:space="preserve">closing address was unfair </w:t>
      </w:r>
      <w:r w:rsidR="008A085D">
        <w:rPr>
          <w:rFonts w:ascii="Arial" w:hAnsi="Arial" w:cs="Arial"/>
          <w:sz w:val="20"/>
          <w:szCs w:val="20"/>
        </w:rPr>
        <w:t>i</w:t>
      </w:r>
      <w:r>
        <w:rPr>
          <w:rFonts w:ascii="Arial" w:hAnsi="Arial" w:cs="Arial"/>
          <w:sz w:val="20"/>
          <w:szCs w:val="20"/>
        </w:rPr>
        <w:t>n light of the denial of leave to cross-examine, the Court of Appeal allowed the appeal and ordered a re-trial</w:t>
      </w:r>
      <w:r w:rsidR="00433B63">
        <w:rPr>
          <w:rFonts w:ascii="Arial" w:hAnsi="Arial" w:cs="Arial"/>
          <w:sz w:val="20"/>
          <w:szCs w:val="20"/>
        </w:rPr>
        <w:t xml:space="preserve"> </w:t>
      </w:r>
      <w:r w:rsidR="003C0779">
        <w:rPr>
          <w:rFonts w:ascii="Arial" w:hAnsi="Arial" w:cs="Arial"/>
          <w:sz w:val="20"/>
          <w:szCs w:val="20"/>
        </w:rPr>
        <w:t>(</w:t>
      </w:r>
      <w:r w:rsidR="00433B63">
        <w:rPr>
          <w:rFonts w:ascii="Arial" w:hAnsi="Arial" w:cs="Arial"/>
          <w:sz w:val="20"/>
          <w:szCs w:val="20"/>
        </w:rPr>
        <w:t>which ultimately resulted in an acquittal</w:t>
      </w:r>
      <w:r w:rsidR="003C0779">
        <w:rPr>
          <w:rFonts w:ascii="Arial" w:hAnsi="Arial" w:cs="Arial"/>
          <w:sz w:val="20"/>
          <w:szCs w:val="20"/>
        </w:rPr>
        <w:t>)</w:t>
      </w:r>
      <w:r>
        <w:rPr>
          <w:rFonts w:ascii="Arial" w:hAnsi="Arial" w:cs="Arial"/>
          <w:sz w:val="20"/>
          <w:szCs w:val="20"/>
        </w:rPr>
        <w:t>. At [</w:t>
      </w:r>
      <w:r w:rsidR="008A085D">
        <w:rPr>
          <w:rFonts w:ascii="Arial" w:hAnsi="Arial" w:cs="Arial"/>
          <w:sz w:val="20"/>
          <w:szCs w:val="20"/>
        </w:rPr>
        <w:t>110</w:t>
      </w:r>
      <w:r>
        <w:rPr>
          <w:rFonts w:ascii="Arial" w:hAnsi="Arial" w:cs="Arial"/>
          <w:sz w:val="20"/>
          <w:szCs w:val="20"/>
        </w:rPr>
        <w:t xml:space="preserve">] Priest AP, </w:t>
      </w:r>
      <w:proofErr w:type="spellStart"/>
      <w:r>
        <w:rPr>
          <w:rFonts w:ascii="Arial" w:hAnsi="Arial" w:cs="Arial"/>
          <w:sz w:val="20"/>
          <w:szCs w:val="20"/>
        </w:rPr>
        <w:t>Sifris</w:t>
      </w:r>
      <w:proofErr w:type="spellEnd"/>
      <w:r>
        <w:rPr>
          <w:rFonts w:ascii="Arial" w:hAnsi="Arial" w:cs="Arial"/>
          <w:sz w:val="20"/>
          <w:szCs w:val="20"/>
        </w:rPr>
        <w:t xml:space="preserve"> &amp; Walker JJA d</w:t>
      </w:r>
      <w:r w:rsidR="00892E35">
        <w:rPr>
          <w:rFonts w:ascii="Arial" w:hAnsi="Arial" w:cs="Arial"/>
          <w:sz w:val="20"/>
          <w:szCs w:val="20"/>
        </w:rPr>
        <w:t>escrib</w:t>
      </w:r>
      <w:r>
        <w:rPr>
          <w:rFonts w:ascii="Arial" w:hAnsi="Arial" w:cs="Arial"/>
          <w:sz w:val="20"/>
          <w:szCs w:val="20"/>
        </w:rPr>
        <w:t>ed the duty of a prosecutor as follows:</w:t>
      </w:r>
    </w:p>
    <w:p w14:paraId="734883AE" w14:textId="4B3CCBAE" w:rsidR="00C30EDA" w:rsidRDefault="008A085D" w:rsidP="008A085D">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6C3B0377" w14:textId="5AEF2E06"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4739B3D3"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7CD79C7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010CE112"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6E5932BC" w14:textId="02BBAAD7" w:rsidR="008A085D" w:rsidRPr="008A085D" w:rsidRDefault="008A085D" w:rsidP="008A085D">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5DA4968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2F2FE665" w14:textId="145A17F3" w:rsidR="008A085D" w:rsidRPr="008A085D" w:rsidRDefault="008A085D" w:rsidP="008A085D">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4D553BD2"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lastRenderedPageBreak/>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5815E79D" w14:textId="77777777" w:rsidR="008A085D" w:rsidRPr="008A085D" w:rsidRDefault="008A085D" w:rsidP="008A085D">
      <w:pPr>
        <w:spacing w:before="60"/>
        <w:ind w:left="1474" w:right="1474"/>
        <w:jc w:val="both"/>
        <w:rPr>
          <w:rFonts w:ascii="Arial" w:hAnsi="Arial" w:cs="Arial"/>
          <w:sz w:val="18"/>
          <w:szCs w:val="18"/>
        </w:rPr>
      </w:pPr>
      <w:r w:rsidRPr="008A085D">
        <w:rPr>
          <w:rFonts w:ascii="Arial" w:hAnsi="Arial" w:cs="Arial"/>
          <w:sz w:val="18"/>
          <w:szCs w:val="18"/>
        </w:rPr>
        <w:t>[P]</w:t>
      </w:r>
      <w:proofErr w:type="spellStart"/>
      <w:r w:rsidRPr="008A085D">
        <w:rPr>
          <w:rFonts w:ascii="Arial" w:hAnsi="Arial" w:cs="Arial"/>
          <w:sz w:val="18"/>
          <w:szCs w:val="18"/>
        </w:rPr>
        <w:t>rosecuting</w:t>
      </w:r>
      <w:proofErr w:type="spellEnd"/>
      <w:r w:rsidRPr="008A085D">
        <w:rPr>
          <w:rFonts w:ascii="Arial" w:hAnsi="Arial" w:cs="Arial"/>
          <w:sz w:val="18"/>
          <w:szCs w:val="18"/>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DC2B7CE"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117F1B20" w14:textId="64FEB8E2" w:rsidR="008A085D" w:rsidRDefault="008A085D" w:rsidP="00892E35">
      <w:pPr>
        <w:spacing w:before="60"/>
        <w:ind w:left="1474" w:right="1474"/>
        <w:jc w:val="both"/>
        <w:rPr>
          <w:rFonts w:ascii="Arial" w:hAnsi="Arial" w:cs="Arial"/>
          <w:sz w:val="20"/>
          <w:szCs w:val="20"/>
        </w:rPr>
      </w:pPr>
      <w:r w:rsidRPr="00892E35">
        <w:rPr>
          <w:rFonts w:ascii="Arial" w:hAnsi="Arial" w:cs="Arial"/>
          <w:sz w:val="18"/>
          <w:szCs w:val="18"/>
        </w:rPr>
        <w:t>Prosecuting counsel in a criminal trial represents the State.</w:t>
      </w:r>
      <w:r w:rsidR="00892E35">
        <w:rPr>
          <w:rFonts w:ascii="Arial" w:hAnsi="Arial" w:cs="Arial"/>
          <w:sz w:val="20"/>
          <w:szCs w:val="20"/>
        </w:rPr>
        <w:t xml:space="preserve"> </w:t>
      </w:r>
      <w:r w:rsidRPr="008A085D">
        <w:rPr>
          <w:rFonts w:ascii="Arial" w:hAnsi="Arial" w:cs="Arial"/>
          <w:sz w:val="18"/>
          <w:szCs w:val="18"/>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r w:rsidR="00892E35">
        <w:rPr>
          <w:rFonts w:ascii="Arial" w:hAnsi="Arial" w:cs="Arial"/>
          <w:sz w:val="18"/>
          <w:szCs w:val="18"/>
        </w:rPr>
        <w:t>”</w:t>
      </w:r>
    </w:p>
    <w:p w14:paraId="428B06E9" w14:textId="77777777" w:rsidR="008A085D" w:rsidRDefault="008A085D" w:rsidP="001362CB">
      <w:pPr>
        <w:rPr>
          <w:rFonts w:ascii="Arial" w:hAnsi="Arial" w:cs="Arial"/>
          <w:sz w:val="20"/>
          <w:szCs w:val="20"/>
        </w:rPr>
      </w:pPr>
    </w:p>
    <w:p w14:paraId="612148A4" w14:textId="67A77C94" w:rsidR="00892E35" w:rsidRDefault="00892E35" w:rsidP="001362CB">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0014732A" w:rsidRPr="0014732A">
        <w:rPr>
          <w:rFonts w:ascii="Arial" w:hAnsi="Arial" w:cs="Arial"/>
          <w:b/>
          <w:bCs/>
          <w:color w:val="000000"/>
          <w:sz w:val="20"/>
          <w:shd w:val="clear" w:color="auto" w:fill="C5E0B3" w:themeFill="accent6" w:themeFillTint="66"/>
        </w:rPr>
        <w:t>11.4.4A</w:t>
      </w:r>
      <w:r w:rsidR="0014732A">
        <w:rPr>
          <w:rFonts w:ascii="Arial" w:hAnsi="Arial" w:cs="Arial"/>
          <w:b/>
          <w:bCs/>
          <w:color w:val="000000"/>
          <w:sz w:val="20"/>
        </w:rPr>
        <w:t xml:space="preserve"> </w:t>
      </w:r>
      <w:r w:rsidR="0014732A" w:rsidRPr="0014732A">
        <w:rPr>
          <w:rFonts w:ascii="Arial" w:hAnsi="Arial" w:cs="Arial"/>
          <w:color w:val="000000"/>
          <w:sz w:val="20"/>
        </w:rPr>
        <w:t>in relation to submissions and duty of a prosecutor in a sentencing hearing.</w:t>
      </w:r>
    </w:p>
    <w:p w14:paraId="54A5672E" w14:textId="0FC94B1B" w:rsidR="00C30EDA" w:rsidRPr="00920BCD" w:rsidRDefault="00C30EDA"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0" w:name="_10.3.3_‘No-case’_procedure"/>
      <w:bookmarkStart w:id="161" w:name="_Toc73162082"/>
      <w:bookmarkEnd w:id="160"/>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lastRenderedPageBreak/>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lastRenderedPageBreak/>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2" w:name="_10.3.5_Sentence_indication"/>
      <w:bookmarkEnd w:id="161"/>
      <w:bookmarkEnd w:id="162"/>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lastRenderedPageBreak/>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3" w:name="_10.3.5_No_summary"/>
      <w:bookmarkStart w:id="164" w:name="_10.3.5_Summary_case"/>
      <w:bookmarkEnd w:id="163"/>
      <w:bookmarkEnd w:id="164"/>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w:t>
      </w:r>
      <w:r w:rsidRPr="00CF7E5C">
        <w:rPr>
          <w:rFonts w:ascii="Arial" w:hAnsi="Arial" w:cs="Arial"/>
          <w:sz w:val="20"/>
          <w:szCs w:val="20"/>
        </w:rPr>
        <w:lastRenderedPageBreak/>
        <w:t>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5" w:name="_10.3.6_Plea_agreements"/>
      <w:bookmarkEnd w:id="165"/>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 xml:space="preserve">GAS v The Queen; </w:t>
      </w:r>
      <w:r>
        <w:rPr>
          <w:rFonts w:ascii="Arial" w:hAnsi="Arial" w:cs="Arial"/>
          <w:i/>
          <w:iCs/>
          <w:sz w:val="20"/>
        </w:rPr>
        <w:lastRenderedPageBreak/>
        <w:t>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6" w:name="_10.3.7_Withdrawal_of"/>
      <w:bookmarkEnd w:id="166"/>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lastRenderedPageBreak/>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7" w:name="_10.3.8_Duplicity,_Uncertainty"/>
      <w:bookmarkEnd w:id="167"/>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lastRenderedPageBreak/>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lastRenderedPageBreak/>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lastRenderedPageBreak/>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8" w:name="_10.3.9_“Representative”_counts"/>
      <w:bookmarkEnd w:id="168"/>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w:t>
      </w:r>
      <w:r w:rsidRPr="00353FD6">
        <w:rPr>
          <w:rFonts w:ascii="Arial" w:hAnsi="Arial" w:cs="Arial"/>
          <w:sz w:val="20"/>
        </w:rPr>
        <w:lastRenderedPageBreak/>
        <w:t xml:space="preserve">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lastRenderedPageBreak/>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w:t>
      </w:r>
      <w:r>
        <w:rPr>
          <w:rFonts w:ascii="Arial" w:hAnsi="Arial" w:cs="Arial"/>
          <w:sz w:val="20"/>
        </w:rPr>
        <w:lastRenderedPageBreak/>
        <w:t xml:space="preserve">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9" w:name="_Toc30691451"/>
      <w:bookmarkStart w:id="170" w:name="_Toc30691830"/>
      <w:bookmarkStart w:id="171" w:name="_Toc30692210"/>
      <w:bookmarkStart w:id="172" w:name="_Toc30692968"/>
      <w:bookmarkStart w:id="173" w:name="_Toc30693347"/>
      <w:bookmarkStart w:id="174" w:name="_Toc30693725"/>
      <w:bookmarkStart w:id="175" w:name="_Toc30694103"/>
      <w:bookmarkStart w:id="176" w:name="_Toc30694483"/>
      <w:bookmarkStart w:id="177" w:name="_Toc30699073"/>
      <w:bookmarkStart w:id="178" w:name="_Toc30699458"/>
      <w:bookmarkStart w:id="179" w:name="_Toc30699843"/>
      <w:bookmarkStart w:id="180" w:name="_Toc30700998"/>
      <w:bookmarkStart w:id="181" w:name="_Toc30701385"/>
      <w:bookmarkStart w:id="182" w:name="_Toc30743992"/>
      <w:bookmarkStart w:id="183" w:name="_Toc30754815"/>
      <w:bookmarkStart w:id="184" w:name="_Toc30757271"/>
      <w:bookmarkStart w:id="185" w:name="_Toc30757819"/>
      <w:bookmarkStart w:id="186" w:name="_Toc30758219"/>
      <w:bookmarkStart w:id="187" w:name="_Toc30762980"/>
      <w:bookmarkStart w:id="188" w:name="_Toc30767634"/>
      <w:bookmarkStart w:id="189"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0" w:name="_10.3.10_Right_to"/>
      <w:bookmarkEnd w:id="190"/>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1" w:name="_Hlk150771439"/>
      <w:r w:rsidR="00154810" w:rsidRPr="00154810">
        <w:rPr>
          <w:rFonts w:ascii="Arial" w:hAnsi="Arial" w:cs="Arial"/>
          <w:i/>
          <w:iCs/>
          <w:sz w:val="20"/>
          <w:szCs w:val="20"/>
        </w:rPr>
        <w:t xml:space="preserve">GLJ v The Trustees of </w:t>
      </w:r>
      <w:r w:rsidR="00154810" w:rsidRPr="00154810">
        <w:rPr>
          <w:rFonts w:ascii="Arial" w:hAnsi="Arial" w:cs="Arial"/>
          <w:i/>
          <w:iCs/>
          <w:sz w:val="20"/>
          <w:szCs w:val="20"/>
        </w:rPr>
        <w:lastRenderedPageBreak/>
        <w:t>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1"/>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w:t>
      </w:r>
      <w:r w:rsidRPr="00AF4383">
        <w:rPr>
          <w:rFonts w:ascii="Arial" w:hAnsi="Arial" w:cs="Arial"/>
          <w:sz w:val="20"/>
        </w:rPr>
        <w:lastRenderedPageBreak/>
        <w:t xml:space="preserve">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 xml:space="preserve">at [63]-[70], Lasry J held that the conduct </w:t>
      </w:r>
      <w:r w:rsidR="00057C84">
        <w:rPr>
          <w:rFonts w:ascii="Arial" w:hAnsi="Arial" w:cs="Arial"/>
          <w:sz w:val="20"/>
        </w:rPr>
        <w:lastRenderedPageBreak/>
        <w:t>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2"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2"/>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 xml:space="preserve">“Abuse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w:t>
      </w:r>
      <w:r w:rsidRPr="00B31CE4">
        <w:rPr>
          <w:rFonts w:ascii="Arial" w:hAnsi="Arial" w:cs="Arial"/>
          <w:color w:val="000000"/>
          <w:sz w:val="18"/>
          <w:szCs w:val="18"/>
        </w:rPr>
        <w:lastRenderedPageBreak/>
        <w:t>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w:t>
      </w:r>
      <w:r w:rsidRPr="009B3987">
        <w:rPr>
          <w:rFonts w:ascii="Arial" w:hAnsi="Arial" w:cs="Arial"/>
          <w:sz w:val="18"/>
          <w:szCs w:val="18"/>
        </w:rPr>
        <w:lastRenderedPageBreak/>
        <w:t>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 xml:space="preserve">The expression ‘abuse of process’ encompasses not only circumstances within the narrow conception of that term — such as bringing a proceeding for an improper purpose, or pursuing a proceeding which is </w:t>
      </w:r>
      <w:r w:rsidRPr="00523E6B">
        <w:rPr>
          <w:rFonts w:ascii="Arial" w:hAnsi="Arial" w:cs="Arial"/>
          <w:sz w:val="20"/>
          <w:szCs w:val="20"/>
        </w:rPr>
        <w:lastRenderedPageBreak/>
        <w:t>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3" w:name="_10.3.11_Abuse_of"/>
      <w:bookmarkEnd w:id="193"/>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w:t>
      </w:r>
      <w:r w:rsidR="00113E0F">
        <w:rPr>
          <w:rFonts w:ascii="Arial" w:hAnsi="Arial" w:cs="Arial"/>
          <w:sz w:val="20"/>
        </w:rPr>
        <w:lastRenderedPageBreak/>
        <w:t xml:space="preserve">(1980)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4" w:name="_10.3.12_Joinder_or"/>
      <w:bookmarkEnd w:id="194"/>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46A4202"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Making reference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r w:rsidR="00372C90">
        <w:rPr>
          <w:rFonts w:ascii="Arial" w:hAnsi="Arial" w:cs="Arial"/>
          <w:sz w:val="20"/>
          <w:szCs w:val="20"/>
        </w:rPr>
        <w:t xml:space="preserve"> See also </w:t>
      </w:r>
      <w:bookmarkStart w:id="195" w:name="_Hlk190240155"/>
      <w:r w:rsidR="00372C90" w:rsidRPr="00372C90">
        <w:rPr>
          <w:rFonts w:ascii="Arial" w:hAnsi="Arial" w:cs="Arial"/>
          <w:i/>
          <w:iCs/>
          <w:sz w:val="20"/>
          <w:szCs w:val="20"/>
        </w:rPr>
        <w:t>Kannan v The King</w:t>
      </w:r>
      <w:r w:rsidR="00372C90">
        <w:rPr>
          <w:rFonts w:ascii="Arial" w:hAnsi="Arial" w:cs="Arial"/>
          <w:sz w:val="20"/>
          <w:szCs w:val="20"/>
        </w:rPr>
        <w:t xml:space="preserve"> [2023] VSCA 58 at [21]-[51]</w:t>
      </w:r>
      <w:bookmarkEnd w:id="195"/>
      <w:r w:rsidR="00372C90">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6"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6"/>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7" w:name="_Toc4663795"/>
      <w:r w:rsidRPr="000B6A21">
        <w:rPr>
          <w:rFonts w:ascii="Arial" w:hAnsi="Arial" w:cs="Arial"/>
          <w:sz w:val="20"/>
        </w:rPr>
        <w:t>57</w:t>
      </w:r>
      <w:r w:rsidRPr="000B6A21">
        <w:rPr>
          <w:rFonts w:ascii="Arial" w:hAnsi="Arial" w:cs="Arial"/>
          <w:sz w:val="20"/>
        </w:rPr>
        <w:tab/>
        <w:t>Joint hearing of charges on separate charge-sheets</w:t>
      </w:r>
      <w:bookmarkEnd w:id="197"/>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3796"/>
      <w:r w:rsidRPr="000B6A21">
        <w:rPr>
          <w:rFonts w:ascii="Arial" w:hAnsi="Arial" w:cs="Arial"/>
          <w:sz w:val="20"/>
        </w:rPr>
        <w:t>58</w:t>
      </w:r>
      <w:r w:rsidRPr="000B6A21">
        <w:rPr>
          <w:rFonts w:ascii="Arial" w:hAnsi="Arial" w:cs="Arial"/>
          <w:sz w:val="20"/>
        </w:rPr>
        <w:tab/>
        <w:t>Order for separate hearing</w:t>
      </w:r>
      <w:bookmarkEnd w:id="198"/>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lastRenderedPageBreak/>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4328"/>
      <w:r w:rsidRPr="000B6A21">
        <w:rPr>
          <w:rFonts w:ascii="Arial" w:hAnsi="Arial" w:cs="Arial"/>
          <w:sz w:val="20"/>
        </w:rPr>
        <w:t>5</w:t>
      </w:r>
      <w:r w:rsidRPr="000B6A21">
        <w:rPr>
          <w:rFonts w:ascii="Arial" w:hAnsi="Arial" w:cs="Arial"/>
          <w:sz w:val="20"/>
        </w:rPr>
        <w:tab/>
        <w:t>Joinder of charges</w:t>
      </w:r>
      <w:bookmarkEnd w:id="199"/>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w:t>
      </w:r>
      <w:r w:rsidR="009622F9" w:rsidRPr="009622F9">
        <w:rPr>
          <w:rFonts w:ascii="Arial" w:hAnsi="Arial" w:cs="Arial"/>
          <w:sz w:val="20"/>
          <w:szCs w:val="20"/>
        </w:rPr>
        <w:lastRenderedPageBreak/>
        <w:t xml:space="preserve">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w:t>
      </w:r>
      <w:r w:rsidRPr="000B6A21">
        <w:rPr>
          <w:rFonts w:ascii="Arial" w:hAnsi="Arial" w:cs="Arial"/>
          <w:sz w:val="20"/>
          <w:szCs w:val="20"/>
        </w:rPr>
        <w:lastRenderedPageBreak/>
        <w:t xml:space="preserve">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0" w:name="_10.3.13_Transfer_of"/>
      <w:bookmarkStart w:id="201" w:name="_10.4_Doli_incapax"/>
      <w:bookmarkEnd w:id="200"/>
      <w:bookmarkEnd w:id="201"/>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2" w:name="_10.4.1_The_principle"/>
      <w:bookmarkStart w:id="203" w:name="_Toc54454700"/>
      <w:bookmarkStart w:id="204" w:name="_Toc54544606"/>
      <w:bookmarkStart w:id="205" w:name="_Toc54634645"/>
      <w:bookmarkStart w:id="206" w:name="_Hlk111623801"/>
      <w:bookmarkEnd w:id="202"/>
      <w:r>
        <w:rPr>
          <w:rFonts w:ascii="Arial" w:hAnsi="Arial" w:cs="Arial"/>
          <w:b/>
          <w:bCs/>
          <w:sz w:val="20"/>
        </w:rPr>
        <w:t>10.4.1</w:t>
      </w:r>
      <w:r>
        <w:rPr>
          <w:rFonts w:ascii="Arial" w:hAnsi="Arial" w:cs="Arial"/>
          <w:b/>
          <w:bCs/>
          <w:sz w:val="20"/>
        </w:rPr>
        <w:tab/>
      </w:r>
      <w:bookmarkEnd w:id="203"/>
      <w:bookmarkEnd w:id="204"/>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5"/>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6"/>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7" w:name="_10.4.2_Earlier_Australian"/>
      <w:bookmarkStart w:id="208" w:name="_Toc54454701"/>
      <w:bookmarkStart w:id="209" w:name="_Toc54544607"/>
      <w:bookmarkStart w:id="210" w:name="_Toc54634646"/>
      <w:bookmarkEnd w:id="207"/>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8"/>
      <w:bookmarkEnd w:id="209"/>
      <w:r>
        <w:rPr>
          <w:rFonts w:ascii="Arial" w:hAnsi="Arial" w:cs="Arial"/>
          <w:b/>
          <w:bCs/>
          <w:sz w:val="20"/>
        </w:rPr>
        <w:t>ies</w:t>
      </w:r>
      <w:bookmarkEnd w:id="210"/>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1" w:name="_10.4.3_Demise_of"/>
      <w:bookmarkStart w:id="212" w:name="_Toc54544608"/>
      <w:bookmarkStart w:id="213" w:name="_Toc54634647"/>
      <w:bookmarkEnd w:id="211"/>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2"/>
      <w:bookmarkEnd w:id="213"/>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4" w:name="_10.4.4_History_of"/>
      <w:bookmarkStart w:id="215" w:name="_Toc54544609"/>
      <w:bookmarkStart w:id="216" w:name="_Toc54634648"/>
      <w:bookmarkEnd w:id="214"/>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5"/>
      <w:bookmarkEnd w:id="216"/>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It was not until as late as 1588 that a clear age below which liability did not apply was fixed.  Lambard's Eirenarcha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7" w:name="_10.4.5_The_principle"/>
      <w:bookmarkEnd w:id="217"/>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Jagot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8"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8"/>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 xml:space="preserve">not made </w:t>
      </w:r>
      <w:r w:rsidR="00E62793">
        <w:rPr>
          <w:rFonts w:ascii="Arial" w:hAnsi="Arial" w:cs="Arial"/>
          <w:sz w:val="20"/>
          <w:szCs w:val="16"/>
        </w:rPr>
        <w:lastRenderedPageBreak/>
        <w:t>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lastRenderedPageBreak/>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lastRenderedPageBreak/>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w:t>
      </w:r>
      <w:r w:rsidRPr="00A84DF8">
        <w:rPr>
          <w:rFonts w:ascii="Arial" w:hAnsi="Arial" w:cs="Arial"/>
          <w:sz w:val="20"/>
        </w:rPr>
        <w:lastRenderedPageBreak/>
        <w:t>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9" w:name="Heading1756"/>
      <w:bookmarkEnd w:id="219"/>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 xml:space="preserve">Accordingly, it is unnecessary for me to conclude whether the evidence establishes beyond reasonable doubt that PM entered into an agreement, arrangement or </w:t>
      </w:r>
      <w:r w:rsidRPr="004B5457">
        <w:rPr>
          <w:rFonts w:ascii="Arial" w:hAnsi="Arial" w:cs="Arial"/>
          <w:color w:val="000000"/>
          <w:sz w:val="20"/>
          <w:szCs w:val="20"/>
        </w:rPr>
        <w:lastRenderedPageBreak/>
        <w:t>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20" w:name="_Toc146090596"/>
      <w:bookmarkStart w:id="221" w:name="Heading1765"/>
      <w:bookmarkEnd w:id="220"/>
      <w:bookmarkEnd w:id="221"/>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2" w:name="_10.5_Effect_of"/>
      <w:bookmarkEnd w:id="222"/>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3" w:name="_10.5.1_Mandatory_adjournment"/>
      <w:bookmarkEnd w:id="223"/>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lastRenderedPageBreak/>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4" w:name="_10.5.2_Hearing_of"/>
      <w:bookmarkEnd w:id="224"/>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5" w:name="_10.5.3_Privilege_against"/>
      <w:bookmarkEnd w:id="225"/>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6" w:name="_10.6_Unfitness_to"/>
      <w:bookmarkEnd w:id="226"/>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7" w:name="_A_BACKGROUND_"/>
      <w:bookmarkEnd w:id="227"/>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8" w:name="_B_AMENDMENTS_TO"/>
      <w:bookmarkEnd w:id="228"/>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9" w:name="_C_APPLICATION_OF"/>
      <w:bookmarkEnd w:id="229"/>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0" w:name="_D_CONSTITUTION_OF"/>
      <w:bookmarkEnd w:id="230"/>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1" w:name="_E_WHEN_IS"/>
      <w:bookmarkEnd w:id="231"/>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2"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2"/>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3" w:name="_F_PRESUMPTIONS,_STANDARD"/>
      <w:bookmarkEnd w:id="233"/>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4" w:name="_G_QUESTION_OF"/>
      <w:bookmarkEnd w:id="234"/>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5" w:name="_H_INVESTIGATION_OF"/>
      <w:bookmarkEnd w:id="235"/>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6" w:name="_I_ORDERS_PENDING"/>
      <w:bookmarkEnd w:id="236"/>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7" w:name="_J_PROCEDURE_ON"/>
      <w:bookmarkEnd w:id="237"/>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8" w:name="_K_WHAT_HAPPENS"/>
      <w:bookmarkEnd w:id="238"/>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9" w:name="_L_SPECIAL_HEARING"/>
      <w:bookmarkEnd w:id="239"/>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0" w:name="_M_DEFENCE_OF"/>
      <w:bookmarkEnd w:id="240"/>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lastRenderedPageBreak/>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57563D55"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w:t>
      </w:r>
      <w:r w:rsidR="00AD2015">
        <w:rPr>
          <w:rFonts w:ascii="Arial" w:hAnsi="Arial" w:cs="Arial"/>
          <w:color w:val="000000"/>
          <w:sz w:val="20"/>
        </w:rPr>
        <w:lastRenderedPageBreak/>
        <w:t>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38ZC(1)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lastRenderedPageBreak/>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 xml:space="preserve">D(2).  The issue she had then to </w:t>
      </w:r>
      <w:r>
        <w:rPr>
          <w:rFonts w:ascii="Arial" w:hAnsi="Arial" w:cs="Arial"/>
          <w:sz w:val="20"/>
          <w:szCs w:val="20"/>
        </w:rPr>
        <w:lastRenderedPageBreak/>
        <w:t>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1" w:name="_N_DISPOSITION_OF"/>
      <w:bookmarkEnd w:id="241"/>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w:t>
      </w:r>
      <w:r w:rsidR="00EE5AEC">
        <w:rPr>
          <w:rFonts w:ascii="Arial" w:hAnsi="Arial" w:cs="Arial"/>
          <w:sz w:val="20"/>
          <w:szCs w:val="20"/>
        </w:rPr>
        <w:lastRenderedPageBreak/>
        <w:t xml:space="preserve">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2" w:name="_O_REPORTS_AS"/>
      <w:bookmarkEnd w:id="242"/>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3" w:name="_P_CERTIFICATE_OF"/>
      <w:bookmarkEnd w:id="243"/>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lastRenderedPageBreak/>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4" w:name="_Q_VARIATION,_REVOCATION,"/>
      <w:bookmarkEnd w:id="244"/>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 xml:space="preserve">give proper effect to the principles in ss.39 </w:t>
      </w:r>
      <w:r w:rsidR="009E0C38">
        <w:rPr>
          <w:rFonts w:ascii="Arial" w:hAnsi="Arial" w:cs="Arial"/>
          <w:sz w:val="20"/>
        </w:rPr>
        <w:lastRenderedPageBreak/>
        <w:t>&amp;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5"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5"/>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6"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6"/>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w:t>
      </w:r>
      <w:r w:rsidRPr="003D6C9F">
        <w:rPr>
          <w:rFonts w:ascii="Arial" w:hAnsi="Arial" w:cs="Arial"/>
          <w:sz w:val="20"/>
          <w:szCs w:val="20"/>
        </w:rPr>
        <w:lastRenderedPageBreak/>
        <w:t xml:space="preserve">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0E844BD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7" w:name="_R_NON-COMPLIANCE_WITH"/>
      <w:bookmarkEnd w:id="247"/>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8" w:name="_S_AGE_JURISDICTION|CMIA-s.38ZG"/>
      <w:bookmarkEnd w:id="248"/>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9" w:name="_T_PRINCIPLES_ON"/>
      <w:bookmarkEnd w:id="249"/>
      <w:r>
        <w:rPr>
          <w:rFonts w:ascii="Arial" w:hAnsi="Arial" w:cs="Arial"/>
          <w:b/>
          <w:color w:val="FFFFFF"/>
          <w:sz w:val="22"/>
          <w:shd w:val="clear" w:color="auto" w:fill="000000"/>
        </w:rPr>
        <w:lastRenderedPageBreak/>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0" w:name="_U_MATTERS_TO"/>
      <w:bookmarkEnd w:id="250"/>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1" w:name="_V_APPEALS|CMIA-Part_5A"/>
      <w:bookmarkEnd w:id="251"/>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lastRenderedPageBreak/>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2" w:name="_V_SUPPRESSION_ORDER|CMIA-s.75"/>
      <w:bookmarkEnd w:id="252"/>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3" w:name="_10.7_Court_diversion"/>
      <w:bookmarkEnd w:id="253"/>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4" w:name="_A_OFFENCES_FOR"/>
      <w:bookmarkEnd w:id="254"/>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5" w:name="_B_PURPOSES_OF"/>
      <w:bookmarkEnd w:id="255"/>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6" w:name="_C_PRE-CONDITIONS_FOR"/>
      <w:bookmarkEnd w:id="256"/>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7" w:name="_D_ADJOURNMENT_TO"/>
      <w:bookmarkEnd w:id="257"/>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8" w:name="_E_MATTERS_TO"/>
      <w:bookmarkEnd w:id="258"/>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9" w:name="_F_THE_CHILDREN’S"/>
      <w:bookmarkEnd w:id="259"/>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0" w:name="_G_EXTENSION_OF"/>
      <w:bookmarkEnd w:id="260"/>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1" w:name="_H_CONCLUSION_OF"/>
      <w:bookmarkEnd w:id="261"/>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2" w:name="_K_STATISTICS"/>
      <w:bookmarkStart w:id="263" w:name="_I_DIVERSION_STATISTICS"/>
      <w:bookmarkEnd w:id="262"/>
      <w:bookmarkEnd w:id="263"/>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4" w:name="_Hlk148944254"/>
            <w:r w:rsidRPr="00F46B9E">
              <w:rPr>
                <w:rFonts w:ascii="Arial" w:hAnsi="Arial" w:cs="Arial"/>
                <w:sz w:val="20"/>
                <w:szCs w:val="20"/>
              </w:rPr>
              <w:t xml:space="preserve">Excluding uncompleted diversions, 98% of diversion plans were successfully completed.  </w:t>
            </w:r>
            <w:bookmarkEnd w:id="264"/>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5" w:name="_J_SECRETARY_HAS"/>
            <w:bookmarkEnd w:id="265"/>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6" w:name="_L_STATUTORY_REVIEW"/>
      <w:bookmarkEnd w:id="266"/>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7" w:name="_10.8_The_“ROPES”"/>
      <w:bookmarkEnd w:id="267"/>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8" w:name="_10.8.1_The_program"/>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9" w:name="_10.8.2_The_target"/>
      <w:bookmarkEnd w:id="269"/>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0" w:name="_10.8.3_The_aims"/>
      <w:bookmarkEnd w:id="270"/>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1" w:name="_10.8.4_The_content"/>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2" w:name="_10.8.5_The_consequence"/>
      <w:bookmarkEnd w:id="272"/>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A9F54" w14:textId="77777777" w:rsidR="00E23914" w:rsidRDefault="00E23914">
      <w:r>
        <w:separator/>
      </w:r>
    </w:p>
  </w:endnote>
  <w:endnote w:type="continuationSeparator" w:id="0">
    <w:p w14:paraId="71ED0B6F" w14:textId="77777777" w:rsidR="00E23914" w:rsidRDefault="00E2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62A08961" w:rsidR="00CB5B87" w:rsidRDefault="00CB5B87">
    <w:pPr>
      <w:pStyle w:val="Footer"/>
    </w:pPr>
    <w:r>
      <w:rPr>
        <w:rStyle w:val="PageNumber"/>
        <w:rFonts w:ascii="Arial" w:hAnsi="Arial" w:cs="Arial"/>
        <w:b/>
        <w:bCs/>
        <w:sz w:val="16"/>
      </w:rPr>
      <w:t xml:space="preserve">Last updated </w:t>
    </w:r>
    <w:r w:rsidR="00C452D9">
      <w:rPr>
        <w:rStyle w:val="PageNumber"/>
        <w:rFonts w:ascii="Arial" w:hAnsi="Arial" w:cs="Arial"/>
        <w:b/>
        <w:bCs/>
        <w:sz w:val="16"/>
      </w:rPr>
      <w:t>1</w:t>
    </w:r>
    <w:r w:rsidR="006341FC">
      <w:rPr>
        <w:rStyle w:val="PageNumber"/>
        <w:rFonts w:ascii="Arial" w:hAnsi="Arial" w:cs="Arial"/>
        <w:b/>
        <w:bCs/>
        <w:sz w:val="16"/>
      </w:rPr>
      <w:t>4 April</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73FF" w14:textId="77777777" w:rsidR="00E23914" w:rsidRDefault="00E23914">
      <w:r>
        <w:separator/>
      </w:r>
    </w:p>
  </w:footnote>
  <w:footnote w:type="continuationSeparator" w:id="0">
    <w:p w14:paraId="45B9C433" w14:textId="77777777" w:rsidR="00E23914" w:rsidRDefault="00E2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3"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7"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9"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1"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2"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7"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2"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0"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2"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3"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5"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4"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6"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7"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8"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3"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6"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7"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8"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91"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3"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6"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9"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0"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2"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2"/>
  </w:num>
  <w:num w:numId="2" w16cid:durableId="1518930696">
    <w:abstractNumId w:val="41"/>
  </w:num>
  <w:num w:numId="3" w16cid:durableId="533857439">
    <w:abstractNumId w:val="40"/>
  </w:num>
  <w:num w:numId="4" w16cid:durableId="108941524">
    <w:abstractNumId w:val="76"/>
  </w:num>
  <w:num w:numId="5" w16cid:durableId="1290622740">
    <w:abstractNumId w:val="31"/>
  </w:num>
  <w:num w:numId="6" w16cid:durableId="293950207">
    <w:abstractNumId w:val="90"/>
  </w:num>
  <w:num w:numId="7" w16cid:durableId="932053166">
    <w:abstractNumId w:val="68"/>
  </w:num>
  <w:num w:numId="8" w16cid:durableId="1768575532">
    <w:abstractNumId w:val="48"/>
  </w:num>
  <w:num w:numId="9" w16cid:durableId="45297735">
    <w:abstractNumId w:val="21"/>
  </w:num>
  <w:num w:numId="10" w16cid:durableId="123163608">
    <w:abstractNumId w:val="46"/>
  </w:num>
  <w:num w:numId="11" w16cid:durableId="319044883">
    <w:abstractNumId w:val="69"/>
  </w:num>
  <w:num w:numId="12" w16cid:durableId="681787156">
    <w:abstractNumId w:val="94"/>
  </w:num>
  <w:num w:numId="13" w16cid:durableId="752706318">
    <w:abstractNumId w:val="93"/>
  </w:num>
  <w:num w:numId="14" w16cid:durableId="1053964263">
    <w:abstractNumId w:val="10"/>
  </w:num>
  <w:num w:numId="15" w16cid:durableId="211578649">
    <w:abstractNumId w:val="24"/>
  </w:num>
  <w:num w:numId="16" w16cid:durableId="27460194">
    <w:abstractNumId w:val="71"/>
  </w:num>
  <w:num w:numId="17" w16cid:durableId="29038114">
    <w:abstractNumId w:val="85"/>
  </w:num>
  <w:num w:numId="18" w16cid:durableId="603462408">
    <w:abstractNumId w:val="55"/>
  </w:num>
  <w:num w:numId="19" w16cid:durableId="854537546">
    <w:abstractNumId w:val="45"/>
  </w:num>
  <w:num w:numId="20" w16cid:durableId="1610428143">
    <w:abstractNumId w:val="8"/>
  </w:num>
  <w:num w:numId="21" w16cid:durableId="1028405940">
    <w:abstractNumId w:val="98"/>
  </w:num>
  <w:num w:numId="22" w16cid:durableId="570192650">
    <w:abstractNumId w:val="19"/>
  </w:num>
  <w:num w:numId="23" w16cid:durableId="699088725">
    <w:abstractNumId w:val="7"/>
  </w:num>
  <w:num w:numId="24" w16cid:durableId="967660956">
    <w:abstractNumId w:val="17"/>
  </w:num>
  <w:num w:numId="25" w16cid:durableId="672226692">
    <w:abstractNumId w:val="26"/>
  </w:num>
  <w:num w:numId="26" w16cid:durableId="1985113314">
    <w:abstractNumId w:val="56"/>
  </w:num>
  <w:num w:numId="27" w16cid:durableId="1387141631">
    <w:abstractNumId w:val="29"/>
  </w:num>
  <w:num w:numId="28" w16cid:durableId="1721057490">
    <w:abstractNumId w:val="12"/>
  </w:num>
  <w:num w:numId="29" w16cid:durableId="1760518028">
    <w:abstractNumId w:val="59"/>
  </w:num>
  <w:num w:numId="30" w16cid:durableId="964774121">
    <w:abstractNumId w:val="102"/>
  </w:num>
  <w:num w:numId="31" w16cid:durableId="344326424">
    <w:abstractNumId w:val="61"/>
  </w:num>
  <w:num w:numId="32" w16cid:durableId="1825929220">
    <w:abstractNumId w:val="20"/>
  </w:num>
  <w:num w:numId="33" w16cid:durableId="580993568">
    <w:abstractNumId w:val="37"/>
  </w:num>
  <w:num w:numId="34" w16cid:durableId="1285648812">
    <w:abstractNumId w:val="99"/>
  </w:num>
  <w:num w:numId="35" w16cid:durableId="1541282616">
    <w:abstractNumId w:val="101"/>
  </w:num>
  <w:num w:numId="36" w16cid:durableId="1020815478">
    <w:abstractNumId w:val="13"/>
  </w:num>
  <w:num w:numId="37" w16cid:durableId="1754549002">
    <w:abstractNumId w:val="4"/>
  </w:num>
  <w:num w:numId="38" w16cid:durableId="1396006305">
    <w:abstractNumId w:val="89"/>
  </w:num>
  <w:num w:numId="39" w16cid:durableId="1928877651">
    <w:abstractNumId w:val="86"/>
  </w:num>
  <w:num w:numId="40" w16cid:durableId="1241452986">
    <w:abstractNumId w:val="47"/>
  </w:num>
  <w:num w:numId="41" w16cid:durableId="1650743759">
    <w:abstractNumId w:val="70"/>
  </w:num>
  <w:num w:numId="42" w16cid:durableId="953974627">
    <w:abstractNumId w:val="97"/>
  </w:num>
  <w:num w:numId="43" w16cid:durableId="107045950">
    <w:abstractNumId w:val="34"/>
  </w:num>
  <w:num w:numId="44" w16cid:durableId="1183397123">
    <w:abstractNumId w:val="67"/>
  </w:num>
  <w:num w:numId="45" w16cid:durableId="1438016748">
    <w:abstractNumId w:val="49"/>
  </w:num>
  <w:num w:numId="46" w16cid:durableId="166482326">
    <w:abstractNumId w:val="6"/>
  </w:num>
  <w:num w:numId="47" w16cid:durableId="1982224275">
    <w:abstractNumId w:val="92"/>
  </w:num>
  <w:num w:numId="48" w16cid:durableId="2018994504">
    <w:abstractNumId w:val="3"/>
  </w:num>
  <w:num w:numId="49" w16cid:durableId="1937134170">
    <w:abstractNumId w:val="52"/>
  </w:num>
  <w:num w:numId="50" w16cid:durableId="1969820662">
    <w:abstractNumId w:val="51"/>
  </w:num>
  <w:num w:numId="51" w16cid:durableId="961762973">
    <w:abstractNumId w:val="73"/>
  </w:num>
  <w:num w:numId="52" w16cid:durableId="1174491273">
    <w:abstractNumId w:val="60"/>
  </w:num>
  <w:num w:numId="53" w16cid:durableId="150341575">
    <w:abstractNumId w:val="38"/>
  </w:num>
  <w:num w:numId="54" w16cid:durableId="2081051675">
    <w:abstractNumId w:val="62"/>
  </w:num>
  <w:num w:numId="55" w16cid:durableId="776102614">
    <w:abstractNumId w:val="27"/>
  </w:num>
  <w:num w:numId="56" w16cid:durableId="1008020792">
    <w:abstractNumId w:val="77"/>
  </w:num>
  <w:num w:numId="57" w16cid:durableId="1005354406">
    <w:abstractNumId w:val="88"/>
  </w:num>
  <w:num w:numId="58" w16cid:durableId="1134059955">
    <w:abstractNumId w:val="5"/>
  </w:num>
  <w:num w:numId="59" w16cid:durableId="423263357">
    <w:abstractNumId w:val="53"/>
  </w:num>
  <w:num w:numId="60" w16cid:durableId="1519781288">
    <w:abstractNumId w:val="9"/>
  </w:num>
  <w:num w:numId="61" w16cid:durableId="2140605916">
    <w:abstractNumId w:val="80"/>
  </w:num>
  <w:num w:numId="62" w16cid:durableId="317271790">
    <w:abstractNumId w:val="81"/>
  </w:num>
  <w:num w:numId="63" w16cid:durableId="1273515851">
    <w:abstractNumId w:val="57"/>
  </w:num>
  <w:num w:numId="64" w16cid:durableId="651179938">
    <w:abstractNumId w:val="35"/>
  </w:num>
  <w:num w:numId="65" w16cid:durableId="1669167818">
    <w:abstractNumId w:val="74"/>
  </w:num>
  <w:num w:numId="66" w16cid:durableId="609779310">
    <w:abstractNumId w:val="96"/>
  </w:num>
  <w:num w:numId="67" w16cid:durableId="2083946328">
    <w:abstractNumId w:val="36"/>
  </w:num>
  <w:num w:numId="68" w16cid:durableId="1665012405">
    <w:abstractNumId w:val="32"/>
  </w:num>
  <w:num w:numId="69" w16cid:durableId="1679691392">
    <w:abstractNumId w:val="39"/>
  </w:num>
  <w:num w:numId="70" w16cid:durableId="989481962">
    <w:abstractNumId w:val="2"/>
  </w:num>
  <w:num w:numId="71" w16cid:durableId="874856198">
    <w:abstractNumId w:val="63"/>
  </w:num>
  <w:num w:numId="72" w16cid:durableId="892499393">
    <w:abstractNumId w:val="65"/>
  </w:num>
  <w:num w:numId="73" w16cid:durableId="102193255">
    <w:abstractNumId w:val="15"/>
  </w:num>
  <w:num w:numId="74" w16cid:durableId="1669096050">
    <w:abstractNumId w:val="66"/>
  </w:num>
  <w:num w:numId="75" w16cid:durableId="693850865">
    <w:abstractNumId w:val="42"/>
  </w:num>
  <w:num w:numId="76" w16cid:durableId="338579296">
    <w:abstractNumId w:val="54"/>
  </w:num>
  <w:num w:numId="77" w16cid:durableId="154998671">
    <w:abstractNumId w:val="58"/>
  </w:num>
  <w:num w:numId="78" w16cid:durableId="1868179036">
    <w:abstractNumId w:val="18"/>
  </w:num>
  <w:num w:numId="79" w16cid:durableId="58485440">
    <w:abstractNumId w:val="95"/>
  </w:num>
  <w:num w:numId="80" w16cid:durableId="1061320167">
    <w:abstractNumId w:val="83"/>
  </w:num>
  <w:num w:numId="81" w16cid:durableId="1370957676">
    <w:abstractNumId w:val="72"/>
  </w:num>
  <w:num w:numId="82" w16cid:durableId="1959024595">
    <w:abstractNumId w:val="14"/>
  </w:num>
  <w:num w:numId="83" w16cid:durableId="1162818172">
    <w:abstractNumId w:val="75"/>
  </w:num>
  <w:num w:numId="84" w16cid:durableId="1829902836">
    <w:abstractNumId w:val="79"/>
  </w:num>
  <w:num w:numId="85" w16cid:durableId="1555846823">
    <w:abstractNumId w:val="30"/>
  </w:num>
  <w:num w:numId="86" w16cid:durableId="2111463123">
    <w:abstractNumId w:val="0"/>
  </w:num>
  <w:num w:numId="87" w16cid:durableId="853300517">
    <w:abstractNumId w:val="82"/>
  </w:num>
  <w:num w:numId="88" w16cid:durableId="1349454166">
    <w:abstractNumId w:val="78"/>
  </w:num>
  <w:num w:numId="89" w16cid:durableId="1713924764">
    <w:abstractNumId w:val="84"/>
  </w:num>
  <w:num w:numId="90" w16cid:durableId="934098101">
    <w:abstractNumId w:val="43"/>
  </w:num>
  <w:num w:numId="91" w16cid:durableId="137571430">
    <w:abstractNumId w:val="103"/>
  </w:num>
  <w:num w:numId="92" w16cid:durableId="414522899">
    <w:abstractNumId w:val="91"/>
  </w:num>
  <w:num w:numId="93" w16cid:durableId="1956406748">
    <w:abstractNumId w:val="100"/>
  </w:num>
  <w:num w:numId="94" w16cid:durableId="801000039">
    <w:abstractNumId w:val="25"/>
  </w:num>
  <w:num w:numId="95" w16cid:durableId="1016272444">
    <w:abstractNumId w:val="44"/>
  </w:num>
  <w:num w:numId="96" w16cid:durableId="1817606599">
    <w:abstractNumId w:val="11"/>
  </w:num>
  <w:num w:numId="97" w16cid:durableId="1959753109">
    <w:abstractNumId w:val="33"/>
  </w:num>
  <w:num w:numId="98" w16cid:durableId="1560171631">
    <w:abstractNumId w:val="23"/>
  </w:num>
  <w:num w:numId="99" w16cid:durableId="324893244">
    <w:abstractNumId w:val="87"/>
  </w:num>
  <w:num w:numId="100" w16cid:durableId="116341225">
    <w:abstractNumId w:val="64"/>
  </w:num>
  <w:num w:numId="101" w16cid:durableId="1577352012">
    <w:abstractNumId w:val="16"/>
  </w:num>
  <w:num w:numId="102" w16cid:durableId="434056869">
    <w:abstractNumId w:val="50"/>
  </w:num>
  <w:num w:numId="103" w16cid:durableId="1157183632">
    <w:abstractNumId w:val="28"/>
  </w:num>
  <w:num w:numId="104" w16cid:durableId="1775439221">
    <w:abstractNumId w:val="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6D5E"/>
    <w:rsid w:val="00097FD3"/>
    <w:rsid w:val="000A1653"/>
    <w:rsid w:val="000A2D10"/>
    <w:rsid w:val="000A3EA1"/>
    <w:rsid w:val="000A44F4"/>
    <w:rsid w:val="000A6085"/>
    <w:rsid w:val="000A7670"/>
    <w:rsid w:val="000B0563"/>
    <w:rsid w:val="000B16A7"/>
    <w:rsid w:val="000B1D27"/>
    <w:rsid w:val="000B1E42"/>
    <w:rsid w:val="000B23AE"/>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45A8"/>
    <w:rsid w:val="00174761"/>
    <w:rsid w:val="00174B32"/>
    <w:rsid w:val="001760B6"/>
    <w:rsid w:val="001766CF"/>
    <w:rsid w:val="001774E9"/>
    <w:rsid w:val="00177A10"/>
    <w:rsid w:val="0018044A"/>
    <w:rsid w:val="001825D6"/>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076D"/>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65"/>
    <w:rsid w:val="00202383"/>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BD3"/>
    <w:rsid w:val="0024658C"/>
    <w:rsid w:val="00250173"/>
    <w:rsid w:val="00251729"/>
    <w:rsid w:val="0025181F"/>
    <w:rsid w:val="002521F8"/>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992"/>
    <w:rsid w:val="004849D4"/>
    <w:rsid w:val="0048553C"/>
    <w:rsid w:val="0048594F"/>
    <w:rsid w:val="00491118"/>
    <w:rsid w:val="00493B0B"/>
    <w:rsid w:val="00493DF1"/>
    <w:rsid w:val="004942D6"/>
    <w:rsid w:val="00494F3E"/>
    <w:rsid w:val="00495577"/>
    <w:rsid w:val="0049689F"/>
    <w:rsid w:val="00497749"/>
    <w:rsid w:val="004A03B2"/>
    <w:rsid w:val="004A068B"/>
    <w:rsid w:val="004A0CA9"/>
    <w:rsid w:val="004A119A"/>
    <w:rsid w:val="004A26EC"/>
    <w:rsid w:val="004A3166"/>
    <w:rsid w:val="004A5BD8"/>
    <w:rsid w:val="004A6074"/>
    <w:rsid w:val="004A61D9"/>
    <w:rsid w:val="004A6AFE"/>
    <w:rsid w:val="004A79EA"/>
    <w:rsid w:val="004B09A9"/>
    <w:rsid w:val="004B284D"/>
    <w:rsid w:val="004B2DBD"/>
    <w:rsid w:val="004B3059"/>
    <w:rsid w:val="004B379D"/>
    <w:rsid w:val="004B4034"/>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DC2"/>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51EB"/>
    <w:rsid w:val="00655547"/>
    <w:rsid w:val="006555B3"/>
    <w:rsid w:val="0065617E"/>
    <w:rsid w:val="006561FF"/>
    <w:rsid w:val="0065792B"/>
    <w:rsid w:val="00657948"/>
    <w:rsid w:val="00660A2C"/>
    <w:rsid w:val="00660ACA"/>
    <w:rsid w:val="0066162D"/>
    <w:rsid w:val="00661965"/>
    <w:rsid w:val="006619EE"/>
    <w:rsid w:val="00661B16"/>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6E2"/>
    <w:rsid w:val="006C24A8"/>
    <w:rsid w:val="006C3099"/>
    <w:rsid w:val="006C3325"/>
    <w:rsid w:val="006C3AC5"/>
    <w:rsid w:val="006C3FE7"/>
    <w:rsid w:val="006C4A4A"/>
    <w:rsid w:val="006C6504"/>
    <w:rsid w:val="006C7B2F"/>
    <w:rsid w:val="006C7B93"/>
    <w:rsid w:val="006D0B24"/>
    <w:rsid w:val="006D0C11"/>
    <w:rsid w:val="006D16B9"/>
    <w:rsid w:val="006D284B"/>
    <w:rsid w:val="006D4E76"/>
    <w:rsid w:val="006D6CAC"/>
    <w:rsid w:val="006E04E6"/>
    <w:rsid w:val="006E231C"/>
    <w:rsid w:val="006E2482"/>
    <w:rsid w:val="006E33F5"/>
    <w:rsid w:val="006E356E"/>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6AC5"/>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B18"/>
    <w:rsid w:val="007F09C7"/>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372B3"/>
    <w:rsid w:val="0083744A"/>
    <w:rsid w:val="0083772D"/>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33A"/>
    <w:rsid w:val="00886936"/>
    <w:rsid w:val="00890310"/>
    <w:rsid w:val="0089055A"/>
    <w:rsid w:val="008907E3"/>
    <w:rsid w:val="00890898"/>
    <w:rsid w:val="00890B4D"/>
    <w:rsid w:val="00891114"/>
    <w:rsid w:val="0089267B"/>
    <w:rsid w:val="008926C1"/>
    <w:rsid w:val="008929CF"/>
    <w:rsid w:val="00892E35"/>
    <w:rsid w:val="0089381C"/>
    <w:rsid w:val="008941B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5F7C"/>
    <w:rsid w:val="00936593"/>
    <w:rsid w:val="00936A5B"/>
    <w:rsid w:val="00936D50"/>
    <w:rsid w:val="00937698"/>
    <w:rsid w:val="0093792D"/>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CCF"/>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1B40"/>
    <w:rsid w:val="009C3C09"/>
    <w:rsid w:val="009C5D4F"/>
    <w:rsid w:val="009C65E5"/>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432B"/>
    <w:rsid w:val="009F60B3"/>
    <w:rsid w:val="009F6A04"/>
    <w:rsid w:val="009F6A51"/>
    <w:rsid w:val="009F7396"/>
    <w:rsid w:val="00A002C6"/>
    <w:rsid w:val="00A003A7"/>
    <w:rsid w:val="00A0120F"/>
    <w:rsid w:val="00A0133E"/>
    <w:rsid w:val="00A01AD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C02"/>
    <w:rsid w:val="00A21D6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E1F"/>
    <w:rsid w:val="00A9346E"/>
    <w:rsid w:val="00A9452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7C53"/>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11"/>
    <w:rsid w:val="00B11FC3"/>
    <w:rsid w:val="00B140FF"/>
    <w:rsid w:val="00B149B0"/>
    <w:rsid w:val="00B14E2B"/>
    <w:rsid w:val="00B1509E"/>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3F2E"/>
    <w:rsid w:val="00B340B5"/>
    <w:rsid w:val="00B345B6"/>
    <w:rsid w:val="00B346A3"/>
    <w:rsid w:val="00B34C16"/>
    <w:rsid w:val="00B3664A"/>
    <w:rsid w:val="00B368B7"/>
    <w:rsid w:val="00B37060"/>
    <w:rsid w:val="00B4128C"/>
    <w:rsid w:val="00B41297"/>
    <w:rsid w:val="00B423AC"/>
    <w:rsid w:val="00B42BEA"/>
    <w:rsid w:val="00B42C76"/>
    <w:rsid w:val="00B431D9"/>
    <w:rsid w:val="00B432F1"/>
    <w:rsid w:val="00B4442A"/>
    <w:rsid w:val="00B4457E"/>
    <w:rsid w:val="00B46674"/>
    <w:rsid w:val="00B46C24"/>
    <w:rsid w:val="00B4739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D1F"/>
    <w:rsid w:val="00B70F16"/>
    <w:rsid w:val="00B71092"/>
    <w:rsid w:val="00B71288"/>
    <w:rsid w:val="00B71B1D"/>
    <w:rsid w:val="00B71D43"/>
    <w:rsid w:val="00B72A26"/>
    <w:rsid w:val="00B7357C"/>
    <w:rsid w:val="00B74AA9"/>
    <w:rsid w:val="00B74DB5"/>
    <w:rsid w:val="00B76518"/>
    <w:rsid w:val="00B770F5"/>
    <w:rsid w:val="00B802A5"/>
    <w:rsid w:val="00B80F2F"/>
    <w:rsid w:val="00B81254"/>
    <w:rsid w:val="00B8326A"/>
    <w:rsid w:val="00B8485A"/>
    <w:rsid w:val="00B86C0D"/>
    <w:rsid w:val="00B90314"/>
    <w:rsid w:val="00B903E6"/>
    <w:rsid w:val="00B90CC6"/>
    <w:rsid w:val="00B93469"/>
    <w:rsid w:val="00B94DA1"/>
    <w:rsid w:val="00B956E2"/>
    <w:rsid w:val="00B95FEA"/>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DE3"/>
    <w:rsid w:val="00C5574F"/>
    <w:rsid w:val="00C55A81"/>
    <w:rsid w:val="00C56B26"/>
    <w:rsid w:val="00C56FA6"/>
    <w:rsid w:val="00C57372"/>
    <w:rsid w:val="00C57AF5"/>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2561"/>
    <w:rsid w:val="00CB379C"/>
    <w:rsid w:val="00CB3934"/>
    <w:rsid w:val="00CB4B92"/>
    <w:rsid w:val="00CB5B87"/>
    <w:rsid w:val="00CB5D5E"/>
    <w:rsid w:val="00CB5ED0"/>
    <w:rsid w:val="00CB62DE"/>
    <w:rsid w:val="00CB6410"/>
    <w:rsid w:val="00CB6CDE"/>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E54"/>
    <w:rsid w:val="00CE4A7D"/>
    <w:rsid w:val="00CE5579"/>
    <w:rsid w:val="00CE6C24"/>
    <w:rsid w:val="00CF01CA"/>
    <w:rsid w:val="00CF16BF"/>
    <w:rsid w:val="00CF2221"/>
    <w:rsid w:val="00CF282B"/>
    <w:rsid w:val="00CF290B"/>
    <w:rsid w:val="00CF418F"/>
    <w:rsid w:val="00CF4808"/>
    <w:rsid w:val="00CF4BD2"/>
    <w:rsid w:val="00CF53CA"/>
    <w:rsid w:val="00CF55D6"/>
    <w:rsid w:val="00CF5BCE"/>
    <w:rsid w:val="00CF7E5C"/>
    <w:rsid w:val="00D017DA"/>
    <w:rsid w:val="00D02936"/>
    <w:rsid w:val="00D029D3"/>
    <w:rsid w:val="00D03139"/>
    <w:rsid w:val="00D0514C"/>
    <w:rsid w:val="00D05839"/>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A4E"/>
    <w:rsid w:val="00D56268"/>
    <w:rsid w:val="00D60042"/>
    <w:rsid w:val="00D6111F"/>
    <w:rsid w:val="00D61A8C"/>
    <w:rsid w:val="00D61E82"/>
    <w:rsid w:val="00D6313A"/>
    <w:rsid w:val="00D63605"/>
    <w:rsid w:val="00D63FFC"/>
    <w:rsid w:val="00D643DB"/>
    <w:rsid w:val="00D6515C"/>
    <w:rsid w:val="00D653D3"/>
    <w:rsid w:val="00D6714D"/>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A0B"/>
    <w:rsid w:val="00E7004C"/>
    <w:rsid w:val="00E712CE"/>
    <w:rsid w:val="00E7139F"/>
    <w:rsid w:val="00E7147E"/>
    <w:rsid w:val="00E73009"/>
    <w:rsid w:val="00E74A29"/>
    <w:rsid w:val="00E7529F"/>
    <w:rsid w:val="00E75458"/>
    <w:rsid w:val="00E75F2D"/>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45E7"/>
    <w:rsid w:val="00ED4766"/>
    <w:rsid w:val="00ED507F"/>
    <w:rsid w:val="00ED7A0B"/>
    <w:rsid w:val="00EE0294"/>
    <w:rsid w:val="00EE1221"/>
    <w:rsid w:val="00EE2DB7"/>
    <w:rsid w:val="00EE2F78"/>
    <w:rsid w:val="00EE338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3A9B"/>
    <w:rsid w:val="00F045E8"/>
    <w:rsid w:val="00F04669"/>
    <w:rsid w:val="00F04FB0"/>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5FD9"/>
    <w:rsid w:val="00F27307"/>
    <w:rsid w:val="00F27497"/>
    <w:rsid w:val="00F30618"/>
    <w:rsid w:val="00F318CA"/>
    <w:rsid w:val="00F32553"/>
    <w:rsid w:val="00F333AB"/>
    <w:rsid w:val="00F3502C"/>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2103"/>
    <w:rsid w:val="00F82384"/>
    <w:rsid w:val="00F83B65"/>
    <w:rsid w:val="00F83D2F"/>
    <w:rsid w:val="00F83DE8"/>
    <w:rsid w:val="00F863F6"/>
    <w:rsid w:val="00F86EF4"/>
    <w:rsid w:val="00F8723D"/>
    <w:rsid w:val="00F87BE8"/>
    <w:rsid w:val="00F906A7"/>
    <w:rsid w:val="00F90B1F"/>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50CC"/>
    <w:rsid w:val="00FD6727"/>
    <w:rsid w:val="00FD78C7"/>
    <w:rsid w:val="00FE278A"/>
    <w:rsid w:val="00FE2E76"/>
    <w:rsid w:val="00FE4E5D"/>
    <w:rsid w:val="00FE4F82"/>
    <w:rsid w:val="00FE529F"/>
    <w:rsid w:val="00FE5888"/>
    <w:rsid w:val="00FE673C"/>
    <w:rsid w:val="00FE6B6A"/>
    <w:rsid w:val="00FF0A1C"/>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76798</Words>
  <Characters>437753</Characters>
  <Application>Microsoft Office Word</Application>
  <DocSecurity>0</DocSecurity>
  <Lines>3647</Lines>
  <Paragraphs>1027</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513524</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2025-04-13T21:27:00Z</dcterms:created>
  <dcterms:modified xsi:type="dcterms:W3CDTF">2025-04-13T21:27:00Z</dcterms:modified>
</cp:coreProperties>
</file>