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00CEB" w14:textId="7EA8B6DB" w:rsidR="00BF52E5" w:rsidRPr="004E0F71" w:rsidRDefault="00BF52E5" w:rsidP="00010B41">
      <w:pPr>
        <w:pStyle w:val="Heading1"/>
        <w:numPr>
          <w:ilvl w:val="0"/>
          <w:numId w:val="31"/>
        </w:numPr>
        <w:spacing w:before="0" w:line="240" w:lineRule="auto"/>
        <w:jc w:val="center"/>
        <w:rPr>
          <w:rFonts w:ascii="Arial" w:hAnsi="Arial" w:cs="Arial"/>
          <w:b/>
          <w:bCs/>
          <w:color w:val="FF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4E0F71">
        <w:rPr>
          <w:rFonts w:ascii="Arial" w:hAnsi="Arial" w:cs="Arial"/>
          <w:b/>
          <w:bCs/>
          <w:color w:val="FF0000"/>
          <w:sz w:val="40"/>
        </w:rPr>
        <w:t xml:space="preserve">CRIMINAL DIVISION </w:t>
      </w:r>
      <w:r w:rsidR="00B005C9" w:rsidRPr="004E0F71">
        <w:rPr>
          <w:rFonts w:ascii="Arial" w:hAnsi="Arial" w:cs="Arial"/>
          <w:b/>
          <w:bCs/>
          <w:color w:val="FF0000"/>
          <w:sz w:val="40"/>
        </w:rPr>
        <w:t>–</w:t>
      </w:r>
      <w:r w:rsidRPr="004E0F71">
        <w:rPr>
          <w:rFonts w:ascii="Arial" w:hAnsi="Arial" w:cs="Arial"/>
          <w:b/>
          <w:bCs/>
          <w:color w:val="FF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BF52E5"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Pr="00392AD6">
          <w:rPr>
            <w:rStyle w:val="Hyperlink"/>
            <w:rFonts w:ascii="Arial" w:hAnsi="Arial" w:cs="Arial"/>
            <w:b/>
            <w:bCs/>
            <w:u w:val="none"/>
          </w:rPr>
          <w:t>11.1</w:t>
        </w:r>
        <w:r w:rsidRPr="00392AD6">
          <w:rPr>
            <w:rStyle w:val="Hyperlink"/>
            <w:rFonts w:ascii="Arial" w:hAnsi="Arial" w:cs="Arial"/>
            <w:b/>
            <w:bCs/>
            <w:u w:val="none"/>
          </w:rPr>
          <w:tab/>
          <w:t>Sentencing principles &amp; sentencing orders</w:t>
        </w:r>
      </w:hyperlink>
    </w:p>
    <w:p w14:paraId="28EB44C6" w14:textId="77777777" w:rsidR="00BF52E5" w:rsidRPr="00392AD6" w:rsidRDefault="004D2134"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Pr="00392AD6">
          <w:rPr>
            <w:rStyle w:val="Hyperlink"/>
            <w:rFonts w:ascii="Arial" w:hAnsi="Arial" w:cs="Arial"/>
            <w:b/>
            <w:bCs/>
            <w:sz w:val="20"/>
            <w:u w:val="none"/>
          </w:rPr>
          <w:tab/>
          <w:t>11.1.2</w:t>
        </w:r>
        <w:r w:rsidRPr="00392AD6">
          <w:rPr>
            <w:rStyle w:val="Hyperlink"/>
            <w:rFonts w:ascii="Arial" w:hAnsi="Arial" w:cs="Arial"/>
            <w:b/>
            <w:bCs/>
            <w:sz w:val="20"/>
            <w:u w:val="none"/>
          </w:rPr>
          <w:tab/>
          <w:t>Sentencing of adults</w:t>
        </w:r>
      </w:hyperlink>
    </w:p>
    <w:p w14:paraId="527E835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Pr="00392AD6">
          <w:rPr>
            <w:rStyle w:val="Hyperlink"/>
            <w:rFonts w:ascii="Arial" w:hAnsi="Arial" w:cs="Arial"/>
            <w:b/>
            <w:bCs/>
            <w:sz w:val="20"/>
            <w:u w:val="none"/>
          </w:rPr>
          <w:tab/>
          <w:t>11.1.3</w:t>
        </w:r>
        <w:r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Pr="00392AD6">
          <w:rPr>
            <w:rStyle w:val="Hyperlink"/>
            <w:rFonts w:ascii="Arial" w:hAnsi="Arial" w:cs="Arial"/>
            <w:b/>
            <w:bCs/>
            <w:sz w:val="20"/>
            <w:u w:val="none"/>
          </w:rPr>
          <w:tab/>
          <w:t>11.1.4</w:t>
        </w:r>
        <w:r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Pr="00392AD6">
          <w:rPr>
            <w:rStyle w:val="Hyperlink"/>
            <w:rFonts w:ascii="Arial" w:hAnsi="Arial" w:cs="Arial"/>
            <w:b/>
            <w:bCs/>
            <w:sz w:val="20"/>
            <w:u w:val="none"/>
          </w:rPr>
          <w:t>entencing principles</w:t>
        </w:r>
      </w:hyperlink>
    </w:p>
    <w:p w14:paraId="2753CE12" w14:textId="77777777" w:rsidR="004648C9" w:rsidRP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Pr="004648C9">
          <w:rPr>
            <w:rStyle w:val="Hyperlink"/>
            <w:rFonts w:ascii="Arial" w:hAnsi="Arial" w:cs="Arial"/>
            <w:b/>
            <w:bCs/>
            <w:sz w:val="20"/>
            <w:u w:val="none"/>
          </w:rPr>
          <w:tab/>
        </w:r>
        <w:r w:rsidRPr="004648C9">
          <w:rPr>
            <w:rStyle w:val="Hyperlink"/>
            <w:rFonts w:ascii="Arial" w:hAnsi="Arial" w:cs="Arial"/>
            <w:b/>
            <w:bCs/>
            <w:sz w:val="20"/>
            <w:u w:val="none"/>
          </w:rPr>
          <w:tab/>
          <w:t>11.1.4.1 General deterrence is not applicable as a sentencing principle in ChCV</w:t>
        </w:r>
      </w:hyperlink>
    </w:p>
    <w:p w14:paraId="55155856" w14:textId="77777777" w:rsid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Pr="004648C9">
          <w:rPr>
            <w:rStyle w:val="Hyperlink"/>
            <w:rFonts w:ascii="Arial" w:hAnsi="Arial" w:cs="Arial"/>
            <w:b/>
            <w:bCs/>
            <w:sz w:val="20"/>
            <w:u w:val="none"/>
          </w:rPr>
          <w:tab/>
        </w:r>
        <w:r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Pr="00392AD6">
          <w:rPr>
            <w:rStyle w:val="Hyperlink"/>
            <w:rFonts w:ascii="Arial" w:hAnsi="Arial" w:cs="Arial"/>
            <w:b/>
            <w:bCs/>
            <w:sz w:val="20"/>
            <w:u w:val="none"/>
          </w:rPr>
          <w:tab/>
          <w:t>11.1.7</w:t>
        </w:r>
        <w:r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Pr="00392AD6">
          <w:rPr>
            <w:rStyle w:val="Hyperlink"/>
            <w:rFonts w:ascii="Arial" w:hAnsi="Arial" w:cs="Arial"/>
            <w:b/>
            <w:bCs/>
            <w:sz w:val="20"/>
            <w:u w:val="none"/>
          </w:rPr>
          <w:tab/>
          <w:t>11.1.8</w:t>
        </w:r>
        <w:r w:rsidRPr="00392AD6">
          <w:rPr>
            <w:rStyle w:val="Hyperlink"/>
            <w:rFonts w:ascii="Arial" w:hAnsi="Arial" w:cs="Arial"/>
            <w:b/>
            <w:bCs/>
            <w:sz w:val="20"/>
            <w:u w:val="none"/>
          </w:rPr>
          <w:tab/>
          <w:t>Restitution/Compensation/Costs</w:t>
        </w:r>
      </w:hyperlink>
    </w:p>
    <w:p w14:paraId="63F14B2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Pr="00392AD6">
          <w:rPr>
            <w:rStyle w:val="Hyperlink"/>
            <w:rFonts w:ascii="Arial" w:hAnsi="Arial" w:cs="Arial"/>
            <w:b/>
            <w:bCs/>
            <w:sz w:val="20"/>
            <w:u w:val="none"/>
          </w:rPr>
          <w:tab/>
          <w:t>11.1.9</w:t>
        </w:r>
        <w:r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Pr="00392AD6">
          <w:rPr>
            <w:rStyle w:val="Hyperlink"/>
            <w:rFonts w:ascii="Arial" w:hAnsi="Arial" w:cs="Arial"/>
            <w:b/>
            <w:bCs/>
            <w:sz w:val="20"/>
            <w:u w:val="none"/>
          </w:rPr>
          <w:t>feiture</w:t>
        </w:r>
      </w:hyperlink>
    </w:p>
    <w:p w14:paraId="3ADCC121" w14:textId="2D23D4A2" w:rsidR="00B773B3" w:rsidRPr="009E6D49"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Pr="009E6D49">
          <w:rPr>
            <w:rStyle w:val="Hyperlink"/>
            <w:rFonts w:ascii="Arial" w:hAnsi="Arial" w:cs="Arial"/>
            <w:b/>
            <w:bCs/>
            <w:sz w:val="20"/>
            <w:u w:val="none"/>
          </w:rPr>
          <w:tab/>
        </w:r>
        <w:r w:rsidRPr="009E6D49">
          <w:rPr>
            <w:rStyle w:val="Hyperlink"/>
            <w:rFonts w:ascii="Arial" w:hAnsi="Arial" w:cs="Arial"/>
            <w:b/>
            <w:bCs/>
            <w:sz w:val="20"/>
            <w:u w:val="none"/>
          </w:rPr>
          <w:tab/>
          <w:t xml:space="preserve">11.1.9.1 </w:t>
        </w:r>
        <w:bookmarkStart w:id="44" w:name="_Hlk121922916"/>
        <w:r w:rsidR="00FA26E8">
          <w:rPr>
            <w:rStyle w:val="Hyperlink"/>
            <w:rFonts w:ascii="Arial" w:hAnsi="Arial" w:cs="Arial"/>
            <w:b/>
            <w:bCs/>
            <w:sz w:val="20"/>
            <w:u w:val="none"/>
          </w:rPr>
          <w:t xml:space="preserve">Licence </w:t>
        </w:r>
        <w:r w:rsidR="00562F7D">
          <w:rPr>
            <w:rStyle w:val="Hyperlink"/>
            <w:rFonts w:ascii="Arial" w:hAnsi="Arial" w:cs="Arial"/>
            <w:b/>
            <w:bCs/>
            <w:sz w:val="20"/>
            <w:u w:val="none"/>
          </w:rPr>
          <w:t>suspension/cancellation</w:t>
        </w:r>
        <w:r w:rsidR="00FA26E8">
          <w:rPr>
            <w:rStyle w:val="Hyperlink"/>
            <w:rFonts w:ascii="Arial" w:hAnsi="Arial" w:cs="Arial"/>
            <w:b/>
            <w:bCs/>
            <w:sz w:val="20"/>
            <w:u w:val="none"/>
          </w:rPr>
          <w:t xml:space="preserve"> and di</w:t>
        </w:r>
        <w:r w:rsidRPr="009E6D49">
          <w:rPr>
            <w:rStyle w:val="Hyperlink"/>
            <w:rFonts w:ascii="Arial" w:hAnsi="Arial" w:cs="Arial"/>
            <w:b/>
            <w:bCs/>
            <w:sz w:val="20"/>
            <w:u w:val="none"/>
          </w:rPr>
          <w:t>squalification</w:t>
        </w:r>
        <w:r w:rsidR="009E6D49" w:rsidRPr="009E6D49">
          <w:rPr>
            <w:rStyle w:val="Hyperlink"/>
            <w:rFonts w:ascii="Arial" w:hAnsi="Arial" w:cs="Arial"/>
            <w:b/>
            <w:bCs/>
            <w:sz w:val="20"/>
            <w:u w:val="none"/>
          </w:rPr>
          <w:t xml:space="preserve"> from driving</w:t>
        </w:r>
        <w:bookmarkEnd w:id="44"/>
      </w:hyperlink>
    </w:p>
    <w:p w14:paraId="41E9DE0A" w14:textId="72C8E264"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11.1.9.2 Incompatibil</w:t>
        </w:r>
        <w:r w:rsidR="00807D42">
          <w:rPr>
            <w:rStyle w:val="Hyperlink"/>
            <w:rFonts w:ascii="Arial" w:hAnsi="Arial" w:cs="Arial"/>
            <w:b/>
            <w:bCs/>
            <w:sz w:val="20"/>
            <w:u w:val="none"/>
          </w:rPr>
          <w:t>i</w:t>
        </w:r>
        <w:r w:rsidRPr="00B773B3">
          <w:rPr>
            <w:rStyle w:val="Hyperlink"/>
            <w:rFonts w:ascii="Arial" w:hAnsi="Arial" w:cs="Arial"/>
            <w:b/>
            <w:bCs/>
            <w:sz w:val="20"/>
            <w:u w:val="none"/>
          </w:rPr>
          <w:t>ty of diversion and licence cancellation/suspension</w:t>
        </w:r>
      </w:hyperlink>
    </w:p>
    <w:p w14:paraId="43F7F14F" w14:textId="77777777"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11.1.9.3 Forfeiture and other orders</w:t>
        </w:r>
      </w:hyperlink>
    </w:p>
    <w:p w14:paraId="19F14F13" w14:textId="21C80906"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Pr="00392AD6">
          <w:rPr>
            <w:rStyle w:val="Hyperlink"/>
            <w:rFonts w:ascii="Arial" w:hAnsi="Arial" w:cs="Arial"/>
            <w:b/>
            <w:bCs/>
            <w:sz w:val="20"/>
            <w:u w:val="none"/>
          </w:rPr>
          <w:tab/>
          <w:t>11.1.10</w:t>
        </w:r>
        <w:r w:rsidRPr="00392AD6">
          <w:rPr>
            <w:rStyle w:val="Hyperlink"/>
            <w:rFonts w:ascii="Arial" w:hAnsi="Arial" w:cs="Arial"/>
            <w:b/>
            <w:bCs/>
            <w:sz w:val="20"/>
            <w:u w:val="none"/>
          </w:rPr>
          <w:tab/>
        </w:r>
        <w:r w:rsidR="00A361DC">
          <w:rPr>
            <w:rStyle w:val="Hyperlink"/>
            <w:rFonts w:ascii="Arial" w:hAnsi="Arial" w:cs="Arial"/>
            <w:b/>
            <w:bCs/>
            <w:sz w:val="20"/>
            <w:u w:val="none"/>
          </w:rPr>
          <w:t>Distinction between dismiss</w:t>
        </w:r>
        <w:r w:rsidR="002E6DE6">
          <w:rPr>
            <w:rStyle w:val="Hyperlink"/>
            <w:rFonts w:ascii="Arial" w:hAnsi="Arial" w:cs="Arial"/>
            <w:b/>
            <w:bCs/>
            <w:sz w:val="20"/>
            <w:u w:val="none"/>
          </w:rPr>
          <w:t>ing</w:t>
        </w:r>
        <w:r w:rsidR="00B62959">
          <w:rPr>
            <w:rStyle w:val="Hyperlink"/>
            <w:rFonts w:ascii="Arial" w:hAnsi="Arial" w:cs="Arial"/>
            <w:b/>
            <w:bCs/>
            <w:sz w:val="20"/>
            <w:u w:val="none"/>
          </w:rPr>
          <w:t xml:space="preserve"> </w:t>
        </w:r>
        <w:r w:rsidR="002E6DE6">
          <w:rPr>
            <w:rStyle w:val="Hyperlink"/>
            <w:rFonts w:ascii="Arial" w:hAnsi="Arial" w:cs="Arial"/>
            <w:b/>
            <w:bCs/>
            <w:sz w:val="20"/>
            <w:u w:val="none"/>
          </w:rPr>
          <w:t xml:space="preserve">a </w:t>
        </w:r>
        <w:r w:rsidR="00B62959">
          <w:rPr>
            <w:rStyle w:val="Hyperlink"/>
            <w:rFonts w:ascii="Arial" w:hAnsi="Arial" w:cs="Arial"/>
            <w:b/>
            <w:bCs/>
            <w:sz w:val="20"/>
            <w:u w:val="none"/>
          </w:rPr>
          <w:t>charge</w:t>
        </w:r>
        <w:r w:rsidR="00A361DC">
          <w:rPr>
            <w:rStyle w:val="Hyperlink"/>
            <w:rFonts w:ascii="Arial" w:hAnsi="Arial" w:cs="Arial"/>
            <w:b/>
            <w:bCs/>
            <w:sz w:val="20"/>
            <w:u w:val="none"/>
          </w:rPr>
          <w:t xml:space="preserve"> and striking</w:t>
        </w:r>
      </w:hyperlink>
      <w:r w:rsidR="00A361DC">
        <w:rPr>
          <w:rStyle w:val="Hyperlink"/>
          <w:rFonts w:ascii="Arial" w:hAnsi="Arial" w:cs="Arial"/>
          <w:b/>
          <w:bCs/>
          <w:sz w:val="20"/>
          <w:u w:val="none"/>
        </w:rPr>
        <w:t xml:space="preserve"> </w:t>
      </w:r>
      <w:r w:rsidR="002E6DE6">
        <w:rPr>
          <w:rStyle w:val="Hyperlink"/>
          <w:rFonts w:ascii="Arial" w:hAnsi="Arial" w:cs="Arial"/>
          <w:b/>
          <w:bCs/>
          <w:sz w:val="20"/>
          <w:u w:val="none"/>
        </w:rPr>
        <w:t xml:space="preserve">out </w:t>
      </w:r>
      <w:r w:rsidR="00A361DC">
        <w:rPr>
          <w:rStyle w:val="Hyperlink"/>
          <w:rFonts w:ascii="Arial" w:hAnsi="Arial" w:cs="Arial"/>
          <w:b/>
          <w:bCs/>
          <w:sz w:val="20"/>
          <w:u w:val="none"/>
        </w:rPr>
        <w:t>a charge</w:t>
      </w:r>
    </w:p>
    <w:p w14:paraId="59734A8B"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Pr="00392AD6">
          <w:rPr>
            <w:rStyle w:val="Hyperlink"/>
            <w:rFonts w:ascii="Arial" w:hAnsi="Arial" w:cs="Arial"/>
            <w:b/>
            <w:bCs/>
            <w:sz w:val="20"/>
            <w:u w:val="none"/>
          </w:rPr>
          <w:tab/>
          <w:t>11.1.11</w:t>
        </w:r>
        <w:r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D2760E"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Pr="00392AD6">
          <w:rPr>
            <w:rStyle w:val="Hyperlink"/>
            <w:rFonts w:ascii="Arial" w:hAnsi="Arial" w:cs="Arial"/>
            <w:b/>
            <w:bCs/>
            <w:sz w:val="20"/>
            <w:u w:val="none"/>
          </w:rPr>
          <w:tab/>
          <w:t>11.1.13</w:t>
        </w:r>
        <w:r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Default="009D177D"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0_Vigiliantism" w:history="1">
        <w:r w:rsidRPr="00392AD6">
          <w:rPr>
            <w:rStyle w:val="Hyperlink"/>
            <w:rFonts w:ascii="Arial" w:hAnsi="Arial" w:cs="Arial"/>
            <w:b/>
            <w:bCs/>
            <w:sz w:val="20"/>
            <w:u w:val="none"/>
          </w:rPr>
          <w:tab/>
          <w:t>11.1.20</w:t>
        </w:r>
        <w:r w:rsidRPr="00392AD6">
          <w:rPr>
            <w:rStyle w:val="Hyperlink"/>
            <w:rFonts w:ascii="Arial" w:hAnsi="Arial" w:cs="Arial"/>
            <w:b/>
            <w:bCs/>
            <w:sz w:val="20"/>
            <w:u w:val="none"/>
          </w:rPr>
          <w:tab/>
          <w:t>Vigilantism</w:t>
        </w:r>
      </w:hyperlink>
    </w:p>
    <w:p w14:paraId="6719ACBE" w14:textId="4D7221C2" w:rsidR="00A42676" w:rsidRDefault="00A42676" w:rsidP="00A42676">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1_Relevance_of" w:history="1">
        <w:r w:rsidRPr="00392AD6">
          <w:rPr>
            <w:rStyle w:val="Hyperlink"/>
            <w:rFonts w:ascii="Arial" w:hAnsi="Arial" w:cs="Arial"/>
            <w:b/>
            <w:bCs/>
            <w:sz w:val="20"/>
            <w:u w:val="none"/>
          </w:rPr>
          <w:tab/>
          <w:t>11.1.2</w:t>
        </w:r>
        <w:r>
          <w:rPr>
            <w:rStyle w:val="Hyperlink"/>
            <w:rFonts w:ascii="Arial" w:hAnsi="Arial" w:cs="Arial"/>
            <w:b/>
            <w:bCs/>
            <w:sz w:val="20"/>
            <w:u w:val="none"/>
          </w:rPr>
          <w:t>1</w:t>
        </w:r>
        <w:r w:rsidRPr="00392AD6">
          <w:rPr>
            <w:rStyle w:val="Hyperlink"/>
            <w:rFonts w:ascii="Arial" w:hAnsi="Arial" w:cs="Arial"/>
            <w:b/>
            <w:bCs/>
            <w:sz w:val="20"/>
            <w:u w:val="none"/>
          </w:rPr>
          <w:tab/>
        </w:r>
        <w:r>
          <w:rPr>
            <w:rStyle w:val="Hyperlink"/>
            <w:rFonts w:ascii="Arial" w:hAnsi="Arial" w:cs="Arial"/>
            <w:b/>
            <w:bCs/>
            <w:sz w:val="20"/>
            <w:u w:val="none"/>
          </w:rPr>
          <w:t>Relevance of cultural practice to sentencing for a Commonwealth offence</w:t>
        </w:r>
      </w:hyperlink>
    </w:p>
    <w:p w14:paraId="3B8C2A8A" w14:textId="77777777" w:rsidR="00BF52E5" w:rsidRPr="00392AD6" w:rsidRDefault="00BF52E5" w:rsidP="00D96B36">
      <w:pPr>
        <w:pBdr>
          <w:top w:val="single" w:sz="4" w:space="1" w:color="auto"/>
          <w:left w:val="single" w:sz="4" w:space="4" w:color="auto"/>
          <w:bottom w:val="single" w:sz="4" w:space="1" w:color="auto"/>
          <w:right w:val="single" w:sz="4" w:space="4" w:color="auto"/>
        </w:pBdr>
        <w:spacing w:before="20"/>
        <w:rPr>
          <w:rFonts w:ascii="Arial" w:hAnsi="Arial" w:cs="Arial"/>
          <w:b/>
          <w:bCs/>
          <w:color w:val="000000"/>
        </w:rPr>
      </w:pPr>
      <w:hyperlink w:anchor="_11.2_Selected_cases" w:history="1">
        <w:r w:rsidRPr="00392AD6">
          <w:rPr>
            <w:rStyle w:val="Hyperlink"/>
            <w:rFonts w:ascii="Arial" w:hAnsi="Arial" w:cs="Arial"/>
            <w:b/>
            <w:bCs/>
            <w:u w:val="none"/>
          </w:rPr>
          <w:t>11.2</w:t>
        </w:r>
        <w:r w:rsidRPr="00392AD6">
          <w:rPr>
            <w:rStyle w:val="Hyperlink"/>
            <w:rFonts w:ascii="Arial" w:hAnsi="Arial" w:cs="Arial"/>
            <w:b/>
            <w:bCs/>
            <w:u w:val="none"/>
          </w:rPr>
          <w:tab/>
          <w:t>Selected cases on sentencing</w:t>
        </w:r>
      </w:hyperlink>
    </w:p>
    <w:p w14:paraId="0B48B3A6" w14:textId="77777777" w:rsidR="00BF52E5" w:rsidRPr="00392AD6" w:rsidRDefault="00BF52E5"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Pr="00392AD6">
          <w:rPr>
            <w:rStyle w:val="Hyperlink"/>
            <w:rFonts w:ascii="Arial" w:hAnsi="Arial" w:cs="Arial"/>
            <w:b/>
            <w:bCs/>
            <w:sz w:val="20"/>
            <w:szCs w:val="20"/>
            <w:u w:val="none"/>
          </w:rPr>
          <w:tab/>
          <w:t>11.2.1</w:t>
        </w:r>
        <w:r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Pr="00392AD6">
          <w:rPr>
            <w:rStyle w:val="Hyperlink"/>
            <w:rFonts w:ascii="Arial" w:hAnsi="Arial" w:cs="Arial"/>
            <w:b/>
            <w:bCs/>
            <w:sz w:val="20"/>
            <w:szCs w:val="20"/>
            <w:u w:val="none"/>
          </w:rPr>
          <w:tab/>
          <w:t>11.2.2</w:t>
        </w:r>
        <w:r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Pr="00392AD6">
          <w:rPr>
            <w:rStyle w:val="Hyperlink"/>
            <w:rFonts w:ascii="Arial" w:hAnsi="Arial" w:cs="Arial"/>
            <w:b/>
            <w:bCs/>
            <w:sz w:val="20"/>
            <w:szCs w:val="20"/>
            <w:u w:val="none"/>
          </w:rPr>
          <w:t>A</w:t>
        </w:r>
      </w:hyperlink>
    </w:p>
    <w:p w14:paraId="225A2B42"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Pr="00392AD6">
          <w:rPr>
            <w:rStyle w:val="Hyperlink"/>
            <w:rFonts w:ascii="Arial" w:hAnsi="Arial" w:cs="Arial"/>
            <w:b/>
            <w:bCs/>
            <w:sz w:val="20"/>
            <w:szCs w:val="20"/>
            <w:u w:val="none"/>
          </w:rPr>
          <w:tab/>
          <w:t>11.2.3</w:t>
        </w:r>
        <w:r w:rsidRPr="00392AD6">
          <w:rPr>
            <w:rStyle w:val="Hyperlink"/>
            <w:rFonts w:ascii="Arial" w:hAnsi="Arial" w:cs="Arial"/>
            <w:b/>
            <w:bCs/>
            <w:sz w:val="20"/>
            <w:szCs w:val="20"/>
            <w:u w:val="none"/>
          </w:rPr>
          <w:tab/>
          <w:t>Sentencing hierarchy</w:t>
        </w:r>
      </w:hyperlink>
    </w:p>
    <w:p w14:paraId="783A559F"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Pr="00392AD6">
          <w:rPr>
            <w:rStyle w:val="Hyperlink"/>
            <w:rFonts w:ascii="Arial" w:hAnsi="Arial" w:cs="Arial"/>
            <w:b/>
            <w:bCs/>
            <w:sz w:val="20"/>
            <w:szCs w:val="20"/>
            <w:u w:val="none"/>
          </w:rPr>
          <w:tab/>
          <w:t>11.2.4</w:t>
        </w:r>
        <w:r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684C2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Pr="00392AD6">
          <w:rPr>
            <w:rStyle w:val="Hyperlink"/>
            <w:rFonts w:ascii="Arial" w:hAnsi="Arial" w:cs="Arial"/>
            <w:b/>
            <w:bCs/>
            <w:sz w:val="20"/>
            <w:szCs w:val="20"/>
            <w:u w:val="none"/>
          </w:rPr>
          <w:tab/>
          <w:t>11.2.5</w:t>
        </w:r>
        <w:r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Pr="00392AD6">
          <w:rPr>
            <w:rStyle w:val="Hyperlink"/>
            <w:rFonts w:ascii="Arial" w:hAnsi="Arial" w:cs="Arial"/>
            <w:b/>
            <w:bCs/>
            <w:sz w:val="20"/>
            <w:szCs w:val="20"/>
            <w:u w:val="none"/>
          </w:rPr>
          <w:tab/>
          <w:t>11.2.6</w:t>
        </w:r>
        <w:r w:rsidRPr="00392AD6">
          <w:rPr>
            <w:rStyle w:val="Hyperlink"/>
            <w:rFonts w:ascii="Arial" w:hAnsi="Arial" w:cs="Arial"/>
            <w:b/>
            <w:bCs/>
            <w:sz w:val="20"/>
            <w:szCs w:val="20"/>
            <w:u w:val="none"/>
          </w:rPr>
          <w:tab/>
          <w:t>Parity of sentencing</w:t>
        </w:r>
      </w:hyperlink>
    </w:p>
    <w:p w14:paraId="0461552E" w14:textId="3D19C55D" w:rsidR="002A6DBC" w:rsidRDefault="002A6DBC" w:rsidP="00D22A0A">
      <w:pPr>
        <w:pBdr>
          <w:top w:val="single" w:sz="4" w:space="1" w:color="auto"/>
          <w:left w:val="single" w:sz="4" w:space="4" w:color="auto"/>
          <w:bottom w:val="single" w:sz="4" w:space="1" w:color="auto"/>
          <w:right w:val="single" w:sz="4" w:space="4" w:color="auto"/>
        </w:pBdr>
        <w:spacing w:before="10"/>
      </w:pPr>
      <w:hyperlink w:anchor="_11.2.6A_Current_sentencing" w:history="1">
        <w:r w:rsidRPr="00F61D70">
          <w:rPr>
            <w:rStyle w:val="Hyperlink"/>
            <w:rFonts w:ascii="Arial" w:hAnsi="Arial" w:cs="Arial"/>
            <w:b/>
            <w:bCs/>
            <w:sz w:val="20"/>
            <w:u w:val="none"/>
          </w:rPr>
          <w:tab/>
          <w:t>11.</w:t>
        </w:r>
        <w:r>
          <w:rPr>
            <w:rStyle w:val="Hyperlink"/>
            <w:rFonts w:ascii="Arial" w:hAnsi="Arial" w:cs="Arial"/>
            <w:b/>
            <w:bCs/>
            <w:sz w:val="20"/>
            <w:u w:val="none"/>
          </w:rPr>
          <w:t>2</w:t>
        </w:r>
        <w:r w:rsidRPr="00F61D70">
          <w:rPr>
            <w:rStyle w:val="Hyperlink"/>
            <w:rFonts w:ascii="Arial" w:hAnsi="Arial" w:cs="Arial"/>
            <w:b/>
            <w:bCs/>
            <w:sz w:val="20"/>
            <w:u w:val="none"/>
          </w:rPr>
          <w:t>.</w:t>
        </w:r>
        <w:r>
          <w:rPr>
            <w:rStyle w:val="Hyperlink"/>
            <w:rFonts w:ascii="Arial" w:hAnsi="Arial" w:cs="Arial"/>
            <w:b/>
            <w:bCs/>
            <w:sz w:val="20"/>
            <w:u w:val="none"/>
          </w:rPr>
          <w:t>6A</w:t>
        </w:r>
        <w:r w:rsidRPr="00F61D70">
          <w:rPr>
            <w:rStyle w:val="Hyperlink"/>
            <w:rFonts w:ascii="Arial" w:hAnsi="Arial" w:cs="Arial"/>
            <w:b/>
            <w:bCs/>
            <w:sz w:val="20"/>
            <w:u w:val="none"/>
          </w:rPr>
          <w:tab/>
        </w:r>
        <w:r>
          <w:rPr>
            <w:rStyle w:val="Hyperlink"/>
            <w:rFonts w:ascii="Arial" w:hAnsi="Arial" w:cs="Arial"/>
            <w:b/>
            <w:bCs/>
            <w:sz w:val="20"/>
            <w:u w:val="none"/>
          </w:rPr>
          <w:t xml:space="preserve">Current </w:t>
        </w:r>
        <w:r w:rsidRPr="00F61D70">
          <w:rPr>
            <w:rStyle w:val="Hyperlink"/>
            <w:rFonts w:ascii="Arial" w:hAnsi="Arial" w:cs="Arial"/>
            <w:b/>
            <w:bCs/>
            <w:sz w:val="20"/>
            <w:u w:val="none"/>
          </w:rPr>
          <w:t>sentencin</w:t>
        </w:r>
        <w:r>
          <w:rPr>
            <w:rStyle w:val="Hyperlink"/>
            <w:rFonts w:ascii="Arial" w:hAnsi="Arial" w:cs="Arial"/>
            <w:b/>
            <w:bCs/>
            <w:sz w:val="20"/>
            <w:u w:val="none"/>
          </w:rPr>
          <w:t>g practic</w:t>
        </w:r>
        <w:r w:rsidR="006A1FC5">
          <w:rPr>
            <w:rStyle w:val="Hyperlink"/>
            <w:rFonts w:ascii="Arial" w:hAnsi="Arial" w:cs="Arial"/>
            <w:b/>
            <w:bCs/>
            <w:sz w:val="20"/>
            <w:u w:val="none"/>
          </w:rPr>
          <w:t>es</w:t>
        </w:r>
      </w:hyperlink>
    </w:p>
    <w:p w14:paraId="577F0008" w14:textId="1F651848" w:rsidR="00415FBE"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 w:history="1">
        <w:r w:rsidRPr="00392AD6">
          <w:rPr>
            <w:rStyle w:val="Hyperlink"/>
            <w:rFonts w:ascii="Arial" w:hAnsi="Arial" w:cs="Arial"/>
            <w:b/>
            <w:bCs/>
            <w:sz w:val="20"/>
            <w:szCs w:val="20"/>
            <w:u w:val="none"/>
          </w:rPr>
          <w:tab/>
          <w:t>11.2.7</w:t>
        </w:r>
        <w:r w:rsidRPr="00392AD6">
          <w:rPr>
            <w:rStyle w:val="Hyperlink"/>
            <w:rFonts w:ascii="Arial" w:hAnsi="Arial" w:cs="Arial"/>
            <w:b/>
            <w:bCs/>
            <w:sz w:val="20"/>
            <w:szCs w:val="20"/>
            <w:u w:val="none"/>
          </w:rPr>
          <w:tab/>
          <w:t>Double jeopardy</w:t>
        </w:r>
      </w:hyperlink>
    </w:p>
    <w:p w14:paraId="3E311C8E" w14:textId="77777777" w:rsidR="00FB17E7"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Pr="00F61D70">
          <w:rPr>
            <w:rStyle w:val="Hyperlink"/>
            <w:rFonts w:ascii="Arial" w:hAnsi="Arial" w:cs="Arial"/>
            <w:b/>
            <w:bCs/>
            <w:sz w:val="20"/>
            <w:szCs w:val="20"/>
            <w:u w:val="none"/>
          </w:rPr>
          <w:tab/>
        </w:r>
        <w:r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Pr="008C4E65">
          <w:rPr>
            <w:rStyle w:val="Hyperlink"/>
            <w:rFonts w:ascii="Arial" w:hAnsi="Arial" w:cs="Arial"/>
            <w:b/>
            <w:bCs/>
            <w:sz w:val="20"/>
            <w:szCs w:val="20"/>
            <w:u w:val="none"/>
          </w:rPr>
          <w:t xml:space="preserve"> cases</w:t>
        </w:r>
      </w:hyperlink>
    </w:p>
    <w:p w14:paraId="714AB205" w14:textId="4E5D1F6B" w:rsidR="00B773B3"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CD6C4B"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Pr="00CD6C4B">
          <w:rPr>
            <w:rStyle w:val="Hyperlink"/>
            <w:rFonts w:ascii="Arial" w:hAnsi="Arial" w:cs="Arial"/>
            <w:b/>
            <w:bCs/>
            <w:sz w:val="20"/>
            <w:szCs w:val="20"/>
            <w:u w:val="none"/>
          </w:rPr>
          <w:tab/>
        </w:r>
        <w:r w:rsidRPr="00CD6C4B">
          <w:rPr>
            <w:rStyle w:val="Hyperlink"/>
            <w:rFonts w:ascii="Arial" w:hAnsi="Arial" w:cs="Arial"/>
            <w:b/>
            <w:bCs/>
            <w:sz w:val="20"/>
            <w:szCs w:val="20"/>
            <w:u w:val="none"/>
          </w:rPr>
          <w:tab/>
          <w:t>11.2.11.4 Effect of personality disorder</w:t>
        </w:r>
      </w:hyperlink>
    </w:p>
    <w:p w14:paraId="5E23B003" w14:textId="5DB35CB2" w:rsidR="00BF52E5" w:rsidRPr="00BA3FB7"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Pr="00BA3FB7">
          <w:rPr>
            <w:rStyle w:val="Hyperlink"/>
            <w:rFonts w:ascii="Arial" w:hAnsi="Arial" w:cs="Arial"/>
            <w:b/>
            <w:bCs/>
            <w:sz w:val="20"/>
            <w:szCs w:val="20"/>
            <w:u w:val="none"/>
          </w:rPr>
          <w:tab/>
          <w:t>11.2.1</w:t>
        </w:r>
        <w:r w:rsidR="00FB17E7" w:rsidRPr="00BA3FB7">
          <w:rPr>
            <w:rStyle w:val="Hyperlink"/>
            <w:rFonts w:ascii="Arial" w:hAnsi="Arial" w:cs="Arial"/>
            <w:b/>
            <w:bCs/>
            <w:sz w:val="20"/>
            <w:szCs w:val="20"/>
            <w:u w:val="none"/>
          </w:rPr>
          <w:t>2</w:t>
        </w:r>
        <w:r w:rsidRPr="00BA3FB7">
          <w:rPr>
            <w:rStyle w:val="Hyperlink"/>
            <w:rFonts w:ascii="Arial" w:hAnsi="Arial" w:cs="Arial"/>
            <w:b/>
            <w:bCs/>
            <w:sz w:val="20"/>
            <w:szCs w:val="20"/>
            <w:u w:val="none"/>
          </w:rPr>
          <w:tab/>
          <w:t xml:space="preserve">Effect of </w:t>
        </w:r>
        <w:r w:rsidR="000956A1" w:rsidRPr="00BA3FB7">
          <w:rPr>
            <w:rStyle w:val="Hyperlink"/>
            <w:rFonts w:ascii="Arial" w:hAnsi="Arial" w:cs="Arial"/>
            <w:b/>
            <w:bCs/>
            <w:sz w:val="20"/>
            <w:szCs w:val="20"/>
            <w:u w:val="none"/>
          </w:rPr>
          <w:t>deprived</w:t>
        </w:r>
        <w:r w:rsidR="00B525FF" w:rsidRPr="00BA3FB7">
          <w:rPr>
            <w:rStyle w:val="Hyperlink"/>
            <w:rFonts w:ascii="Arial" w:hAnsi="Arial" w:cs="Arial"/>
            <w:b/>
            <w:bCs/>
            <w:sz w:val="20"/>
            <w:szCs w:val="20"/>
            <w:u w:val="none"/>
          </w:rPr>
          <w:t>/disadvantaged</w:t>
        </w:r>
        <w:r w:rsidR="000956A1" w:rsidRPr="00BA3FB7">
          <w:rPr>
            <w:rStyle w:val="Hyperlink"/>
            <w:rFonts w:ascii="Arial" w:hAnsi="Arial" w:cs="Arial"/>
            <w:b/>
            <w:bCs/>
            <w:sz w:val="20"/>
            <w:szCs w:val="20"/>
            <w:u w:val="none"/>
          </w:rPr>
          <w:t xml:space="preserve"> background</w:t>
        </w:r>
        <w:r w:rsidR="00BA3FB7" w:rsidRPr="00BA3FB7">
          <w:rPr>
            <w:rStyle w:val="Hyperlink"/>
            <w:rFonts w:ascii="Arial" w:hAnsi="Arial" w:cs="Arial"/>
            <w:b/>
            <w:bCs/>
            <w:sz w:val="20"/>
            <w:szCs w:val="20"/>
            <w:u w:val="none"/>
          </w:rPr>
          <w:t xml:space="preserve"> (</w:t>
        </w:r>
        <w:r w:rsidR="00BA3FB7" w:rsidRPr="00BA3FB7">
          <w:rPr>
            <w:rStyle w:val="Hyperlink"/>
            <w:rFonts w:ascii="Arial" w:hAnsi="Arial" w:cs="Arial"/>
            <w:b/>
            <w:bCs/>
            <w:i/>
            <w:iCs/>
            <w:sz w:val="20"/>
            <w:szCs w:val="20"/>
            <w:u w:val="none"/>
          </w:rPr>
          <w:t>Bugmy</w:t>
        </w:r>
        <w:r w:rsidR="00BA3FB7" w:rsidRPr="00BA3FB7">
          <w:rPr>
            <w:rStyle w:val="Hyperlink"/>
            <w:rFonts w:ascii="Arial" w:hAnsi="Arial" w:cs="Arial"/>
            <w:b/>
            <w:bCs/>
            <w:sz w:val="20"/>
            <w:szCs w:val="20"/>
            <w:u w:val="none"/>
          </w:rPr>
          <w:t>)</w:t>
        </w:r>
      </w:hyperlink>
    </w:p>
    <w:p w14:paraId="1A245BBA" w14:textId="21E54895" w:rsidR="004D52F1"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5586BA30" w:rsidR="00BF52E5" w:rsidRPr="004E0F71" w:rsidRDefault="004E0F71"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4E0F71">
        <w:rPr>
          <w:rFonts w:ascii="Arial" w:hAnsi="Arial" w:cs="Arial"/>
          <w:b/>
          <w:bCs/>
          <w:sz w:val="20"/>
          <w:szCs w:val="20"/>
        </w:rPr>
        <w:fldChar w:fldCharType="begin"/>
      </w:r>
      <w:r w:rsidRPr="004E0F71">
        <w:rPr>
          <w:rFonts w:ascii="Arial" w:hAnsi="Arial" w:cs="Arial"/>
          <w:b/>
          <w:bCs/>
          <w:sz w:val="20"/>
          <w:szCs w:val="20"/>
        </w:rPr>
        <w:instrText xml:space="preserve"> HYPERLINK  \l "_11.2.14_Effect_of" </w:instrText>
      </w:r>
      <w:r w:rsidRPr="004E0F71">
        <w:rPr>
          <w:rFonts w:ascii="Arial" w:hAnsi="Arial" w:cs="Arial"/>
          <w:b/>
          <w:bCs/>
          <w:sz w:val="20"/>
          <w:szCs w:val="20"/>
        </w:rPr>
      </w:r>
      <w:r w:rsidRPr="004E0F71">
        <w:rPr>
          <w:rFonts w:ascii="Arial" w:hAnsi="Arial" w:cs="Arial"/>
          <w:b/>
          <w:bCs/>
          <w:sz w:val="20"/>
          <w:szCs w:val="20"/>
        </w:rPr>
        <w:fldChar w:fldCharType="separate"/>
      </w:r>
      <w:r w:rsidR="00BF52E5" w:rsidRPr="004E0F71">
        <w:rPr>
          <w:rStyle w:val="Hyperlink"/>
          <w:rFonts w:ascii="Arial" w:hAnsi="Arial" w:cs="Arial"/>
          <w:b/>
          <w:bCs/>
          <w:sz w:val="20"/>
          <w:szCs w:val="20"/>
          <w:u w:val="none"/>
        </w:rPr>
        <w:tab/>
        <w:t>11.2.1</w:t>
      </w:r>
      <w:r w:rsidR="00FB17E7" w:rsidRPr="004E0F71">
        <w:rPr>
          <w:rStyle w:val="Hyperlink"/>
          <w:rFonts w:ascii="Arial" w:hAnsi="Arial" w:cs="Arial"/>
          <w:b/>
          <w:bCs/>
          <w:sz w:val="20"/>
          <w:szCs w:val="20"/>
          <w:u w:val="none"/>
        </w:rPr>
        <w:t>4</w:t>
      </w:r>
      <w:r w:rsidR="00BF52E5" w:rsidRPr="004E0F71">
        <w:rPr>
          <w:rStyle w:val="Hyperlink"/>
          <w:rFonts w:ascii="Arial" w:hAnsi="Arial" w:cs="Arial"/>
          <w:b/>
          <w:bCs/>
          <w:sz w:val="20"/>
          <w:szCs w:val="20"/>
          <w:u w:val="none"/>
        </w:rPr>
        <w:tab/>
        <w:t>Effect of delay</w:t>
      </w:r>
    </w:p>
    <w:p w14:paraId="43E21ACE" w14:textId="62A209FA" w:rsidR="00BF52E5" w:rsidRPr="00D517E6" w:rsidRDefault="004E0F7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4E0F71">
        <w:rPr>
          <w:rFonts w:ascii="Arial" w:hAnsi="Arial" w:cs="Arial"/>
          <w:b/>
          <w:bCs/>
          <w:sz w:val="20"/>
          <w:szCs w:val="20"/>
        </w:rPr>
        <w:fldChar w:fldCharType="end"/>
      </w: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F7362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046D576F" w:rsidR="00C054A2" w:rsidRPr="00997A0B"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Pr="00997A0B">
          <w:rPr>
            <w:rStyle w:val="Hyperlink"/>
            <w:rFonts w:ascii="Arial" w:hAnsi="Arial" w:cs="Arial"/>
            <w:b/>
            <w:bCs/>
            <w:sz w:val="20"/>
            <w:szCs w:val="20"/>
            <w:u w:val="none"/>
          </w:rPr>
          <w:tab/>
          <w:t>1</w:t>
        </w:r>
        <w:r w:rsidR="001046E2" w:rsidRPr="00997A0B">
          <w:rPr>
            <w:rStyle w:val="Hyperlink"/>
            <w:rFonts w:ascii="Arial" w:hAnsi="Arial" w:cs="Arial"/>
            <w:b/>
            <w:bCs/>
            <w:sz w:val="20"/>
            <w:szCs w:val="20"/>
            <w:u w:val="none"/>
          </w:rPr>
          <w:t>1.2.17</w:t>
        </w:r>
        <w:r w:rsidR="001046E2" w:rsidRPr="00997A0B">
          <w:rPr>
            <w:rStyle w:val="Hyperlink"/>
            <w:rFonts w:ascii="Arial" w:hAnsi="Arial" w:cs="Arial"/>
            <w:b/>
            <w:bCs/>
            <w:sz w:val="20"/>
            <w:szCs w:val="20"/>
            <w:u w:val="none"/>
          </w:rPr>
          <w:tab/>
          <w:t xml:space="preserve">Relevance of </w:t>
        </w:r>
        <w:r w:rsidR="000956A1" w:rsidRPr="00997A0B">
          <w:rPr>
            <w:rStyle w:val="Hyperlink"/>
            <w:rFonts w:ascii="Arial" w:hAnsi="Arial" w:cs="Arial"/>
            <w:b/>
            <w:bCs/>
            <w:sz w:val="20"/>
            <w:szCs w:val="20"/>
            <w:u w:val="none"/>
          </w:rPr>
          <w:t>intoxication</w:t>
        </w:r>
        <w:r w:rsidR="00997A0B" w:rsidRPr="00997A0B">
          <w:rPr>
            <w:rStyle w:val="Hyperlink"/>
            <w:rFonts w:ascii="Arial" w:hAnsi="Arial" w:cs="Arial"/>
            <w:b/>
            <w:bCs/>
            <w:sz w:val="20"/>
            <w:szCs w:val="20"/>
            <w:u w:val="none"/>
          </w:rPr>
          <w:t>/drug</w:t>
        </w:r>
        <w:r w:rsidR="00AC4840">
          <w:rPr>
            <w:rStyle w:val="Hyperlink"/>
            <w:rFonts w:ascii="Arial" w:hAnsi="Arial" w:cs="Arial"/>
            <w:b/>
            <w:bCs/>
            <w:sz w:val="20"/>
            <w:szCs w:val="20"/>
            <w:u w:val="none"/>
          </w:rPr>
          <w:t xml:space="preserve"> </w:t>
        </w:r>
        <w:r w:rsidR="00997A0B" w:rsidRPr="00997A0B">
          <w:rPr>
            <w:rStyle w:val="Hyperlink"/>
            <w:rFonts w:ascii="Arial" w:hAnsi="Arial" w:cs="Arial"/>
            <w:b/>
            <w:bCs/>
            <w:sz w:val="20"/>
            <w:szCs w:val="20"/>
            <w:u w:val="none"/>
          </w:rPr>
          <w:t>in</w:t>
        </w:r>
        <w:r w:rsidR="00AC4840">
          <w:rPr>
            <w:rStyle w:val="Hyperlink"/>
            <w:rFonts w:ascii="Arial" w:hAnsi="Arial" w:cs="Arial"/>
            <w:b/>
            <w:bCs/>
            <w:sz w:val="20"/>
            <w:szCs w:val="20"/>
            <w:u w:val="none"/>
          </w:rPr>
          <w:t>gestion</w:t>
        </w:r>
      </w:hyperlink>
    </w:p>
    <w:p w14:paraId="41988FE3" w14:textId="77777777" w:rsidR="00BF52E5"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331CAAB8" w:rsidR="004D2134"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FD6ED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Pr="00D517E6">
          <w:rPr>
            <w:rStyle w:val="Hyperlink"/>
            <w:rFonts w:ascii="Arial" w:hAnsi="Arial" w:cs="Arial"/>
            <w:b/>
            <w:bCs/>
            <w:sz w:val="20"/>
            <w:szCs w:val="20"/>
            <w:u w:val="none"/>
          </w:rPr>
          <w:tab/>
          <w:t>11.2.20</w:t>
        </w:r>
        <w:r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Pr="00D517E6">
          <w:rPr>
            <w:rStyle w:val="Hyperlink"/>
            <w:rFonts w:ascii="Arial" w:hAnsi="Arial" w:cs="Arial"/>
            <w:b/>
            <w:bCs/>
            <w:sz w:val="20"/>
            <w:szCs w:val="20"/>
            <w:u w:val="none"/>
          </w:rPr>
          <w:t>risk of recall by Parole Board</w:t>
        </w:r>
      </w:hyperlink>
    </w:p>
    <w:p w14:paraId="1020D504" w14:textId="77777777" w:rsidR="00E421A2" w:rsidRPr="00D517E6" w:rsidRDefault="00E421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Pr="00D517E6">
          <w:rPr>
            <w:rStyle w:val="Hyperlink"/>
            <w:rFonts w:ascii="Arial" w:hAnsi="Arial" w:cs="Arial"/>
            <w:b/>
            <w:bCs/>
            <w:sz w:val="20"/>
            <w:szCs w:val="20"/>
            <w:u w:val="none"/>
          </w:rPr>
          <w:tab/>
          <w:t>11.2.21</w:t>
        </w:r>
        <w:r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633BF14B" w:rsidR="00BF52E5" w:rsidRPr="0006749E"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652FC9"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11.2.22.1 Sentencing for manslaughter</w:t>
        </w:r>
      </w:hyperlink>
    </w:p>
    <w:p w14:paraId="09A5ACCB"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11.2.22.4 Sentencing for murder</w:t>
        </w:r>
      </w:hyperlink>
    </w:p>
    <w:p w14:paraId="7B77B4DE" w14:textId="2F5C65DC"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11.2.22.5 Sentencing f</w:t>
        </w:r>
        <w:r w:rsidRPr="00652FC9">
          <w:rPr>
            <w:rStyle w:val="Hyperlink"/>
            <w:rFonts w:ascii="Arial" w:hAnsi="Arial" w:cs="Arial"/>
            <w:b/>
            <w:bCs/>
            <w:sz w:val="20"/>
            <w:szCs w:val="20"/>
            <w:u w:val="none"/>
          </w:rPr>
          <w:t>o</w:t>
        </w:r>
        <w:r w:rsidRPr="00652FC9">
          <w:rPr>
            <w:rStyle w:val="Hyperlink"/>
            <w:rFonts w:ascii="Arial" w:hAnsi="Arial" w:cs="Arial"/>
            <w:b/>
            <w:bCs/>
            <w:sz w:val="20"/>
            <w:szCs w:val="20"/>
            <w:u w:val="none"/>
          </w:rPr>
          <w:t>r statutory murder</w:t>
        </w:r>
      </w:hyperlink>
    </w:p>
    <w:p w14:paraId="6FBD6567" w14:textId="14040916" w:rsidR="001D4C66" w:rsidRPr="00652FC9" w:rsidRDefault="001D4C66" w:rsidP="001D4C6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_1"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6</w:t>
        </w:r>
        <w:r w:rsidRPr="00652FC9">
          <w:rPr>
            <w:rStyle w:val="Hyperlink"/>
            <w:rFonts w:ascii="Arial" w:hAnsi="Arial" w:cs="Arial"/>
            <w:b/>
            <w:bCs/>
            <w:sz w:val="20"/>
            <w:szCs w:val="20"/>
            <w:u w:val="none"/>
          </w:rPr>
          <w:t xml:space="preserve"> Sentencing for</w:t>
        </w:r>
        <w:r>
          <w:rPr>
            <w:rStyle w:val="Hyperlink"/>
            <w:rFonts w:ascii="Arial" w:hAnsi="Arial" w:cs="Arial"/>
            <w:b/>
            <w:bCs/>
            <w:sz w:val="20"/>
            <w:szCs w:val="20"/>
            <w:u w:val="none"/>
          </w:rPr>
          <w:t xml:space="preserve"> incitement to</w:t>
        </w:r>
        <w:r w:rsidRPr="00652FC9">
          <w:rPr>
            <w:rStyle w:val="Hyperlink"/>
            <w:rFonts w:ascii="Arial" w:hAnsi="Arial" w:cs="Arial"/>
            <w:b/>
            <w:bCs/>
            <w:sz w:val="20"/>
            <w:szCs w:val="20"/>
            <w:u w:val="none"/>
          </w:rPr>
          <w:t xml:space="preserve"> murder</w:t>
        </w:r>
      </w:hyperlink>
    </w:p>
    <w:p w14:paraId="3A62A807" w14:textId="176AE025"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7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7</w:t>
        </w:r>
        <w:r w:rsidRPr="00652FC9">
          <w:rPr>
            <w:rStyle w:val="Hyperlink"/>
            <w:rFonts w:ascii="Arial" w:hAnsi="Arial" w:cs="Arial"/>
            <w:b/>
            <w:bCs/>
            <w:sz w:val="20"/>
            <w:szCs w:val="20"/>
            <w:u w:val="none"/>
          </w:rPr>
          <w:t xml:space="preserve"> Sentencing for being accessory to murder</w:t>
        </w:r>
      </w:hyperlink>
    </w:p>
    <w:p w14:paraId="75D4E649" w14:textId="1DE81AC0" w:rsidR="00BF52E5" w:rsidRPr="002A785D" w:rsidRDefault="004D52F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 w:history="1">
        <w:r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w:t>
        </w:r>
        <w:r w:rsidR="00D96B36" w:rsidRPr="00D96B36">
          <w:rPr>
            <w:rStyle w:val="Hyperlink"/>
            <w:rFonts w:ascii="Arial" w:hAnsi="Arial" w:cs="Arial"/>
            <w:b/>
            <w:bCs/>
            <w:sz w:val="20"/>
            <w:szCs w:val="20"/>
            <w:u w:val="none"/>
          </w:rPr>
          <w:t>-</w:t>
        </w:r>
      </w:hyperlink>
    </w:p>
    <w:p w14:paraId="7CA5BE5A" w14:textId="39F0DB14"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CULPABLE_DRIVING" w:history="1">
        <w:r>
          <w:rPr>
            <w:rStyle w:val="Hyperlink"/>
            <w:rFonts w:ascii="Arial" w:hAnsi="Arial" w:cs="Arial"/>
            <w:b/>
            <w:bCs/>
            <w:sz w:val="20"/>
            <w:u w:val="none"/>
          </w:rPr>
          <w:t>culpable driving</w:t>
        </w:r>
      </w:hyperlink>
    </w:p>
    <w:p w14:paraId="7D848ECF" w14:textId="3206FBC1"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DANGEROUS_DRIVING" w:history="1">
        <w:r>
          <w:rPr>
            <w:rStyle w:val="Hyperlink"/>
            <w:rFonts w:ascii="Arial" w:hAnsi="Arial" w:cs="Arial"/>
            <w:b/>
            <w:bCs/>
            <w:sz w:val="20"/>
            <w:u w:val="none"/>
          </w:rPr>
          <w:t>dangerous driving causing death/serious injury</w:t>
        </w:r>
      </w:hyperlink>
    </w:p>
    <w:p w14:paraId="0393853F" w14:textId="029B22D9" w:rsidR="00D70CE2" w:rsidRPr="00C90CE8" w:rsidRDefault="00D70CE2" w:rsidP="00D22A0A">
      <w:pPr>
        <w:pBdr>
          <w:top w:val="single" w:sz="4" w:space="1" w:color="auto"/>
          <w:left w:val="single" w:sz="4" w:space="4" w:color="auto"/>
          <w:bottom w:val="single" w:sz="4" w:space="1" w:color="auto"/>
          <w:right w:val="single" w:sz="4" w:space="4" w:color="auto"/>
        </w:pBdr>
        <w:spacing w:before="10"/>
        <w:rPr>
          <w:rFonts w:ascii="Arial" w:hAnsi="Arial" w:cs="Arial"/>
          <w:b/>
          <w:bCs/>
          <w:sz w:val="20"/>
          <w:szCs w:val="20"/>
        </w:rPr>
      </w:pPr>
      <w:r w:rsidRPr="0012632E">
        <w:rPr>
          <w:rFonts w:ascii="Arial" w:hAnsi="Arial" w:cs="Arial"/>
          <w:b/>
          <w:bCs/>
          <w:sz w:val="20"/>
          <w:szCs w:val="20"/>
        </w:rPr>
        <w:tab/>
      </w:r>
      <w:hyperlink w:anchor="_11.2.24_Sentencing_for" w:history="1">
        <w:r w:rsidR="004D2134" w:rsidRPr="00C90CE8">
          <w:rPr>
            <w:rStyle w:val="Hyperlink"/>
            <w:rFonts w:ascii="Arial" w:hAnsi="Arial" w:cs="Arial"/>
            <w:b/>
            <w:bCs/>
            <w:sz w:val="20"/>
            <w:szCs w:val="20"/>
            <w:u w:val="none"/>
          </w:rPr>
          <w:t>11.2.2</w:t>
        </w:r>
        <w:r w:rsidR="00E421A2" w:rsidRPr="00C90CE8">
          <w:rPr>
            <w:rStyle w:val="Hyperlink"/>
            <w:rFonts w:ascii="Arial" w:hAnsi="Arial" w:cs="Arial"/>
            <w:b/>
            <w:bCs/>
            <w:sz w:val="20"/>
            <w:szCs w:val="20"/>
            <w:u w:val="none"/>
          </w:rPr>
          <w:t>4</w:t>
        </w:r>
        <w:r w:rsidR="00BF52E5" w:rsidRPr="00C90CE8">
          <w:rPr>
            <w:rStyle w:val="Hyperlink"/>
            <w:rFonts w:ascii="Arial" w:hAnsi="Arial" w:cs="Arial"/>
            <w:b/>
            <w:bCs/>
            <w:sz w:val="20"/>
            <w:szCs w:val="20"/>
            <w:u w:val="none"/>
          </w:rPr>
          <w:tab/>
          <w:t xml:space="preserve">Sentencing for </w:t>
        </w:r>
        <w:r w:rsidR="006E36AE" w:rsidRPr="00C90CE8">
          <w:rPr>
            <w:rStyle w:val="Hyperlink"/>
            <w:rFonts w:ascii="Arial" w:hAnsi="Arial" w:cs="Arial"/>
            <w:b/>
            <w:bCs/>
            <w:sz w:val="20"/>
            <w:szCs w:val="20"/>
            <w:u w:val="none"/>
          </w:rPr>
          <w:t>inflicting injury / endangerment / affray / violent disorder etc</w:t>
        </w:r>
      </w:hyperlink>
    </w:p>
    <w:p w14:paraId="02F81AF2" w14:textId="14F63AC7" w:rsidR="005D3616" w:rsidRPr="00167725" w:rsidRDefault="0087036F"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11.2.24.1__" w:history="1">
        <w:r w:rsidR="0006749E" w:rsidRPr="00167725">
          <w:rPr>
            <w:rStyle w:val="Hyperlink"/>
            <w:rFonts w:ascii="Arial" w:hAnsi="Arial" w:cs="Arial"/>
            <w:b/>
            <w:bCs/>
            <w:sz w:val="20"/>
            <w:u w:val="none"/>
          </w:rPr>
          <w:t>11.2.24.1 Sentencing for</w:t>
        </w:r>
        <w:r w:rsidR="005D3616" w:rsidRPr="00167725">
          <w:rPr>
            <w:rStyle w:val="Hyperlink"/>
            <w:rFonts w:ascii="Arial" w:hAnsi="Arial" w:cs="Arial"/>
            <w:b/>
            <w:bCs/>
            <w:sz w:val="20"/>
            <w:u w:val="none"/>
          </w:rPr>
          <w:t>-</w:t>
        </w:r>
      </w:hyperlink>
    </w:p>
    <w:p w14:paraId="569DF8E5" w14:textId="57ADDC05"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INTENTIONALLY_CAUSING" w:history="1">
        <w:r w:rsidR="0006749E" w:rsidRPr="00167725">
          <w:rPr>
            <w:rStyle w:val="Hyperlink"/>
            <w:rFonts w:ascii="Arial" w:hAnsi="Arial" w:cs="Arial"/>
            <w:b/>
            <w:bCs/>
            <w:sz w:val="20"/>
            <w:u w:val="none"/>
          </w:rPr>
          <w:t>intentionally causing serious injury</w:t>
        </w:r>
      </w:hyperlink>
    </w:p>
    <w:p w14:paraId="35B4482A" w14:textId="13B39F9E"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INTENTIONALLY_CAUSING" w:history="1">
        <w:r w:rsidR="0006749E" w:rsidRPr="00167725">
          <w:rPr>
            <w:rStyle w:val="Hyperlink"/>
            <w:rFonts w:ascii="Arial" w:hAnsi="Arial" w:cs="Arial"/>
            <w:b/>
            <w:bCs/>
            <w:sz w:val="20"/>
            <w:u w:val="none"/>
          </w:rPr>
          <w:t>intentionally</w:t>
        </w:r>
        <w:r w:rsidR="00EA4EB8" w:rsidRPr="00167725">
          <w:rPr>
            <w:rStyle w:val="Hyperlink"/>
            <w:rFonts w:ascii="Arial" w:hAnsi="Arial" w:cs="Arial"/>
            <w:b/>
            <w:bCs/>
            <w:sz w:val="20"/>
            <w:u w:val="none"/>
          </w:rPr>
          <w:t xml:space="preserve"> </w:t>
        </w:r>
        <w:r w:rsidRPr="00167725">
          <w:rPr>
            <w:rStyle w:val="Hyperlink"/>
            <w:rFonts w:ascii="Arial" w:hAnsi="Arial" w:cs="Arial"/>
            <w:b/>
            <w:bCs/>
            <w:sz w:val="20"/>
            <w:u w:val="none"/>
          </w:rPr>
          <w:t>causing serious injury in circumstances of gross violence</w:t>
        </w:r>
      </w:hyperlink>
    </w:p>
    <w:p w14:paraId="4D6B65C7" w14:textId="190462AF" w:rsidR="0006749E" w:rsidRPr="0012632E" w:rsidRDefault="005D3616"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C</w:t>
      </w:r>
      <w:r w:rsidRPr="00C90CE8">
        <w:rPr>
          <w:rFonts w:ascii="Arial" w:hAnsi="Arial" w:cs="Arial"/>
          <w:b/>
          <w:color w:val="000000"/>
          <w:sz w:val="22"/>
        </w:rPr>
        <w:t xml:space="preserve"> </w:t>
      </w:r>
      <w:hyperlink w:anchor="_C_RECKLESSLY_CAUSING" w:history="1">
        <w:r w:rsidR="00EA4EB8" w:rsidRPr="00167725">
          <w:rPr>
            <w:rStyle w:val="Hyperlink"/>
            <w:rFonts w:ascii="Arial" w:hAnsi="Arial" w:cs="Arial"/>
            <w:b/>
            <w:bCs/>
            <w:sz w:val="20"/>
            <w:u w:val="none"/>
          </w:rPr>
          <w:t xml:space="preserve">recklessly </w:t>
        </w:r>
        <w:r w:rsidR="0006749E" w:rsidRPr="00167725">
          <w:rPr>
            <w:rStyle w:val="Hyperlink"/>
            <w:rFonts w:ascii="Arial" w:hAnsi="Arial" w:cs="Arial"/>
            <w:b/>
            <w:bCs/>
            <w:sz w:val="20"/>
            <w:u w:val="none"/>
          </w:rPr>
          <w:t>causing serious injury in circumstances of gross violence</w:t>
        </w:r>
      </w:hyperlink>
    </w:p>
    <w:p w14:paraId="2C2C5D5C" w14:textId="051E87D5"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sidR="009E719D">
        <w:rPr>
          <w:rFonts w:ascii="Arial" w:hAnsi="Arial" w:cs="Arial"/>
          <w:b/>
          <w:bCs/>
          <w:color w:val="000000"/>
          <w:sz w:val="20"/>
        </w:rPr>
        <w:instrText>HYPERLINK  \l "_11.2.24.2___1"</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r w:rsidR="0078454F" w:rsidRPr="006E36AE">
        <w:rPr>
          <w:rStyle w:val="Hyperlink"/>
          <w:rFonts w:ascii="Arial" w:hAnsi="Arial" w:cs="Arial"/>
          <w:b/>
          <w:bCs/>
          <w:sz w:val="20"/>
          <w:u w:val="none"/>
        </w:rPr>
        <w:t>injury</w:t>
      </w:r>
    </w:p>
    <w:p w14:paraId="40B88DDF" w14:textId="221501AD"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9E719D">
        <w:rPr>
          <w:rFonts w:ascii="Arial" w:hAnsi="Arial" w:cs="Arial"/>
          <w:b/>
          <w:bCs/>
          <w:sz w:val="20"/>
        </w:rPr>
        <w:instrText>HYPERLINK  \l "_11.2.24.5___2"</w:instrText>
      </w:r>
      <w:r w:rsidR="006E36AE" w:rsidRPr="006E36AE">
        <w:rPr>
          <w:rFonts w:ascii="Arial" w:hAnsi="Arial" w:cs="Arial"/>
          <w:b/>
          <w:bCs/>
          <w:sz w:val="20"/>
        </w:rPr>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violent disorder</w:t>
      </w:r>
    </w:p>
    <w:p w14:paraId="03278B91" w14:textId="6FBB041F"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w:t>
        </w:r>
        <w:r w:rsidR="00EA4D84">
          <w:rPr>
            <w:rStyle w:val="Hyperlink"/>
            <w:rFonts w:ascii="Arial" w:hAnsi="Arial" w:cs="Arial"/>
            <w:b/>
            <w:bCs/>
            <w:sz w:val="20"/>
            <w:szCs w:val="20"/>
            <w:u w:val="none"/>
          </w:rPr>
          <w:t>-</w:t>
        </w:r>
      </w:hyperlink>
    </w:p>
    <w:p w14:paraId="25685990" w14:textId="4F64C009"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RECKLESS_CONDUCT" w:history="1">
        <w:r w:rsidRPr="006849E2">
          <w:rPr>
            <w:rStyle w:val="Hyperlink"/>
            <w:rFonts w:ascii="Arial" w:hAnsi="Arial" w:cs="Arial"/>
            <w:b/>
            <w:bCs/>
            <w:sz w:val="20"/>
            <w:szCs w:val="20"/>
            <w:u w:val="none"/>
          </w:rPr>
          <w:t>reckless conduct endangering life/serious injury</w:t>
        </w:r>
      </w:hyperlink>
    </w:p>
    <w:p w14:paraId="0C543318" w14:textId="6772956E"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RECKLESSLY_EXPOSING" w:history="1">
        <w:r w:rsidRPr="006849E2">
          <w:rPr>
            <w:rStyle w:val="Hyperlink"/>
            <w:rFonts w:ascii="Arial" w:hAnsi="Arial" w:cs="Arial"/>
            <w:b/>
            <w:bCs/>
            <w:sz w:val="20"/>
            <w:szCs w:val="20"/>
            <w:u w:val="none"/>
          </w:rPr>
          <w:t>recklessly exposing emergency worker to risk by driving</w:t>
        </w:r>
      </w:hyperlink>
    </w:p>
    <w:p w14:paraId="1F21EE34" w14:textId="24483C42"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begin"/>
      </w:r>
      <w:r w:rsidRPr="00CE2561">
        <w:rPr>
          <w:rFonts w:ascii="Arial" w:hAnsi="Arial" w:cs="Arial"/>
          <w:b/>
          <w:bCs/>
          <w:sz w:val="20"/>
          <w:szCs w:val="20"/>
        </w:rPr>
        <w:instrText xml:space="preserve"> HYPERLINK  \l "_11.2.25_Sentencing_for" </w:instrText>
      </w:r>
      <w:r w:rsidRPr="00CE2561">
        <w:rPr>
          <w:rFonts w:ascii="Arial" w:hAnsi="Arial" w:cs="Arial"/>
          <w:b/>
          <w:bCs/>
          <w:sz w:val="20"/>
          <w:szCs w:val="20"/>
        </w:rPr>
      </w:r>
      <w:r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Pr="00CE2561">
        <w:rPr>
          <w:rStyle w:val="Hyperlink"/>
          <w:rFonts w:ascii="Arial" w:hAnsi="Arial" w:cs="Arial"/>
          <w:b/>
          <w:bCs/>
          <w:sz w:val="20"/>
          <w:szCs w:val="20"/>
          <w:u w:val="none"/>
        </w:rPr>
        <w:t xml:space="preserve"> etc</w:t>
      </w:r>
    </w:p>
    <w:p w14:paraId="73BC0107" w14:textId="622019CF"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BA3FB7">
        <w:rPr>
          <w:rFonts w:ascii="Arial" w:hAnsi="Arial" w:cs="Arial"/>
          <w:b/>
          <w:bCs/>
          <w:sz w:val="20"/>
          <w:szCs w:val="20"/>
        </w:rPr>
        <w:instrText>HYPERLINK  \l "_11.2.26_Sentencing_for_1"</w:instrText>
      </w:r>
      <w:r w:rsidR="00CE2561" w:rsidRPr="00CE2561">
        <w:rPr>
          <w:rFonts w:ascii="Arial" w:hAnsi="Arial" w:cs="Arial"/>
          <w:b/>
          <w:bCs/>
          <w:sz w:val="20"/>
          <w:szCs w:val="20"/>
        </w:rPr>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r w:rsidR="00CE2561" w:rsidRPr="00CE2561">
        <w:rPr>
          <w:rStyle w:val="Hyperlink"/>
          <w:rFonts w:ascii="Arial" w:hAnsi="Arial" w:cs="Arial"/>
          <w:b/>
          <w:bCs/>
          <w:sz w:val="20"/>
          <w:szCs w:val="20"/>
          <w:u w:val="none"/>
        </w:rPr>
        <w:t>agg</w:t>
      </w:r>
      <w:r w:rsidR="00BA3FB7">
        <w:rPr>
          <w:rStyle w:val="Hyperlink"/>
          <w:rFonts w:ascii="Arial" w:hAnsi="Arial" w:cs="Arial"/>
          <w:b/>
          <w:bCs/>
          <w:sz w:val="20"/>
          <w:szCs w:val="20"/>
          <w:u w:val="none"/>
        </w:rPr>
        <w:t>ravated</w:t>
      </w:r>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64DE32B9"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w:t>
        </w:r>
        <w:r w:rsidR="008E5CA8">
          <w:rPr>
            <w:rStyle w:val="Hyperlink"/>
            <w:rFonts w:ascii="Arial" w:hAnsi="Arial" w:cs="Arial"/>
            <w:b/>
            <w:bCs/>
            <w:sz w:val="20"/>
            <w:szCs w:val="20"/>
            <w:u w:val="none"/>
          </w:rPr>
          <w:t>-</w:t>
        </w:r>
      </w:hyperlink>
    </w:p>
    <w:p w14:paraId="22F40262" w14:textId="2BB77F6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RMED_ROBBERY" w:history="1">
        <w:r w:rsidRPr="006849E2">
          <w:rPr>
            <w:rStyle w:val="Hyperlink"/>
            <w:rFonts w:ascii="Arial" w:hAnsi="Arial" w:cs="Arial"/>
            <w:b/>
            <w:bCs/>
            <w:sz w:val="20"/>
            <w:szCs w:val="20"/>
            <w:u w:val="none"/>
          </w:rPr>
          <w:t>armed robbery</w:t>
        </w:r>
      </w:hyperlink>
    </w:p>
    <w:p w14:paraId="060C2B64" w14:textId="36B9DFEE"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TTEMPTED_ARMED" w:history="1">
        <w:r w:rsidR="006849E2" w:rsidRPr="006849E2">
          <w:rPr>
            <w:rStyle w:val="Hyperlink"/>
            <w:rFonts w:ascii="Arial" w:hAnsi="Arial" w:cs="Arial"/>
            <w:b/>
            <w:bCs/>
            <w:sz w:val="20"/>
            <w:szCs w:val="20"/>
            <w:u w:val="none"/>
          </w:rPr>
          <w:t>a</w:t>
        </w:r>
        <w:r w:rsidRPr="006849E2">
          <w:rPr>
            <w:rStyle w:val="Hyperlink"/>
            <w:rFonts w:ascii="Arial" w:hAnsi="Arial" w:cs="Arial"/>
            <w:b/>
            <w:bCs/>
            <w:sz w:val="20"/>
            <w:szCs w:val="20"/>
            <w:u w:val="none"/>
          </w:rPr>
          <w:t>ttempted armed robbery</w:t>
        </w:r>
      </w:hyperlink>
    </w:p>
    <w:p w14:paraId="045708A3" w14:textId="4D38506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ROBBERY" w:history="1">
        <w:r w:rsidRPr="006849E2">
          <w:rPr>
            <w:rStyle w:val="Hyperlink"/>
            <w:rFonts w:ascii="Arial" w:hAnsi="Arial" w:cs="Arial"/>
            <w:b/>
            <w:bCs/>
            <w:sz w:val="20"/>
            <w:szCs w:val="20"/>
            <w:u w:val="none"/>
          </w:rPr>
          <w:t>robbery</w:t>
        </w:r>
      </w:hyperlink>
    </w:p>
    <w:p w14:paraId="6FE130A5" w14:textId="07D496F8"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Pr="006C0B26">
          <w:rPr>
            <w:rStyle w:val="Hyperlink"/>
            <w:rFonts w:ascii="Arial" w:hAnsi="Arial" w:cs="Arial"/>
            <w:b/>
            <w:bCs/>
            <w:sz w:val="20"/>
            <w:szCs w:val="20"/>
            <w:u w:val="none"/>
          </w:rPr>
          <w:tab/>
        </w:r>
        <w:r w:rsidRPr="006C0B26">
          <w:rPr>
            <w:rStyle w:val="Hyperlink"/>
            <w:rFonts w:ascii="Arial" w:hAnsi="Arial" w:cs="Arial"/>
            <w:b/>
            <w:bCs/>
            <w:sz w:val="20"/>
            <w:szCs w:val="20"/>
            <w:u w:val="none"/>
          </w:rPr>
          <w:tab/>
          <w:t xml:space="preserve">11.2.26.2 </w:t>
        </w:r>
        <w:r w:rsidRPr="006C0B26">
          <w:rPr>
            <w:rStyle w:val="Hyperlink"/>
            <w:rFonts w:ascii="Arial" w:hAnsi="Arial" w:cs="Arial"/>
            <w:b/>
            <w:bCs/>
            <w:sz w:val="20"/>
            <w:u w:val="none"/>
          </w:rPr>
          <w:t>Sentencing for</w:t>
        </w:r>
        <w:r w:rsidR="008E5CA8">
          <w:rPr>
            <w:rStyle w:val="Hyperlink"/>
            <w:rFonts w:ascii="Arial" w:hAnsi="Arial" w:cs="Arial"/>
            <w:b/>
            <w:bCs/>
            <w:sz w:val="20"/>
            <w:u w:val="none"/>
          </w:rPr>
          <w:t>-</w:t>
        </w:r>
      </w:hyperlink>
    </w:p>
    <w:p w14:paraId="35008BDA" w14:textId="47FCE1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GGRAVATED_CARJACKING" w:history="1">
        <w:r w:rsidRPr="006849E2">
          <w:rPr>
            <w:rStyle w:val="Hyperlink"/>
            <w:rFonts w:ascii="Arial" w:hAnsi="Arial" w:cs="Arial"/>
            <w:b/>
            <w:bCs/>
            <w:sz w:val="20"/>
            <w:szCs w:val="20"/>
            <w:u w:val="none"/>
          </w:rPr>
          <w:t>aggravated carjacking</w:t>
        </w:r>
      </w:hyperlink>
    </w:p>
    <w:p w14:paraId="7101ECE1" w14:textId="7C980A33"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CARJACKING" w:history="1">
        <w:r w:rsidRPr="006849E2">
          <w:rPr>
            <w:rStyle w:val="Hyperlink"/>
            <w:rFonts w:ascii="Arial" w:hAnsi="Arial" w:cs="Arial"/>
            <w:b/>
            <w:bCs/>
            <w:sz w:val="20"/>
            <w:szCs w:val="20"/>
            <w:u w:val="none"/>
          </w:rPr>
          <w:t>carjacking</w:t>
        </w:r>
      </w:hyperlink>
    </w:p>
    <w:p w14:paraId="2D141FE1" w14:textId="5BD7D089" w:rsidR="00BF52E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"_11.2.27_Sentencing_for_1"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415FBE" w:rsidRPr="00674335">
        <w:rPr>
          <w:rStyle w:val="Hyperlink"/>
          <w:rFonts w:ascii="Arial" w:hAnsi="Arial" w:cs="Arial"/>
          <w:b/>
          <w:bCs/>
          <w:sz w:val="20"/>
          <w:szCs w:val="20"/>
          <w:u w:val="none"/>
        </w:rPr>
        <w:tab/>
        <w:t>11.2.2</w:t>
      </w:r>
      <w:r w:rsidR="00D70CE2" w:rsidRPr="00674335">
        <w:rPr>
          <w:rStyle w:val="Hyperlink"/>
          <w:rFonts w:ascii="Arial" w:hAnsi="Arial" w:cs="Arial"/>
          <w:b/>
          <w:bCs/>
          <w:sz w:val="20"/>
          <w:szCs w:val="20"/>
          <w:u w:val="none"/>
        </w:rPr>
        <w:t>7</w:t>
      </w:r>
      <w:r w:rsidR="00BF52E5" w:rsidRPr="00674335">
        <w:rPr>
          <w:rStyle w:val="Hyperlink"/>
          <w:rFonts w:ascii="Arial" w:hAnsi="Arial" w:cs="Arial"/>
          <w:b/>
          <w:bCs/>
          <w:sz w:val="20"/>
          <w:szCs w:val="20"/>
          <w:u w:val="none"/>
        </w:rPr>
        <w:tab/>
        <w:t>Sentencing for</w:t>
      </w:r>
      <w:r w:rsidR="008E5CA8">
        <w:rPr>
          <w:rStyle w:val="Hyperlink"/>
          <w:rFonts w:ascii="Arial" w:hAnsi="Arial" w:cs="Arial"/>
          <w:b/>
          <w:bCs/>
          <w:sz w:val="20"/>
          <w:szCs w:val="20"/>
          <w:u w:val="none"/>
        </w:rPr>
        <w:t>-</w:t>
      </w:r>
    </w:p>
    <w:p w14:paraId="01B0676A" w14:textId="5E52F63F" w:rsidR="008E5CA8" w:rsidRPr="00EA4D84" w:rsidRDefault="001603D4"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674335">
        <w:rPr>
          <w:rFonts w:ascii="Arial" w:hAnsi="Arial" w:cs="Arial"/>
          <w:b/>
          <w:bCs/>
          <w:sz w:val="20"/>
          <w:szCs w:val="20"/>
        </w:rPr>
        <w:fldChar w:fldCharType="end"/>
      </w:r>
      <w:r w:rsidR="008E5CA8" w:rsidRPr="00EA4D84">
        <w:rPr>
          <w:rFonts w:ascii="Arial" w:hAnsi="Arial" w:cs="Arial"/>
          <w:b/>
          <w:bCs/>
          <w:sz w:val="20"/>
          <w:szCs w:val="20"/>
        </w:rPr>
        <w:tab/>
      </w:r>
      <w:r w:rsidR="008E5CA8" w:rsidRPr="00EA4D84">
        <w:rPr>
          <w:rFonts w:ascii="Arial" w:hAnsi="Arial" w:cs="Arial"/>
          <w:b/>
          <w:bCs/>
          <w:sz w:val="20"/>
          <w:szCs w:val="20"/>
        </w:rPr>
        <w:tab/>
        <w:t xml:space="preserve"> </w:t>
      </w:r>
      <w:r w:rsidR="008E5CA8" w:rsidRPr="00EA4D84">
        <w:rPr>
          <w:rFonts w:ascii="Arial" w:hAnsi="Arial" w:cs="Arial"/>
          <w:b/>
          <w:bCs/>
          <w:color w:val="FFFFFF" w:themeColor="background1"/>
          <w:sz w:val="20"/>
          <w:szCs w:val="20"/>
          <w:shd w:val="clear" w:color="auto" w:fill="000000" w:themeFill="text1"/>
        </w:rPr>
        <w:t>A</w:t>
      </w:r>
      <w:r w:rsidR="008E5CA8" w:rsidRPr="00EA4D84">
        <w:rPr>
          <w:rFonts w:ascii="Arial" w:hAnsi="Arial" w:cs="Arial"/>
          <w:b/>
          <w:bCs/>
          <w:sz w:val="20"/>
          <w:szCs w:val="20"/>
        </w:rPr>
        <w:t xml:space="preserve"> </w:t>
      </w:r>
      <w:hyperlink w:anchor="_A_BURGLARY" w:history="1">
        <w:r w:rsidR="008E5CA8" w:rsidRPr="006849E2">
          <w:rPr>
            <w:rStyle w:val="Hyperlink"/>
            <w:rFonts w:ascii="Arial" w:hAnsi="Arial" w:cs="Arial"/>
            <w:b/>
            <w:bCs/>
            <w:sz w:val="20"/>
            <w:szCs w:val="20"/>
            <w:u w:val="none"/>
          </w:rPr>
          <w:t>burglary</w:t>
        </w:r>
      </w:hyperlink>
    </w:p>
    <w:p w14:paraId="677BED46" w14:textId="5D8F766B"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GGRAVATED_BURGLARY" w:history="1">
        <w:r w:rsidRPr="006849E2">
          <w:rPr>
            <w:rStyle w:val="Hyperlink"/>
            <w:rFonts w:ascii="Arial" w:hAnsi="Arial" w:cs="Arial"/>
            <w:b/>
            <w:bCs/>
            <w:sz w:val="20"/>
            <w:szCs w:val="20"/>
            <w:u w:val="none"/>
          </w:rPr>
          <w:t>aggravated burglary</w:t>
        </w:r>
      </w:hyperlink>
    </w:p>
    <w:p w14:paraId="769F6BC5" w14:textId="40CEA05C"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HOME_INVASION" w:history="1">
        <w:r w:rsidRPr="006849E2">
          <w:rPr>
            <w:rStyle w:val="Hyperlink"/>
            <w:rFonts w:ascii="Arial" w:hAnsi="Arial" w:cs="Arial"/>
            <w:b/>
            <w:bCs/>
            <w:sz w:val="20"/>
            <w:szCs w:val="20"/>
            <w:u w:val="none"/>
          </w:rPr>
          <w:t>home invasion</w:t>
        </w:r>
      </w:hyperlink>
    </w:p>
    <w:p w14:paraId="5CF64A78" w14:textId="6B47A4BC"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D</w:t>
      </w:r>
      <w:r w:rsidRPr="00EA4D84">
        <w:rPr>
          <w:rFonts w:ascii="Arial" w:hAnsi="Arial" w:cs="Arial"/>
          <w:b/>
          <w:bCs/>
          <w:sz w:val="20"/>
          <w:szCs w:val="20"/>
        </w:rPr>
        <w:t xml:space="preserve"> </w:t>
      </w:r>
      <w:hyperlink w:anchor="_D_AGGRAVATED_HOME" w:history="1">
        <w:r w:rsidRPr="006849E2">
          <w:rPr>
            <w:rStyle w:val="Hyperlink"/>
            <w:rFonts w:ascii="Arial" w:hAnsi="Arial" w:cs="Arial"/>
            <w:b/>
            <w:bCs/>
            <w:sz w:val="20"/>
            <w:szCs w:val="20"/>
            <w:u w:val="none"/>
          </w:rPr>
          <w:t>aggravated home invasion</w:t>
        </w:r>
      </w:hyperlink>
    </w:p>
    <w:p w14:paraId="7817D0FA" w14:textId="184A973D" w:rsidR="006F5C35" w:rsidRPr="00674335" w:rsidRDefault="0067433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"_11.2.28_Sentencing_for_1"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C6470D" w:rsidRPr="00674335">
        <w:rPr>
          <w:rStyle w:val="Hyperlink"/>
          <w:rFonts w:ascii="Arial" w:hAnsi="Arial" w:cs="Arial"/>
          <w:b/>
          <w:bCs/>
          <w:sz w:val="20"/>
          <w:szCs w:val="20"/>
          <w:u w:val="none"/>
        </w:rPr>
        <w:tab/>
        <w:t>11.2.2</w:t>
      </w:r>
      <w:r w:rsidR="00C24FEB" w:rsidRPr="00674335">
        <w:rPr>
          <w:rStyle w:val="Hyperlink"/>
          <w:rFonts w:ascii="Arial" w:hAnsi="Arial" w:cs="Arial"/>
          <w:b/>
          <w:bCs/>
          <w:sz w:val="20"/>
          <w:szCs w:val="20"/>
          <w:u w:val="none"/>
        </w:rPr>
        <w:t>8</w:t>
      </w:r>
      <w:r w:rsidR="00C6470D" w:rsidRPr="00674335">
        <w:rPr>
          <w:rStyle w:val="Hyperlink"/>
          <w:rFonts w:ascii="Arial" w:hAnsi="Arial" w:cs="Arial"/>
          <w:b/>
          <w:bCs/>
          <w:sz w:val="20"/>
          <w:szCs w:val="20"/>
          <w:u w:val="none"/>
        </w:rPr>
        <w:tab/>
      </w:r>
      <w:r w:rsidR="006F5C35" w:rsidRPr="00674335">
        <w:rPr>
          <w:rStyle w:val="Hyperlink"/>
          <w:rFonts w:ascii="Arial" w:hAnsi="Arial" w:cs="Arial"/>
          <w:b/>
          <w:bCs/>
          <w:sz w:val="20"/>
          <w:szCs w:val="20"/>
          <w:u w:val="none"/>
        </w:rPr>
        <w:t>Sentencing for rape</w:t>
      </w:r>
      <w:r w:rsidR="00A57DB9" w:rsidRPr="00674335">
        <w:rPr>
          <w:rStyle w:val="Hyperlink"/>
          <w:rFonts w:ascii="Arial" w:hAnsi="Arial" w:cs="Arial"/>
          <w:b/>
          <w:bCs/>
          <w:sz w:val="20"/>
          <w:szCs w:val="20"/>
          <w:u w:val="none"/>
        </w:rPr>
        <w:t xml:space="preserve"> / other sexual offences</w:t>
      </w:r>
    </w:p>
    <w:p w14:paraId="44B909A5" w14:textId="7F086F2B" w:rsidR="006C0B26" w:rsidRPr="006C0B26" w:rsidRDefault="006743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74335">
        <w:rPr>
          <w:rFonts w:ascii="Arial" w:hAnsi="Arial" w:cs="Arial"/>
          <w:b/>
          <w:bCs/>
          <w:sz w:val="20"/>
          <w:szCs w:val="20"/>
        </w:rPr>
        <w:fldChar w:fldCharType="end"/>
      </w: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1ABDD542"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Pr="006C0B26">
          <w:rPr>
            <w:rStyle w:val="Hyperlink"/>
            <w:rFonts w:ascii="Arial" w:hAnsi="Arial" w:cs="Arial"/>
            <w:b/>
            <w:bCs/>
            <w:sz w:val="20"/>
            <w:u w:val="none"/>
          </w:rPr>
          <w:tab/>
        </w:r>
        <w:r w:rsidRPr="006C0B26">
          <w:rPr>
            <w:rStyle w:val="Hyperlink"/>
            <w:rFonts w:ascii="Arial" w:hAnsi="Arial" w:cs="Arial"/>
            <w:b/>
            <w:bCs/>
            <w:sz w:val="20"/>
            <w:u w:val="none"/>
          </w:rPr>
          <w:tab/>
          <w:t>11.2.28.2 Se</w:t>
        </w:r>
        <w:r w:rsidR="00AE7683">
          <w:rPr>
            <w:rStyle w:val="Hyperlink"/>
            <w:rFonts w:ascii="Arial" w:hAnsi="Arial" w:cs="Arial"/>
            <w:b/>
            <w:bCs/>
            <w:sz w:val="20"/>
            <w:u w:val="none"/>
          </w:rPr>
          <w:t>n</w:t>
        </w:r>
        <w:r w:rsidRPr="006C0B26">
          <w:rPr>
            <w:rStyle w:val="Hyperlink"/>
            <w:rFonts w:ascii="Arial" w:hAnsi="Arial" w:cs="Arial"/>
            <w:b/>
            <w:bCs/>
            <w:sz w:val="20"/>
            <w:u w:val="none"/>
          </w:rPr>
          <w:t>tencing for other sexual offences</w:t>
        </w:r>
      </w:hyperlink>
    </w:p>
    <w:p w14:paraId="546AB880" w14:textId="77777777" w:rsidR="006F5C35" w:rsidRPr="006C0B26" w:rsidRDefault="006F5C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Pr="006C0B26">
          <w:rPr>
            <w:rStyle w:val="Hyperlink"/>
            <w:rFonts w:ascii="Arial" w:hAnsi="Arial" w:cs="Arial"/>
            <w:b/>
            <w:bCs/>
            <w:sz w:val="20"/>
            <w:u w:val="none"/>
          </w:rPr>
          <w:tab/>
          <w:t>11.2.29</w:t>
        </w:r>
        <w:r w:rsidRPr="006C0B26">
          <w:rPr>
            <w:rStyle w:val="Hyperlink"/>
            <w:rFonts w:ascii="Arial" w:hAnsi="Arial" w:cs="Arial"/>
            <w:b/>
            <w:bCs/>
            <w:sz w:val="20"/>
            <w:u w:val="none"/>
          </w:rPr>
          <w:tab/>
          <w:t>Sentencing for offences against the person committed on public transport</w:t>
        </w:r>
      </w:hyperlink>
    </w:p>
    <w:p w14:paraId="1D34D999" w14:textId="142DEE70" w:rsidR="00103F02" w:rsidRPr="006C0B26" w:rsidRDefault="00103F0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Pr="006C0B26">
          <w:rPr>
            <w:rStyle w:val="Hyperlink"/>
            <w:rFonts w:ascii="Arial" w:hAnsi="Arial" w:cs="Arial"/>
            <w:b/>
            <w:bCs/>
            <w:sz w:val="20"/>
            <w:u w:val="none"/>
          </w:rPr>
          <w:tab/>
          <w:t>11.2.30</w:t>
        </w:r>
        <w:r w:rsidRPr="006C0B26">
          <w:rPr>
            <w:rStyle w:val="Hyperlink"/>
            <w:rFonts w:ascii="Arial" w:hAnsi="Arial" w:cs="Arial"/>
            <w:b/>
            <w:bCs/>
            <w:sz w:val="20"/>
            <w:u w:val="none"/>
          </w:rPr>
          <w:tab/>
          <w:t>Sentencing for attempting to pervert the course of justice</w:t>
        </w:r>
      </w:hyperlink>
      <w:r w:rsidR="000720E6">
        <w:rPr>
          <w:rStyle w:val="Hyperlink"/>
          <w:rFonts w:ascii="Arial" w:hAnsi="Arial" w:cs="Arial"/>
          <w:b/>
          <w:bCs/>
          <w:sz w:val="20"/>
          <w:u w:val="none"/>
        </w:rPr>
        <w:t xml:space="preserve"> / perjury</w:t>
      </w:r>
    </w:p>
    <w:p w14:paraId="0F8C86EB" w14:textId="63E47912" w:rsidR="004D765D" w:rsidRPr="008E4872" w:rsidRDefault="004D765D"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Pr="008E4872">
          <w:rPr>
            <w:rStyle w:val="Hyperlink"/>
            <w:rFonts w:ascii="Arial" w:hAnsi="Arial" w:cs="Arial"/>
            <w:b/>
            <w:bCs/>
            <w:sz w:val="20"/>
            <w:u w:val="none"/>
          </w:rPr>
          <w:tab/>
          <w:t>11.2.31</w:t>
        </w:r>
        <w:r w:rsidRPr="008E4872">
          <w:rPr>
            <w:rStyle w:val="Hyperlink"/>
            <w:rFonts w:ascii="Arial" w:hAnsi="Arial" w:cs="Arial"/>
            <w:b/>
            <w:bCs/>
            <w:sz w:val="20"/>
            <w:u w:val="none"/>
          </w:rPr>
          <w:tab/>
          <w:t>Sentencing for property damage</w:t>
        </w:r>
        <w:r w:rsidR="008E4872" w:rsidRPr="008E4872">
          <w:rPr>
            <w:rStyle w:val="Hyperlink"/>
            <w:rFonts w:ascii="Arial" w:hAnsi="Arial" w:cs="Arial"/>
            <w:b/>
            <w:bCs/>
            <w:sz w:val="20"/>
            <w:u w:val="none"/>
          </w:rPr>
          <w:t xml:space="preserve"> / arson / arson with intent to endager life</w:t>
        </w:r>
      </w:hyperlink>
    </w:p>
    <w:p w14:paraId="1D20B206" w14:textId="77777777" w:rsidR="0030456A" w:rsidRPr="006C0B26" w:rsidRDefault="0030456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Pr="006C0B26">
          <w:rPr>
            <w:rStyle w:val="Hyperlink"/>
            <w:rFonts w:ascii="Arial" w:hAnsi="Arial" w:cs="Arial"/>
            <w:b/>
            <w:bCs/>
            <w:sz w:val="20"/>
            <w:u w:val="none"/>
          </w:rPr>
          <w:tab/>
          <w:t>11.2.32</w:t>
        </w:r>
        <w:r w:rsidRPr="006C0B26">
          <w:rPr>
            <w:rStyle w:val="Hyperlink"/>
            <w:rFonts w:ascii="Arial" w:hAnsi="Arial" w:cs="Arial"/>
            <w:b/>
            <w:bCs/>
            <w:sz w:val="20"/>
            <w:u w:val="none"/>
          </w:rPr>
          <w:tab/>
          <w:t>Sentencing for child homicide</w:t>
        </w:r>
      </w:hyperlink>
    </w:p>
    <w:p w14:paraId="0A5A630E" w14:textId="77777777" w:rsidR="00D22A0A" w:rsidRPr="006C0B26" w:rsidRDefault="00D22A0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Pr="006C0B26">
          <w:rPr>
            <w:rStyle w:val="Hyperlink"/>
            <w:rFonts w:ascii="Arial" w:hAnsi="Arial" w:cs="Arial"/>
            <w:b/>
            <w:bCs/>
            <w:sz w:val="20"/>
            <w:u w:val="none"/>
          </w:rPr>
          <w:tab/>
          <w:t>11.2.33</w:t>
        </w:r>
        <w:r w:rsidRPr="006C0B26">
          <w:rPr>
            <w:rStyle w:val="Hyperlink"/>
            <w:rFonts w:ascii="Arial" w:hAnsi="Arial" w:cs="Arial"/>
            <w:b/>
            <w:bCs/>
            <w:sz w:val="20"/>
            <w:u w:val="none"/>
          </w:rPr>
          <w:tab/>
          <w:t>Sentencing for terrorism offence</w:t>
        </w:r>
      </w:hyperlink>
    </w:p>
    <w:bookmarkStart w:id="45" w:name="_Hlk150951890"/>
    <w:p w14:paraId="4896BF84" w14:textId="4812B52D"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27335" w:rsidRPr="00127335">
        <w:rPr>
          <w:rStyle w:val="Hyperlink"/>
          <w:rFonts w:ascii="Arial" w:hAnsi="Arial" w:cs="Arial"/>
          <w:b/>
          <w:bCs/>
          <w:sz w:val="20"/>
          <w:u w:val="none"/>
        </w:rPr>
        <w:t>-</w:t>
      </w:r>
    </w:p>
    <w:p w14:paraId="5A5218B3" w14:textId="6A083A11" w:rsidR="00127335" w:rsidRPr="00EA4D84" w:rsidRDefault="00876CF3"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876CF3">
        <w:rPr>
          <w:rFonts w:ascii="Arial" w:hAnsi="Arial" w:cs="Arial"/>
          <w:b/>
          <w:bCs/>
          <w:sz w:val="20"/>
        </w:rPr>
        <w:fldChar w:fldCharType="end"/>
      </w:r>
      <w:r w:rsidR="00127335" w:rsidRPr="00EA4D84">
        <w:rPr>
          <w:rFonts w:ascii="Arial" w:hAnsi="Arial" w:cs="Arial"/>
          <w:b/>
          <w:bCs/>
          <w:sz w:val="20"/>
          <w:szCs w:val="20"/>
        </w:rPr>
        <w:tab/>
      </w:r>
      <w:r w:rsidR="00127335" w:rsidRPr="00EA4D84">
        <w:rPr>
          <w:rFonts w:ascii="Arial" w:hAnsi="Arial" w:cs="Arial"/>
          <w:b/>
          <w:bCs/>
          <w:sz w:val="20"/>
          <w:szCs w:val="20"/>
        </w:rPr>
        <w:tab/>
        <w:t xml:space="preserve"> </w:t>
      </w:r>
      <w:r w:rsidR="00127335" w:rsidRPr="00EA4D84">
        <w:rPr>
          <w:rFonts w:ascii="Arial" w:hAnsi="Arial" w:cs="Arial"/>
          <w:b/>
          <w:bCs/>
          <w:color w:val="FFFFFF" w:themeColor="background1"/>
          <w:sz w:val="20"/>
          <w:szCs w:val="20"/>
          <w:shd w:val="clear" w:color="auto" w:fill="000000" w:themeFill="text1"/>
        </w:rPr>
        <w:t>A</w:t>
      </w:r>
      <w:hyperlink w:anchor="_A_IMPORTATION_OF" w:history="1">
        <w:r w:rsidR="00127335" w:rsidRPr="00127335">
          <w:rPr>
            <w:rStyle w:val="Hyperlink"/>
            <w:rFonts w:ascii="Arial" w:hAnsi="Arial" w:cs="Arial"/>
            <w:b/>
            <w:bCs/>
            <w:sz w:val="20"/>
            <w:szCs w:val="20"/>
            <w:u w:val="none"/>
          </w:rPr>
          <w:t xml:space="preserve"> importation of firearms</w:t>
        </w:r>
      </w:hyperlink>
    </w:p>
    <w:p w14:paraId="1A8A7AD3" w14:textId="0B3CCBE6" w:rsidR="00127335" w:rsidRPr="00EA4D84" w:rsidRDefault="00127335"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TRAFFICKING_IN" w:history="1">
        <w:r w:rsidRPr="00127335">
          <w:rPr>
            <w:rStyle w:val="Hyperlink"/>
            <w:rFonts w:ascii="Arial" w:hAnsi="Arial" w:cs="Arial"/>
            <w:b/>
            <w:bCs/>
            <w:sz w:val="20"/>
            <w:szCs w:val="20"/>
            <w:u w:val="none"/>
          </w:rPr>
          <w:t xml:space="preserve">trafficking in / possession of </w:t>
        </w:r>
        <w:r w:rsidR="007112EE">
          <w:rPr>
            <w:rStyle w:val="Hyperlink"/>
            <w:rFonts w:ascii="Arial" w:hAnsi="Arial" w:cs="Arial"/>
            <w:b/>
            <w:bCs/>
            <w:sz w:val="20"/>
            <w:szCs w:val="20"/>
            <w:u w:val="none"/>
          </w:rPr>
          <w:t xml:space="preserve">/ discharge of </w:t>
        </w:r>
        <w:r w:rsidRPr="00127335">
          <w:rPr>
            <w:rStyle w:val="Hyperlink"/>
            <w:rFonts w:ascii="Arial" w:hAnsi="Arial" w:cs="Arial"/>
            <w:b/>
            <w:bCs/>
            <w:sz w:val="20"/>
            <w:szCs w:val="20"/>
            <w:u w:val="none"/>
          </w:rPr>
          <w:t>firearms</w:t>
        </w:r>
      </w:hyperlink>
    </w:p>
    <w:p w14:paraId="69656169" w14:textId="6DBCFE8C" w:rsidR="00244EB1" w:rsidRPr="00EA4D84" w:rsidRDefault="00244EB1" w:rsidP="00244EB1">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bookmarkStart w:id="46" w:name="_Hlk174427642"/>
      <w:bookmarkEnd w:id="45"/>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Pr>
          <w:rFonts w:ascii="Arial" w:hAnsi="Arial" w:cs="Arial"/>
          <w:b/>
          <w:bCs/>
          <w:sz w:val="20"/>
          <w:szCs w:val="20"/>
        </w:rPr>
        <w:t xml:space="preserve"> </w:t>
      </w:r>
      <w:hyperlink w:anchor="_C_IN_CONJUNCTION" w:history="1">
        <w:r w:rsidRPr="00244EB1">
          <w:rPr>
            <w:rStyle w:val="Hyperlink"/>
            <w:rFonts w:ascii="Arial" w:hAnsi="Arial" w:cs="Arial"/>
            <w:b/>
            <w:bCs/>
            <w:sz w:val="20"/>
            <w:szCs w:val="20"/>
            <w:u w:val="none"/>
          </w:rPr>
          <w:t>in conjunction with drug offence</w:t>
        </w:r>
      </w:hyperlink>
    </w:p>
    <w:bookmarkEnd w:id="46"/>
    <w:p w14:paraId="15CFDE43" w14:textId="7D1B5518" w:rsidR="00577D19" w:rsidRPr="00EA4D84" w:rsidRDefault="00577D19" w:rsidP="00577D19">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D</w:t>
      </w:r>
      <w:r>
        <w:rPr>
          <w:rFonts w:ascii="Arial" w:hAnsi="Arial" w:cs="Arial"/>
          <w:b/>
          <w:bCs/>
          <w:sz w:val="20"/>
          <w:szCs w:val="20"/>
        </w:rPr>
        <w:t xml:space="preserve"> </w:t>
      </w:r>
      <w:hyperlink w:anchor="_D_HOMICIDE_BY" w:history="1">
        <w:r w:rsidRPr="00577D19">
          <w:rPr>
            <w:rStyle w:val="Hyperlink"/>
            <w:rFonts w:ascii="Arial" w:hAnsi="Arial" w:cs="Arial"/>
            <w:b/>
            <w:bCs/>
            <w:sz w:val="20"/>
            <w:szCs w:val="20"/>
            <w:u w:val="none"/>
          </w:rPr>
          <w:t>homicide by firearm</w:t>
        </w:r>
      </w:hyperlink>
    </w:p>
    <w:p w14:paraId="5A3E03F7" w14:textId="272ED725" w:rsidR="00A105CE" w:rsidRPr="00A105CE" w:rsidRDefault="00A105C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5_Sentencing_for" w:history="1">
        <w:r w:rsidRPr="00A105CE">
          <w:rPr>
            <w:rStyle w:val="Hyperlink"/>
            <w:rFonts w:ascii="Arial" w:hAnsi="Arial" w:cs="Arial"/>
            <w:b/>
            <w:bCs/>
            <w:sz w:val="20"/>
            <w:u w:val="none"/>
          </w:rPr>
          <w:tab/>
          <w:t>11.2.35</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tencing for theft</w:t>
        </w:r>
        <w:r w:rsidR="005D4957">
          <w:rPr>
            <w:rStyle w:val="Hyperlink"/>
            <w:rFonts w:ascii="Arial" w:hAnsi="Arial" w:cs="Arial"/>
            <w:b/>
            <w:bCs/>
            <w:sz w:val="20"/>
            <w:u w:val="none"/>
          </w:rPr>
          <w:t>, theft of firearms</w:t>
        </w:r>
        <w:r w:rsidRPr="00A105CE">
          <w:rPr>
            <w:rStyle w:val="Hyperlink"/>
            <w:rFonts w:ascii="Arial" w:hAnsi="Arial" w:cs="Arial"/>
            <w:b/>
            <w:bCs/>
            <w:sz w:val="20"/>
            <w:u w:val="none"/>
          </w:rPr>
          <w:t xml:space="preserve"> and theft of motor vehicle</w:t>
        </w:r>
      </w:hyperlink>
    </w:p>
    <w:p w14:paraId="306F6956" w14:textId="7875DC4D" w:rsidR="00893DFF" w:rsidRPr="00A105CE" w:rsidRDefault="00893DFF"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Pr="00A105CE">
          <w:rPr>
            <w:rStyle w:val="Hyperlink"/>
            <w:rFonts w:ascii="Arial" w:hAnsi="Arial" w:cs="Arial"/>
            <w:b/>
            <w:bCs/>
            <w:sz w:val="20"/>
            <w:u w:val="none"/>
          </w:rPr>
          <w:tab/>
          <w:t>11.2.3</w:t>
        </w:r>
        <w:r>
          <w:rPr>
            <w:rStyle w:val="Hyperlink"/>
            <w:rFonts w:ascii="Arial" w:hAnsi="Arial" w:cs="Arial"/>
            <w:b/>
            <w:bCs/>
            <w:sz w:val="20"/>
            <w:u w:val="none"/>
          </w:rPr>
          <w:t>6</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offences involving family violence</w:t>
        </w:r>
      </w:hyperlink>
    </w:p>
    <w:p w14:paraId="24958733" w14:textId="11B0E423" w:rsidR="008928EC" w:rsidRPr="001E6BE9"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Pr="001E6BE9">
          <w:rPr>
            <w:rStyle w:val="Hyperlink"/>
            <w:rFonts w:ascii="Arial" w:hAnsi="Arial" w:cs="Arial"/>
            <w:b/>
            <w:bCs/>
            <w:sz w:val="20"/>
            <w:szCs w:val="20"/>
            <w:u w:val="none"/>
          </w:rPr>
          <w:tab/>
        </w:r>
        <w:r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Pr="004648C9">
          <w:rPr>
            <w:rStyle w:val="Hyperlink"/>
            <w:rFonts w:ascii="Arial" w:hAnsi="Arial" w:cs="Arial"/>
            <w:b/>
            <w:bCs/>
            <w:sz w:val="20"/>
            <w:u w:val="none"/>
          </w:rPr>
          <w:tab/>
        </w:r>
        <w:r w:rsidRPr="004648C9">
          <w:rPr>
            <w:rStyle w:val="Hyperlink"/>
            <w:rFonts w:ascii="Arial" w:hAnsi="Arial" w:cs="Arial"/>
            <w:b/>
            <w:bCs/>
            <w:sz w:val="20"/>
            <w:u w:val="none"/>
          </w:rPr>
          <w:tab/>
        </w:r>
        <w:r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422AE41E" w14:textId="6FFAC989" w:rsidR="000720E6" w:rsidRPr="00A105CE" w:rsidRDefault="000720E6" w:rsidP="000720E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7_Sentencing_for" w:history="1">
        <w:r w:rsidRPr="00A105CE">
          <w:rPr>
            <w:rStyle w:val="Hyperlink"/>
            <w:rFonts w:ascii="Arial" w:hAnsi="Arial" w:cs="Arial"/>
            <w:b/>
            <w:bCs/>
            <w:sz w:val="20"/>
            <w:u w:val="none"/>
          </w:rPr>
          <w:tab/>
          <w:t>11.2.3</w:t>
        </w:r>
        <w:r>
          <w:rPr>
            <w:rStyle w:val="Hyperlink"/>
            <w:rFonts w:ascii="Arial" w:hAnsi="Arial" w:cs="Arial"/>
            <w:b/>
            <w:bCs/>
            <w:sz w:val="20"/>
            <w:u w:val="none"/>
          </w:rPr>
          <w:t>7</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stalking</w:t>
        </w:r>
      </w:hyperlink>
    </w:p>
    <w:p w14:paraId="182B12D8" w14:textId="76B62675" w:rsidR="005B4175" w:rsidRPr="00674335" w:rsidRDefault="00674335" w:rsidP="002A6DBC">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"_11.3_Some_mechanics" </w:instrText>
      </w:r>
      <w:r w:rsidRPr="00674335">
        <w:rPr>
          <w:rFonts w:ascii="Arial" w:hAnsi="Arial" w:cs="Arial"/>
          <w:b/>
          <w:bCs/>
        </w:rPr>
      </w:r>
      <w:r w:rsidRPr="00674335">
        <w:rPr>
          <w:rFonts w:ascii="Arial" w:hAnsi="Arial" w:cs="Arial"/>
          <w:b/>
          <w:bCs/>
        </w:rPr>
        <w:fldChar w:fldCharType="separate"/>
      </w:r>
      <w:r w:rsidR="005B4175" w:rsidRPr="00674335">
        <w:rPr>
          <w:rStyle w:val="Hyperlink"/>
          <w:rFonts w:ascii="Arial" w:hAnsi="Arial" w:cs="Arial"/>
          <w:b/>
          <w:bCs/>
          <w:u w:val="none"/>
        </w:rPr>
        <w:t>11.3</w:t>
      </w:r>
      <w:r w:rsidR="005B4175" w:rsidRPr="00674335">
        <w:rPr>
          <w:rStyle w:val="Hyperlink"/>
          <w:rFonts w:ascii="Arial" w:hAnsi="Arial" w:cs="Arial"/>
          <w:b/>
          <w:bCs/>
          <w:u w:val="none"/>
        </w:rPr>
        <w:tab/>
      </w:r>
      <w:r w:rsidR="00F15A02" w:rsidRPr="00674335">
        <w:rPr>
          <w:rStyle w:val="Hyperlink"/>
          <w:rFonts w:ascii="Arial" w:hAnsi="Arial" w:cs="Arial"/>
          <w:b/>
          <w:bCs/>
          <w:u w:val="none"/>
        </w:rPr>
        <w:t>Some m</w:t>
      </w:r>
      <w:r w:rsidR="005B4175" w:rsidRPr="00674335">
        <w:rPr>
          <w:rStyle w:val="Hyperlink"/>
          <w:rFonts w:ascii="Arial" w:hAnsi="Arial" w:cs="Arial"/>
          <w:b/>
          <w:bCs/>
          <w:u w:val="none"/>
        </w:rPr>
        <w:t>echanics of sentencing</w:t>
      </w:r>
    </w:p>
    <w:p w14:paraId="477EA277" w14:textId="475C8DBA" w:rsidR="005B4175" w:rsidRPr="00674335" w:rsidRDefault="00674335" w:rsidP="008C4A6C">
      <w:pPr>
        <w:pBdr>
          <w:top w:val="single" w:sz="4" w:space="1" w:color="auto"/>
          <w:left w:val="single" w:sz="4" w:space="4" w:color="auto"/>
          <w:bottom w:val="single" w:sz="4" w:space="1" w:color="auto"/>
          <w:right w:val="single" w:sz="4" w:space="4" w:color="auto"/>
        </w:pBdr>
        <w:spacing w:before="20"/>
        <w:ind w:left="720" w:hanging="720"/>
        <w:rPr>
          <w:rStyle w:val="Hyperlink"/>
          <w:rFonts w:ascii="Arial" w:hAnsi="Arial" w:cs="Arial"/>
          <w:b/>
          <w:bCs/>
          <w:sz w:val="20"/>
          <w:u w:val="none"/>
        </w:rPr>
      </w:pPr>
      <w:r w:rsidRPr="00674335">
        <w:rPr>
          <w:rFonts w:ascii="Arial" w:hAnsi="Arial" w:cs="Arial"/>
          <w:b/>
          <w:bCs/>
        </w:rPr>
        <w:fldChar w:fldCharType="end"/>
      </w:r>
      <w:r w:rsidRPr="00674335">
        <w:rPr>
          <w:rFonts w:ascii="Arial" w:hAnsi="Arial" w:cs="Arial"/>
          <w:b/>
          <w:bCs/>
          <w:sz w:val="20"/>
        </w:rPr>
        <w:fldChar w:fldCharType="begin"/>
      </w:r>
      <w:r w:rsidRPr="00674335">
        <w:rPr>
          <w:rFonts w:ascii="Arial" w:hAnsi="Arial" w:cs="Arial"/>
          <w:b/>
          <w:bCs/>
          <w:sz w:val="20"/>
        </w:rPr>
        <w:instrText xml:space="preserve"> HYPERLINK  \l "_11.3.1_\“Instinctive_synthesis\”" </w:instrText>
      </w:r>
      <w:r w:rsidRPr="00674335">
        <w:rPr>
          <w:rFonts w:ascii="Arial" w:hAnsi="Arial" w:cs="Arial"/>
          <w:b/>
          <w:bCs/>
          <w:sz w:val="20"/>
        </w:rPr>
      </w:r>
      <w:r w:rsidRPr="00674335">
        <w:rPr>
          <w:rFonts w:ascii="Arial" w:hAnsi="Arial" w:cs="Arial"/>
          <w:b/>
          <w:bCs/>
          <w:sz w:val="20"/>
        </w:rPr>
        <w:fldChar w:fldCharType="separate"/>
      </w:r>
      <w:r w:rsidR="00F73627" w:rsidRPr="00674335">
        <w:rPr>
          <w:rStyle w:val="Hyperlink"/>
          <w:rFonts w:ascii="Arial" w:hAnsi="Arial" w:cs="Arial"/>
          <w:b/>
          <w:bCs/>
          <w:sz w:val="20"/>
          <w:u w:val="none"/>
        </w:rPr>
        <w:tab/>
      </w:r>
      <w:r w:rsidR="005B4175" w:rsidRPr="00674335">
        <w:rPr>
          <w:rStyle w:val="Hyperlink"/>
          <w:rFonts w:ascii="Arial" w:hAnsi="Arial" w:cs="Arial"/>
          <w:b/>
          <w:bCs/>
          <w:sz w:val="20"/>
          <w:u w:val="none"/>
        </w:rPr>
        <w:t>11.3.1</w:t>
      </w:r>
      <w:r w:rsidR="005B4175" w:rsidRPr="00674335">
        <w:rPr>
          <w:rStyle w:val="Hyperlink"/>
          <w:rFonts w:ascii="Arial" w:hAnsi="Arial" w:cs="Arial"/>
          <w:b/>
          <w:bCs/>
          <w:sz w:val="20"/>
          <w:u w:val="none"/>
        </w:rPr>
        <w:tab/>
        <w:t>“Instinctive synthesis” or “two-tier</w:t>
      </w:r>
      <w:r w:rsidR="00B863EB" w:rsidRPr="00674335">
        <w:rPr>
          <w:rStyle w:val="Hyperlink"/>
          <w:rFonts w:ascii="Arial" w:hAnsi="Arial" w:cs="Arial"/>
          <w:b/>
          <w:bCs/>
          <w:sz w:val="20"/>
          <w:u w:val="none"/>
        </w:rPr>
        <w:t>ed</w:t>
      </w:r>
      <w:r w:rsidR="005B4175" w:rsidRPr="00674335">
        <w:rPr>
          <w:rStyle w:val="Hyperlink"/>
          <w:rFonts w:ascii="Arial" w:hAnsi="Arial" w:cs="Arial"/>
          <w:b/>
          <w:bCs/>
          <w:sz w:val="20"/>
          <w:u w:val="none"/>
        </w:rPr>
        <w:t xml:space="preserve"> approach”</w:t>
      </w:r>
    </w:p>
    <w:p w14:paraId="602B7955" w14:textId="58516ACA" w:rsidR="005B4175" w:rsidRPr="00F61D70" w:rsidRDefault="00674335"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r w:rsidRPr="00674335">
        <w:rPr>
          <w:rFonts w:ascii="Arial" w:hAnsi="Arial" w:cs="Arial"/>
          <w:b/>
          <w:bCs/>
          <w:sz w:val="20"/>
        </w:rPr>
        <w:lastRenderedPageBreak/>
        <w:fldChar w:fldCharType="end"/>
      </w: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77777777" w:rsidR="005B4175" w:rsidRPr="00F61D70" w:rsidRDefault="00F73627"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 and its relevance to sentencing</w:t>
        </w:r>
      </w:hyperlink>
    </w:p>
    <w:p w14:paraId="24E098F8" w14:textId="77777777" w:rsidR="00F15A02" w:rsidRPr="00F61D70" w:rsidRDefault="00F73627"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3F1E1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Pr="00F61D70">
          <w:rPr>
            <w:rStyle w:val="Hyperlink"/>
            <w:rFonts w:ascii="Arial" w:hAnsi="Arial" w:cs="Arial"/>
            <w:b/>
            <w:bCs/>
            <w:sz w:val="20"/>
            <w:u w:val="none"/>
          </w:rPr>
          <w:tab/>
          <w:t>11.3.5</w:t>
        </w:r>
        <w:r w:rsidRPr="00F61D70">
          <w:rPr>
            <w:rStyle w:val="Hyperlink"/>
            <w:rFonts w:ascii="Arial" w:hAnsi="Arial" w:cs="Arial"/>
            <w:b/>
            <w:bCs/>
            <w:sz w:val="20"/>
            <w:u w:val="none"/>
          </w:rPr>
          <w:tab/>
          <w:t>Exercise of mercy</w:t>
        </w:r>
      </w:hyperlink>
    </w:p>
    <w:p w14:paraId="1357A8C7" w14:textId="77777777" w:rsidR="008F7DD4" w:rsidRPr="00F61D70" w:rsidRDefault="008F7DD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Pr="00F61D70">
          <w:rPr>
            <w:rStyle w:val="Hyperlink"/>
            <w:rFonts w:ascii="Arial" w:hAnsi="Arial" w:cs="Arial"/>
            <w:b/>
            <w:bCs/>
            <w:sz w:val="20"/>
            <w:u w:val="none"/>
          </w:rPr>
          <w:tab/>
          <w:t>11.3.6</w:t>
        </w:r>
        <w:r w:rsidRPr="00F61D70">
          <w:rPr>
            <w:rStyle w:val="Hyperlink"/>
            <w:rFonts w:ascii="Arial" w:hAnsi="Arial" w:cs="Arial"/>
            <w:b/>
            <w:bCs/>
            <w:sz w:val="20"/>
            <w:u w:val="none"/>
          </w:rPr>
          <w:tab/>
          <w:t>Conviction or non-conviction</w:t>
        </w:r>
      </w:hyperlink>
    </w:p>
    <w:p w14:paraId="24F29A35" w14:textId="77777777" w:rsidR="00383E84" w:rsidRPr="00F61D70" w:rsidRDefault="00383E8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Pr="00F61D70">
          <w:rPr>
            <w:rStyle w:val="Hyperlink"/>
            <w:rFonts w:ascii="Arial" w:hAnsi="Arial" w:cs="Arial"/>
            <w:b/>
            <w:bCs/>
            <w:sz w:val="20"/>
            <w:u w:val="none"/>
          </w:rPr>
          <w:tab/>
          <w:t>11.3.7</w:t>
        </w:r>
        <w:r w:rsidRPr="00F61D70">
          <w:rPr>
            <w:rStyle w:val="Hyperlink"/>
            <w:rFonts w:ascii="Arial" w:hAnsi="Arial" w:cs="Arial"/>
            <w:b/>
            <w:bCs/>
            <w:sz w:val="20"/>
            <w:u w:val="none"/>
          </w:rPr>
          <w:tab/>
          <w:t>Effect of an injury sustained by offender while committing a crime</w:t>
        </w:r>
      </w:hyperlink>
    </w:p>
    <w:p w14:paraId="0A12BAC6" w14:textId="117C2C8C" w:rsidR="00CB51CB" w:rsidRDefault="00CB51CB"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hyperlink w:anchor="_11.3.8_Effect_of" w:history="1">
        <w:r w:rsidRPr="00F61D70">
          <w:rPr>
            <w:rStyle w:val="Hyperlink"/>
            <w:rFonts w:ascii="Arial" w:hAnsi="Arial" w:cs="Arial"/>
            <w:b/>
            <w:bCs/>
            <w:sz w:val="20"/>
            <w:u w:val="none"/>
          </w:rPr>
          <w:tab/>
          <w:t>11.3.8</w:t>
        </w:r>
        <w:r w:rsidRPr="00F61D70">
          <w:rPr>
            <w:rStyle w:val="Hyperlink"/>
            <w:rFonts w:ascii="Arial" w:hAnsi="Arial" w:cs="Arial"/>
            <w:b/>
            <w:bCs/>
            <w:sz w:val="20"/>
            <w:u w:val="none"/>
          </w:rPr>
          <w:tab/>
          <w:t>Effect of the COVID-19 pandemic on sentencing</w:t>
        </w:r>
      </w:hyperlink>
    </w:p>
    <w:p w14:paraId="0B93F767" w14:textId="0FE4B3EF" w:rsidR="00BF52E5" w:rsidRPr="00674335" w:rsidRDefault="00674335"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"_11.4_Material_admissible_1" </w:instrText>
      </w:r>
      <w:r w:rsidRPr="00674335">
        <w:rPr>
          <w:rFonts w:ascii="Arial" w:hAnsi="Arial" w:cs="Arial"/>
          <w:b/>
          <w:bCs/>
        </w:rPr>
      </w:r>
      <w:r w:rsidRPr="00674335">
        <w:rPr>
          <w:rFonts w:ascii="Arial" w:hAnsi="Arial" w:cs="Arial"/>
          <w:b/>
          <w:bCs/>
        </w:rPr>
        <w:fldChar w:fldCharType="separate"/>
      </w:r>
      <w:r w:rsidR="00BF52E5" w:rsidRPr="00674335">
        <w:rPr>
          <w:rStyle w:val="Hyperlink"/>
          <w:rFonts w:ascii="Arial" w:hAnsi="Arial" w:cs="Arial"/>
          <w:b/>
          <w:bCs/>
          <w:u w:val="none"/>
        </w:rPr>
        <w:t>11.</w:t>
      </w:r>
      <w:r w:rsidR="005B4175" w:rsidRPr="00674335">
        <w:rPr>
          <w:rStyle w:val="Hyperlink"/>
          <w:rFonts w:ascii="Arial" w:hAnsi="Arial" w:cs="Arial"/>
          <w:b/>
          <w:bCs/>
          <w:u w:val="none"/>
        </w:rPr>
        <w:t>4</w:t>
      </w:r>
      <w:r w:rsidR="00BF52E5" w:rsidRPr="00674335">
        <w:rPr>
          <w:rStyle w:val="Hyperlink"/>
          <w:rFonts w:ascii="Arial" w:hAnsi="Arial" w:cs="Arial"/>
          <w:b/>
          <w:bCs/>
          <w:u w:val="none"/>
        </w:rPr>
        <w:tab/>
        <w:t>Material admissible in sentencing hearings</w:t>
      </w:r>
      <w:r w:rsidR="00A4061D" w:rsidRPr="00674335">
        <w:rPr>
          <w:rStyle w:val="Hyperlink"/>
          <w:rFonts w:ascii="Arial" w:hAnsi="Arial" w:cs="Arial"/>
          <w:b/>
          <w:bCs/>
          <w:u w:val="none"/>
        </w:rPr>
        <w:t xml:space="preserve"> under the CYFA</w:t>
      </w:r>
    </w:p>
    <w:p w14:paraId="4686EA1B" w14:textId="28779F29" w:rsidR="005C3FD2" w:rsidRPr="002E6C7E" w:rsidRDefault="0067433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74335">
        <w:rPr>
          <w:rFonts w:ascii="Arial" w:hAnsi="Arial" w:cs="Arial"/>
          <w:b/>
          <w:bCs/>
        </w:rPr>
        <w:fldChar w:fldCharType="end"/>
      </w: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.2</w:t>
        </w:r>
        <w:r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.3</w:t>
        </w:r>
        <w:r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3AC9F25F" w14:textId="681E2F87" w:rsidR="00DC4119" w:rsidRPr="00836FA4" w:rsidRDefault="005C3FD2"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A_Submissions_&amp;" w:history="1">
        <w:r w:rsidRPr="00836FA4">
          <w:rPr>
            <w:rStyle w:val="Hyperlink"/>
            <w:rFonts w:ascii="Arial" w:hAnsi="Arial" w:cs="Arial"/>
            <w:b/>
            <w:bCs/>
            <w:sz w:val="20"/>
            <w:u w:val="none"/>
          </w:rPr>
          <w:tab/>
          <w:t>11.</w:t>
        </w:r>
        <w:r w:rsidR="00545262" w:rsidRPr="00836FA4">
          <w:rPr>
            <w:rStyle w:val="Hyperlink"/>
            <w:rFonts w:ascii="Arial" w:hAnsi="Arial" w:cs="Arial"/>
            <w:b/>
            <w:bCs/>
            <w:sz w:val="20"/>
            <w:u w:val="none"/>
          </w:rPr>
          <w:t>4</w:t>
        </w:r>
        <w:r w:rsidRPr="00836FA4">
          <w:rPr>
            <w:rStyle w:val="Hyperlink"/>
            <w:rFonts w:ascii="Arial" w:hAnsi="Arial" w:cs="Arial"/>
            <w:b/>
            <w:bCs/>
            <w:sz w:val="20"/>
            <w:u w:val="none"/>
          </w:rPr>
          <w:t>.4</w:t>
        </w:r>
        <w:r w:rsidR="00DC4119" w:rsidRPr="00836FA4">
          <w:rPr>
            <w:rStyle w:val="Hyperlink"/>
            <w:rFonts w:ascii="Arial" w:hAnsi="Arial" w:cs="Arial"/>
            <w:b/>
            <w:bCs/>
            <w:sz w:val="20"/>
            <w:u w:val="none"/>
          </w:rPr>
          <w:t>A</w:t>
        </w:r>
        <w:r w:rsidRPr="00836FA4">
          <w:rPr>
            <w:rStyle w:val="Hyperlink"/>
            <w:rFonts w:ascii="Arial" w:hAnsi="Arial" w:cs="Arial"/>
            <w:b/>
            <w:bCs/>
            <w:sz w:val="20"/>
            <w:u w:val="none"/>
          </w:rPr>
          <w:tab/>
        </w:r>
        <w:r w:rsidR="00DC4119" w:rsidRPr="00836FA4">
          <w:rPr>
            <w:rStyle w:val="Hyperlink"/>
            <w:rFonts w:ascii="Arial" w:hAnsi="Arial" w:cs="Arial"/>
            <w:b/>
            <w:bCs/>
            <w:sz w:val="20"/>
            <w:u w:val="none"/>
          </w:rPr>
          <w:t>S</w:t>
        </w:r>
        <w:r w:rsidR="00545262" w:rsidRPr="00836FA4">
          <w:rPr>
            <w:rStyle w:val="Hyperlink"/>
            <w:rFonts w:ascii="Arial" w:hAnsi="Arial" w:cs="Arial"/>
            <w:b/>
            <w:bCs/>
            <w:sz w:val="20"/>
            <w:u w:val="none"/>
          </w:rPr>
          <w:t>ubmission</w:t>
        </w:r>
        <w:r w:rsidR="004A1B84" w:rsidRPr="00836FA4">
          <w:rPr>
            <w:rStyle w:val="Hyperlink"/>
            <w:rFonts w:ascii="Arial" w:hAnsi="Arial" w:cs="Arial"/>
            <w:b/>
            <w:bCs/>
            <w:sz w:val="20"/>
            <w:u w:val="none"/>
          </w:rPr>
          <w:t>s</w:t>
        </w:r>
        <w:r w:rsidR="00545262" w:rsidRPr="00836FA4">
          <w:rPr>
            <w:rStyle w:val="Hyperlink"/>
            <w:rFonts w:ascii="Arial" w:hAnsi="Arial" w:cs="Arial"/>
            <w:b/>
            <w:bCs/>
            <w:sz w:val="20"/>
            <w:u w:val="none"/>
          </w:rPr>
          <w:t xml:space="preserve"> &amp; duty</w:t>
        </w:r>
        <w:r w:rsidR="00DC4119" w:rsidRPr="00836FA4">
          <w:rPr>
            <w:rStyle w:val="Hyperlink"/>
            <w:rFonts w:ascii="Arial" w:hAnsi="Arial" w:cs="Arial"/>
            <w:b/>
            <w:bCs/>
            <w:sz w:val="20"/>
            <w:u w:val="none"/>
          </w:rPr>
          <w:t xml:space="preserve"> of prosecutor</w:t>
        </w:r>
      </w:hyperlink>
    </w:p>
    <w:p w14:paraId="151FDFFD" w14:textId="06192439" w:rsidR="00DC4119" w:rsidRPr="00CB034C" w:rsidRDefault="00DC4119"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Pr>
          <w:rFonts w:ascii="Arial" w:hAnsi="Arial" w:cs="Arial"/>
          <w:b/>
          <w:bCs/>
          <w:color w:val="000000"/>
          <w:sz w:val="20"/>
        </w:rPr>
        <w:tab/>
      </w:r>
      <w:hyperlink w:anchor="_11.4.4B_Duty_of" w:history="1">
        <w:r w:rsidRPr="00CB034C">
          <w:rPr>
            <w:rStyle w:val="Hyperlink"/>
            <w:rFonts w:ascii="Arial" w:hAnsi="Arial" w:cs="Arial"/>
            <w:b/>
            <w:bCs/>
            <w:sz w:val="20"/>
            <w:u w:val="none"/>
          </w:rPr>
          <w:t>11.4.4B</w:t>
        </w:r>
        <w:r w:rsidRPr="00CB034C">
          <w:rPr>
            <w:rStyle w:val="Hyperlink"/>
            <w:rFonts w:ascii="Arial" w:hAnsi="Arial" w:cs="Arial"/>
            <w:b/>
            <w:bCs/>
            <w:sz w:val="20"/>
            <w:u w:val="none"/>
          </w:rPr>
          <w:tab/>
        </w:r>
        <w:r w:rsidR="00CB034C">
          <w:rPr>
            <w:rStyle w:val="Hyperlink"/>
            <w:rFonts w:ascii="Arial" w:hAnsi="Arial" w:cs="Arial"/>
            <w:b/>
            <w:bCs/>
            <w:sz w:val="20"/>
            <w:u w:val="none"/>
          </w:rPr>
          <w:t>Submissons</w:t>
        </w:r>
        <w:r w:rsidRPr="00CB034C">
          <w:rPr>
            <w:rStyle w:val="Hyperlink"/>
            <w:rFonts w:ascii="Arial" w:hAnsi="Arial" w:cs="Arial"/>
            <w:b/>
            <w:bCs/>
            <w:sz w:val="20"/>
            <w:u w:val="none"/>
          </w:rPr>
          <w:t xml:space="preserve"> of accused</w:t>
        </w:r>
      </w:hyperlink>
    </w:p>
    <w:p w14:paraId="573FBACD"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.5</w:t>
        </w:r>
        <w:r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542FCA64"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5B4175" w:rsidP="008928EC">
      <w:pPr>
        <w:keepNext/>
        <w:keepLines/>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Pr="00E22CE5">
          <w:rPr>
            <w:rStyle w:val="Hyperlink"/>
            <w:rFonts w:ascii="Arial" w:hAnsi="Arial" w:cs="Arial"/>
            <w:b/>
            <w:bCs/>
            <w:sz w:val="20"/>
            <w:u w:val="none"/>
          </w:rPr>
          <w:tab/>
          <w:t>11.7.1</w:t>
        </w:r>
        <w:r w:rsidRPr="00E22CE5">
          <w:rPr>
            <w:rStyle w:val="Hyperlink"/>
            <w:rFonts w:ascii="Arial" w:hAnsi="Arial" w:cs="Arial"/>
            <w:b/>
            <w:bCs/>
            <w:sz w:val="20"/>
            <w:u w:val="none"/>
          </w:rPr>
          <w:tab/>
          <w:t>Victorian statistics</w:t>
        </w:r>
      </w:hyperlink>
    </w:p>
    <w:p w14:paraId="76893834"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BF52E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Pr="00E36AE8">
          <w:rPr>
            <w:rStyle w:val="Hyperlink"/>
            <w:rFonts w:ascii="Arial" w:hAnsi="Arial" w:cs="Arial"/>
            <w:b/>
            <w:bCs/>
            <w:sz w:val="20"/>
            <w:u w:val="none"/>
          </w:rPr>
          <w:t>.1</w:t>
        </w:r>
        <w:r w:rsidRPr="00E36AE8">
          <w:rPr>
            <w:rStyle w:val="Hyperlink"/>
            <w:rFonts w:ascii="Arial" w:hAnsi="Arial" w:cs="Arial"/>
            <w:b/>
            <w:bCs/>
            <w:sz w:val="20"/>
            <w:u w:val="none"/>
          </w:rPr>
          <w:tab/>
          <w:t>Parole</w:t>
        </w:r>
      </w:hyperlink>
    </w:p>
    <w:p w14:paraId="058079A7" w14:textId="77777777" w:rsidR="00BF52E5" w:rsidRPr="00E36AE8" w:rsidRDefault="00F73627"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34C940" w:rsidR="00BF52E5" w:rsidRPr="008175BC" w:rsidRDefault="008175BC"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8175BC">
        <w:rPr>
          <w:rFonts w:ascii="Arial" w:hAnsi="Arial" w:cs="Arial"/>
          <w:b/>
          <w:bCs/>
        </w:rPr>
        <w:fldChar w:fldCharType="begin"/>
      </w:r>
      <w:r w:rsidRPr="008175BC">
        <w:rPr>
          <w:rFonts w:ascii="Arial" w:hAnsi="Arial" w:cs="Arial"/>
          <w:b/>
          <w:bCs/>
        </w:rPr>
        <w:instrText xml:space="preserve"> HYPERLINK  \l "_11.9_Temporary_leave" </w:instrText>
      </w:r>
      <w:r w:rsidRPr="008175BC">
        <w:rPr>
          <w:rFonts w:ascii="Arial" w:hAnsi="Arial" w:cs="Arial"/>
          <w:b/>
          <w:bCs/>
        </w:rPr>
      </w:r>
      <w:r w:rsidRPr="008175BC">
        <w:rPr>
          <w:rFonts w:ascii="Arial" w:hAnsi="Arial" w:cs="Arial"/>
          <w:b/>
          <w:bCs/>
        </w:rPr>
        <w:fldChar w:fldCharType="separate"/>
      </w:r>
      <w:r w:rsidR="005B4175" w:rsidRPr="008175BC">
        <w:rPr>
          <w:rStyle w:val="Hyperlink"/>
          <w:rFonts w:ascii="Arial" w:hAnsi="Arial" w:cs="Arial"/>
          <w:b/>
          <w:bCs/>
          <w:u w:val="none"/>
        </w:rPr>
        <w:t>11.9</w:t>
      </w:r>
      <w:r w:rsidR="00BF52E5" w:rsidRPr="008175BC">
        <w:rPr>
          <w:rStyle w:val="Hyperlink"/>
          <w:rFonts w:ascii="Arial" w:hAnsi="Arial" w:cs="Arial"/>
          <w:b/>
          <w:bCs/>
          <w:u w:val="none"/>
        </w:rPr>
        <w:tab/>
        <w:t>Temporary leave from detention</w:t>
      </w:r>
    </w:p>
    <w:p w14:paraId="052C3DE2" w14:textId="75C6FB47" w:rsidR="00BF52E5" w:rsidRPr="00E36AE8" w:rsidRDefault="008175BC"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8175BC">
        <w:rPr>
          <w:rFonts w:ascii="Arial" w:hAnsi="Arial" w:cs="Arial"/>
          <w:b/>
          <w:bCs/>
        </w:rPr>
        <w:fldChar w:fldCharType="end"/>
      </w: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8175BC"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Pr="008175BC">
          <w:rPr>
            <w:rStyle w:val="Hyperlink"/>
            <w:rFonts w:ascii="Arial" w:hAnsi="Arial" w:cs="Arial"/>
            <w:b/>
            <w:bCs/>
            <w:u w:val="none"/>
          </w:rPr>
          <w:t>11.12</w:t>
        </w:r>
        <w:r w:rsidR="00BF52E5" w:rsidRPr="008175BC">
          <w:rPr>
            <w:rStyle w:val="Hyperlink"/>
            <w:rFonts w:ascii="Arial" w:hAnsi="Arial" w:cs="Arial"/>
            <w:b/>
            <w:bCs/>
            <w:u w:val="none"/>
          </w:rPr>
          <w:tab/>
          <w:t>Breach of sentencing orders</w:t>
        </w:r>
        <w:r w:rsidR="00151D2B" w:rsidRPr="008175BC">
          <w:rPr>
            <w:rStyle w:val="Hyperlink"/>
            <w:rFonts w:ascii="Arial" w:hAnsi="Arial" w:cs="Arial"/>
            <w:b/>
            <w:bCs/>
            <w:u w:val="none"/>
          </w:rPr>
          <w:t xml:space="preserve"> made under the CY</w:t>
        </w:r>
        <w:r w:rsidR="00901E62" w:rsidRPr="008175BC">
          <w:rPr>
            <w:rStyle w:val="Hyperlink"/>
            <w:rFonts w:ascii="Arial" w:hAnsi="Arial" w:cs="Arial"/>
            <w:b/>
            <w:bCs/>
            <w:u w:val="none"/>
          </w:rPr>
          <w:t>F</w:t>
        </w:r>
        <w:r w:rsidR="00151D2B" w:rsidRPr="008175BC">
          <w:rPr>
            <w:rStyle w:val="Hyperlink"/>
            <w:rFonts w:ascii="Arial" w:hAnsi="Arial" w:cs="Arial"/>
            <w:b/>
            <w:bCs/>
            <w:u w:val="none"/>
          </w:rPr>
          <w:t>A</w:t>
        </w:r>
      </w:hyperlink>
    </w:p>
    <w:p w14:paraId="1C88CDF0" w14:textId="5A835C4D" w:rsidR="00BF52E5" w:rsidRPr="008175BC" w:rsidRDefault="008175BC"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8175BC">
        <w:rPr>
          <w:rFonts w:ascii="Arial" w:hAnsi="Arial" w:cs="Arial"/>
          <w:b/>
          <w:bCs/>
          <w:sz w:val="20"/>
        </w:rPr>
        <w:fldChar w:fldCharType="begin"/>
      </w:r>
      <w:r w:rsidRPr="008175BC">
        <w:rPr>
          <w:rFonts w:ascii="Arial" w:hAnsi="Arial" w:cs="Arial"/>
          <w:b/>
          <w:bCs/>
          <w:sz w:val="20"/>
        </w:rPr>
        <w:instrText xml:space="preserve"> HYPERLINK  \l "_11.12.1_\“Generic\”_provisions" </w:instrText>
      </w:r>
      <w:r w:rsidRPr="008175BC">
        <w:rPr>
          <w:rFonts w:ascii="Arial" w:hAnsi="Arial" w:cs="Arial"/>
          <w:b/>
          <w:bCs/>
          <w:sz w:val="20"/>
        </w:rPr>
      </w:r>
      <w:r w:rsidRPr="008175BC">
        <w:rPr>
          <w:rFonts w:ascii="Arial" w:hAnsi="Arial" w:cs="Arial"/>
          <w:b/>
          <w:bCs/>
          <w:sz w:val="20"/>
        </w:rPr>
        <w:fldChar w:fldCharType="separate"/>
      </w:r>
      <w:r w:rsidR="00A76975" w:rsidRPr="008175BC">
        <w:rPr>
          <w:rStyle w:val="Hyperlink"/>
          <w:rFonts w:ascii="Arial" w:hAnsi="Arial" w:cs="Arial"/>
          <w:b/>
          <w:bCs/>
          <w:sz w:val="20"/>
          <w:u w:val="none"/>
        </w:rPr>
        <w:tab/>
      </w:r>
      <w:r w:rsidR="005B4175" w:rsidRPr="008175BC">
        <w:rPr>
          <w:rStyle w:val="Hyperlink"/>
          <w:rFonts w:ascii="Arial" w:hAnsi="Arial" w:cs="Arial"/>
          <w:b/>
          <w:bCs/>
          <w:sz w:val="20"/>
          <w:u w:val="none"/>
        </w:rPr>
        <w:t>11.12</w:t>
      </w:r>
      <w:r w:rsidR="00BF52E5" w:rsidRPr="008175BC">
        <w:rPr>
          <w:rStyle w:val="Hyperlink"/>
          <w:rFonts w:ascii="Arial" w:hAnsi="Arial" w:cs="Arial"/>
          <w:b/>
          <w:bCs/>
          <w:sz w:val="20"/>
          <w:u w:val="none"/>
        </w:rPr>
        <w:t>.1</w:t>
      </w:r>
      <w:r w:rsidR="00BF52E5" w:rsidRPr="008175BC">
        <w:rPr>
          <w:rStyle w:val="Hyperlink"/>
          <w:rFonts w:ascii="Arial" w:hAnsi="Arial" w:cs="Arial"/>
          <w:b/>
          <w:bCs/>
          <w:sz w:val="20"/>
          <w:u w:val="none"/>
        </w:rPr>
        <w:tab/>
      </w:r>
      <w:r w:rsidR="002000FD" w:rsidRPr="008175BC">
        <w:rPr>
          <w:rStyle w:val="Hyperlink"/>
          <w:rFonts w:ascii="Arial" w:hAnsi="Arial" w:cs="Arial"/>
          <w:b/>
          <w:bCs/>
          <w:sz w:val="20"/>
          <w:u w:val="none"/>
        </w:rPr>
        <w:t xml:space="preserve">“Generic” provisions governing </w:t>
      </w:r>
      <w:r w:rsidR="00F420B4" w:rsidRPr="008175BC">
        <w:rPr>
          <w:rStyle w:val="Hyperlink"/>
          <w:rFonts w:ascii="Arial" w:hAnsi="Arial" w:cs="Arial"/>
          <w:b/>
          <w:bCs/>
          <w:sz w:val="20"/>
          <w:u w:val="none"/>
        </w:rPr>
        <w:t>commencement</w:t>
      </w:r>
      <w:r w:rsidR="002000FD" w:rsidRPr="008175BC">
        <w:rPr>
          <w:rStyle w:val="Hyperlink"/>
          <w:rFonts w:ascii="Arial" w:hAnsi="Arial" w:cs="Arial"/>
          <w:b/>
          <w:bCs/>
          <w:sz w:val="20"/>
          <w:u w:val="none"/>
        </w:rPr>
        <w:t>, hearing and transfer of breach proceedings</w:t>
      </w:r>
    </w:p>
    <w:p w14:paraId="47512011" w14:textId="54A80FAD" w:rsidR="00BF52E5" w:rsidRPr="00E36AE8" w:rsidRDefault="008175BC"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8175BC">
        <w:rPr>
          <w:rFonts w:ascii="Arial" w:hAnsi="Arial" w:cs="Arial"/>
          <w:b/>
          <w:bCs/>
          <w:sz w:val="20"/>
        </w:rPr>
        <w:fldChar w:fldCharType="end"/>
      </w: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proof of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391B02"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Pr="00E22CE5">
          <w:rPr>
            <w:rStyle w:val="Hyperlink"/>
            <w:rFonts w:ascii="Arial" w:hAnsi="Arial" w:cs="Arial"/>
            <w:b/>
            <w:bCs/>
            <w:sz w:val="20"/>
            <w:u w:val="none"/>
          </w:rPr>
          <w:tab/>
          <w:t>11.12.3</w:t>
        </w:r>
        <w:r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20DAF5B1" w:rsidR="00BF52E5" w:rsidRPr="00A42A00" w:rsidRDefault="00BF52E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Pr="00A42A00">
          <w:rPr>
            <w:rStyle w:val="Hyperlink"/>
            <w:rFonts w:ascii="Arial" w:hAnsi="Arial" w:cs="Arial"/>
            <w:b/>
            <w:bCs/>
            <w:u w:val="none"/>
          </w:rPr>
          <w:t>11.1</w:t>
        </w:r>
        <w:r w:rsidR="000B196F" w:rsidRPr="00A42A00">
          <w:rPr>
            <w:rStyle w:val="Hyperlink"/>
            <w:rFonts w:ascii="Arial" w:hAnsi="Arial" w:cs="Arial"/>
            <w:b/>
            <w:bCs/>
            <w:u w:val="none"/>
          </w:rPr>
          <w:t>3</w:t>
        </w:r>
        <w:r w:rsidRPr="00A42A00">
          <w:rPr>
            <w:rStyle w:val="Hyperlink"/>
            <w:rFonts w:ascii="Arial" w:hAnsi="Arial" w:cs="Arial"/>
            <w:b/>
            <w:bCs/>
            <w:u w:val="none"/>
          </w:rPr>
          <w:tab/>
          <w:t>Sunset provision for Children's Court priors</w:t>
        </w:r>
        <w:r w:rsidR="00A42A00" w:rsidRPr="00A42A00">
          <w:rPr>
            <w:rStyle w:val="Hyperlink"/>
            <w:rFonts w:ascii="Arial" w:hAnsi="Arial" w:cs="Arial"/>
            <w:b/>
            <w:bCs/>
            <w:u w:val="none"/>
          </w:rPr>
          <w:t xml:space="preserve"> – Spent convictions</w:t>
        </w:r>
      </w:hyperlink>
    </w:p>
    <w:p w14:paraId="7CE53506" w14:textId="5A3D492A"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A42A00">
        <w:rPr>
          <w:rFonts w:ascii="Arial" w:hAnsi="Arial" w:cs="Arial"/>
          <w:b/>
          <w:bCs/>
          <w:sz w:val="20"/>
        </w:rPr>
        <w:fldChar w:fldCharType="begin"/>
      </w:r>
      <w:r w:rsidRPr="00A42A00">
        <w:rPr>
          <w:rFonts w:ascii="Arial" w:hAnsi="Arial" w:cs="Arial"/>
          <w:b/>
          <w:bCs/>
          <w:sz w:val="20"/>
        </w:rPr>
        <w:instrText>HYPERLINK  \l "_11.13.1_Section_584"</w:instrText>
      </w:r>
      <w:r w:rsidRPr="00A42A00">
        <w:rPr>
          <w:rFonts w:ascii="Arial" w:hAnsi="Arial" w:cs="Arial"/>
          <w:b/>
          <w:bCs/>
          <w:sz w:val="20"/>
        </w:rPr>
      </w:r>
      <w:r w:rsidRPr="00A42A00">
        <w:rPr>
          <w:rFonts w:ascii="Arial" w:hAnsi="Arial" w:cs="Arial"/>
          <w:b/>
          <w:bCs/>
          <w:sz w:val="20"/>
        </w:rPr>
        <w:fldChar w:fldCharType="separate"/>
      </w:r>
      <w:r w:rsidRPr="00A42A00">
        <w:rPr>
          <w:rStyle w:val="Hyperlink"/>
          <w:rFonts w:ascii="Arial" w:hAnsi="Arial" w:cs="Arial"/>
          <w:b/>
          <w:bCs/>
          <w:sz w:val="20"/>
          <w:u w:val="none"/>
        </w:rPr>
        <w:tab/>
        <w:t>11.13.1</w:t>
      </w:r>
      <w:r w:rsidRPr="00A42A00">
        <w:rPr>
          <w:rStyle w:val="Hyperlink"/>
          <w:rFonts w:ascii="Arial" w:hAnsi="Arial" w:cs="Arial"/>
          <w:b/>
          <w:bCs/>
          <w:sz w:val="20"/>
          <w:u w:val="none"/>
        </w:rPr>
        <w:tab/>
        <w:t>Section 584 CYFA</w:t>
      </w:r>
    </w:p>
    <w:p w14:paraId="00302C08" w14:textId="6E42BCC0"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A42A00">
        <w:rPr>
          <w:rFonts w:ascii="Arial" w:hAnsi="Arial" w:cs="Arial"/>
          <w:b/>
          <w:bCs/>
          <w:sz w:val="20"/>
        </w:rPr>
        <w:fldChar w:fldCharType="end"/>
      </w:r>
      <w:hyperlink w:anchor="_11.13.2_Spent_Convictions" w:history="1">
        <w:r w:rsidRPr="00A42A00">
          <w:rPr>
            <w:rStyle w:val="Hyperlink"/>
            <w:rFonts w:ascii="Arial" w:hAnsi="Arial" w:cs="Arial"/>
            <w:b/>
            <w:bCs/>
            <w:sz w:val="20"/>
            <w:u w:val="none"/>
          </w:rPr>
          <w:tab/>
          <w:t>11.13.2</w:t>
        </w:r>
        <w:r w:rsidRPr="00A42A00">
          <w:rPr>
            <w:rStyle w:val="Hyperlink"/>
            <w:rFonts w:ascii="Arial" w:hAnsi="Arial" w:cs="Arial"/>
            <w:b/>
            <w:bCs/>
            <w:sz w:val="20"/>
            <w:u w:val="none"/>
          </w:rPr>
          <w:tab/>
          <w:t>Spent Convictions Act 2021</w:t>
        </w:r>
      </w:hyperlink>
    </w:p>
    <w:p w14:paraId="7B0370C6" w14:textId="77777777" w:rsidR="00AB2060" w:rsidRPr="00E22CE5" w:rsidRDefault="004504D4"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Pr="00E22CE5">
          <w:rPr>
            <w:rStyle w:val="Hyperlink"/>
            <w:rFonts w:ascii="Arial" w:hAnsi="Arial" w:cs="Arial"/>
            <w:b/>
            <w:bCs/>
            <w:u w:val="none"/>
          </w:rPr>
          <w:t>11.1</w:t>
        </w:r>
        <w:r w:rsidR="000B196F" w:rsidRPr="00E22CE5">
          <w:rPr>
            <w:rStyle w:val="Hyperlink"/>
            <w:rFonts w:ascii="Arial" w:hAnsi="Arial" w:cs="Arial"/>
            <w:b/>
            <w:bCs/>
            <w:u w:val="none"/>
          </w:rPr>
          <w:t>4</w:t>
        </w:r>
        <w:r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0B196F"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4B2652"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Pr="00E22CE5">
          <w:rPr>
            <w:rStyle w:val="Hyperlink"/>
            <w:rFonts w:ascii="Arial" w:hAnsi="Arial" w:cs="Arial"/>
            <w:b/>
            <w:bCs/>
            <w:sz w:val="20"/>
            <w:u w:val="none"/>
          </w:rPr>
          <w:t>.1</w:t>
        </w:r>
        <w:r w:rsidRPr="00E22CE5">
          <w:rPr>
            <w:rStyle w:val="Hyperlink"/>
            <w:rFonts w:ascii="Arial" w:hAnsi="Arial" w:cs="Arial"/>
            <w:b/>
            <w:bCs/>
            <w:sz w:val="20"/>
            <w:u w:val="none"/>
          </w:rPr>
          <w:tab/>
          <w:t>Sexual abuse</w:t>
        </w:r>
      </w:hyperlink>
    </w:p>
    <w:p w14:paraId="39AEE3C9"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11.15.1.1 Sexual abuse in a family setting</w:t>
        </w:r>
      </w:hyperlink>
    </w:p>
    <w:p w14:paraId="05655FFA"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11.15.1.2 Sexual abuse by a person in authority</w:t>
        </w:r>
      </w:hyperlink>
    </w:p>
    <w:p w14:paraId="1D1FB803" w14:textId="74FF42AE"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00B47518">
        <w:rPr>
          <w:rFonts w:ascii="Arial" w:hAnsi="Arial" w:cs="Arial"/>
          <w:b/>
          <w:bCs/>
          <w:color w:val="000000"/>
          <w:sz w:val="20"/>
        </w:rPr>
        <w:instrText>HYPERLINK  \l "_11.15.2_Use_of"</w:instrText>
      </w:r>
      <w:r w:rsidRPr="006C0B26">
        <w:rPr>
          <w:rFonts w:ascii="Arial" w:hAnsi="Arial" w:cs="Arial"/>
          <w:b/>
          <w:bCs/>
          <w:color w:val="000000"/>
          <w:sz w:val="20"/>
        </w:rPr>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0B196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0B196F"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08454C69"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8175BC">
        <w:rPr>
          <w:rFonts w:ascii="Arial" w:hAnsi="Arial" w:cs="Arial"/>
          <w:b/>
          <w:bCs/>
          <w:sz w:val="20"/>
        </w:rPr>
        <w:instrText>HYPERLINK  \l "_11.15.7_Causing_death"</w:instrText>
      </w:r>
      <w:r w:rsidR="00AC7DBC" w:rsidRPr="00AC7DBC">
        <w:rPr>
          <w:rFonts w:ascii="Arial" w:hAnsi="Arial" w:cs="Arial"/>
          <w:b/>
          <w:bCs/>
          <w:sz w:val="20"/>
        </w:rPr>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261BEA"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7_Sentencing_of" w:history="1">
        <w:r w:rsidRPr="00307B22">
          <w:rPr>
            <w:rStyle w:val="Hyperlink"/>
            <w:rFonts w:ascii="Arial" w:hAnsi="Arial" w:cs="Arial"/>
            <w:b/>
            <w:bCs/>
            <w:u w:val="none"/>
          </w:rPr>
          <w:t>11.17</w:t>
        </w:r>
        <w:r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3A61E5"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8_Relevance_of" w:history="1">
        <w:r w:rsidRPr="00307B22">
          <w:rPr>
            <w:rStyle w:val="Hyperlink"/>
            <w:rFonts w:ascii="Arial" w:hAnsi="Arial" w:cs="Arial"/>
            <w:b/>
            <w:bCs/>
            <w:u w:val="none"/>
          </w:rPr>
          <w:t>11.18</w:t>
        </w:r>
        <w:r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0A6B08" w:rsidP="003F5D1F">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hyperlink w:anchor="_11.19_The_‘standard" w:history="1">
        <w:r w:rsidRPr="00307B22">
          <w:rPr>
            <w:rStyle w:val="Hyperlink"/>
            <w:rFonts w:ascii="Arial" w:hAnsi="Arial" w:cs="Arial"/>
            <w:b/>
            <w:bCs/>
            <w:u w:val="none"/>
          </w:rPr>
          <w:t>11.19</w:t>
        </w:r>
        <w:r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8F2AEB" w:rsidP="008F2AE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20_Alcohol_exclusion" w:history="1">
        <w:r w:rsidRPr="00982225">
          <w:rPr>
            <w:rStyle w:val="Hyperlink"/>
            <w:rFonts w:ascii="Arial" w:hAnsi="Arial" w:cs="Arial"/>
            <w:b/>
            <w:bCs/>
            <w:u w:val="none"/>
          </w:rPr>
          <w:t>11.20</w:t>
        </w:r>
        <w:r w:rsidRPr="00982225">
          <w:rPr>
            <w:rStyle w:val="Hyperlink"/>
            <w:u w:val="none"/>
          </w:rPr>
          <w:t xml:space="preserve"> </w:t>
        </w:r>
        <w:r w:rsidRPr="00982225">
          <w:rPr>
            <w:rStyle w:val="Hyperlink"/>
            <w:rFonts w:ascii="Arial" w:hAnsi="Arial" w:cs="Arial"/>
            <w:b/>
            <w:bCs/>
            <w:u w:val="none"/>
          </w:rPr>
          <w:tab/>
          <w:t>Alcohol exclusion orders</w:t>
        </w:r>
      </w:hyperlink>
    </w:p>
    <w:p w14:paraId="27B70902" w14:textId="79761B0D" w:rsidR="00CE2EBA" w:rsidRPr="008F2AEB" w:rsidRDefault="00CE2EBA"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21_Mandatory_sentencing" w:history="1">
        <w:r w:rsidRPr="008F2AEB">
          <w:rPr>
            <w:rStyle w:val="Hyperlink"/>
            <w:rFonts w:ascii="Arial" w:hAnsi="Arial" w:cs="Arial"/>
            <w:b/>
            <w:bCs/>
            <w:u w:val="none"/>
          </w:rPr>
          <w:t>11.2</w:t>
        </w:r>
        <w:r w:rsidR="008F2AEB" w:rsidRPr="008F2AEB">
          <w:rPr>
            <w:rStyle w:val="Hyperlink"/>
            <w:rFonts w:ascii="Arial" w:hAnsi="Arial" w:cs="Arial"/>
            <w:b/>
            <w:bCs/>
            <w:u w:val="none"/>
          </w:rPr>
          <w:t>1</w:t>
        </w:r>
        <w:r w:rsidRPr="008F2AEB">
          <w:rPr>
            <w:rStyle w:val="Hyperlink"/>
            <w:u w:val="none"/>
          </w:rPr>
          <w:t xml:space="preserve"> </w:t>
        </w:r>
        <w:r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0C83B483" w14:textId="77777777" w:rsidR="003A61E5" w:rsidRPr="001C6E0E" w:rsidRDefault="003A61E5">
      <w:pPr>
        <w:jc w:val="both"/>
        <w:rPr>
          <w:rFonts w:ascii="Arial" w:hAnsi="Arial" w:cs="Arial"/>
          <w:color w:val="000000"/>
          <w:sz w:val="22"/>
        </w:rPr>
        <w:sectPr w:rsidR="003A61E5" w:rsidRPr="001C6E0E" w:rsidSect="00C570D9">
          <w:headerReference w:type="even" r:id="rId8"/>
          <w:headerReference w:type="default" r:id="rId9"/>
          <w:footerReference w:type="even" r:id="rId10"/>
          <w:footerReference w:type="default" r:id="rId11"/>
          <w:headerReference w:type="first" r:id="rId12"/>
          <w:footerReference w:type="first" r:id="rId13"/>
          <w:pgSz w:w="11906" w:h="16838"/>
          <w:pgMar w:top="737" w:right="1418" w:bottom="737" w:left="1418" w:header="709" w:footer="709" w:gutter="0"/>
          <w:cols w:space="708"/>
          <w:docGrid w:linePitch="360"/>
        </w:sectPr>
      </w:pPr>
    </w:p>
    <w:p w14:paraId="6ADE9816" w14:textId="1B439773" w:rsidR="00792C10" w:rsidRPr="00792C10" w:rsidRDefault="00792C10" w:rsidP="00792C10">
      <w:pPr>
        <w:pStyle w:val="Heading2"/>
        <w:shd w:val="clear" w:color="auto" w:fill="000000" w:themeFill="text1"/>
        <w:tabs>
          <w:tab w:val="left" w:pos="567"/>
        </w:tabs>
        <w:spacing w:line="240" w:lineRule="auto"/>
        <w:jc w:val="center"/>
        <w:rPr>
          <w:rFonts w:ascii="Arial" w:hAnsi="Arial" w:cs="Arial"/>
          <w:b/>
          <w:bCs/>
          <w:color w:val="FFFFFF" w:themeColor="background1"/>
          <w:sz w:val="22"/>
          <w:szCs w:val="18"/>
        </w:rPr>
      </w:pPr>
      <w:bookmarkStart w:id="47" w:name="_11.1_Sentencing_principles"/>
      <w:bookmarkStart w:id="48" w:name="_Toc107101731"/>
      <w:bookmarkEnd w:id="47"/>
      <w:r w:rsidRPr="00792C10">
        <w:rPr>
          <w:rFonts w:ascii="Arial" w:hAnsi="Arial" w:cs="Arial"/>
          <w:b/>
          <w:bCs/>
          <w:color w:val="FFFFFF" w:themeColor="background1"/>
          <w:sz w:val="22"/>
          <w:szCs w:val="18"/>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8"/>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detention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Lasry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"[S]entencing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Callinan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v Lanteri</w:t>
      </w:r>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49" w:name="_Toc30671659"/>
      <w:bookmarkStart w:id="50" w:name="_Toc30674186"/>
      <w:bookmarkStart w:id="51" w:name="_Toc30691453"/>
      <w:bookmarkStart w:id="52" w:name="_Toc30691833"/>
      <w:bookmarkStart w:id="53" w:name="_Toc30692213"/>
      <w:bookmarkStart w:id="54" w:name="_Toc30692971"/>
      <w:bookmarkStart w:id="55" w:name="_Toc30693350"/>
      <w:bookmarkStart w:id="56" w:name="_Toc30693728"/>
      <w:bookmarkStart w:id="57" w:name="_Toc30694106"/>
      <w:bookmarkStart w:id="58" w:name="_Toc30694486"/>
      <w:bookmarkStart w:id="59" w:name="_Toc30699076"/>
      <w:bookmarkStart w:id="60" w:name="_Toc30699461"/>
      <w:bookmarkStart w:id="61" w:name="_Toc30699846"/>
      <w:bookmarkStart w:id="62" w:name="_Toc30701001"/>
      <w:bookmarkStart w:id="63" w:name="_Toc30701388"/>
      <w:bookmarkStart w:id="64" w:name="_Toc30743995"/>
      <w:bookmarkStart w:id="65" w:name="_Toc30754818"/>
      <w:bookmarkStart w:id="66" w:name="_Toc30757274"/>
      <w:bookmarkStart w:id="67" w:name="_Toc30757822"/>
      <w:bookmarkStart w:id="68" w:name="_Toc30758222"/>
      <w:bookmarkStart w:id="69" w:name="_Toc30762983"/>
      <w:bookmarkStart w:id="70" w:name="_Toc30767637"/>
      <w:bookmarkStart w:id="71" w:name="_Toc34823655"/>
      <w:bookmarkStart w:id="72"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3" w:name="_11.1.1_Sentencing_models"/>
      <w:bookmarkEnd w:id="73"/>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place">
        <w:smartTag w:uri="urn:schemas-microsoft-com:office:smarttags" w:element="country-region">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4" w:name="_11.1.2_Sentencing_of"/>
      <w:bookmarkStart w:id="75" w:name="_Toc30671660"/>
      <w:bookmarkStart w:id="76" w:name="_Toc30674187"/>
      <w:bookmarkStart w:id="77" w:name="_Toc30691454"/>
      <w:bookmarkStart w:id="78" w:name="_Toc30691834"/>
      <w:bookmarkStart w:id="79" w:name="_Toc30692214"/>
      <w:bookmarkStart w:id="80" w:name="_Toc30692972"/>
      <w:bookmarkStart w:id="81" w:name="_Toc30693351"/>
      <w:bookmarkStart w:id="82" w:name="_Toc30693729"/>
      <w:bookmarkStart w:id="83" w:name="_Toc30694107"/>
      <w:bookmarkStart w:id="84" w:name="_Toc30694487"/>
      <w:bookmarkStart w:id="85" w:name="_Toc30699077"/>
      <w:bookmarkStart w:id="86" w:name="_Toc30699462"/>
      <w:bookmarkStart w:id="87" w:name="_Toc30699847"/>
      <w:bookmarkStart w:id="88" w:name="_Toc30701002"/>
      <w:bookmarkStart w:id="89" w:name="_Toc30701389"/>
      <w:bookmarkStart w:id="90" w:name="_Toc30743996"/>
      <w:bookmarkStart w:id="91" w:name="_Toc30754819"/>
      <w:bookmarkStart w:id="92" w:name="_Toc30757275"/>
      <w:bookmarkStart w:id="93" w:name="_Toc30757823"/>
      <w:bookmarkStart w:id="94" w:name="_Toc30758223"/>
      <w:bookmarkStart w:id="95" w:name="_Toc30762984"/>
      <w:bookmarkStart w:id="96" w:name="_Toc30767638"/>
      <w:bookmarkStart w:id="97" w:name="_Toc34823656"/>
      <w:bookmarkStart w:id="98" w:name="_Toc107101733"/>
      <w:bookmarkEnd w:id="74"/>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R v Reth Mao</w:t>
      </w:r>
      <w:r w:rsidR="005C477E" w:rsidRPr="001C6E0E">
        <w:rPr>
          <w:rFonts w:ascii="Arial" w:hAnsi="Arial" w:cs="Arial"/>
          <w:color w:val="000000"/>
          <w:sz w:val="20"/>
        </w:rPr>
        <w:t xml:space="preserve"> [2006] VSCA 36 at [38]-[42].</w:t>
      </w:r>
    </w:p>
    <w:p w14:paraId="734BA014" w14:textId="77777777" w:rsidR="00BF52E5" w:rsidRDefault="00BF52E5">
      <w:pPr>
        <w:jc w:val="both"/>
        <w:rPr>
          <w:rFonts w:ascii="Arial" w:hAnsi="Arial" w:cs="Arial"/>
          <w:color w:val="000000"/>
          <w:sz w:val="20"/>
        </w:rPr>
      </w:pPr>
    </w:p>
    <w:p w14:paraId="26307894" w14:textId="1F05A43F" w:rsidR="00942618" w:rsidRDefault="00085F5A">
      <w:pPr>
        <w:jc w:val="both"/>
        <w:rPr>
          <w:rFonts w:ascii="Arial" w:hAnsi="Arial" w:cs="Arial"/>
          <w:color w:val="000000"/>
          <w:sz w:val="20"/>
        </w:rPr>
      </w:pPr>
      <w:r>
        <w:rPr>
          <w:rFonts w:ascii="Arial" w:hAnsi="Arial" w:cs="Arial"/>
          <w:color w:val="000000"/>
          <w:sz w:val="20"/>
        </w:rPr>
        <w:t xml:space="preserve">In relation to </w:t>
      </w:r>
      <w:r w:rsidR="00E86178">
        <w:rPr>
          <w:rFonts w:ascii="Arial" w:hAnsi="Arial" w:cs="Arial"/>
          <w:color w:val="000000"/>
          <w:sz w:val="20"/>
        </w:rPr>
        <w:t xml:space="preserve">general deterrence </w:t>
      </w:r>
      <w:r w:rsidR="00E86178" w:rsidRPr="001C6E0E">
        <w:rPr>
          <w:rFonts w:ascii="Arial" w:hAnsi="Arial" w:cs="Arial"/>
          <w:color w:val="000000"/>
          <w:sz w:val="20"/>
        </w:rPr>
        <w:t xml:space="preserve">{item </w:t>
      </w:r>
      <w:r w:rsidR="00E86178" w:rsidRPr="001C6E0E">
        <w:rPr>
          <w:rFonts w:ascii="Arial" w:hAnsi="Arial" w:cs="Arial"/>
          <w:color w:val="000000"/>
          <w:sz w:val="20"/>
        </w:rPr>
        <w:sym w:font="Wingdings" w:char="F08E"/>
      </w:r>
      <w:r w:rsidR="00E86178" w:rsidRPr="001C6E0E">
        <w:rPr>
          <w:rFonts w:ascii="Arial" w:hAnsi="Arial" w:cs="Arial"/>
          <w:color w:val="000000"/>
          <w:sz w:val="20"/>
        </w:rPr>
        <w:t xml:space="preserve">} </w:t>
      </w:r>
      <w:r w:rsidR="00E86178">
        <w:rPr>
          <w:rFonts w:ascii="Arial" w:hAnsi="Arial" w:cs="Arial"/>
          <w:color w:val="000000"/>
          <w:sz w:val="20"/>
        </w:rPr>
        <w:t xml:space="preserve">as a sentencing </w:t>
      </w:r>
      <w:r w:rsidR="001035E4">
        <w:rPr>
          <w:rFonts w:ascii="Arial" w:hAnsi="Arial" w:cs="Arial"/>
          <w:color w:val="000000"/>
          <w:sz w:val="20"/>
        </w:rPr>
        <w:t xml:space="preserve">principle for adult offenders, Champion J – in sentencing a </w:t>
      </w:r>
      <w:r w:rsidR="003B0558">
        <w:rPr>
          <w:rFonts w:ascii="Arial" w:hAnsi="Arial" w:cs="Arial"/>
          <w:color w:val="000000"/>
          <w:sz w:val="20"/>
        </w:rPr>
        <w:t xml:space="preserve">23 year old offender </w:t>
      </w:r>
      <w:r w:rsidR="004E1E04">
        <w:rPr>
          <w:rFonts w:ascii="Arial" w:hAnsi="Arial" w:cs="Arial"/>
          <w:color w:val="000000"/>
          <w:sz w:val="20"/>
        </w:rPr>
        <w:t xml:space="preserve">on a charge of manslaughter </w:t>
      </w:r>
      <w:r w:rsidR="00677FD4">
        <w:rPr>
          <w:rFonts w:ascii="Arial" w:hAnsi="Arial" w:cs="Arial"/>
          <w:color w:val="000000"/>
          <w:sz w:val="20"/>
        </w:rPr>
        <w:t>–</w:t>
      </w:r>
      <w:r w:rsidR="004E1E04">
        <w:rPr>
          <w:rFonts w:ascii="Arial" w:hAnsi="Arial" w:cs="Arial"/>
          <w:color w:val="000000"/>
          <w:sz w:val="20"/>
        </w:rPr>
        <w:t xml:space="preserve"> </w:t>
      </w:r>
      <w:r w:rsidR="00677FD4">
        <w:rPr>
          <w:rFonts w:ascii="Arial" w:hAnsi="Arial" w:cs="Arial"/>
          <w:color w:val="000000"/>
          <w:sz w:val="20"/>
        </w:rPr>
        <w:t>held</w:t>
      </w:r>
      <w:r w:rsidR="00D65917">
        <w:rPr>
          <w:rFonts w:ascii="Arial" w:hAnsi="Arial" w:cs="Arial"/>
          <w:color w:val="000000"/>
          <w:sz w:val="20"/>
        </w:rPr>
        <w:t xml:space="preserve"> in</w:t>
      </w:r>
      <w:r w:rsidR="00677FD4">
        <w:rPr>
          <w:rFonts w:ascii="Arial" w:hAnsi="Arial" w:cs="Arial"/>
          <w:color w:val="000000"/>
          <w:sz w:val="20"/>
        </w:rPr>
        <w:t xml:space="preserve"> </w:t>
      </w:r>
      <w:r w:rsidR="00D65917" w:rsidRPr="00794C39">
        <w:rPr>
          <w:rFonts w:ascii="Arial" w:hAnsi="Arial" w:cs="Arial"/>
          <w:i/>
          <w:iCs/>
          <w:color w:val="000000"/>
          <w:sz w:val="20"/>
        </w:rPr>
        <w:t>R v Deng</w:t>
      </w:r>
      <w:r w:rsidR="00D65917">
        <w:rPr>
          <w:rFonts w:ascii="Arial" w:hAnsi="Arial" w:cs="Arial"/>
          <w:color w:val="000000"/>
          <w:sz w:val="20"/>
        </w:rPr>
        <w:t xml:space="preserve"> [2023] VSC 257 </w:t>
      </w:r>
      <w:r w:rsidR="00677FD4">
        <w:rPr>
          <w:rFonts w:ascii="Arial" w:hAnsi="Arial" w:cs="Arial"/>
          <w:color w:val="000000"/>
          <w:sz w:val="20"/>
        </w:rPr>
        <w:t>that general deterrence and just punishment were important</w:t>
      </w:r>
      <w:r w:rsidR="00655312">
        <w:rPr>
          <w:rFonts w:ascii="Arial" w:hAnsi="Arial" w:cs="Arial"/>
          <w:color w:val="000000"/>
          <w:sz w:val="20"/>
        </w:rPr>
        <w:t>.  His</w:t>
      </w:r>
      <w:r w:rsidR="006A18E4">
        <w:rPr>
          <w:rFonts w:ascii="Arial" w:hAnsi="Arial" w:cs="Arial"/>
          <w:color w:val="000000"/>
          <w:sz w:val="20"/>
        </w:rPr>
        <w:t> </w:t>
      </w:r>
      <w:r w:rsidR="00655312">
        <w:rPr>
          <w:rFonts w:ascii="Arial" w:hAnsi="Arial" w:cs="Arial"/>
          <w:color w:val="000000"/>
          <w:sz w:val="20"/>
        </w:rPr>
        <w:t>Honour said at [</w:t>
      </w:r>
      <w:r w:rsidR="00875972">
        <w:rPr>
          <w:rFonts w:ascii="Arial" w:hAnsi="Arial" w:cs="Arial"/>
          <w:color w:val="000000"/>
          <w:sz w:val="20"/>
        </w:rPr>
        <w:t>169</w:t>
      </w:r>
      <w:r w:rsidR="00655312">
        <w:rPr>
          <w:rFonts w:ascii="Arial" w:hAnsi="Arial" w:cs="Arial"/>
          <w:color w:val="000000"/>
          <w:sz w:val="20"/>
        </w:rPr>
        <w:t>]</w:t>
      </w:r>
      <w:r w:rsidR="000C7F56">
        <w:rPr>
          <w:rFonts w:ascii="Arial" w:hAnsi="Arial" w:cs="Arial"/>
          <w:color w:val="000000"/>
          <w:sz w:val="20"/>
        </w:rPr>
        <w:t xml:space="preserve">, citing a large number of </w:t>
      </w:r>
      <w:r w:rsidR="008D21CF">
        <w:rPr>
          <w:rFonts w:ascii="Arial" w:hAnsi="Arial" w:cs="Arial"/>
          <w:color w:val="000000"/>
          <w:sz w:val="20"/>
        </w:rPr>
        <w:t xml:space="preserve">relatively </w:t>
      </w:r>
      <w:r w:rsidR="000C7F56">
        <w:rPr>
          <w:rFonts w:ascii="Arial" w:hAnsi="Arial" w:cs="Arial"/>
          <w:color w:val="000000"/>
          <w:sz w:val="20"/>
        </w:rPr>
        <w:t>recent cases in support of propositions [1] to [6]</w:t>
      </w:r>
      <w:r w:rsidR="00655312">
        <w:rPr>
          <w:rFonts w:ascii="Arial" w:hAnsi="Arial" w:cs="Arial"/>
          <w:color w:val="000000"/>
          <w:sz w:val="20"/>
        </w:rPr>
        <w:t>:</w:t>
      </w:r>
    </w:p>
    <w:p w14:paraId="15753CB9" w14:textId="367AB5BE" w:rsidR="0036381E" w:rsidRDefault="00655312" w:rsidP="00655312">
      <w:pPr>
        <w:spacing w:before="60"/>
        <w:ind w:left="454" w:right="454"/>
        <w:jc w:val="both"/>
        <w:rPr>
          <w:rFonts w:ascii="Arial" w:hAnsi="Arial" w:cs="Arial"/>
          <w:color w:val="000000"/>
          <w:sz w:val="20"/>
        </w:rPr>
      </w:pPr>
      <w:r>
        <w:rPr>
          <w:rFonts w:ascii="Arial" w:hAnsi="Arial" w:cs="Arial"/>
          <w:color w:val="000000"/>
          <w:sz w:val="20"/>
        </w:rPr>
        <w:t>“</w:t>
      </w:r>
      <w:r w:rsidR="004F0CA7">
        <w:rPr>
          <w:rFonts w:ascii="Arial" w:hAnsi="Arial" w:cs="Arial"/>
          <w:color w:val="000000"/>
          <w:sz w:val="20"/>
        </w:rPr>
        <w:t xml:space="preserve">Regarding general deterrence, this principle takes priority in circumstances where public safety is put at risk </w:t>
      </w:r>
      <w:r w:rsidR="0036381E">
        <w:rPr>
          <w:rFonts w:ascii="Arial" w:hAnsi="Arial" w:cs="Arial"/>
          <w:color w:val="000000"/>
          <w:sz w:val="20"/>
        </w:rPr>
        <w:t>[1]</w:t>
      </w:r>
      <w:r w:rsidR="00F53831">
        <w:rPr>
          <w:rFonts w:ascii="Arial" w:hAnsi="Arial" w:cs="Arial"/>
          <w:color w:val="000000"/>
          <w:sz w:val="20"/>
        </w:rPr>
        <w:t>, such as cases involving street violence [2], drugs [3]</w:t>
      </w:r>
      <w:r w:rsidR="00246B46">
        <w:rPr>
          <w:rFonts w:ascii="Arial" w:hAnsi="Arial" w:cs="Arial"/>
          <w:color w:val="000000"/>
          <w:sz w:val="20"/>
        </w:rPr>
        <w:t xml:space="preserve">, alcohol [4] or unprovoked attacks [5].  </w:t>
      </w:r>
      <w:r w:rsidR="0036375C" w:rsidRPr="004F0CA7">
        <w:rPr>
          <w:rFonts w:ascii="Arial" w:hAnsi="Arial" w:cs="Arial"/>
          <w:sz w:val="20"/>
          <w:szCs w:val="20"/>
        </w:rPr>
        <w:t>General deterrence will also be of particular importance if the offending is committed in breach of a court order such as bail</w:t>
      </w:r>
      <w:r w:rsidR="0036375C">
        <w:rPr>
          <w:rFonts w:ascii="Arial" w:hAnsi="Arial" w:cs="Arial"/>
          <w:sz w:val="20"/>
          <w:szCs w:val="20"/>
        </w:rPr>
        <w:t xml:space="preserve"> [6]</w:t>
      </w:r>
      <w:r w:rsidR="0036375C" w:rsidRPr="004F0CA7">
        <w:rPr>
          <w:rFonts w:ascii="Arial" w:hAnsi="Arial" w:cs="Arial"/>
          <w:sz w:val="20"/>
          <w:szCs w:val="20"/>
        </w:rPr>
        <w:t>. All of these factors are, to varying degrees, present in your case. I therefore consider general deterrence to be important in the circumstances.</w:t>
      </w:r>
      <w:r w:rsidR="0036375C">
        <w:rPr>
          <w:rFonts w:ascii="Arial" w:hAnsi="Arial" w:cs="Arial"/>
          <w:sz w:val="20"/>
          <w:szCs w:val="20"/>
        </w:rPr>
        <w:t>”</w:t>
      </w:r>
    </w:p>
    <w:p w14:paraId="08C5DEE4" w14:textId="77777777" w:rsidR="006A18E4" w:rsidRDefault="006A18E4" w:rsidP="006A18E4">
      <w:pPr>
        <w:jc w:val="both"/>
        <w:rPr>
          <w:rFonts w:ascii="Arial" w:hAnsi="Arial" w:cs="Arial"/>
          <w:color w:val="000000"/>
          <w:sz w:val="20"/>
        </w:rPr>
      </w:pPr>
    </w:p>
    <w:p w14:paraId="3749071E" w14:textId="610A3E2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001B1DD9">
        <w:rPr>
          <w:rFonts w:ascii="Arial" w:hAnsi="Arial" w:cs="Arial"/>
          <w:color w:val="000000"/>
          <w:sz w:val="20"/>
        </w:rPr>
        <w:t xml:space="preserve">relation to item </w:t>
      </w:r>
      <w:r w:rsidR="001B1DD9" w:rsidRPr="001C6E0E">
        <w:rPr>
          <w:rFonts w:ascii="Arial" w:hAnsi="Arial" w:cs="Arial"/>
          <w:color w:val="000000"/>
          <w:sz w:val="20"/>
        </w:rPr>
        <w:sym w:font="Wingdings" w:char="F08F"/>
      </w:r>
      <w:r w:rsidR="001B1DD9">
        <w:rPr>
          <w:rFonts w:ascii="Arial" w:hAnsi="Arial" w:cs="Arial"/>
          <w:color w:val="000000"/>
          <w:sz w:val="20"/>
        </w:rPr>
        <w:t xml:space="preserve"> </w:t>
      </w:r>
      <w:r w:rsidR="00767D6E" w:rsidRPr="001C6E0E">
        <w:rPr>
          <w:rFonts w:ascii="Arial" w:hAnsi="Arial" w:cs="Arial"/>
          <w:color w:val="000000"/>
          <w:sz w:val="20"/>
        </w:rPr>
        <w:t>Maxwell P, with whom Chernov JA &amp; Habersberger AJA agreed, said</w:t>
      </w:r>
      <w:r w:rsidR="00BA2433">
        <w:rPr>
          <w:rFonts w:ascii="Arial" w:hAnsi="Arial" w:cs="Arial"/>
          <w:color w:val="000000"/>
          <w:sz w:val="20"/>
        </w:rPr>
        <w:t xml:space="preserve"> in</w:t>
      </w:r>
      <w:r w:rsidR="000509E7" w:rsidRPr="001C6E0E">
        <w:rPr>
          <w:rFonts w:ascii="Arial" w:hAnsi="Arial" w:cs="Arial"/>
          <w:color w:val="000000"/>
          <w:sz w:val="20"/>
        </w:rPr>
        <w:t xml:space="preserve"> </w:t>
      </w:r>
      <w:r w:rsidR="00BA2433" w:rsidRPr="001C6E0E">
        <w:rPr>
          <w:rFonts w:ascii="Arial" w:hAnsi="Arial" w:cs="Arial"/>
          <w:i/>
          <w:color w:val="000000"/>
          <w:sz w:val="20"/>
        </w:rPr>
        <w:t>R v Merrett</w:t>
      </w:r>
      <w:r w:rsidR="00BA2433">
        <w:rPr>
          <w:rFonts w:ascii="Arial" w:hAnsi="Arial" w:cs="Arial"/>
          <w:i/>
          <w:color w:val="000000"/>
          <w:sz w:val="20"/>
        </w:rPr>
        <w:t xml:space="preserve">, Piggott </w:t>
      </w:r>
      <w:r w:rsidR="00BA2433" w:rsidRPr="001C6E0E">
        <w:rPr>
          <w:rFonts w:ascii="Arial" w:hAnsi="Arial" w:cs="Arial"/>
          <w:i/>
          <w:color w:val="000000"/>
          <w:sz w:val="20"/>
        </w:rPr>
        <w:t xml:space="preserve">&amp; </w:t>
      </w:r>
      <w:r w:rsidR="00BA2433">
        <w:rPr>
          <w:rFonts w:ascii="Arial" w:hAnsi="Arial" w:cs="Arial"/>
          <w:i/>
          <w:color w:val="000000"/>
          <w:sz w:val="20"/>
        </w:rPr>
        <w:t>Ferrari</w:t>
      </w:r>
      <w:r w:rsidR="00BA2433" w:rsidRPr="001C6E0E">
        <w:rPr>
          <w:rFonts w:ascii="Arial" w:hAnsi="Arial" w:cs="Arial"/>
          <w:color w:val="000000"/>
          <w:sz w:val="20"/>
        </w:rPr>
        <w:t xml:space="preserve"> </w:t>
      </w:r>
      <w:r w:rsidR="00BA2433">
        <w:rPr>
          <w:rFonts w:ascii="Arial" w:hAnsi="Arial" w:cs="Arial"/>
          <w:color w:val="000000"/>
          <w:sz w:val="20"/>
        </w:rPr>
        <w:t xml:space="preserve">(2007) 14 VR 392; </w:t>
      </w:r>
      <w:r w:rsidR="00BA2433" w:rsidRPr="001C6E0E">
        <w:rPr>
          <w:rFonts w:ascii="Arial" w:hAnsi="Arial" w:cs="Arial"/>
          <w:color w:val="000000"/>
          <w:sz w:val="20"/>
        </w:rPr>
        <w:t>[2007] VSCA 1</w:t>
      </w:r>
      <w:r w:rsidR="00BA2433">
        <w:rPr>
          <w:rFonts w:ascii="Arial" w:hAnsi="Arial" w:cs="Arial"/>
          <w:color w:val="000000"/>
          <w:sz w:val="20"/>
        </w:rPr>
        <w:t xml:space="preserve"> </w:t>
      </w:r>
      <w:r w:rsidR="000509E7" w:rsidRPr="001C6E0E">
        <w:rPr>
          <w:rFonts w:ascii="Arial" w:hAnsi="Arial" w:cs="Arial"/>
          <w:color w:val="000000"/>
          <w:sz w:val="20"/>
        </w:rPr>
        <w:t>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The Queen v Tiburcy</w:t>
      </w:r>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Samarentsis</w:t>
      </w:r>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turn around”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R v Osenkowski</w:t>
      </w:r>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AG v Chmil, Zanoni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1C6E0E" w:rsidRDefault="0083184A" w:rsidP="0087036F">
      <w:pPr>
        <w:spacing w:before="80" w:after="80"/>
        <w:ind w:left="907" w:right="907"/>
        <w:jc w:val="both"/>
        <w:rPr>
          <w:rFonts w:ascii="Arial" w:hAnsi="Arial" w:cs="Arial"/>
          <w:color w:val="000000"/>
          <w:sz w:val="20"/>
        </w:rPr>
      </w:pPr>
      <w:r w:rsidRPr="0083184A">
        <w:rPr>
          <w:rFonts w:ascii="Arial" w:hAnsi="Arial" w:cs="Arial"/>
          <w:sz w:val="20"/>
        </w:rPr>
        <w:t xml:space="preserve">‘I think it should be remembered that in the long run the community is better served and better protected if a young offender is rehabilitated and led away from </w:t>
      </w:r>
      <w:r w:rsidRPr="0083184A">
        <w:rPr>
          <w:rFonts w:ascii="Arial" w:hAnsi="Arial" w:cs="Arial"/>
          <w:sz w:val="20"/>
        </w:rPr>
        <w:lastRenderedPageBreak/>
        <w:t>a life of crime than if after a short or long gaol sentence, imposed to satisfy a public clamour for retribution, he is taught the ways of the criminal.</w:t>
      </w:r>
      <w:r>
        <w:rPr>
          <w:rFonts w:ascii="Arial" w:hAnsi="Arial" w:cs="Arial"/>
          <w:sz w:val="20"/>
        </w:rPr>
        <w:t>’</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t xml:space="preserve">[It] </w:t>
      </w:r>
      <w:r w:rsidRPr="0083184A">
        <w:rPr>
          <w:rFonts w:ascii="Arial" w:hAnsi="Arial" w:cs="Arial"/>
          <w:sz w:val="20"/>
        </w:rPr>
        <w:t xml:space="preserve">also underpinned the observations that King CJ made in </w:t>
      </w:r>
      <w:r w:rsidRPr="0083184A">
        <w:rPr>
          <w:rFonts w:ascii="Arial" w:eastAsia="Book Antiqua" w:hAnsi="Arial" w:cs="Arial"/>
          <w:i/>
          <w:sz w:val="20"/>
        </w:rPr>
        <w:t>Osenkowski</w:t>
      </w:r>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R v Williscroft</w:t>
      </w:r>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Jiaming Gui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r w:rsidRPr="0080692A">
        <w:rPr>
          <w:rFonts w:ascii="Arial" w:hAnsi="Arial" w:cs="Arial"/>
          <w:i/>
          <w:iCs/>
          <w:sz w:val="20"/>
          <w:szCs w:val="20"/>
        </w:rPr>
        <w:t>Chmil’s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2ECE5125" w14:textId="5E1CE495" w:rsidR="00BF52E5" w:rsidRPr="001C6E0E" w:rsidRDefault="00BF52E5">
      <w:pPr>
        <w:pStyle w:val="Heading3"/>
        <w:keepNext/>
        <w:spacing w:after="120" w:line="240" w:lineRule="auto"/>
        <w:rPr>
          <w:rFonts w:ascii="Arial" w:hAnsi="Arial" w:cs="Arial"/>
          <w:b/>
          <w:bCs/>
          <w:color w:val="000000"/>
          <w:sz w:val="20"/>
        </w:rPr>
      </w:pPr>
      <w:bookmarkStart w:id="99" w:name="_11.1.3_Sentencing_of"/>
      <w:bookmarkStart w:id="100" w:name="_Toc30671661"/>
      <w:bookmarkStart w:id="101" w:name="_Toc30674188"/>
      <w:bookmarkStart w:id="102" w:name="_Toc30691455"/>
      <w:bookmarkStart w:id="103" w:name="_Toc30691835"/>
      <w:bookmarkStart w:id="104" w:name="_Toc30692215"/>
      <w:bookmarkStart w:id="105" w:name="_Toc30692973"/>
      <w:bookmarkStart w:id="106" w:name="_Toc30693352"/>
      <w:bookmarkStart w:id="107" w:name="_Toc30693730"/>
      <w:bookmarkStart w:id="108" w:name="_Toc30694108"/>
      <w:bookmarkStart w:id="109" w:name="_Toc30694488"/>
      <w:bookmarkStart w:id="110" w:name="_Toc30699078"/>
      <w:bookmarkStart w:id="111" w:name="_Toc30699463"/>
      <w:bookmarkStart w:id="112" w:name="_Toc30699848"/>
      <w:bookmarkStart w:id="113" w:name="_Toc30701003"/>
      <w:bookmarkStart w:id="114" w:name="_Toc30701390"/>
      <w:bookmarkStart w:id="115" w:name="_Toc30743997"/>
      <w:bookmarkStart w:id="116" w:name="_Toc30754820"/>
      <w:bookmarkStart w:id="117" w:name="_Toc30757276"/>
      <w:bookmarkStart w:id="118" w:name="_Toc30757824"/>
      <w:bookmarkStart w:id="119" w:name="_Toc30758224"/>
      <w:bookmarkStart w:id="120" w:name="_Toc30762985"/>
      <w:bookmarkStart w:id="121" w:name="_Toc30767639"/>
      <w:bookmarkStart w:id="122" w:name="_Toc34823657"/>
      <w:bookmarkStart w:id="123" w:name="_Toc107101734"/>
      <w:bookmarkEnd w:id="99"/>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001C4487">
        <w:rPr>
          <w:rFonts w:ascii="Arial" w:hAnsi="Arial" w:cs="Arial"/>
          <w:b/>
          <w:bCs/>
          <w:color w:val="000000"/>
          <w:sz w:val="20"/>
        </w:rPr>
        <w:t>children</w:t>
      </w:r>
    </w:p>
    <w:p w14:paraId="3C0BBA4E" w14:textId="461597AD"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067822" w:rsidRPr="00630CBF">
        <w:rPr>
          <w:rFonts w:ascii="Arial" w:hAnsi="Arial" w:cs="Arial"/>
          <w:color w:val="000000"/>
          <w:sz w:val="20"/>
        </w:rPr>
        <w:t> </w:t>
      </w:r>
      <w:r w:rsidRPr="00630CBF">
        <w:rPr>
          <w:rFonts w:ascii="Arial" w:hAnsi="Arial" w:cs="Arial"/>
          <w:color w:val="000000"/>
          <w:sz w:val="20"/>
        </w:rPr>
        <w:t>Fox and</w:t>
      </w:r>
      <w:r w:rsidRPr="001C6E0E">
        <w:rPr>
          <w:rFonts w:ascii="Arial" w:hAnsi="Arial" w:cs="Arial"/>
          <w:color w:val="000000"/>
          <w:sz w:val="20"/>
        </w:rPr>
        <w:t xml:space="preserve">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0B9EEA13"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not consider children and young persons merely to be little adults.</w:t>
      </w:r>
      <w:r w:rsidR="00C72EF7" w:rsidRPr="001C6E0E">
        <w:rPr>
          <w:rFonts w:ascii="Arial" w:hAnsi="Arial" w:cs="Arial"/>
          <w:color w:val="000000"/>
          <w:sz w:val="20"/>
        </w:rPr>
        <w:t xml:space="preserve">  </w:t>
      </w:r>
      <w:bookmarkStart w:id="124" w:name="_Toc30694489"/>
      <w:bookmarkStart w:id="125" w:name="_Toc30699079"/>
      <w:bookmarkStart w:id="126" w:name="_Toc30699464"/>
      <w:bookmarkStart w:id="127" w:name="_Toc30699849"/>
      <w:bookmarkStart w:id="128" w:name="_Toc30701004"/>
      <w:bookmarkStart w:id="129" w:name="_Toc30701391"/>
      <w:bookmarkStart w:id="130" w:name="_Toc30743998"/>
      <w:bookmarkStart w:id="131" w:name="_Toc30754821"/>
      <w:bookmarkStart w:id="132" w:name="_Toc30757277"/>
      <w:bookmarkStart w:id="133" w:name="_Toc30757825"/>
      <w:bookmarkStart w:id="134" w:name="_Toc30758225"/>
      <w:bookmarkStart w:id="135" w:name="_Toc30762986"/>
      <w:bookmarkStart w:id="136" w:name="_Toc30767640"/>
      <w:bookmarkStart w:id="137"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r w:rsidR="00A95709" w:rsidRPr="001C6E0E">
        <w:rPr>
          <w:rFonts w:ascii="Arial" w:hAnsi="Arial" w:cs="Arial"/>
          <w:i/>
          <w:color w:val="000000"/>
          <w:sz w:val="20"/>
        </w:rPr>
        <w:t>Tiburcy</w:t>
      </w:r>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R v Azzopardi, R v Baltatzis,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14:paraId="57D6DF99" w14:textId="77777777" w:rsidR="00BF52E5" w:rsidRPr="001C6E0E" w:rsidRDefault="00BF52E5" w:rsidP="00472E89">
      <w:pPr>
        <w:keepNext/>
        <w:keepLines/>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994"/>
        <w:gridCol w:w="5384"/>
        <w:gridCol w:w="1392"/>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lastRenderedPageBreak/>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0CA0117B"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5B57D62B"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6342AFE3" w:rsidR="00F16449" w:rsidRDefault="00F16449" w:rsidP="00265DCC">
      <w:pPr>
        <w:jc w:val="both"/>
        <w:rPr>
          <w:rFonts w:ascii="Arial" w:hAnsi="Arial" w:cs="Arial"/>
          <w:color w:val="000000"/>
          <w:sz w:val="20"/>
        </w:rPr>
      </w:pPr>
    </w:p>
    <w:p w14:paraId="6159AD06" w14:textId="77777777" w:rsidR="00692C4A" w:rsidRPr="001C6E0E" w:rsidRDefault="00692C4A" w:rsidP="00692C4A">
      <w:pPr>
        <w:jc w:val="both"/>
        <w:rPr>
          <w:rFonts w:ascii="Arial" w:hAnsi="Arial" w:cs="Arial"/>
          <w:color w:val="000000"/>
          <w:sz w:val="20"/>
        </w:rPr>
      </w:pPr>
      <w:r w:rsidRPr="001C6E0E">
        <w:rPr>
          <w:rFonts w:ascii="Arial" w:hAnsi="Arial" w:cs="Arial"/>
          <w:color w:val="000000"/>
          <w:sz w:val="20"/>
        </w:rPr>
        <w:t xml:space="preserve">See also the judgment of Southwell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484FA90E" w14:textId="77777777" w:rsidR="00692C4A" w:rsidRPr="001C6E0E" w:rsidRDefault="00692C4A" w:rsidP="00692C4A">
      <w:pPr>
        <w:jc w:val="both"/>
        <w:rPr>
          <w:rFonts w:ascii="Arial" w:hAnsi="Arial" w:cs="Arial"/>
          <w:color w:val="000000"/>
          <w:sz w:val="20"/>
        </w:rPr>
      </w:pPr>
    </w:p>
    <w:p w14:paraId="33154AD0" w14:textId="77777777" w:rsidR="00692C4A" w:rsidRDefault="00692C4A" w:rsidP="00692C4A">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(2011) 32 VR 641; [2011] VSCA 228 the Court of Appeal (Maxwell P, Harper JA</w:t>
      </w:r>
      <w:r w:rsidRPr="001C6E0E">
        <w:rPr>
          <w:rFonts w:ascii="Arial" w:hAnsi="Arial" w:cs="Arial"/>
          <w:color w:val="000000"/>
          <w:sz w:val="20"/>
        </w:rPr>
        <w:t xml:space="preserve"> &amp; Lasry AJA) at </w:t>
      </w:r>
      <w:r>
        <w:rPr>
          <w:rFonts w:ascii="Arial" w:hAnsi="Arial" w:cs="Arial"/>
          <w:color w:val="000000"/>
          <w:sz w:val="20"/>
        </w:rPr>
        <w:t>[38]-</w:t>
      </w:r>
      <w:r w:rsidRPr="001C6E0E">
        <w:rPr>
          <w:rFonts w:ascii="Arial" w:hAnsi="Arial" w:cs="Arial"/>
          <w:color w:val="000000"/>
          <w:sz w:val="20"/>
        </w:rPr>
        <w:t>[39] summed up the principles involved in sentencing a child under the CYFA:</w:t>
      </w:r>
    </w:p>
    <w:p w14:paraId="52E3E767" w14:textId="77777777" w:rsidR="00692C4A"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[O]ur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0C312C18" w14:textId="77777777" w:rsidR="00692C4A" w:rsidRPr="001C6E0E"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57547BE" w14:textId="77777777" w:rsidR="00692C4A" w:rsidRPr="00630CBF" w:rsidRDefault="00692C4A" w:rsidP="00692C4A">
      <w:pPr>
        <w:jc w:val="both"/>
        <w:rPr>
          <w:rFonts w:ascii="Arial" w:hAnsi="Arial" w:cs="Arial"/>
          <w:color w:val="000000"/>
          <w:sz w:val="20"/>
        </w:rPr>
      </w:pPr>
    </w:p>
    <w:p w14:paraId="0F4E389D" w14:textId="77777777" w:rsidR="00692C4A" w:rsidRPr="00630CBF" w:rsidRDefault="00692C4A" w:rsidP="00692C4A">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wiith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[2003] VSCA 223 [44].  At [6]-[10] &amp; [28] their Honours summarized the significant distinction between sentencing of adults and sentencing of young offenders as follows-</w:t>
      </w:r>
    </w:p>
    <w:p w14:paraId="46DEAACA"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w:t>
      </w:r>
      <w:r>
        <w:rPr>
          <w:rFonts w:ascii="Arial" w:hAnsi="Arial" w:cs="Arial"/>
          <w:color w:val="000000"/>
          <w:sz w:val="20"/>
        </w:rPr>
        <w:lastRenderedPageBreak/>
        <w:t xml:space="preserve">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VSCA 342 [104]-[105].  On the other hand, the public interest in the rehabilitation of an offender is never greater than in the case of a young offender.</w:t>
      </w:r>
    </w:p>
    <w:p w14:paraId="674AD35C"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3C9B514E"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D8AF1DB"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[9]...[T]he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466D3434"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been overlooked or undervalued…</w:t>
      </w:r>
    </w:p>
    <w:p w14:paraId="667879F7"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K.Richards,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policy is well supported by the extensive research into adolescent development conducted over the past 30 years: C M Chu and J R P Ogloff,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36EBF915" w14:textId="77777777" w:rsidR="00692C4A" w:rsidRDefault="00692C4A" w:rsidP="00692C4A">
      <w:pPr>
        <w:jc w:val="both"/>
        <w:rPr>
          <w:rFonts w:ascii="Arial" w:hAnsi="Arial" w:cs="Arial"/>
          <w:color w:val="000000"/>
          <w:sz w:val="20"/>
        </w:rPr>
      </w:pPr>
    </w:p>
    <w:p w14:paraId="15BF7A3E" w14:textId="77777777" w:rsidR="00692C4A" w:rsidRDefault="00692C4A" w:rsidP="00692C4A">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and of Maxwell P &amp; Redlich JA in </w:t>
      </w:r>
      <w:r w:rsidRPr="00B74D33">
        <w:rPr>
          <w:rFonts w:ascii="Arial" w:hAnsi="Arial" w:cs="Arial"/>
          <w:i/>
          <w:color w:val="000000"/>
          <w:sz w:val="20"/>
        </w:rPr>
        <w:t>Webster v The Queen</w:t>
      </w:r>
      <w:r>
        <w:rPr>
          <w:rFonts w:ascii="Arial" w:hAnsi="Arial" w:cs="Arial"/>
          <w:color w:val="000000"/>
          <w:sz w:val="20"/>
        </w:rPr>
        <w:t xml:space="preserve"> </w:t>
      </w:r>
      <w:r w:rsidRPr="00630CBF">
        <w:rPr>
          <w:rFonts w:ascii="Arial" w:hAnsi="Arial" w:cs="Arial"/>
          <w:color w:val="000000"/>
          <w:sz w:val="20"/>
        </w:rPr>
        <w:t>[2016] VSCA 66</w:t>
      </w:r>
      <w:r>
        <w:rPr>
          <w:rFonts w:ascii="Arial" w:hAnsi="Arial" w:cs="Arial"/>
          <w:color w:val="000000"/>
          <w:sz w:val="20"/>
        </w:rPr>
        <w:t xml:space="preserve"> at [7] was quoted and applied by Judge Chambers in </w:t>
      </w:r>
      <w:r w:rsidRPr="00B74D33">
        <w:rPr>
          <w:rFonts w:ascii="Arial" w:hAnsi="Arial" w:cs="Arial"/>
          <w:i/>
          <w:color w:val="000000"/>
          <w:sz w:val="20"/>
        </w:rPr>
        <w:t>DPP v SI (a child)</w:t>
      </w:r>
      <w:r>
        <w:rPr>
          <w:rFonts w:ascii="Arial" w:hAnsi="Arial" w:cs="Arial"/>
          <w:color w:val="000000"/>
          <w:sz w:val="20"/>
        </w:rPr>
        <w:t xml:space="preserve"> [2018] VChC 3 at [37]-[39].</w:t>
      </w:r>
    </w:p>
    <w:p w14:paraId="510FAC81" w14:textId="77777777" w:rsidR="00692C4A" w:rsidRDefault="00692C4A"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24000BEF" w:rsidR="00F432F5" w:rsidRDefault="00F432F5" w:rsidP="00F16449">
      <w:pPr>
        <w:rPr>
          <w:rFonts w:ascii="Arial" w:hAnsi="Arial" w:cs="Arial"/>
          <w:color w:val="000000"/>
          <w:sz w:val="20"/>
        </w:rPr>
      </w:pPr>
    </w:p>
    <w:p w14:paraId="30D69D14" w14:textId="798AC2EE" w:rsidR="00DB3549" w:rsidRDefault="00DB3549" w:rsidP="00F16449">
      <w:pPr>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In imposing a sentence of IMP6y/4y Hollingworth J said at [48]-[51]:</w:t>
      </w:r>
    </w:p>
    <w:p w14:paraId="7ACD2984" w14:textId="424505A3"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[48] “</w:t>
      </w:r>
      <w:r w:rsidRPr="00DB3549">
        <w:rPr>
          <w:rFonts w:ascii="Arial" w:hAnsi="Arial" w:cs="Arial"/>
          <w:sz w:val="20"/>
          <w:szCs w:val="20"/>
        </w:rPr>
        <w:t>Your age is another very relevant sentencing consideration. Because you were 17 at the time of offending, you are to be sentenced as a child offender. Very different sentencing principles apply to children, and very different sentences are imposed on them, in recognition of the fact that they are less mature, less able to form moral judgments or control their impulses, and less aware of the consequences of their actions.</w:t>
      </w:r>
    </w:p>
    <w:p w14:paraId="694CD98D" w14:textId="38967B2B"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lastRenderedPageBreak/>
        <w:t xml:space="preserve">[49] </w:t>
      </w:r>
      <w:r w:rsidRPr="00DB3549">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w:t>
      </w:r>
      <w:r>
        <w:rPr>
          <w:rFonts w:ascii="Arial" w:hAnsi="Arial" w:cs="Arial"/>
          <w:sz w:val="20"/>
          <w:szCs w:val="20"/>
        </w:rPr>
        <w:t xml:space="preserve"> </w:t>
      </w:r>
      <w:r w:rsidRPr="00DB3549">
        <w:rPr>
          <w:rFonts w:ascii="Arial" w:hAnsi="Arial" w:cs="Arial"/>
          <w:sz w:val="20"/>
          <w:szCs w:val="20"/>
        </w:rPr>
        <w:t>benefits the community as well as the offender.</w:t>
      </w:r>
    </w:p>
    <w:p w14:paraId="7FFFE879" w14:textId="34923524" w:rsidR="00DB3549" w:rsidRDefault="00DB3549" w:rsidP="00692C4A">
      <w:pPr>
        <w:keepNext/>
        <w:keepLines/>
        <w:spacing w:before="60"/>
        <w:ind w:left="510" w:right="510"/>
        <w:jc w:val="both"/>
        <w:rPr>
          <w:rFonts w:ascii="Arial" w:hAnsi="Arial" w:cs="Arial"/>
          <w:sz w:val="20"/>
          <w:szCs w:val="20"/>
        </w:rPr>
      </w:pPr>
      <w:r>
        <w:rPr>
          <w:rFonts w:ascii="Arial" w:hAnsi="Arial" w:cs="Arial"/>
          <w:sz w:val="20"/>
          <w:szCs w:val="20"/>
        </w:rPr>
        <w:t xml:space="preserve">[50] </w:t>
      </w:r>
      <w:r w:rsidRPr="00DB3549">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80D659D" w14:textId="603B460E" w:rsidR="00DB3549" w:rsidRPr="00265DCC" w:rsidRDefault="00DB3549" w:rsidP="00DB3549">
      <w:pPr>
        <w:spacing w:before="60"/>
        <w:ind w:left="510" w:right="510"/>
        <w:jc w:val="both"/>
        <w:rPr>
          <w:rFonts w:ascii="Arial" w:hAnsi="Arial" w:cs="Arial"/>
          <w:color w:val="000000"/>
          <w:sz w:val="20"/>
          <w:szCs w:val="20"/>
        </w:rPr>
      </w:pPr>
      <w:r>
        <w:rPr>
          <w:rFonts w:ascii="Arial" w:hAnsi="Arial" w:cs="Arial"/>
          <w:sz w:val="20"/>
          <w:szCs w:val="20"/>
        </w:rPr>
        <w:t xml:space="preserve">[51] </w:t>
      </w:r>
      <w:r w:rsidRPr="00DB3549">
        <w:rPr>
          <w:rFonts w:ascii="Arial" w:hAnsi="Arial" w:cs="Arial"/>
          <w:sz w:val="20"/>
          <w:szCs w:val="20"/>
        </w:rPr>
        <w:t>All of these considerations can and do lead to children receiving sentences which would be regarded as entirely inappropriate in the case of older individuals.</w:t>
      </w:r>
      <w:r>
        <w:rPr>
          <w:rFonts w:ascii="Arial" w:hAnsi="Arial" w:cs="Arial"/>
          <w:sz w:val="20"/>
          <w:szCs w:val="20"/>
        </w:rPr>
        <w:t>”</w:t>
      </w:r>
    </w:p>
    <w:p w14:paraId="1DC9E490" w14:textId="4B53A0DF" w:rsidR="00DB3549" w:rsidRDefault="00DB3549" w:rsidP="00F16449">
      <w:pPr>
        <w:rPr>
          <w:rFonts w:ascii="Arial" w:hAnsi="Arial" w:cs="Arial"/>
          <w:sz w:val="20"/>
          <w:szCs w:val="20"/>
        </w:rPr>
      </w:pPr>
    </w:p>
    <w:p w14:paraId="624F6ED0" w14:textId="518339F6" w:rsidR="00030B49" w:rsidRDefault="00030B49" w:rsidP="00C1074F">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the three young offenders had pleaded guilty </w:t>
      </w:r>
      <w:r w:rsidR="00B6349D">
        <w:rPr>
          <w:rFonts w:ascii="Arial" w:hAnsi="Arial" w:cs="Arial"/>
          <w:sz w:val="20"/>
          <w:szCs w:val="20"/>
        </w:rPr>
        <w:t xml:space="preserve">to </w:t>
      </w:r>
      <w:r w:rsidR="00F811D2">
        <w:rPr>
          <w:rFonts w:ascii="Arial" w:hAnsi="Arial" w:cs="Arial"/>
          <w:sz w:val="20"/>
          <w:szCs w:val="20"/>
        </w:rPr>
        <w:t xml:space="preserve">different offences arising out of their involvement – as part of a </w:t>
      </w:r>
      <w:r w:rsidR="00042F27">
        <w:rPr>
          <w:rFonts w:ascii="Arial" w:hAnsi="Arial" w:cs="Arial"/>
          <w:sz w:val="20"/>
          <w:szCs w:val="20"/>
        </w:rPr>
        <w:t xml:space="preserve">large </w:t>
      </w:r>
      <w:r w:rsidR="00F811D2">
        <w:rPr>
          <w:rFonts w:ascii="Arial" w:hAnsi="Arial" w:cs="Arial"/>
          <w:sz w:val="20"/>
          <w:szCs w:val="20"/>
        </w:rPr>
        <w:t>group of</w:t>
      </w:r>
      <w:r w:rsidR="00983548">
        <w:rPr>
          <w:rFonts w:ascii="Arial" w:hAnsi="Arial" w:cs="Arial"/>
          <w:sz w:val="20"/>
          <w:szCs w:val="20"/>
        </w:rPr>
        <w:t xml:space="preserve"> </w:t>
      </w:r>
      <w:r w:rsidR="00F811D2">
        <w:rPr>
          <w:rFonts w:ascii="Arial" w:hAnsi="Arial" w:cs="Arial"/>
          <w:sz w:val="20"/>
          <w:szCs w:val="20"/>
        </w:rPr>
        <w:t xml:space="preserve">youths – in a frenzied attack with multiple knives on an unarmed </w:t>
      </w:r>
      <w:r w:rsidR="00983548">
        <w:rPr>
          <w:rFonts w:ascii="Arial" w:hAnsi="Arial" w:cs="Arial"/>
          <w:sz w:val="20"/>
          <w:szCs w:val="20"/>
        </w:rPr>
        <w:t>youth</w:t>
      </w:r>
      <w:r w:rsidR="00F811D2">
        <w:rPr>
          <w:rFonts w:ascii="Arial" w:hAnsi="Arial" w:cs="Arial"/>
          <w:sz w:val="20"/>
          <w:szCs w:val="20"/>
        </w:rPr>
        <w:t xml:space="preserve"> [V], culminating in V’s death.  </w:t>
      </w:r>
      <w:r w:rsidR="00C1074F">
        <w:rPr>
          <w:rFonts w:ascii="Arial" w:hAnsi="Arial" w:cs="Arial"/>
          <w:sz w:val="20"/>
          <w:szCs w:val="20"/>
        </w:rPr>
        <w:t xml:space="preserve">Hollingworth J described the </w:t>
      </w:r>
      <w:r w:rsidR="00692C4A">
        <w:rPr>
          <w:rFonts w:ascii="Arial" w:hAnsi="Arial" w:cs="Arial"/>
          <w:sz w:val="20"/>
          <w:szCs w:val="20"/>
        </w:rPr>
        <w:t>attack a</w:t>
      </w:r>
      <w:r w:rsidR="00C1074F">
        <w:rPr>
          <w:rFonts w:ascii="Arial" w:hAnsi="Arial" w:cs="Arial"/>
          <w:sz w:val="20"/>
          <w:szCs w:val="20"/>
        </w:rPr>
        <w:t>s follows</w:t>
      </w:r>
      <w:r w:rsidR="00692C4A">
        <w:rPr>
          <w:rFonts w:ascii="Arial" w:hAnsi="Arial" w:cs="Arial"/>
          <w:sz w:val="20"/>
          <w:szCs w:val="20"/>
        </w:rPr>
        <w:t>:</w:t>
      </w:r>
    </w:p>
    <w:p w14:paraId="60736018" w14:textId="72FC8412" w:rsidR="00692C4A" w:rsidRDefault="00692C4A" w:rsidP="00692C4A">
      <w:pPr>
        <w:spacing w:before="60"/>
        <w:ind w:left="510" w:right="510"/>
        <w:jc w:val="both"/>
        <w:rPr>
          <w:rFonts w:ascii="Arial" w:hAnsi="Arial" w:cs="Arial"/>
          <w:color w:val="000000"/>
          <w:sz w:val="20"/>
          <w:szCs w:val="20"/>
        </w:rPr>
      </w:pPr>
      <w:r>
        <w:rPr>
          <w:rFonts w:ascii="Arial" w:hAnsi="Arial" w:cs="Arial"/>
          <w:color w:val="000000"/>
          <w:sz w:val="20"/>
          <w:szCs w:val="20"/>
        </w:rPr>
        <w:t>[9] “When [your</w:t>
      </w:r>
      <w:r w:rsidR="00C07A9C">
        <w:rPr>
          <w:rFonts w:ascii="Arial" w:hAnsi="Arial" w:cs="Arial"/>
          <w:color w:val="000000"/>
          <w:sz w:val="20"/>
          <w:szCs w:val="20"/>
        </w:rPr>
        <w:t xml:space="preserve"> stolen</w:t>
      </w:r>
      <w:r>
        <w:rPr>
          <w:rFonts w:ascii="Arial" w:hAnsi="Arial" w:cs="Arial"/>
          <w:color w:val="000000"/>
          <w:sz w:val="20"/>
          <w:szCs w:val="20"/>
        </w:rPr>
        <w:t xml:space="preserve">] car reached [V], all </w:t>
      </w:r>
      <w:r w:rsidR="00983548">
        <w:rPr>
          <w:rFonts w:ascii="Arial" w:hAnsi="Arial" w:cs="Arial"/>
          <w:color w:val="000000"/>
          <w:sz w:val="20"/>
          <w:szCs w:val="20"/>
        </w:rPr>
        <w:t>[the occupants]</w:t>
      </w:r>
      <w:r>
        <w:rPr>
          <w:rFonts w:ascii="Arial" w:hAnsi="Arial" w:cs="Arial"/>
          <w:color w:val="000000"/>
          <w:sz w:val="20"/>
          <w:szCs w:val="20"/>
        </w:rPr>
        <w:t xml:space="preserve"> got out of the car and started to chase him.  [V] tried to run away, but was dragged by his jumper onto the nature strip.  Two of your co-accused immediately started stabbing him, while somebody else kicked and stomped on him.  </w:t>
      </w:r>
      <w:r w:rsidR="00C07A9C">
        <w:rPr>
          <w:rFonts w:ascii="Arial" w:hAnsi="Arial" w:cs="Arial"/>
          <w:color w:val="000000"/>
          <w:sz w:val="20"/>
          <w:szCs w:val="20"/>
        </w:rPr>
        <w:t>The rest of your group soon joined in the attack, by repeatedly stabbing, stomping on or kicking [V].  [V] was lying on his back, trying to fend off the vicious attack.</w:t>
      </w:r>
    </w:p>
    <w:p w14:paraId="1C39B15B" w14:textId="0751B73C"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[10] After the initial attack, all</w:t>
      </w:r>
      <w:r w:rsidR="00983548">
        <w:rPr>
          <w:rFonts w:ascii="Arial" w:hAnsi="Arial" w:cs="Arial"/>
          <w:color w:val="000000"/>
          <w:sz w:val="20"/>
          <w:szCs w:val="20"/>
        </w:rPr>
        <w:t>…</w:t>
      </w:r>
      <w:r>
        <w:rPr>
          <w:rFonts w:ascii="Arial" w:hAnsi="Arial" w:cs="Arial"/>
          <w:color w:val="000000"/>
          <w:sz w:val="20"/>
          <w:szCs w:val="20"/>
        </w:rPr>
        <w:t>of you returned briefly to the car.  Then AM and three of your other co-accused returned to attack [V] again.  This involved repeated stabbing, kicking and stomping, as well as taking [V’s] shoes.  Soon afterwards, all group members got back in the car and drove off, leaving [V] dead or dying by the side of the road.</w:t>
      </w:r>
    </w:p>
    <w:p w14:paraId="707969BB" w14:textId="57CE8835"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[11] The entire attack lasted a little over 2 minutes, and involved the use of four knives by five offenders, as well as kicking and stomping by all participants.  The attack was frenzied, savage and totally unprovoked.  The incident was captured on a neighbour’s CCTV camera.  The footage is absolutely shocking in its brutality…</w:t>
      </w:r>
    </w:p>
    <w:p w14:paraId="294C2CCE" w14:textId="587B53D5" w:rsidR="00C07A9C" w:rsidRPr="00265DC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 xml:space="preserve">[17] </w:t>
      </w:r>
      <w:r w:rsidR="00B6349D">
        <w:rPr>
          <w:rFonts w:ascii="Arial" w:hAnsi="Arial" w:cs="Arial"/>
          <w:color w:val="000000"/>
          <w:sz w:val="20"/>
          <w:szCs w:val="20"/>
        </w:rPr>
        <w:t>[V] suffered 66 blunt force injuries, 56 sharp force injuries, and 30 puncture wounds, all over his head, body and limbs.  His cause of death was stab wounds to the chest.”</w:t>
      </w:r>
    </w:p>
    <w:p w14:paraId="5A947CD3" w14:textId="403D2EF8" w:rsidR="00226926" w:rsidRDefault="00226926" w:rsidP="00C1074F">
      <w:pPr>
        <w:spacing w:before="120"/>
        <w:jc w:val="both"/>
        <w:rPr>
          <w:rFonts w:ascii="Arial" w:hAnsi="Arial" w:cs="Arial"/>
          <w:color w:val="000000"/>
          <w:sz w:val="20"/>
          <w:szCs w:val="22"/>
        </w:rPr>
      </w:pPr>
      <w:bookmarkStart w:id="138" w:name="_Toc107101735"/>
      <w:r>
        <w:rPr>
          <w:rFonts w:ascii="Arial" w:hAnsi="Arial" w:cs="Arial"/>
          <w:color w:val="000000"/>
          <w:sz w:val="20"/>
          <w:szCs w:val="22"/>
        </w:rPr>
        <w:t>At [25]-[29] her Honour discussed the sentencing principles for children:</w:t>
      </w:r>
    </w:p>
    <w:p w14:paraId="12B5933B" w14:textId="2720C7D7" w:rsidR="00226926" w:rsidRDefault="00226926" w:rsidP="00226926">
      <w:pPr>
        <w:spacing w:before="60"/>
        <w:ind w:left="510" w:right="510"/>
        <w:jc w:val="both"/>
        <w:rPr>
          <w:rFonts w:ascii="Arial" w:hAnsi="Arial" w:cs="Arial"/>
          <w:sz w:val="20"/>
          <w:szCs w:val="20"/>
        </w:rPr>
      </w:pPr>
      <w:r>
        <w:rPr>
          <w:rFonts w:ascii="Arial" w:hAnsi="Arial" w:cs="Arial"/>
          <w:color w:val="000000"/>
          <w:sz w:val="20"/>
          <w:szCs w:val="20"/>
        </w:rPr>
        <w:t>[25] “</w:t>
      </w:r>
      <w:r w:rsidRPr="00226926">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seriousness and consequences of their actions. That is especially so in the case of offences committed impulsively, such as this one.</w:t>
      </w:r>
    </w:p>
    <w:p w14:paraId="2F9F59E0" w14:textId="4F21DB47"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[26] </w:t>
      </w:r>
      <w:r w:rsidRPr="00226926">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 There is a significant public benefit in rehabilitating a young offender, and maximising the prospect that they will go on to live a peaceful, productive and law-abiding life.</w:t>
      </w:r>
    </w:p>
    <w:p w14:paraId="60E60091" w14:textId="1AF60573"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[27] </w:t>
      </w:r>
      <w:r w:rsidRPr="00226926">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B3BD59B" w14:textId="231ACBBB"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[28] </w:t>
      </w:r>
      <w:r w:rsidRPr="00226926">
        <w:rPr>
          <w:rFonts w:ascii="Arial" w:hAnsi="Arial" w:cs="Arial"/>
          <w:sz w:val="20"/>
          <w:szCs w:val="20"/>
        </w:rPr>
        <w:t>AM has pleaded guilty to murder, which is a standard sentence offence. However, the standard sentence provisions do not apply to child offenders. Similarly, because JA and MM were also children at the time of their offending, the principles relating to custodial sentences for their respective offences do not apply.</w:t>
      </w:r>
    </w:p>
    <w:p w14:paraId="56069388" w14:textId="43F81CCA" w:rsidR="00226926" w:rsidRPr="00265DCC" w:rsidRDefault="00226926" w:rsidP="00226926">
      <w:pPr>
        <w:spacing w:before="60"/>
        <w:ind w:left="510" w:right="510"/>
        <w:jc w:val="both"/>
        <w:rPr>
          <w:rFonts w:ascii="Arial" w:hAnsi="Arial" w:cs="Arial"/>
          <w:color w:val="000000"/>
          <w:sz w:val="20"/>
          <w:szCs w:val="20"/>
        </w:rPr>
      </w:pPr>
      <w:r>
        <w:rPr>
          <w:rFonts w:ascii="Arial" w:hAnsi="Arial" w:cs="Arial"/>
          <w:sz w:val="20"/>
          <w:szCs w:val="20"/>
        </w:rPr>
        <w:t xml:space="preserve">[29] </w:t>
      </w:r>
      <w:r w:rsidRPr="00226926">
        <w:rPr>
          <w:rFonts w:ascii="Arial" w:hAnsi="Arial" w:cs="Arial"/>
          <w:sz w:val="20"/>
          <w:szCs w:val="20"/>
        </w:rPr>
        <w:t>All of these considerations can, and do, lead to children receiving sentences which would be regarded as entirely inappropriate in the case of older individuals.</w:t>
      </w:r>
      <w:r w:rsidR="00F811D2">
        <w:rPr>
          <w:rFonts w:ascii="Arial" w:hAnsi="Arial" w:cs="Arial"/>
          <w:sz w:val="20"/>
          <w:szCs w:val="20"/>
        </w:rPr>
        <w:t>”</w:t>
      </w:r>
    </w:p>
    <w:p w14:paraId="5C1F1F78" w14:textId="09C2E6D2" w:rsidR="00C1074F" w:rsidRDefault="00C1074F" w:rsidP="00C1074F">
      <w:pPr>
        <w:spacing w:before="120"/>
        <w:jc w:val="both"/>
        <w:rPr>
          <w:rFonts w:ascii="Arial" w:hAnsi="Arial" w:cs="Arial"/>
          <w:sz w:val="20"/>
          <w:szCs w:val="20"/>
        </w:rPr>
      </w:pPr>
      <w:r>
        <w:rPr>
          <w:rFonts w:ascii="Arial" w:hAnsi="Arial" w:cs="Arial"/>
          <w:sz w:val="20"/>
          <w:szCs w:val="20"/>
        </w:rPr>
        <w:t>Her Honour imposed the following sentences, noting at [32]:</w:t>
      </w:r>
    </w:p>
    <w:p w14:paraId="310712D0" w14:textId="77777777" w:rsidR="00C1074F" w:rsidRDefault="00C1074F" w:rsidP="00C1074F">
      <w:pPr>
        <w:spacing w:before="60" w:after="120"/>
        <w:ind w:left="510" w:right="510"/>
        <w:jc w:val="both"/>
        <w:rPr>
          <w:rFonts w:ascii="Arial" w:hAnsi="Arial" w:cs="Arial"/>
          <w:color w:val="000000"/>
          <w:sz w:val="20"/>
          <w:szCs w:val="20"/>
        </w:rPr>
      </w:pPr>
      <w:r>
        <w:rPr>
          <w:rFonts w:ascii="Arial" w:hAnsi="Arial" w:cs="Arial"/>
          <w:sz w:val="20"/>
          <w:szCs w:val="20"/>
        </w:rPr>
        <w:lastRenderedPageBreak/>
        <w:t>“</w:t>
      </w:r>
      <w:r w:rsidRPr="00226926">
        <w:rPr>
          <w:rFonts w:ascii="Arial" w:hAnsi="Arial" w:cs="Arial"/>
          <w:sz w:val="20"/>
          <w:szCs w:val="20"/>
        </w:rPr>
        <w:t>Although the three of you were involved in the same attack, you have pleaded guilty to very different offences, and each had varying degrees of involvement. There are also relevant differences in your ages and personal circumstances. That means the sentencing principle of parity has little role to play in this case.</w:t>
      </w:r>
      <w:r>
        <w:rPr>
          <w:rFonts w:ascii="Arial" w:hAnsi="Arial" w:cs="Arial"/>
          <w:sz w:val="20"/>
          <w:szCs w:val="20"/>
        </w:rPr>
        <w:t>”</w:t>
      </w:r>
    </w:p>
    <w:tbl>
      <w:tblPr>
        <w:tblStyle w:val="TableGrid"/>
        <w:tblW w:w="9286" w:type="dxa"/>
        <w:tblLook w:val="04A0" w:firstRow="1" w:lastRow="0" w:firstColumn="1" w:lastColumn="0" w:noHBand="0" w:noVBand="1"/>
      </w:tblPr>
      <w:tblGrid>
        <w:gridCol w:w="1962"/>
        <w:gridCol w:w="3095"/>
        <w:gridCol w:w="4229"/>
      </w:tblGrid>
      <w:tr w:rsidR="00C1074F" w:rsidRPr="00F811D2" w14:paraId="3E3A9163" w14:textId="77777777" w:rsidTr="009C2962">
        <w:tc>
          <w:tcPr>
            <w:tcW w:w="1962" w:type="dxa"/>
            <w:shd w:val="clear" w:color="auto" w:fill="DDDDDD"/>
          </w:tcPr>
          <w:p w14:paraId="776995B1" w14:textId="77777777" w:rsidR="00C1074F" w:rsidRPr="00F811D2" w:rsidRDefault="00C1074F" w:rsidP="00983548">
            <w:pPr>
              <w:keepNext/>
              <w:keepLines/>
              <w:jc w:val="center"/>
              <w:rPr>
                <w:rFonts w:ascii="Arial" w:hAnsi="Arial" w:cs="Arial"/>
                <w:b/>
                <w:bCs/>
                <w:sz w:val="20"/>
                <w:szCs w:val="20"/>
              </w:rPr>
            </w:pPr>
            <w:r w:rsidRPr="00F811D2">
              <w:rPr>
                <w:rFonts w:ascii="Arial" w:hAnsi="Arial" w:cs="Arial"/>
                <w:b/>
                <w:bCs/>
                <w:sz w:val="20"/>
                <w:szCs w:val="20"/>
              </w:rPr>
              <w:t>OFFENDER</w:t>
            </w:r>
            <w:r>
              <w:rPr>
                <w:rFonts w:ascii="Arial" w:hAnsi="Arial" w:cs="Arial"/>
                <w:b/>
                <w:bCs/>
                <w:sz w:val="20"/>
                <w:szCs w:val="20"/>
              </w:rPr>
              <w:t xml:space="preserve"> &amp; AGE AT THE TIME OF OFFENDING</w:t>
            </w:r>
          </w:p>
        </w:tc>
        <w:tc>
          <w:tcPr>
            <w:tcW w:w="3095" w:type="dxa"/>
            <w:shd w:val="clear" w:color="auto" w:fill="DDDDDD"/>
          </w:tcPr>
          <w:p w14:paraId="28A0A93A"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PLEA GUILTY TO</w:t>
            </w:r>
          </w:p>
        </w:tc>
        <w:tc>
          <w:tcPr>
            <w:tcW w:w="4229" w:type="dxa"/>
            <w:shd w:val="clear" w:color="auto" w:fill="DDDDDD"/>
          </w:tcPr>
          <w:p w14:paraId="3688EEB6"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SENTENCE</w:t>
            </w:r>
          </w:p>
        </w:tc>
      </w:tr>
      <w:tr w:rsidR="00C1074F" w14:paraId="1D4AFD36" w14:textId="77777777" w:rsidTr="009C2962">
        <w:tc>
          <w:tcPr>
            <w:tcW w:w="1962" w:type="dxa"/>
          </w:tcPr>
          <w:p w14:paraId="67E85190" w14:textId="77777777" w:rsidR="00C1074F" w:rsidRDefault="00C1074F" w:rsidP="009C2962">
            <w:pPr>
              <w:spacing w:before="360"/>
              <w:jc w:val="center"/>
              <w:rPr>
                <w:rFonts w:ascii="Arial" w:hAnsi="Arial" w:cs="Arial"/>
                <w:sz w:val="20"/>
                <w:szCs w:val="20"/>
              </w:rPr>
            </w:pPr>
            <w:r>
              <w:rPr>
                <w:rFonts w:ascii="Arial" w:hAnsi="Arial" w:cs="Arial"/>
                <w:sz w:val="20"/>
                <w:szCs w:val="20"/>
              </w:rPr>
              <w:t>AM [14]</w:t>
            </w:r>
          </w:p>
        </w:tc>
        <w:tc>
          <w:tcPr>
            <w:tcW w:w="3095" w:type="dxa"/>
          </w:tcPr>
          <w:p w14:paraId="568DEFE8" w14:textId="77777777" w:rsidR="00C1074F" w:rsidRDefault="00C1074F" w:rsidP="009C2962">
            <w:pPr>
              <w:spacing w:before="360"/>
              <w:jc w:val="center"/>
              <w:rPr>
                <w:rFonts w:ascii="Arial" w:hAnsi="Arial" w:cs="Arial"/>
                <w:sz w:val="20"/>
                <w:szCs w:val="20"/>
              </w:rPr>
            </w:pPr>
            <w:r>
              <w:rPr>
                <w:rFonts w:ascii="Arial" w:hAnsi="Arial" w:cs="Arial"/>
                <w:sz w:val="20"/>
                <w:szCs w:val="20"/>
              </w:rPr>
              <w:t>Murder</w:t>
            </w:r>
          </w:p>
        </w:tc>
        <w:tc>
          <w:tcPr>
            <w:tcW w:w="4229" w:type="dxa"/>
          </w:tcPr>
          <w:p w14:paraId="1E397505" w14:textId="77777777" w:rsidR="00C1074F" w:rsidRDefault="00C1074F" w:rsidP="009C2962">
            <w:pPr>
              <w:jc w:val="both"/>
              <w:rPr>
                <w:rFonts w:ascii="Arial" w:hAnsi="Arial" w:cs="Arial"/>
                <w:sz w:val="20"/>
                <w:szCs w:val="20"/>
              </w:rPr>
            </w:pP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tc>
      </w:tr>
      <w:tr w:rsidR="00C1074F" w14:paraId="7E7409D6" w14:textId="77777777" w:rsidTr="009C2962">
        <w:tc>
          <w:tcPr>
            <w:tcW w:w="1962" w:type="dxa"/>
          </w:tcPr>
          <w:p w14:paraId="60E0C387" w14:textId="77777777" w:rsidR="00C1074F" w:rsidRDefault="00C1074F" w:rsidP="009C2962">
            <w:pPr>
              <w:jc w:val="center"/>
              <w:rPr>
                <w:rFonts w:ascii="Arial" w:hAnsi="Arial" w:cs="Arial"/>
                <w:sz w:val="20"/>
                <w:szCs w:val="20"/>
              </w:rPr>
            </w:pPr>
            <w:r>
              <w:rPr>
                <w:rFonts w:ascii="Arial" w:hAnsi="Arial" w:cs="Arial"/>
                <w:sz w:val="20"/>
                <w:szCs w:val="20"/>
              </w:rPr>
              <w:t>JA [16]</w:t>
            </w:r>
          </w:p>
        </w:tc>
        <w:tc>
          <w:tcPr>
            <w:tcW w:w="3095" w:type="dxa"/>
          </w:tcPr>
          <w:p w14:paraId="29B9F3C0" w14:textId="77777777" w:rsidR="00C1074F" w:rsidRDefault="00C1074F" w:rsidP="009C2962">
            <w:pPr>
              <w:jc w:val="center"/>
              <w:rPr>
                <w:rFonts w:ascii="Arial" w:hAnsi="Arial" w:cs="Arial"/>
                <w:sz w:val="20"/>
                <w:szCs w:val="20"/>
              </w:rPr>
            </w:pPr>
            <w:r>
              <w:rPr>
                <w:rFonts w:ascii="Arial" w:hAnsi="Arial" w:cs="Arial"/>
                <w:sz w:val="20"/>
                <w:szCs w:val="20"/>
              </w:rPr>
              <w:t>Manslaughter</w:t>
            </w:r>
          </w:p>
        </w:tc>
        <w:tc>
          <w:tcPr>
            <w:tcW w:w="4229" w:type="dxa"/>
          </w:tcPr>
          <w:p w14:paraId="5DC8E131" w14:textId="77777777" w:rsidR="00C1074F" w:rsidRDefault="00C1074F" w:rsidP="009C2962">
            <w:pPr>
              <w:jc w:val="center"/>
              <w:rPr>
                <w:rFonts w:ascii="Arial" w:hAnsi="Arial" w:cs="Arial"/>
                <w:sz w:val="20"/>
                <w:szCs w:val="20"/>
              </w:rPr>
            </w:pPr>
            <w:r>
              <w:rPr>
                <w:rFonts w:ascii="Arial" w:hAnsi="Arial" w:cs="Arial"/>
                <w:sz w:val="20"/>
                <w:szCs w:val="20"/>
              </w:rPr>
              <w:t>4y detention in a youth justice centre</w:t>
            </w:r>
          </w:p>
        </w:tc>
      </w:tr>
      <w:tr w:rsidR="00C1074F" w14:paraId="5CD5EB6C" w14:textId="77777777" w:rsidTr="009C2962">
        <w:tc>
          <w:tcPr>
            <w:tcW w:w="1962" w:type="dxa"/>
          </w:tcPr>
          <w:p w14:paraId="44AA4C4E" w14:textId="77777777" w:rsidR="00C1074F" w:rsidRDefault="00C1074F" w:rsidP="009C2962">
            <w:pPr>
              <w:spacing w:before="200"/>
              <w:jc w:val="center"/>
              <w:rPr>
                <w:rFonts w:ascii="Arial" w:hAnsi="Arial" w:cs="Arial"/>
                <w:sz w:val="20"/>
                <w:szCs w:val="20"/>
              </w:rPr>
            </w:pPr>
            <w:r>
              <w:rPr>
                <w:rFonts w:ascii="Arial" w:hAnsi="Arial" w:cs="Arial"/>
                <w:sz w:val="20"/>
                <w:szCs w:val="20"/>
              </w:rPr>
              <w:t>MM [16]</w:t>
            </w:r>
          </w:p>
        </w:tc>
        <w:tc>
          <w:tcPr>
            <w:tcW w:w="3095" w:type="dxa"/>
          </w:tcPr>
          <w:p w14:paraId="543E2606" w14:textId="77777777" w:rsidR="00C1074F" w:rsidRDefault="00C1074F" w:rsidP="009C2962">
            <w:pPr>
              <w:jc w:val="center"/>
              <w:rPr>
                <w:rFonts w:ascii="Arial" w:hAnsi="Arial" w:cs="Arial"/>
                <w:sz w:val="20"/>
                <w:szCs w:val="20"/>
              </w:rPr>
            </w:pPr>
            <w:r>
              <w:rPr>
                <w:rFonts w:ascii="Arial" w:hAnsi="Arial" w:cs="Arial"/>
                <w:sz w:val="20"/>
                <w:szCs w:val="20"/>
              </w:rPr>
              <w:t>Intentionally causing serious injury in circumstances of gross violence</w:t>
            </w:r>
          </w:p>
        </w:tc>
        <w:tc>
          <w:tcPr>
            <w:tcW w:w="4229" w:type="dxa"/>
          </w:tcPr>
          <w:p w14:paraId="6F459E47" w14:textId="77777777" w:rsidR="00C1074F" w:rsidRDefault="00C1074F" w:rsidP="009C2962">
            <w:pPr>
              <w:spacing w:before="200"/>
              <w:jc w:val="center"/>
              <w:rPr>
                <w:rFonts w:ascii="Arial" w:hAnsi="Arial" w:cs="Arial"/>
                <w:sz w:val="20"/>
                <w:szCs w:val="20"/>
              </w:rPr>
            </w:pPr>
            <w:r>
              <w:rPr>
                <w:rFonts w:ascii="Arial" w:hAnsi="Arial" w:cs="Arial"/>
                <w:sz w:val="20"/>
                <w:szCs w:val="20"/>
              </w:rPr>
              <w:t>3y6m detention in a youth justice centre</w:t>
            </w:r>
          </w:p>
        </w:tc>
      </w:tr>
    </w:tbl>
    <w:p w14:paraId="1DAB9FD3" w14:textId="5D7173A8" w:rsidR="00C1074F" w:rsidRDefault="009F607D" w:rsidP="009F607D">
      <w:pPr>
        <w:spacing w:before="120"/>
        <w:jc w:val="both"/>
        <w:rPr>
          <w:rFonts w:ascii="Arial" w:hAnsi="Arial" w:cs="Arial"/>
          <w:color w:val="000000"/>
          <w:sz w:val="20"/>
          <w:szCs w:val="22"/>
        </w:rPr>
      </w:pPr>
      <w:r>
        <w:rPr>
          <w:rFonts w:ascii="Arial" w:hAnsi="Arial" w:cs="Arial"/>
          <w:color w:val="000000"/>
          <w:sz w:val="20"/>
          <w:szCs w:val="22"/>
        </w:rPr>
        <w:t xml:space="preserve">Each of the offenders was sentenced under the </w:t>
      </w:r>
      <w:r w:rsidRPr="009F607D">
        <w:rPr>
          <w:rFonts w:ascii="Arial" w:hAnsi="Arial" w:cs="Arial"/>
          <w:i/>
          <w:iCs/>
          <w:color w:val="000000"/>
          <w:sz w:val="20"/>
          <w:szCs w:val="22"/>
        </w:rPr>
        <w:t>Sentencing Act 1991</w:t>
      </w:r>
      <w:r>
        <w:rPr>
          <w:rFonts w:ascii="Arial" w:hAnsi="Arial" w:cs="Arial"/>
          <w:color w:val="000000"/>
          <w:sz w:val="20"/>
          <w:szCs w:val="22"/>
        </w:rPr>
        <w:t xml:space="preserve">, not under the CYFA.  This meant that unlike </w:t>
      </w:r>
      <w:r w:rsidRPr="000B196F">
        <w:rPr>
          <w:rFonts w:ascii="Arial" w:hAnsi="Arial" w:cs="Arial"/>
          <w:i/>
          <w:color w:val="000000"/>
          <w:sz w:val="20"/>
        </w:rPr>
        <w:t>CNK v The Queen</w:t>
      </w:r>
      <w:r w:rsidRPr="000B196F">
        <w:rPr>
          <w:rFonts w:ascii="Arial" w:hAnsi="Arial" w:cs="Arial"/>
          <w:color w:val="000000"/>
          <w:sz w:val="20"/>
        </w:rPr>
        <w:t xml:space="preserve"> (2011) 32 VR 641</w:t>
      </w:r>
      <w:r>
        <w:rPr>
          <w:rFonts w:ascii="Arial" w:hAnsi="Arial" w:cs="Arial"/>
          <w:color w:val="000000"/>
          <w:sz w:val="20"/>
        </w:rPr>
        <w:t xml:space="preserve"> – where the Court of Appeal had held that general deterrence was not an available sentencing consideration when sentencing under s.362(1) of the CYFA – </w:t>
      </w:r>
      <w:r>
        <w:rPr>
          <w:rFonts w:ascii="Arial" w:hAnsi="Arial" w:cs="Arial"/>
          <w:color w:val="000000"/>
          <w:sz w:val="20"/>
          <w:szCs w:val="22"/>
        </w:rPr>
        <w:t xml:space="preserve">general deterrence was a relevant sentencing consideration </w:t>
      </w:r>
      <w:r w:rsidR="002C1E2E">
        <w:rPr>
          <w:rFonts w:ascii="Arial" w:hAnsi="Arial" w:cs="Arial"/>
          <w:color w:val="000000"/>
          <w:sz w:val="20"/>
          <w:szCs w:val="22"/>
        </w:rPr>
        <w:t>as</w:t>
      </w:r>
      <w:r>
        <w:rPr>
          <w:rFonts w:ascii="Arial" w:hAnsi="Arial" w:cs="Arial"/>
          <w:color w:val="000000"/>
          <w:sz w:val="20"/>
          <w:szCs w:val="22"/>
        </w:rPr>
        <w:t xml:space="preserve"> Hollingworth J noted at [31]:</w:t>
      </w:r>
    </w:p>
    <w:p w14:paraId="5B68846A" w14:textId="1B4A51AB" w:rsidR="00C1074F" w:rsidRDefault="00C1074F" w:rsidP="00C1074F">
      <w:pPr>
        <w:spacing w:before="60"/>
        <w:ind w:left="510" w:right="510"/>
        <w:jc w:val="both"/>
        <w:rPr>
          <w:rFonts w:ascii="Arial" w:hAnsi="Arial" w:cs="Arial"/>
          <w:sz w:val="20"/>
          <w:szCs w:val="20"/>
        </w:rPr>
      </w:pPr>
      <w:r>
        <w:rPr>
          <w:rFonts w:ascii="Arial" w:hAnsi="Arial" w:cs="Arial"/>
          <w:sz w:val="20"/>
          <w:szCs w:val="20"/>
        </w:rPr>
        <w:t>“</w:t>
      </w:r>
      <w:r w:rsidRPr="00226926">
        <w:rPr>
          <w:rFonts w:ascii="Arial" w:hAnsi="Arial" w:cs="Arial"/>
          <w:sz w:val="20"/>
          <w:szCs w:val="20"/>
        </w:rPr>
        <w:t>General deterrence is still an important sentencing consideration in this case. The offending was carried out in company with others, late at night, with knives, as a result of tensions and perceived slights between groups of youths. It involved unprovoked and brutal violence against an unarmed teenager, who was trying to run away at the time. 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sz w:val="20"/>
          <w:szCs w:val="20"/>
        </w:rPr>
        <w:t>”</w:t>
      </w:r>
    </w:p>
    <w:p w14:paraId="384DE4AE" w14:textId="484BDF87" w:rsidR="00226926" w:rsidRPr="009F607D" w:rsidRDefault="00226926" w:rsidP="00B33B2A">
      <w:pPr>
        <w:jc w:val="both"/>
        <w:rPr>
          <w:rFonts w:ascii="Arial" w:hAnsi="Arial" w:cs="Arial"/>
          <w:color w:val="000000"/>
          <w:sz w:val="20"/>
          <w:szCs w:val="22"/>
        </w:rPr>
      </w:pPr>
    </w:p>
    <w:p w14:paraId="2C88F5F5" w14:textId="77777777" w:rsidR="00B33B2A" w:rsidRPr="001E6BE9" w:rsidRDefault="00B33B2A" w:rsidP="00B33B2A">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CF28ABC" w14:textId="77777777" w:rsidR="00B74D33" w:rsidRPr="001C6E0E" w:rsidRDefault="00B74D33" w:rsidP="00B74D33">
      <w:pPr>
        <w:rPr>
          <w:rFonts w:ascii="Arial" w:hAnsi="Arial" w:cs="Arial"/>
          <w:color w:val="000000"/>
          <w:sz w:val="20"/>
        </w:rPr>
      </w:pPr>
    </w:p>
    <w:p w14:paraId="6E50AAD8" w14:textId="77777777" w:rsidR="0019495C" w:rsidRDefault="0019495C">
      <w:pPr>
        <w:rPr>
          <w:rFonts w:ascii="Arial" w:hAnsi="Arial" w:cs="Arial"/>
          <w:b/>
          <w:bCs/>
          <w:color w:val="000000"/>
          <w:kern w:val="28"/>
          <w:sz w:val="20"/>
          <w:szCs w:val="20"/>
          <w:lang w:val="en-GB"/>
        </w:rPr>
      </w:pPr>
      <w:bookmarkStart w:id="139" w:name="_11.1.4_Some_general"/>
      <w:bookmarkEnd w:id="139"/>
      <w:r>
        <w:rPr>
          <w:rFonts w:ascii="Arial" w:hAnsi="Arial" w:cs="Arial"/>
          <w:b/>
          <w:bCs/>
          <w:color w:val="000000"/>
          <w:sz w:val="20"/>
        </w:rPr>
        <w:br w:type="page"/>
      </w:r>
    </w:p>
    <w:p w14:paraId="2FC138FF" w14:textId="08E257D8" w:rsidR="00474ABA" w:rsidRPr="000B196F" w:rsidRDefault="00474ABA" w:rsidP="00474ABA">
      <w:pPr>
        <w:pStyle w:val="Heading3"/>
        <w:keepNext/>
        <w:spacing w:after="120" w:line="240" w:lineRule="auto"/>
        <w:rPr>
          <w:rFonts w:ascii="Arial" w:hAnsi="Arial" w:cs="Arial"/>
          <w:b/>
          <w:bCs/>
          <w:color w:val="000000"/>
          <w:sz w:val="20"/>
        </w:rPr>
      </w:pPr>
      <w:r w:rsidRPr="000B196F">
        <w:rPr>
          <w:rFonts w:ascii="Arial" w:hAnsi="Arial" w:cs="Arial"/>
          <w:b/>
          <w:bCs/>
          <w:color w:val="000000"/>
          <w:sz w:val="20"/>
        </w:rPr>
        <w:lastRenderedPageBreak/>
        <w:t>11.1.4</w:t>
      </w:r>
      <w:r w:rsidRPr="000B196F">
        <w:rPr>
          <w:rFonts w:ascii="Arial" w:hAnsi="Arial" w:cs="Arial"/>
          <w:b/>
          <w:bCs/>
          <w:color w:val="000000"/>
          <w:sz w:val="20"/>
        </w:rPr>
        <w:tab/>
        <w:t>Some general sentencing principles</w:t>
      </w:r>
      <w:bookmarkEnd w:id="138"/>
    </w:p>
    <w:p w14:paraId="22B45B4A"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r w:rsidRPr="001C6E0E">
        <w:rPr>
          <w:rFonts w:ascii="Arial" w:hAnsi="Arial" w:cs="Arial"/>
          <w:i/>
          <w:color w:val="000000"/>
          <w:sz w:val="20"/>
        </w:rPr>
        <w:t>Pandevski</w:t>
      </w:r>
      <w:r w:rsidRPr="001C6E0E">
        <w:rPr>
          <w:rFonts w:ascii="Arial" w:hAnsi="Arial" w:cs="Arial"/>
          <w:color w:val="000000"/>
          <w:sz w:val="20"/>
        </w:rPr>
        <w:t xml:space="preserve"> [2007] VSCA 84 at [36], Maxwell P reiterated the discretionary nature of sentencing: “It 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DPP v Weidlich</w:t>
      </w:r>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Fevaleaki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  Generally,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Muldrock v The Queen</w:t>
      </w:r>
      <w:r w:rsidRPr="001C6E0E">
        <w:rPr>
          <w:rFonts w:ascii="Arial" w:hAnsi="Arial" w:cs="Arial"/>
          <w:color w:val="000000"/>
          <w:sz w:val="20"/>
        </w:rPr>
        <w:t xml:space="preserve"> [2011] HCA 39; (2011) 244 CLR 120 at [18] French CJ, Gummow, Hayne, Heydon, Crennan, Kiefel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7777777" w:rsidR="005077C7" w:rsidRPr="001C6E0E" w:rsidRDefault="005077C7" w:rsidP="005077C7">
      <w:pPr>
        <w:pStyle w:val="Heading3"/>
        <w:keepNext/>
        <w:spacing w:after="120" w:line="240" w:lineRule="auto"/>
        <w:rPr>
          <w:rFonts w:ascii="Arial" w:hAnsi="Arial" w:cs="Arial"/>
          <w:b/>
          <w:bCs/>
          <w:color w:val="000000"/>
          <w:sz w:val="20"/>
        </w:rPr>
      </w:pPr>
      <w:bookmarkStart w:id="140" w:name="_11.1.4.1__General"/>
      <w:bookmarkEnd w:id="140"/>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in Children’s Court</w:t>
      </w:r>
    </w:p>
    <w:p w14:paraId="21A458F2" w14:textId="77777777"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State">
        <w:smartTag w:uri="urn:schemas-microsoft-com:office:smarttags" w:element="plac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place">
        <w:smartTag w:uri="urn:schemas-microsoft-com:office:smarttags" w:element="Stat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[14] Put another way, if a sentence were increased – for the purpose of general deterrence – beyond what would otherwise have been imposed on the child, the sentencing court would have breached its obligation to secure ‘as far as practicable’ the objectives set out in s 362(1).  More particularly, to treat a child as a vehicle for general deterrence would amount 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251284BB" w14:textId="35B595B9" w:rsidR="008D3F4D"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VChC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 xml:space="preserve">offence.  </w:t>
      </w:r>
      <w:r w:rsidR="008D3F4D">
        <w:rPr>
          <w:rFonts w:ascii="Arial" w:hAnsi="Arial" w:cs="Arial"/>
          <w:color w:val="000000"/>
          <w:sz w:val="20"/>
        </w:rPr>
        <w:t xml:space="preserve">In </w:t>
      </w:r>
      <w:r w:rsidR="008D3F4D" w:rsidRPr="008D3F4D">
        <w:rPr>
          <w:rFonts w:ascii="Arial" w:hAnsi="Arial" w:cs="Arial"/>
          <w:i/>
          <w:iCs/>
          <w:color w:val="000000"/>
          <w:sz w:val="20"/>
        </w:rPr>
        <w:t>LS (a pseudonym) v CDPP</w:t>
      </w:r>
      <w:r w:rsidR="008D3F4D">
        <w:rPr>
          <w:rFonts w:ascii="Arial" w:hAnsi="Arial" w:cs="Arial"/>
          <w:color w:val="000000"/>
          <w:sz w:val="20"/>
        </w:rPr>
        <w:t xml:space="preserve"> [2020] VSC 484 Beale J also held that he was not required to take general deterrence into account in sentencing a child for federal offences.  For details see 11.1.13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41" w:name="_11.1.4.2__Powers"/>
      <w:bookmarkEnd w:id="141"/>
      <w:r w:rsidRPr="001C6E0E">
        <w:rPr>
          <w:rFonts w:ascii="Arial" w:hAnsi="Arial" w:cs="Arial"/>
          <w:b/>
          <w:bCs/>
          <w:color w:val="000000"/>
          <w:sz w:val="20"/>
        </w:rPr>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77777777" w:rsidR="00AD5EF2" w:rsidRDefault="00AD5EF2" w:rsidP="004804C7">
      <w:pPr>
        <w:jc w:val="both"/>
        <w:rPr>
          <w:rFonts w:ascii="Arial" w:hAnsi="Arial" w:cs="Arial"/>
          <w:color w:val="000000"/>
          <w:sz w:val="20"/>
        </w:rPr>
      </w:pPr>
      <w:r>
        <w:rPr>
          <w:rFonts w:ascii="Arial" w:hAnsi="Arial" w:cs="Arial"/>
          <w:color w:val="000000"/>
          <w:sz w:val="20"/>
        </w:rPr>
        <w:t>On its face, s.521 does not read like a conferral of sentencing power on the Supreme Court or County Court.  Rather</w:t>
      </w:r>
      <w:r w:rsidR="009A4491">
        <w:rPr>
          <w:rFonts w:ascii="Arial" w:hAnsi="Arial" w:cs="Arial"/>
          <w:color w:val="000000"/>
          <w:sz w:val="20"/>
        </w:rPr>
        <w:t xml:space="preserve">, it reads 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087FCDD2"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major source of power for the higher courts in sentencing a child.  The other source of power is in the </w:t>
      </w:r>
      <w:r w:rsidR="005737B9" w:rsidRPr="005737B9">
        <w:rPr>
          <w:rFonts w:ascii="Arial" w:hAnsi="Arial" w:cs="Arial"/>
          <w:i/>
          <w:iCs/>
          <w:color w:val="000000"/>
          <w:sz w:val="20"/>
        </w:rPr>
        <w:t>Sentencing Act 1991</w:t>
      </w:r>
      <w:r>
        <w:rPr>
          <w:rFonts w:ascii="Arial" w:hAnsi="Arial" w:cs="Arial"/>
          <w:color w:val="000000"/>
          <w:sz w:val="20"/>
        </w:rPr>
        <w:t xml:space="preserve"> [‘SA’].  CYFA/s.586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lastRenderedPageBreak/>
        <w:t xml:space="preserve">(2) In sentencing a child aged 16 years or more but under 18 years at the time of the commission of an indictable offence, the Supreme Court or the County Court must have 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77777777"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 xml:space="preserve">in </w:t>
      </w:r>
      <w:r w:rsidR="00A4471C" w:rsidRPr="00E94F6B">
        <w:rPr>
          <w:rFonts w:ascii="Arial" w:hAnsi="Arial" w:cs="Arial"/>
          <w:b/>
          <w:bCs/>
          <w:color w:val="000000"/>
          <w:sz w:val="20"/>
          <w:shd w:val="clear" w:color="auto" w:fill="C5E0B3" w:themeFill="accent6" w:themeFillTint="66"/>
        </w:rPr>
        <w:t>section 10.1.5</w:t>
      </w:r>
      <w:r w:rsidR="00A4471C">
        <w:rPr>
          <w:rFonts w:ascii="Arial" w:hAnsi="Arial" w:cs="Arial"/>
          <w:color w:val="000000"/>
          <w:sz w:val="20"/>
        </w:rPr>
        <w:t>].</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5A6A5F31"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In the present case, her Honour pointed out – correctly – that, once she had concluded that sentencing dispositions under the CYFA were inadequate and that a 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Honour accepted the defence submission that, under these circumstances, general deterrence should play ‘an ameliorated role, taking into account [</w:t>
      </w:r>
      <w:smartTag w:uri="urn:schemas-microsoft-com:office:smarttags" w:element="City">
        <w:smartTag w:uri="urn:schemas-microsoft-com:office:smarttags" w:element="place">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598530EF"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 [3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7777777"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w:t>
      </w:r>
      <w:r w:rsidR="008900B5">
        <w:rPr>
          <w:rFonts w:ascii="Arial" w:hAnsi="Arial" w:cs="Arial"/>
          <w:color w:val="000000"/>
          <w:sz w:val="20"/>
        </w:rPr>
        <w:t xml:space="preserve"> </w:t>
      </w:r>
      <w:r w:rsidRPr="003A6AAD">
        <w:rPr>
          <w:rFonts w:ascii="Arial" w:hAnsi="Arial" w:cs="Arial"/>
          <w:color w:val="000000"/>
          <w:sz w:val="20"/>
        </w:rPr>
        <w:t>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77777777"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Weiberg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w:t>
      </w:r>
      <w:r w:rsidR="00B66287">
        <w:rPr>
          <w:rFonts w:ascii="Arial" w:hAnsi="Arial" w:cs="Arial"/>
          <w:color w:val="000000"/>
          <w:sz w:val="20"/>
        </w:rPr>
        <w:lastRenderedPageBreak/>
        <w:t xml:space="preserve">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Charge</w:t>
            </w:r>
          </w:p>
        </w:tc>
        <w:tc>
          <w:tcPr>
            <w:tcW w:w="2746" w:type="dxa"/>
            <w:shd w:val="clear" w:color="auto" w:fill="DDDDDD"/>
          </w:tcPr>
          <w:p w14:paraId="0C401964"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shd w:val="clear" w:color="auto" w:fill="auto"/>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shd w:val="clear" w:color="auto" w:fill="auto"/>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shd w:val="clear" w:color="auto" w:fill="auto"/>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shd w:val="clear" w:color="auto" w:fill="auto"/>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shd w:val="clear" w:color="auto" w:fill="auto"/>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shd w:val="clear" w:color="auto" w:fill="auto"/>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shd w:val="clear" w:color="auto" w:fill="auto"/>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shd w:val="clear" w:color="auto" w:fill="auto"/>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shd w:val="clear" w:color="auto" w:fill="auto"/>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shd w:val="clear" w:color="auto" w:fill="auto"/>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shd w:val="clear" w:color="auto" w:fill="auto"/>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shd w:val="clear" w:color="auto" w:fill="auto"/>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shd w:val="clear" w:color="auto" w:fill="auto"/>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shd w:val="clear" w:color="auto" w:fill="auto"/>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shd w:val="clear" w:color="auto" w:fill="auto"/>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shd w:val="clear" w:color="auto" w:fill="auto"/>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shd w:val="clear" w:color="auto" w:fill="auto"/>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shd w:val="clear" w:color="auto" w:fill="auto"/>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shd w:val="clear" w:color="auto" w:fill="auto"/>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shd w:val="clear" w:color="auto" w:fill="auto"/>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shd w:val="clear" w:color="auto" w:fill="auto"/>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shd w:val="clear" w:color="auto" w:fill="auto"/>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shd w:val="clear" w:color="auto" w:fill="auto"/>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shd w:val="clear" w:color="auto" w:fill="auto"/>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shd w:val="clear" w:color="auto" w:fill="auto"/>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shd w:val="clear" w:color="auto" w:fill="auto"/>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shd w:val="clear" w:color="auto" w:fill="auto"/>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shd w:val="clear" w:color="auto" w:fill="auto"/>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shd w:val="clear" w:color="auto" w:fill="auto"/>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shd w:val="clear" w:color="auto" w:fill="auto"/>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shd w:val="clear" w:color="auto" w:fill="auto"/>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shd w:val="clear" w:color="auto" w:fill="auto"/>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shd w:val="clear" w:color="auto" w:fill="auto"/>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shd w:val="clear" w:color="auto" w:fill="auto"/>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shd w:val="clear" w:color="auto" w:fill="auto"/>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shd w:val="clear" w:color="auto" w:fill="auto"/>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shd w:val="clear" w:color="auto" w:fill="auto"/>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shd w:val="clear" w:color="auto" w:fill="auto"/>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shd w:val="clear" w:color="auto" w:fill="auto"/>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shd w:val="clear" w:color="auto" w:fill="auto"/>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shd w:val="clear" w:color="auto" w:fill="auto"/>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shd w:val="clear" w:color="auto" w:fill="auto"/>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shd w:val="clear" w:color="auto" w:fill="auto"/>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77777777" w:rsidR="00766442" w:rsidRDefault="00766442" w:rsidP="00766442">
      <w:pPr>
        <w:spacing w:before="60"/>
        <w:ind w:left="567" w:right="567"/>
        <w:jc w:val="both"/>
        <w:rPr>
          <w:rFonts w:ascii="Arial" w:hAnsi="Arial" w:cs="Arial"/>
          <w:sz w:val="20"/>
        </w:rPr>
      </w:pPr>
      <w:r>
        <w:rPr>
          <w:rFonts w:ascii="Arial" w:hAnsi="Arial" w:cs="Arial"/>
          <w:sz w:val="20"/>
        </w:rPr>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447DCB5C" w14:textId="77777777" w:rsidR="00C20C6F" w:rsidRDefault="00240E38" w:rsidP="00240E38">
      <w:pPr>
        <w:spacing w:before="60"/>
        <w:jc w:val="both"/>
        <w:rPr>
          <w:rFonts w:ascii="Arial" w:hAnsi="Arial" w:cs="Arial"/>
          <w:color w:val="000000"/>
          <w:sz w:val="20"/>
        </w:rPr>
      </w:pPr>
      <w:r>
        <w:rPr>
          <w:rFonts w:ascii="Arial" w:hAnsi="Arial" w:cs="Arial"/>
          <w:color w:val="000000"/>
          <w:sz w:val="20"/>
        </w:rPr>
        <w:t xml:space="preserve">For the reason stated above, the writer </w:t>
      </w:r>
      <w:r w:rsidR="00E90F7B">
        <w:rPr>
          <w:rFonts w:ascii="Arial" w:hAnsi="Arial" w:cs="Arial"/>
          <w:color w:val="000000"/>
          <w:sz w:val="20"/>
        </w:rPr>
        <w:t>questions whether</w:t>
      </w:r>
      <w:r>
        <w:rPr>
          <w:rFonts w:ascii="Arial" w:hAnsi="Arial" w:cs="Arial"/>
          <w:color w:val="000000"/>
          <w:sz w:val="20"/>
        </w:rPr>
        <w:t xml:space="preserve"> CYFA/s.521 </w:t>
      </w:r>
      <w:r w:rsidR="00BD34C8">
        <w:rPr>
          <w:rFonts w:ascii="Arial" w:hAnsi="Arial" w:cs="Arial"/>
          <w:color w:val="000000"/>
          <w:sz w:val="20"/>
        </w:rPr>
        <w:t>ha</w:t>
      </w:r>
      <w:r>
        <w:rPr>
          <w:rFonts w:ascii="Arial" w:hAnsi="Arial" w:cs="Arial"/>
          <w:color w:val="000000"/>
          <w:sz w:val="20"/>
        </w:rPr>
        <w:t xml:space="preserve">s </w:t>
      </w:r>
      <w:r w:rsidR="00BD34C8">
        <w:rPr>
          <w:rFonts w:ascii="Arial" w:hAnsi="Arial" w:cs="Arial"/>
          <w:color w:val="000000"/>
          <w:sz w:val="20"/>
        </w:rPr>
        <w:t xml:space="preserve">any </w:t>
      </w:r>
      <w:r>
        <w:rPr>
          <w:rFonts w:ascii="Arial" w:hAnsi="Arial" w:cs="Arial"/>
          <w:color w:val="000000"/>
          <w:sz w:val="20"/>
        </w:rPr>
        <w:t>relevan</w:t>
      </w:r>
      <w:r w:rsidR="00BD34C8">
        <w:rPr>
          <w:rFonts w:ascii="Arial" w:hAnsi="Arial" w:cs="Arial"/>
          <w:color w:val="000000"/>
          <w:sz w:val="20"/>
        </w:rPr>
        <w:t>ce</w:t>
      </w:r>
      <w:r>
        <w:rPr>
          <w:rFonts w:ascii="Arial" w:hAnsi="Arial" w:cs="Arial"/>
          <w:color w:val="000000"/>
          <w:sz w:val="20"/>
        </w:rPr>
        <w:t xml:space="preserve"> in this context.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27A1C8ED"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77777777"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 xml:space="preserve">acknowledge that detention in a youth justice centre cannot readily be compared to confinement in an adult prison.  But we consider the </w:t>
      </w:r>
      <w:r w:rsidR="00EE1AEF" w:rsidRPr="00286FE4">
        <w:rPr>
          <w:rFonts w:ascii="Arial" w:hAnsi="Arial" w:cs="Arial"/>
          <w:sz w:val="20"/>
        </w:rPr>
        <w:lastRenderedPageBreak/>
        <w:t>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w:t>
      </w:r>
      <w:r w:rsidR="00286FE4">
        <w:rPr>
          <w:rFonts w:ascii="Arial" w:hAnsi="Arial" w:cs="Arial"/>
          <w:sz w:val="20"/>
        </w:rPr>
        <w:t>”</w:t>
      </w:r>
    </w:p>
    <w:p w14:paraId="125E9D9B" w14:textId="77777777" w:rsidR="00EE1AEF" w:rsidRDefault="00EE1AEF" w:rsidP="004804C7">
      <w:pPr>
        <w:jc w:val="both"/>
        <w:rPr>
          <w:rFonts w:ascii="Arial" w:hAnsi="Arial" w:cs="Arial"/>
          <w:color w:val="000000"/>
          <w:sz w:val="20"/>
        </w:rPr>
      </w:pPr>
    </w:p>
    <w:p w14:paraId="52D0EF37" w14:textId="77777777" w:rsidR="00230DB4" w:rsidRDefault="00963B40" w:rsidP="003E4D19">
      <w:pPr>
        <w:jc w:val="both"/>
        <w:rPr>
          <w:rFonts w:ascii="Arial" w:hAnsi="Arial" w:cs="Arial"/>
          <w:color w:val="000000"/>
          <w:sz w:val="20"/>
          <w:szCs w:val="20"/>
        </w:rPr>
      </w:pPr>
      <w:r w:rsidRPr="00963B40">
        <w:rPr>
          <w:rFonts w:ascii="Arial" w:hAnsi="Arial" w:cs="Arial"/>
          <w:color w:val="000000"/>
          <w:sz w:val="20"/>
          <w:szCs w:val="20"/>
        </w:rPr>
        <w:t>It is not easy to reconcile some of the dicta in the judgments discussed above</w:t>
      </w:r>
      <w:r w:rsidR="00230DB4">
        <w:rPr>
          <w:rFonts w:ascii="Arial" w:hAnsi="Arial" w:cs="Arial"/>
          <w:color w:val="000000"/>
          <w:sz w:val="20"/>
          <w:szCs w:val="20"/>
        </w:rPr>
        <w:t xml:space="preserve"> </w:t>
      </w:r>
      <w:r w:rsidR="00525EF3">
        <w:rPr>
          <w:rFonts w:ascii="Arial" w:hAnsi="Arial" w:cs="Arial"/>
          <w:color w:val="000000"/>
          <w:sz w:val="20"/>
          <w:szCs w:val="20"/>
        </w:rPr>
        <w:t>or</w:t>
      </w:r>
      <w:r w:rsidR="00230DB4">
        <w:rPr>
          <w:rFonts w:ascii="Arial" w:hAnsi="Arial" w:cs="Arial"/>
          <w:color w:val="000000"/>
          <w:sz w:val="20"/>
          <w:szCs w:val="20"/>
        </w:rPr>
        <w:t xml:space="preserve"> some of the legislative provisions</w:t>
      </w:r>
      <w:r w:rsidRPr="00963B40">
        <w:rPr>
          <w:rFonts w:ascii="Arial" w:hAnsi="Arial" w:cs="Arial"/>
          <w:color w:val="000000"/>
          <w:sz w:val="20"/>
          <w:szCs w:val="20"/>
        </w:rPr>
        <w:t xml:space="preserve">.  With respect, </w:t>
      </w:r>
      <w:r w:rsidR="00230DB4">
        <w:rPr>
          <w:rFonts w:ascii="Arial" w:hAnsi="Arial" w:cs="Arial"/>
          <w:color w:val="000000"/>
          <w:sz w:val="20"/>
          <w:szCs w:val="20"/>
        </w:rPr>
        <w:t xml:space="preserve">it is difficult to see any rationale for prohibiting a higher court from imposing a Children’s Court sentencing order in reliance on the plain words of CYFA/s.586 merely because </w:t>
      </w:r>
      <w:r w:rsidR="007B5E68">
        <w:rPr>
          <w:rFonts w:ascii="Arial" w:hAnsi="Arial" w:cs="Arial"/>
          <w:color w:val="000000"/>
          <w:sz w:val="20"/>
          <w:szCs w:val="20"/>
        </w:rPr>
        <w:t xml:space="preserve">the matters to be taken into account in CYFA/s.362 are expressed to be </w:t>
      </w:r>
      <w:r w:rsidR="000319C3">
        <w:rPr>
          <w:rFonts w:ascii="Arial" w:hAnsi="Arial" w:cs="Arial"/>
          <w:color w:val="000000"/>
          <w:sz w:val="20"/>
          <w:szCs w:val="20"/>
        </w:rPr>
        <w:t>an obligation on</w:t>
      </w:r>
      <w:r w:rsidR="007B5E68">
        <w:rPr>
          <w:rFonts w:ascii="Arial" w:hAnsi="Arial" w:cs="Arial"/>
          <w:color w:val="000000"/>
          <w:sz w:val="20"/>
          <w:szCs w:val="20"/>
        </w:rPr>
        <w:t xml:space="preserve"> the Children’s Court.  </w:t>
      </w:r>
      <w:r w:rsidR="00E90F7B">
        <w:rPr>
          <w:rFonts w:ascii="Arial" w:hAnsi="Arial" w:cs="Arial"/>
          <w:color w:val="000000"/>
          <w:sz w:val="20"/>
          <w:szCs w:val="20"/>
        </w:rPr>
        <w:t xml:space="preserve">Implying an expanded operation for </w:t>
      </w:r>
      <w:r w:rsidR="003E4D19">
        <w:rPr>
          <w:rFonts w:ascii="Arial" w:hAnsi="Arial" w:cs="Arial"/>
          <w:color w:val="000000"/>
          <w:sz w:val="20"/>
          <w:szCs w:val="20"/>
        </w:rPr>
        <w:t xml:space="preserve">CYFA/s.362 rather than giving </w:t>
      </w:r>
      <w:r w:rsidR="007F6C04">
        <w:rPr>
          <w:rFonts w:ascii="Arial" w:hAnsi="Arial" w:cs="Arial"/>
          <w:color w:val="000000"/>
          <w:sz w:val="20"/>
          <w:szCs w:val="20"/>
        </w:rPr>
        <w:t xml:space="preserve">CYFA/s.586 a </w:t>
      </w:r>
      <w:r w:rsidR="003E4D19">
        <w:rPr>
          <w:rFonts w:ascii="Arial" w:hAnsi="Arial" w:cs="Arial"/>
          <w:color w:val="000000"/>
          <w:sz w:val="20"/>
          <w:szCs w:val="20"/>
        </w:rPr>
        <w:t xml:space="preserve">more </w:t>
      </w:r>
      <w:r w:rsidR="007F6C04">
        <w:rPr>
          <w:rFonts w:ascii="Arial" w:hAnsi="Arial" w:cs="Arial"/>
          <w:color w:val="000000"/>
          <w:sz w:val="20"/>
          <w:szCs w:val="20"/>
        </w:rPr>
        <w:t xml:space="preserve">restricted </w:t>
      </w:r>
      <w:r w:rsidR="003E4D19">
        <w:rPr>
          <w:rFonts w:ascii="Arial" w:hAnsi="Arial" w:cs="Arial"/>
          <w:color w:val="000000"/>
          <w:sz w:val="20"/>
          <w:szCs w:val="20"/>
        </w:rPr>
        <w:t>oper</w:t>
      </w:r>
      <w:r w:rsidR="007F6C04">
        <w:rPr>
          <w:rFonts w:ascii="Arial" w:hAnsi="Arial" w:cs="Arial"/>
          <w:color w:val="000000"/>
          <w:sz w:val="20"/>
          <w:szCs w:val="20"/>
        </w:rPr>
        <w:t>ation</w:t>
      </w:r>
      <w:r w:rsidR="003E4D19">
        <w:rPr>
          <w:rFonts w:ascii="Arial" w:hAnsi="Arial" w:cs="Arial"/>
          <w:color w:val="000000"/>
          <w:sz w:val="20"/>
          <w:szCs w:val="20"/>
        </w:rPr>
        <w:t xml:space="preserve"> seems to accord better with long-established notions of child sentencing</w:t>
      </w:r>
      <w:r w:rsidR="00BD34C8" w:rsidRPr="00BD34C8">
        <w:rPr>
          <w:rFonts w:ascii="Arial" w:hAnsi="Arial" w:cs="Arial"/>
          <w:color w:val="000000"/>
          <w:sz w:val="20"/>
          <w:szCs w:val="20"/>
        </w:rPr>
        <w:t xml:space="preserve"> </w:t>
      </w:r>
      <w:r w:rsidR="00BD34C8">
        <w:rPr>
          <w:rFonts w:ascii="Arial" w:hAnsi="Arial" w:cs="Arial"/>
          <w:color w:val="000000"/>
          <w:sz w:val="20"/>
          <w:szCs w:val="20"/>
        </w:rPr>
        <w:t xml:space="preserve">and with the legislative history of s.362 detailed in </w:t>
      </w:r>
      <w:r w:rsidR="00BD34C8" w:rsidRPr="00852958">
        <w:rPr>
          <w:rFonts w:ascii="Arial" w:hAnsi="Arial" w:cs="Arial"/>
          <w:i/>
          <w:iCs/>
          <w:color w:val="000000"/>
          <w:sz w:val="20"/>
          <w:szCs w:val="20"/>
        </w:rPr>
        <w:t>CNK v The Queen</w:t>
      </w:r>
      <w:r w:rsidR="00BD34C8">
        <w:rPr>
          <w:rFonts w:ascii="Arial" w:hAnsi="Arial" w:cs="Arial"/>
          <w:color w:val="000000"/>
          <w:sz w:val="20"/>
          <w:szCs w:val="20"/>
        </w:rPr>
        <w:t xml:space="preserve"> at [16]-[26].</w:t>
      </w:r>
      <w:r w:rsidR="003E4D19">
        <w:rPr>
          <w:rFonts w:ascii="Arial" w:hAnsi="Arial" w:cs="Arial"/>
          <w:color w:val="000000"/>
          <w:sz w:val="20"/>
          <w:szCs w:val="20"/>
        </w:rPr>
        <w:t xml:space="preserve">  </w:t>
      </w:r>
      <w:r w:rsidR="000319C3">
        <w:rPr>
          <w:rFonts w:ascii="Arial" w:hAnsi="Arial" w:cs="Arial"/>
          <w:color w:val="000000"/>
          <w:sz w:val="20"/>
          <w:szCs w:val="20"/>
        </w:rPr>
        <w:t xml:space="preserve">Separate </w:t>
      </w:r>
      <w:r w:rsidR="007B5E68">
        <w:rPr>
          <w:rFonts w:ascii="Arial" w:hAnsi="Arial" w:cs="Arial"/>
          <w:color w:val="000000"/>
          <w:sz w:val="20"/>
          <w:szCs w:val="20"/>
        </w:rPr>
        <w:t xml:space="preserve">Courts of Appeal in </w:t>
      </w:r>
      <w:r w:rsidR="007B5E68" w:rsidRPr="007B5E68">
        <w:rPr>
          <w:rFonts w:ascii="Arial" w:hAnsi="Arial" w:cs="Arial"/>
          <w:i/>
          <w:iCs/>
          <w:color w:val="000000"/>
          <w:sz w:val="20"/>
          <w:szCs w:val="20"/>
        </w:rPr>
        <w:t>CNK</w:t>
      </w:r>
      <w:r w:rsidR="006A7224">
        <w:rPr>
          <w:rFonts w:ascii="Arial" w:hAnsi="Arial" w:cs="Arial"/>
          <w:i/>
          <w:iCs/>
          <w:color w:val="000000"/>
          <w:sz w:val="20"/>
          <w:szCs w:val="20"/>
        </w:rPr>
        <w:t xml:space="preserve">, JPR </w:t>
      </w:r>
      <w:r w:rsidR="006A7224" w:rsidRPr="006A7224">
        <w:rPr>
          <w:rFonts w:ascii="Arial" w:hAnsi="Arial" w:cs="Arial"/>
          <w:color w:val="000000"/>
          <w:sz w:val="20"/>
          <w:szCs w:val="20"/>
        </w:rPr>
        <w:t>&amp;</w:t>
      </w:r>
      <w:r w:rsidR="006A7224">
        <w:rPr>
          <w:rFonts w:ascii="Arial" w:hAnsi="Arial" w:cs="Arial"/>
          <w:i/>
          <w:iCs/>
          <w:color w:val="000000"/>
          <w:sz w:val="20"/>
          <w:szCs w:val="20"/>
        </w:rPr>
        <w:t xml:space="preserve"> Anderson </w:t>
      </w:r>
      <w:r w:rsidR="007B5E68">
        <w:rPr>
          <w:rFonts w:ascii="Arial" w:hAnsi="Arial" w:cs="Arial"/>
          <w:color w:val="000000"/>
          <w:sz w:val="20"/>
          <w:szCs w:val="20"/>
        </w:rPr>
        <w:t xml:space="preserve">were untroubled </w:t>
      </w:r>
      <w:r w:rsidR="000319C3">
        <w:rPr>
          <w:rFonts w:ascii="Arial" w:hAnsi="Arial" w:cs="Arial"/>
          <w:color w:val="000000"/>
          <w:sz w:val="20"/>
          <w:szCs w:val="20"/>
        </w:rPr>
        <w:t xml:space="preserve">to imply that CYFA/s.362 </w:t>
      </w:r>
      <w:r w:rsidR="006A7224">
        <w:rPr>
          <w:rFonts w:ascii="Arial" w:hAnsi="Arial" w:cs="Arial"/>
          <w:color w:val="000000"/>
          <w:sz w:val="20"/>
          <w:szCs w:val="20"/>
        </w:rPr>
        <w:t xml:space="preserve">could also </w:t>
      </w:r>
      <w:r w:rsidR="000319C3">
        <w:rPr>
          <w:rFonts w:ascii="Arial" w:hAnsi="Arial" w:cs="Arial"/>
          <w:color w:val="000000"/>
          <w:sz w:val="20"/>
          <w:szCs w:val="20"/>
        </w:rPr>
        <w:t>appl</w:t>
      </w:r>
      <w:r w:rsidR="006A7224">
        <w:rPr>
          <w:rFonts w:ascii="Arial" w:hAnsi="Arial" w:cs="Arial"/>
          <w:color w:val="000000"/>
          <w:sz w:val="20"/>
          <w:szCs w:val="20"/>
        </w:rPr>
        <w:t>y in</w:t>
      </w:r>
      <w:r w:rsidR="000319C3">
        <w:rPr>
          <w:rFonts w:ascii="Arial" w:hAnsi="Arial" w:cs="Arial"/>
          <w:color w:val="000000"/>
          <w:sz w:val="20"/>
          <w:szCs w:val="20"/>
        </w:rPr>
        <w:t xml:space="preserve"> the respective higher sentencing courts</w:t>
      </w:r>
      <w:r w:rsidR="00E77144">
        <w:rPr>
          <w:rFonts w:ascii="Arial" w:hAnsi="Arial" w:cs="Arial"/>
          <w:color w:val="000000"/>
          <w:sz w:val="20"/>
          <w:szCs w:val="20"/>
        </w:rPr>
        <w:t xml:space="preserve">.  </w:t>
      </w:r>
      <w:r w:rsidR="000319C3">
        <w:rPr>
          <w:rFonts w:ascii="Arial" w:hAnsi="Arial" w:cs="Arial"/>
          <w:color w:val="000000"/>
          <w:sz w:val="20"/>
          <w:szCs w:val="20"/>
        </w:rPr>
        <w:t>The</w:t>
      </w:r>
      <w:r w:rsidR="00826377">
        <w:rPr>
          <w:rFonts w:ascii="Arial" w:hAnsi="Arial" w:cs="Arial"/>
          <w:color w:val="000000"/>
          <w:sz w:val="20"/>
          <w:szCs w:val="20"/>
        </w:rPr>
        <w:t> </w:t>
      </w:r>
      <w:r w:rsidR="000319C3">
        <w:rPr>
          <w:rFonts w:ascii="Arial" w:hAnsi="Arial" w:cs="Arial"/>
          <w:color w:val="000000"/>
          <w:sz w:val="20"/>
          <w:szCs w:val="20"/>
        </w:rPr>
        <w:t xml:space="preserve">doubts about this interpretation arose from a </w:t>
      </w:r>
      <w:r w:rsidR="00CB4A66">
        <w:rPr>
          <w:rFonts w:ascii="Arial" w:hAnsi="Arial" w:cs="Arial"/>
          <w:color w:val="000000"/>
          <w:sz w:val="20"/>
          <w:szCs w:val="20"/>
        </w:rPr>
        <w:t>fourth</w:t>
      </w:r>
      <w:r w:rsidR="000319C3">
        <w:rPr>
          <w:rFonts w:ascii="Arial" w:hAnsi="Arial" w:cs="Arial"/>
          <w:color w:val="000000"/>
          <w:sz w:val="20"/>
          <w:szCs w:val="20"/>
        </w:rPr>
        <w:t xml:space="preserve"> Court of Appeal in </w:t>
      </w:r>
      <w:r w:rsidR="000319C3" w:rsidRPr="000319C3">
        <w:rPr>
          <w:rFonts w:ascii="Arial" w:hAnsi="Arial" w:cs="Arial"/>
          <w:i/>
          <w:iCs/>
          <w:color w:val="000000"/>
          <w:sz w:val="20"/>
          <w:szCs w:val="20"/>
        </w:rPr>
        <w:t xml:space="preserve">Cairns </w:t>
      </w:r>
      <w:r w:rsidR="000319C3">
        <w:rPr>
          <w:rFonts w:ascii="Arial" w:hAnsi="Arial" w:cs="Arial"/>
          <w:color w:val="000000"/>
          <w:sz w:val="20"/>
          <w:szCs w:val="20"/>
        </w:rPr>
        <w:t>in dicta</w:t>
      </w:r>
      <w:r w:rsidR="00E77144">
        <w:rPr>
          <w:rFonts w:ascii="Arial" w:hAnsi="Arial" w:cs="Arial"/>
          <w:color w:val="000000"/>
          <w:sz w:val="20"/>
          <w:szCs w:val="20"/>
        </w:rPr>
        <w:t xml:space="preserve"> </w:t>
      </w:r>
      <w:r w:rsidR="000319C3">
        <w:rPr>
          <w:rFonts w:ascii="Arial" w:hAnsi="Arial" w:cs="Arial"/>
          <w:color w:val="000000"/>
          <w:sz w:val="20"/>
          <w:szCs w:val="20"/>
        </w:rPr>
        <w:t xml:space="preserve">which </w:t>
      </w:r>
      <w:r w:rsidR="000722FA">
        <w:rPr>
          <w:rFonts w:ascii="Arial" w:hAnsi="Arial" w:cs="Arial"/>
          <w:color w:val="000000"/>
          <w:sz w:val="20"/>
          <w:szCs w:val="20"/>
        </w:rPr>
        <w:t>was not central to its</w:t>
      </w:r>
      <w:r w:rsidR="000319C3">
        <w:rPr>
          <w:rFonts w:ascii="Arial" w:hAnsi="Arial" w:cs="Arial"/>
          <w:color w:val="000000"/>
          <w:sz w:val="20"/>
          <w:szCs w:val="20"/>
        </w:rPr>
        <w:t xml:space="preserve"> determin</w:t>
      </w:r>
      <w:r w:rsidR="000722FA">
        <w:rPr>
          <w:rFonts w:ascii="Arial" w:hAnsi="Arial" w:cs="Arial"/>
          <w:color w:val="000000"/>
          <w:sz w:val="20"/>
          <w:szCs w:val="20"/>
        </w:rPr>
        <w:t>ation</w:t>
      </w:r>
      <w:r w:rsidR="000319C3">
        <w:rPr>
          <w:rFonts w:ascii="Arial" w:hAnsi="Arial" w:cs="Arial"/>
          <w:color w:val="000000"/>
          <w:sz w:val="20"/>
          <w:szCs w:val="20"/>
        </w:rPr>
        <w:t xml:space="preserve"> and from a f</w:t>
      </w:r>
      <w:r w:rsidR="00CB4A66">
        <w:rPr>
          <w:rFonts w:ascii="Arial" w:hAnsi="Arial" w:cs="Arial"/>
          <w:color w:val="000000"/>
          <w:sz w:val="20"/>
          <w:szCs w:val="20"/>
        </w:rPr>
        <w:t>if</w:t>
      </w:r>
      <w:r w:rsidR="000319C3">
        <w:rPr>
          <w:rFonts w:ascii="Arial" w:hAnsi="Arial" w:cs="Arial"/>
          <w:color w:val="000000"/>
          <w:sz w:val="20"/>
          <w:szCs w:val="20"/>
        </w:rPr>
        <w:t xml:space="preserve">th Court of Appeal in </w:t>
      </w:r>
      <w:r w:rsidR="000319C3" w:rsidRPr="000319C3">
        <w:rPr>
          <w:rFonts w:ascii="Arial" w:hAnsi="Arial" w:cs="Arial"/>
          <w:i/>
          <w:iCs/>
          <w:color w:val="000000"/>
          <w:sz w:val="20"/>
          <w:szCs w:val="20"/>
        </w:rPr>
        <w:t xml:space="preserve">Fuller </w:t>
      </w:r>
      <w:r w:rsidR="000319C3">
        <w:rPr>
          <w:rFonts w:ascii="Arial" w:hAnsi="Arial" w:cs="Arial"/>
          <w:color w:val="000000"/>
          <w:sz w:val="20"/>
          <w:szCs w:val="20"/>
        </w:rPr>
        <w:t xml:space="preserve">which </w:t>
      </w:r>
      <w:r w:rsidR="00826377">
        <w:rPr>
          <w:rFonts w:ascii="Arial" w:hAnsi="Arial" w:cs="Arial"/>
          <w:color w:val="000000"/>
          <w:sz w:val="20"/>
          <w:szCs w:val="20"/>
        </w:rPr>
        <w:t xml:space="preserve">ultimately </w:t>
      </w:r>
      <w:r w:rsidR="000319C3">
        <w:rPr>
          <w:rFonts w:ascii="Arial" w:hAnsi="Arial" w:cs="Arial"/>
          <w:color w:val="000000"/>
          <w:sz w:val="20"/>
          <w:szCs w:val="20"/>
        </w:rPr>
        <w:t xml:space="preserve">found </w:t>
      </w:r>
      <w:r w:rsidR="00826377">
        <w:rPr>
          <w:rFonts w:ascii="Arial" w:hAnsi="Arial" w:cs="Arial"/>
          <w:color w:val="000000"/>
          <w:sz w:val="20"/>
          <w:szCs w:val="20"/>
        </w:rPr>
        <w:t>the question</w:t>
      </w:r>
      <w:r w:rsidR="000319C3">
        <w:rPr>
          <w:rFonts w:ascii="Arial" w:hAnsi="Arial" w:cs="Arial"/>
          <w:color w:val="000000"/>
          <w:sz w:val="20"/>
          <w:szCs w:val="20"/>
        </w:rPr>
        <w:t xml:space="preserve"> unnecessary to decide.</w:t>
      </w:r>
    </w:p>
    <w:p w14:paraId="3475FBC1" w14:textId="77777777" w:rsidR="00230DB4" w:rsidRDefault="00230DB4" w:rsidP="004804C7">
      <w:pPr>
        <w:jc w:val="both"/>
        <w:rPr>
          <w:rFonts w:ascii="Arial" w:hAnsi="Arial" w:cs="Arial"/>
          <w:color w:val="000000"/>
          <w:sz w:val="20"/>
          <w:szCs w:val="20"/>
        </w:rPr>
      </w:pPr>
    </w:p>
    <w:p w14:paraId="2D47EEBC" w14:textId="77777777" w:rsidR="000319C3" w:rsidRPr="003E4D19" w:rsidRDefault="00525EF3" w:rsidP="000319C3">
      <w:pPr>
        <w:jc w:val="both"/>
        <w:rPr>
          <w:rFonts w:ascii="Arial" w:eastAsia="Book Antiqua" w:hAnsi="Arial" w:cs="Arial"/>
          <w:iCs/>
          <w:sz w:val="20"/>
          <w:szCs w:val="20"/>
        </w:rPr>
      </w:pPr>
      <w:r>
        <w:rPr>
          <w:rFonts w:ascii="Arial" w:hAnsi="Arial" w:cs="Arial"/>
          <w:color w:val="000000"/>
          <w:sz w:val="20"/>
          <w:szCs w:val="20"/>
        </w:rPr>
        <w:t>Acco</w:t>
      </w:r>
      <w:r w:rsidR="001B2CA0">
        <w:rPr>
          <w:rFonts w:ascii="Arial" w:hAnsi="Arial" w:cs="Arial"/>
          <w:color w:val="000000"/>
          <w:sz w:val="20"/>
          <w:szCs w:val="20"/>
        </w:rPr>
        <w:t>r</w:t>
      </w:r>
      <w:r>
        <w:rPr>
          <w:rFonts w:ascii="Arial" w:hAnsi="Arial" w:cs="Arial"/>
          <w:color w:val="000000"/>
          <w:sz w:val="20"/>
          <w:szCs w:val="20"/>
        </w:rPr>
        <w:t>dingly</w:t>
      </w:r>
      <w:r w:rsidR="00230DB4">
        <w:rPr>
          <w:rFonts w:ascii="Arial" w:hAnsi="Arial" w:cs="Arial"/>
          <w:color w:val="000000"/>
          <w:sz w:val="20"/>
          <w:szCs w:val="20"/>
        </w:rPr>
        <w:t xml:space="preserve">, </w:t>
      </w:r>
      <w:r w:rsidR="00963B40" w:rsidRPr="00963B40">
        <w:rPr>
          <w:rFonts w:ascii="Arial" w:hAnsi="Arial" w:cs="Arial"/>
          <w:color w:val="000000"/>
          <w:sz w:val="20"/>
          <w:szCs w:val="20"/>
        </w:rPr>
        <w:t xml:space="preserve">it is </w:t>
      </w:r>
      <w:r w:rsidR="000319C3">
        <w:rPr>
          <w:rFonts w:ascii="Arial" w:hAnsi="Arial" w:cs="Arial"/>
          <w:color w:val="000000"/>
          <w:sz w:val="20"/>
          <w:szCs w:val="20"/>
        </w:rPr>
        <w:t>likely</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77777777"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42" w:name="_Hlk14428700"/>
      <w:r w:rsidR="00CF39CB">
        <w:rPr>
          <w:rFonts w:ascii="Arial" w:hAnsi="Arial" w:cs="Arial"/>
          <w:color w:val="000000"/>
          <w:sz w:val="20"/>
        </w:rPr>
        <w:t>oust the operation</w:t>
      </w:r>
      <w:r>
        <w:rPr>
          <w:rFonts w:ascii="Arial" w:hAnsi="Arial" w:cs="Arial"/>
          <w:color w:val="000000"/>
          <w:sz w:val="20"/>
        </w:rPr>
        <w:t xml:space="preserve"> </w:t>
      </w:r>
      <w:bookmarkEnd w:id="142"/>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77777777" w:rsidR="00E90F7B" w:rsidRDefault="00E23DEF" w:rsidP="000319C3">
      <w:pPr>
        <w:jc w:val="both"/>
        <w:rPr>
          <w:rFonts w:ascii="Arial" w:hAnsi="Arial" w:cs="Arial"/>
          <w:color w:val="000000"/>
          <w:sz w:val="20"/>
        </w:rPr>
      </w:pPr>
      <w:r>
        <w:rPr>
          <w:rFonts w:ascii="Arial" w:hAnsi="Arial" w:cs="Arial"/>
          <w:color w:val="000000"/>
          <w:sz w:val="20"/>
        </w:rPr>
        <w:t xml:space="preserve">It is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77777777"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general deterrence should play ‘an ameliorated role, taking into account [the 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Eade</w:t>
      </w:r>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Lasry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77777777"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EA845B" w14:textId="77777777" w:rsidR="000A61EE" w:rsidRPr="001C6E0E" w:rsidRDefault="000A61EE" w:rsidP="004804C7">
      <w:pPr>
        <w:jc w:val="both"/>
        <w:rPr>
          <w:rFonts w:ascii="Arial" w:hAnsi="Arial" w:cs="Arial"/>
          <w:color w:val="000000"/>
          <w:sz w:val="20"/>
        </w:rPr>
      </w:pP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3" w:name="_11.1.4.3__Principle"/>
      <w:bookmarkEnd w:id="143"/>
      <w:r w:rsidRPr="001C6E0E">
        <w:rPr>
          <w:rFonts w:ascii="Arial" w:hAnsi="Arial" w:cs="Arial"/>
          <w:b/>
          <w:bCs/>
          <w:color w:val="000000"/>
          <w:sz w:val="20"/>
        </w:rPr>
        <w:t>11.1.4.</w:t>
      </w:r>
      <w:r w:rsidR="00B44BB0">
        <w:rPr>
          <w:rFonts w:ascii="Arial" w:hAnsi="Arial" w:cs="Arial"/>
          <w:b/>
          <w:bCs/>
          <w:color w:val="000000"/>
          <w:sz w:val="20"/>
        </w:rPr>
        <w:t xml:space="preserve">3  </w:t>
      </w:r>
      <w:r w:rsidRPr="001C6E0E">
        <w:rPr>
          <w:rFonts w:ascii="Arial" w:hAnsi="Arial" w:cs="Arial"/>
          <w:b/>
          <w:bCs/>
          <w:color w:val="000000"/>
          <w:sz w:val="20"/>
        </w:rPr>
        <w:t xml:space="preserve">Principle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r w:rsidRPr="001C6E0E">
        <w:rPr>
          <w:rFonts w:ascii="Arial" w:hAnsi="Arial" w:cs="Arial"/>
          <w:i/>
          <w:iCs/>
          <w:color w:val="000000"/>
          <w:sz w:val="20"/>
        </w:rPr>
        <w:t>Postiglione</w:t>
      </w:r>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Samia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[2009] VSCA 189 at [19]-[24] per Lasry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w:t>
      </w:r>
      <w:r w:rsidR="000B2131" w:rsidRPr="001C6E0E">
        <w:rPr>
          <w:rFonts w:ascii="Arial" w:hAnsi="Arial" w:cs="Arial"/>
          <w:color w:val="000000"/>
          <w:sz w:val="20"/>
        </w:rPr>
        <w:lastRenderedPageBreak/>
        <w:t>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R v Berkelaar</w:t>
      </w:r>
      <w:r w:rsidRPr="001C6E0E">
        <w:rPr>
          <w:rFonts w:ascii="Arial" w:hAnsi="Arial" w:cs="Arial"/>
          <w:color w:val="000000"/>
          <w:sz w:val="20"/>
        </w:rPr>
        <w:t xml:space="preserve"> [2001] VSCA 143 at [22];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DPP v Zucko</w:t>
      </w:r>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R v O’Brien &amp; Gloster</w:t>
      </w:r>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R v O’Brien and Gloster</w:t>
      </w:r>
      <w:r w:rsidRPr="00E17AAA">
        <w:rPr>
          <w:rFonts w:ascii="Arial" w:hAnsi="Arial" w:cs="Arial"/>
          <w:sz w:val="20"/>
          <w:szCs w:val="20"/>
        </w:rPr>
        <w:t xml:space="preserve"> [1997] 2 VR 714; </w:t>
      </w:r>
      <w:r w:rsidRPr="007F4BAD">
        <w:rPr>
          <w:rFonts w:ascii="Arial" w:hAnsi="Arial" w:cs="Arial"/>
          <w:i/>
          <w:iCs/>
          <w:sz w:val="20"/>
          <w:szCs w:val="20"/>
        </w:rPr>
        <w:t>Weininger v The Queen</w:t>
      </w:r>
      <w:r w:rsidRPr="00E17AAA">
        <w:rPr>
          <w:rFonts w:ascii="Arial" w:hAnsi="Arial" w:cs="Arial"/>
          <w:sz w:val="20"/>
          <w:szCs w:val="20"/>
        </w:rPr>
        <w:t xml:space="preserve"> (2003) 212 CLR 629; </w:t>
      </w:r>
      <w:r w:rsidRPr="007F4BAD">
        <w:rPr>
          <w:rFonts w:ascii="Arial" w:hAnsi="Arial" w:cs="Arial"/>
          <w:i/>
          <w:iCs/>
          <w:sz w:val="20"/>
          <w:szCs w:val="20"/>
        </w:rPr>
        <w:t>R v Bui; R v Beedar</w:t>
      </w:r>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r w:rsidRPr="007F4BAD">
        <w:rPr>
          <w:rFonts w:ascii="Arial" w:hAnsi="Arial" w:cs="Arial"/>
          <w:i/>
          <w:iCs/>
          <w:sz w:val="20"/>
          <w:szCs w:val="20"/>
        </w:rPr>
        <w:t>Rootsey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R v Rumpf</w:t>
      </w:r>
      <w:r w:rsidRPr="00E17AAA">
        <w:rPr>
          <w:rFonts w:ascii="Arial" w:hAnsi="Arial" w:cs="Arial"/>
          <w:sz w:val="20"/>
          <w:szCs w:val="20"/>
        </w:rPr>
        <w:t xml:space="preserve"> [1988] VR 466; </w:t>
      </w:r>
      <w:r w:rsidRPr="007F4BAD">
        <w:rPr>
          <w:rFonts w:ascii="Arial" w:hAnsi="Arial" w:cs="Arial"/>
          <w:i/>
          <w:iCs/>
          <w:sz w:val="20"/>
          <w:szCs w:val="20"/>
        </w:rPr>
        <w:t>R v Bui; R v Beedar</w:t>
      </w:r>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R v Rumpf</w:t>
      </w:r>
      <w:r w:rsidR="008C4A6C">
        <w:rPr>
          <w:rFonts w:ascii="Arial" w:hAnsi="Arial" w:cs="Arial"/>
          <w:sz w:val="20"/>
          <w:szCs w:val="20"/>
        </w:rPr>
        <w:t xml:space="preserve"> at 475; </w:t>
      </w:r>
      <w:r w:rsidR="008C4A6C" w:rsidRPr="008C4A6C">
        <w:rPr>
          <w:rFonts w:ascii="Arial" w:hAnsi="Arial" w:cs="Arial"/>
          <w:i/>
          <w:iCs/>
          <w:sz w:val="20"/>
          <w:szCs w:val="20"/>
        </w:rPr>
        <w:t>DPP v Rongonui</w:t>
      </w:r>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r w:rsidR="008C4A6C" w:rsidRPr="008C4A6C">
        <w:rPr>
          <w:rFonts w:ascii="Arial" w:hAnsi="Arial" w:cs="Arial"/>
          <w:i/>
          <w:iCs/>
          <w:sz w:val="20"/>
          <w:szCs w:val="20"/>
        </w:rPr>
        <w:t>Rootsey v The Queen</w:t>
      </w:r>
      <w:r w:rsidR="008C4A6C">
        <w:rPr>
          <w:rFonts w:ascii="Arial" w:hAnsi="Arial" w:cs="Arial"/>
          <w:sz w:val="20"/>
          <w:szCs w:val="20"/>
        </w:rPr>
        <w:t xml:space="preserve"> at [8]}.</w:t>
      </w:r>
    </w:p>
    <w:p w14:paraId="6B35C122" w14:textId="77777777" w:rsidR="005D457F" w:rsidRPr="00AF73B6" w:rsidRDefault="005D457F" w:rsidP="005D457F">
      <w:pPr>
        <w:rPr>
          <w:rFonts w:ascii="Arial" w:hAnsi="Arial" w:cs="Arial"/>
          <w:bCs/>
          <w:color w:val="000000"/>
          <w:sz w:val="20"/>
          <w:szCs w:val="20"/>
        </w:rPr>
      </w:pPr>
      <w:bookmarkStart w:id="144" w:name="_11.1.4.4__Principle"/>
      <w:bookmarkEnd w:id="144"/>
    </w:p>
    <w:p w14:paraId="71CB0353" w14:textId="2AC27BCD" w:rsidR="004804C7" w:rsidRPr="001C6E0E" w:rsidRDefault="004804C7" w:rsidP="004804C7">
      <w:pPr>
        <w:pStyle w:val="Heading3"/>
        <w:keepNext/>
        <w:spacing w:after="120" w:line="240" w:lineRule="auto"/>
        <w:rPr>
          <w:rFonts w:ascii="Arial" w:hAnsi="Arial" w:cs="Arial"/>
          <w:b/>
          <w:bCs/>
          <w:color w:val="000000"/>
          <w:sz w:val="20"/>
        </w:rPr>
      </w:pPr>
      <w:bookmarkStart w:id="145" w:name="_11.1.4.4__Principle_1"/>
      <w:bookmarkEnd w:id="145"/>
      <w:r w:rsidRPr="001C6E0E">
        <w:rPr>
          <w:rFonts w:ascii="Arial" w:hAnsi="Arial" w:cs="Arial"/>
          <w:b/>
          <w:bCs/>
          <w:color w:val="000000"/>
          <w:sz w:val="20"/>
        </w:rPr>
        <w:t>11.1.4.</w:t>
      </w:r>
      <w:r w:rsidR="00B44BB0">
        <w:rPr>
          <w:rFonts w:ascii="Arial" w:hAnsi="Arial" w:cs="Arial"/>
          <w:b/>
          <w:bCs/>
          <w:color w:val="000000"/>
          <w:sz w:val="20"/>
        </w:rPr>
        <w:t xml:space="preserve">4  </w:t>
      </w:r>
      <w:r w:rsidRPr="001C6E0E">
        <w:rPr>
          <w:rFonts w:ascii="Arial" w:hAnsi="Arial" w:cs="Arial"/>
          <w:b/>
          <w:bCs/>
          <w:color w:val="000000"/>
          <w:sz w:val="20"/>
        </w:rPr>
        <w:t>Principle of Totality</w:t>
      </w:r>
    </w:p>
    <w:p w14:paraId="144B851C" w14:textId="77777777"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w:t>
      </w:r>
      <w:r w:rsidRPr="001C6E0E">
        <w:rPr>
          <w:rFonts w:ascii="Arial" w:hAnsi="Arial" w:cs="Arial"/>
          <w:color w:val="000000"/>
          <w:sz w:val="20"/>
          <w:lang w:eastAsia="en-AU"/>
        </w:rPr>
        <w:lastRenderedPageBreak/>
        <w:t>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4A1B6AB9" w14:textId="77777777" w:rsidR="003D2059" w:rsidRDefault="003D2059" w:rsidP="003D2059">
      <w:pPr>
        <w:jc w:val="both"/>
        <w:rPr>
          <w:rFonts w:ascii="Arial" w:hAnsi="Arial" w:cs="Arial"/>
          <w:color w:val="000000"/>
          <w:sz w:val="20"/>
        </w:rPr>
      </w:pPr>
    </w:p>
    <w:p w14:paraId="696A0A8F"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Postiglione v R</w:t>
      </w:r>
      <w:r w:rsidRPr="001C6E0E">
        <w:rPr>
          <w:rFonts w:ascii="Arial" w:hAnsi="Arial" w:cs="Arial"/>
          <w:color w:val="000000"/>
          <w:sz w:val="20"/>
        </w:rPr>
        <w:t xml:space="preserve"> (1997) 189 CLR 295 at 308 McHugh J described how the principle of totality is to be applied:</w:t>
      </w:r>
    </w:p>
    <w:p w14:paraId="24240FEE" w14:textId="77777777" w:rsidR="009E515D" w:rsidRPr="001C6E0E" w:rsidRDefault="009E515D" w:rsidP="009E515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  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1683DA3B" w14:textId="77777777" w:rsidR="009E515D" w:rsidRPr="001C6E0E" w:rsidRDefault="009E515D" w:rsidP="009E515D">
      <w:pPr>
        <w:jc w:val="both"/>
        <w:rPr>
          <w:rFonts w:ascii="Arial" w:hAnsi="Arial" w:cs="Arial"/>
          <w:color w:val="000000"/>
          <w:sz w:val="20"/>
        </w:rPr>
      </w:pPr>
    </w:p>
    <w:p w14:paraId="5B57C8D2"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Sullivan</w:t>
      </w:r>
      <w:r w:rsidRPr="001C6E0E">
        <w:rPr>
          <w:rFonts w:ascii="Arial" w:hAnsi="Arial" w:cs="Arial"/>
          <w:color w:val="000000"/>
          <w:sz w:val="20"/>
        </w:rPr>
        <w:t xml:space="preserve"> [2005] VSCA 286 at [20] Eames JA, with whom Charles &amp; Buchanan JJA agreed, applied this dicta of McHugh J.  In </w:t>
      </w:r>
      <w:r w:rsidRPr="001C6E0E">
        <w:rPr>
          <w:rFonts w:ascii="Arial" w:hAnsi="Arial" w:cs="Arial"/>
          <w:i/>
          <w:color w:val="000000"/>
          <w:sz w:val="20"/>
        </w:rPr>
        <w:t>R v Hunter</w:t>
      </w:r>
      <w:r w:rsidRPr="001C6E0E">
        <w:rPr>
          <w:rFonts w:ascii="Arial" w:hAnsi="Arial" w:cs="Arial"/>
          <w:color w:val="000000"/>
          <w:sz w:val="20"/>
        </w:rPr>
        <w:t xml:space="preserve"> [2006] VSCA 129 at [28]-[31] the Court of Appeal referred with approval to </w:t>
      </w:r>
      <w:r w:rsidRPr="001C6E0E">
        <w:rPr>
          <w:rFonts w:ascii="Arial" w:hAnsi="Arial" w:cs="Arial"/>
          <w:i/>
          <w:color w:val="000000"/>
          <w:sz w:val="20"/>
        </w:rPr>
        <w:t>R v Sullivan</w:t>
      </w:r>
      <w:r w:rsidRPr="001C6E0E">
        <w:rPr>
          <w:rFonts w:ascii="Arial" w:hAnsi="Arial" w:cs="Arial"/>
          <w:color w:val="000000"/>
          <w:sz w:val="20"/>
        </w:rPr>
        <w:t xml:space="preserve"> in holding that the principle of totality required:</w:t>
      </w:r>
    </w:p>
    <w:p w14:paraId="51C013C1"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Youil </w:t>
      </w:r>
      <w:r w:rsidRPr="001C6E0E">
        <w:rPr>
          <w:rFonts w:ascii="Arial" w:hAnsi="Arial" w:cs="Arial"/>
          <w:color w:val="000000"/>
          <w:sz w:val="20"/>
        </w:rPr>
        <w:t xml:space="preserve">(1995) 80 A Crim R 1; </w:t>
      </w:r>
      <w:r w:rsidRPr="001C6E0E">
        <w:rPr>
          <w:rFonts w:ascii="Arial" w:hAnsi="Arial" w:cs="Arial"/>
          <w:i/>
          <w:color w:val="000000"/>
          <w:sz w:val="20"/>
        </w:rPr>
        <w:t>R v Cutajar</w:t>
      </w:r>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R v Berkelaar</w:t>
      </w:r>
      <w:r w:rsidRPr="001C6E0E">
        <w:rPr>
          <w:rFonts w:ascii="Arial" w:hAnsi="Arial" w:cs="Arial"/>
          <w:color w:val="000000"/>
          <w:sz w:val="20"/>
        </w:rPr>
        <w:t xml:space="preserve"> [2001] VSCA 143; and</w:t>
      </w:r>
    </w:p>
    <w:p w14:paraId="50C2A96E"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R v Renzella</w:t>
      </w:r>
      <w:r w:rsidRPr="001C6E0E">
        <w:rPr>
          <w:rFonts w:ascii="Arial" w:hAnsi="Arial" w:cs="Arial"/>
          <w:color w:val="000000"/>
          <w:sz w:val="20"/>
        </w:rPr>
        <w:t xml:space="preserve"> [</w:t>
      </w:r>
      <w:r>
        <w:rPr>
          <w:rFonts w:ascii="Arial" w:hAnsi="Arial" w:cs="Arial"/>
          <w:color w:val="000000"/>
          <w:sz w:val="20"/>
        </w:rPr>
        <w:t>1</w:t>
      </w:r>
      <w:r w:rsidRPr="001C6E0E">
        <w:rPr>
          <w:rFonts w:ascii="Arial" w:hAnsi="Arial" w:cs="Arial"/>
          <w:color w:val="000000"/>
          <w:sz w:val="20"/>
        </w:rPr>
        <w:t xml:space="preserve">997] 2 VR 88 at 98 per Winneke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Chernov JA agreed; </w:t>
      </w:r>
      <w:r w:rsidRPr="001C6E0E">
        <w:rPr>
          <w:rFonts w:ascii="Arial" w:hAnsi="Arial" w:cs="Arial"/>
          <w:i/>
          <w:color w:val="000000"/>
          <w:sz w:val="20"/>
        </w:rPr>
        <w:t>R v Smith</w:t>
      </w:r>
      <w:r w:rsidRPr="001C6E0E">
        <w:rPr>
          <w:rFonts w:ascii="Arial" w:hAnsi="Arial" w:cs="Arial"/>
          <w:color w:val="000000"/>
          <w:sz w:val="20"/>
        </w:rPr>
        <w:t xml:space="preserve"> [2006] VSCA 23 at [8] per Chernov JA with whom Warren CJ &amp; Charles JA agreed.</w:t>
      </w:r>
    </w:p>
    <w:p w14:paraId="56EAC464"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077D0B98" w14:textId="77777777" w:rsidR="009E515D" w:rsidRPr="001C6E0E" w:rsidRDefault="009E515D" w:rsidP="009E515D">
      <w:pPr>
        <w:jc w:val="both"/>
        <w:rPr>
          <w:rFonts w:ascii="Arial" w:hAnsi="Arial" w:cs="Arial"/>
          <w:color w:val="000000"/>
          <w:sz w:val="20"/>
        </w:rPr>
      </w:pPr>
    </w:p>
    <w:p w14:paraId="7CB23B9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(2007) VR 501; [2007] VSCA 49 Eames JA, with whom Buchanan, Vincent, Nettle &amp; Redlich JJA agreed, said at [37]:</w:t>
      </w:r>
    </w:p>
    <w:p w14:paraId="5CA50681" w14:textId="77777777" w:rsidR="003D2059" w:rsidRPr="001C6E0E" w:rsidRDefault="003D2059" w:rsidP="003D2059">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r w:rsidRPr="001C6E0E">
        <w:rPr>
          <w:rFonts w:ascii="Arial" w:hAnsi="Arial" w:cs="Arial"/>
          <w:i/>
          <w:color w:val="000000"/>
          <w:sz w:val="20"/>
        </w:rPr>
        <w:t>Postiglione</w:t>
      </w:r>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 {</w:t>
      </w:r>
      <w:r w:rsidRPr="001C6E0E">
        <w:rPr>
          <w:rFonts w:ascii="Arial" w:hAnsi="Arial" w:cs="Arial"/>
          <w:i/>
          <w:color w:val="000000"/>
          <w:sz w:val="20"/>
        </w:rPr>
        <w:t xml:space="preserve">“Sentencing – State and Federal Law in </w:t>
      </w:r>
      <w:smartTag w:uri="urn:schemas-microsoft-com:office:smarttags" w:element="State">
        <w:smartTag w:uri="urn:schemas-microsoft-com:office:smarttags" w:element="place">
          <w:r w:rsidRPr="001C6E0E">
            <w:rPr>
              <w:rFonts w:ascii="Arial" w:hAnsi="Arial" w:cs="Arial"/>
              <w:i/>
              <w:color w:val="000000"/>
              <w:sz w:val="20"/>
            </w:rPr>
            <w:t>Victoria</w:t>
          </w:r>
        </w:smartTag>
      </w:smartTag>
      <w:r w:rsidRPr="001C6E0E">
        <w:rPr>
          <w:rFonts w:ascii="Arial" w:hAnsi="Arial" w:cs="Arial"/>
          <w:i/>
          <w:color w:val="000000"/>
          <w:sz w:val="20"/>
        </w:rPr>
        <w:t>”</w:t>
      </w:r>
      <w:r w:rsidRPr="001C6E0E">
        <w:rPr>
          <w:rFonts w:ascii="Arial" w:hAnsi="Arial" w:cs="Arial"/>
          <w:color w:val="000000"/>
          <w:sz w:val="20"/>
        </w:rPr>
        <w:t xml:space="preserve"> 2nd Ed, at 725 [9.623]}, the principle will generally apply, unless denied by statute.”</w:t>
      </w:r>
    </w:p>
    <w:p w14:paraId="41F761A6" w14:textId="77777777" w:rsidR="003D2059" w:rsidRPr="001C6E0E" w:rsidRDefault="003D2059" w:rsidP="003D2059">
      <w:pPr>
        <w:jc w:val="both"/>
        <w:rPr>
          <w:rFonts w:ascii="Arial" w:hAnsi="Arial" w:cs="Arial"/>
          <w:color w:val="000000"/>
          <w:sz w:val="20"/>
        </w:rPr>
      </w:pPr>
    </w:p>
    <w:p w14:paraId="4A69EE8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his judgment in </w:t>
      </w:r>
      <w:r w:rsidRPr="001C6E0E">
        <w:rPr>
          <w:rFonts w:ascii="Arial" w:hAnsi="Arial" w:cs="Arial"/>
          <w:i/>
          <w:color w:val="000000"/>
          <w:sz w:val="20"/>
        </w:rPr>
        <w:t>H v R &amp; Ors</w:t>
      </w:r>
      <w:r w:rsidRPr="001C6E0E">
        <w:rPr>
          <w:rFonts w:ascii="Arial" w:hAnsi="Arial" w:cs="Arial"/>
          <w:color w:val="000000"/>
          <w:sz w:val="20"/>
        </w:rPr>
        <w:t xml:space="preserve"> [2008] VSC 369, affirming on appeal a sentence of the President of the Children’s Court, Forrest J applied </w:t>
      </w:r>
      <w:r w:rsidRPr="001C6E0E">
        <w:rPr>
          <w:rFonts w:ascii="Arial" w:hAnsi="Arial" w:cs="Arial"/>
          <w:i/>
          <w:color w:val="000000"/>
          <w:sz w:val="20"/>
        </w:rPr>
        <w:t>R v Piacentino; R v Ahmad</w:t>
      </w:r>
      <w:r w:rsidRPr="001C6E0E">
        <w:rPr>
          <w:rFonts w:ascii="Arial" w:hAnsi="Arial" w:cs="Arial"/>
          <w:color w:val="000000"/>
          <w:sz w:val="20"/>
        </w:rPr>
        <w:t xml:space="preserve"> in saying at [83]: “I have also taken into account the totality of the offending in the light of the total effective term.  In my view, a period of 27 months’ detention is appropriate to H’s overall criminality over a period of two years.”</w:t>
      </w:r>
    </w:p>
    <w:p w14:paraId="5CF086FC" w14:textId="77777777" w:rsidR="003D2059" w:rsidRPr="001C6E0E" w:rsidRDefault="003D2059" w:rsidP="003D2059">
      <w:pPr>
        <w:jc w:val="both"/>
        <w:rPr>
          <w:rFonts w:ascii="Arial" w:hAnsi="Arial" w:cs="Arial"/>
          <w:color w:val="000000"/>
          <w:sz w:val="20"/>
        </w:rPr>
      </w:pPr>
    </w:p>
    <w:p w14:paraId="12775880"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the 5 bench Court of Appeal also made it clear </w:t>
      </w:r>
      <w:r>
        <w:rPr>
          <w:rFonts w:ascii="Arial" w:hAnsi="Arial" w:cs="Arial"/>
          <w:color w:val="000000"/>
          <w:sz w:val="20"/>
        </w:rPr>
        <w:t>–</w:t>
      </w:r>
      <w:r w:rsidRPr="001C6E0E">
        <w:rPr>
          <w:rFonts w:ascii="Arial" w:hAnsi="Arial" w:cs="Arial"/>
          <w:color w:val="000000"/>
          <w:sz w:val="20"/>
        </w:rPr>
        <w:t xml:space="preserve"> disapproving</w:t>
      </w:r>
      <w:r>
        <w:rPr>
          <w:rFonts w:ascii="Arial" w:hAnsi="Arial" w:cs="Arial"/>
          <w:color w:val="000000"/>
          <w:sz w:val="20"/>
        </w:rPr>
        <w:t xml:space="preserve"> </w:t>
      </w:r>
      <w:r w:rsidRPr="001C6E0E">
        <w:rPr>
          <w:rFonts w:ascii="Arial" w:hAnsi="Arial" w:cs="Arial"/>
          <w:color w:val="000000"/>
          <w:sz w:val="20"/>
        </w:rPr>
        <w:t xml:space="preserve">a contrary decision of a 3 bench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6B5E59D4" w14:textId="3FC4F933" w:rsidR="00E9059B" w:rsidRDefault="00E9059B">
      <w:pPr>
        <w:jc w:val="both"/>
        <w:rPr>
          <w:rFonts w:ascii="Arial" w:hAnsi="Arial" w:cs="Arial"/>
          <w:color w:val="000000"/>
          <w:sz w:val="16"/>
          <w:szCs w:val="20"/>
        </w:rPr>
      </w:pPr>
    </w:p>
    <w:p w14:paraId="1F31B4A5" w14:textId="77777777" w:rsidR="003D2059" w:rsidRPr="00291771" w:rsidRDefault="003D2059" w:rsidP="003D2059">
      <w:pPr>
        <w:jc w:val="both"/>
        <w:rPr>
          <w:rFonts w:ascii="Arial" w:hAnsi="Arial" w:cs="Arial"/>
          <w:sz w:val="20"/>
        </w:rPr>
      </w:pPr>
      <w:r>
        <w:rPr>
          <w:rFonts w:ascii="Arial" w:hAnsi="Arial" w:cs="Arial"/>
          <w:color w:val="000000"/>
          <w:sz w:val="20"/>
        </w:rPr>
        <w:t xml:space="preserve">The case of </w:t>
      </w:r>
      <w:r w:rsidRPr="00320D72">
        <w:rPr>
          <w:rFonts w:ascii="Arial" w:hAnsi="Arial" w:cs="Arial"/>
          <w:i/>
          <w:iCs/>
          <w:color w:val="000000"/>
          <w:sz w:val="20"/>
        </w:rPr>
        <w:t>DPP v Bowen</w:t>
      </w:r>
      <w:r>
        <w:rPr>
          <w:rFonts w:ascii="Arial" w:hAnsi="Arial" w:cs="Arial"/>
          <w:color w:val="000000"/>
          <w:sz w:val="20"/>
        </w:rPr>
        <w:t xml:space="preserve"> [2021] VSCA 355 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When the court comes to impose sentence for the breach offending, </w:t>
      </w:r>
      <w:r w:rsidRPr="00D73239">
        <w:rPr>
          <w:rFonts w:ascii="Arial" w:hAnsi="Arial" w:cs="Arial"/>
          <w:color w:val="000000"/>
          <w:sz w:val="20"/>
          <w:szCs w:val="20"/>
        </w:rPr>
        <w:lastRenderedPageBreak/>
        <w:t xml:space="preserve">the question is whether the principle of totality requires the court to take into account the entire period which the offender has served (or will have served) under the original sentence or just the reclaimed period.  In similar circumstances in </w:t>
      </w:r>
      <w:r w:rsidRPr="00D73239">
        <w:rPr>
          <w:rFonts w:ascii="Arial" w:hAnsi="Arial" w:cs="Arial"/>
          <w:i/>
          <w:iCs/>
          <w:color w:val="000000"/>
          <w:sz w:val="20"/>
          <w:szCs w:val="20"/>
        </w:rPr>
        <w:t>McCartney v The Queen</w:t>
      </w:r>
      <w:r w:rsidRPr="00D73239">
        <w:rPr>
          <w:rFonts w:ascii="Arial" w:hAnsi="Arial" w:cs="Arial"/>
          <w:color w:val="000000"/>
          <w:sz w:val="20"/>
          <w:szCs w:val="20"/>
        </w:rPr>
        <w:t xml:space="preserve"> (2012) 38 VR 1; </w:t>
      </w:r>
      <w:r w:rsidRPr="00D73239">
        <w:rPr>
          <w:rFonts w:ascii="Arial" w:hAnsi="Arial" w:cs="Arial"/>
          <w:sz w:val="20"/>
          <w:szCs w:val="20"/>
        </w:rPr>
        <w:t xml:space="preserve">[2012] VSCA 268 </w:t>
      </w:r>
      <w:r w:rsidRPr="00D73239">
        <w:rPr>
          <w:rFonts w:ascii="Arial" w:hAnsi="Arial" w:cs="Arial"/>
          <w:color w:val="000000"/>
          <w:sz w:val="20"/>
          <w:szCs w:val="20"/>
        </w:rPr>
        <w:t xml:space="preserve">and </w:t>
      </w:r>
      <w:r w:rsidRPr="00D73239">
        <w:rPr>
          <w:rFonts w:ascii="Arial" w:hAnsi="Arial" w:cs="Arial"/>
          <w:i/>
          <w:iCs/>
          <w:color w:val="000000"/>
          <w:sz w:val="20"/>
          <w:szCs w:val="20"/>
        </w:rPr>
        <w:t>Waugh v The Queen</w:t>
      </w:r>
      <w:r w:rsidRPr="00D73239">
        <w:rPr>
          <w:rFonts w:ascii="Arial" w:hAnsi="Arial" w:cs="Arial"/>
          <w:color w:val="000000"/>
          <w:sz w:val="20"/>
          <w:szCs w:val="20"/>
        </w:rPr>
        <w:t xml:space="preserve"> (2013) 38 VR 66; </w:t>
      </w:r>
      <w:r w:rsidRPr="00D73239">
        <w:rPr>
          <w:rFonts w:ascii="Arial" w:hAnsi="Arial" w:cs="Arial"/>
          <w:sz w:val="20"/>
          <w:szCs w:val="20"/>
        </w:rPr>
        <w:t>[2013] VSCA 36</w:t>
      </w:r>
      <w:r w:rsidRPr="00D73239">
        <w:rPr>
          <w:rFonts w:ascii="Arial" w:hAnsi="Arial" w:cs="Arial"/>
          <w:color w:val="000000"/>
          <w:sz w:val="20"/>
          <w:szCs w:val="20"/>
        </w:rPr>
        <w:t>, the Court of Appeal had held that regard could only be held to the reclaimed period.</w:t>
      </w:r>
      <w:r>
        <w:rPr>
          <w:rFonts w:ascii="Arial" w:hAnsi="Arial" w:cs="Arial"/>
          <w:color w:val="000000"/>
          <w:sz w:val="20"/>
          <w:szCs w:val="20"/>
        </w:rPr>
        <w:t xml:space="preserve">  In </w:t>
      </w:r>
      <w:r w:rsidRPr="0096086A">
        <w:rPr>
          <w:rFonts w:ascii="Arial" w:hAnsi="Arial" w:cs="Arial"/>
          <w:i/>
          <w:iCs/>
          <w:color w:val="000000"/>
          <w:sz w:val="20"/>
          <w:szCs w:val="20"/>
        </w:rPr>
        <w:t>DPP v Bowen</w:t>
      </w:r>
      <w:r>
        <w:rPr>
          <w:rFonts w:ascii="Arial" w:hAnsi="Arial" w:cs="Arial"/>
          <w:color w:val="000000"/>
          <w:sz w:val="20"/>
          <w:szCs w:val="20"/>
        </w:rPr>
        <w:t xml:space="preserve"> a full bench of the Court of Appeal (Maxwell P, Priest, McLeish, T Forrest &amp; Walker JJA) held </w:t>
      </w:r>
      <w:r w:rsidRPr="002777F1">
        <w:rPr>
          <w:rFonts w:ascii="Arial" w:hAnsi="Arial" w:cs="Arial"/>
          <w:color w:val="000000"/>
          <w:sz w:val="20"/>
          <w:szCs w:val="20"/>
        </w:rPr>
        <w:t xml:space="preserve">at [41]-[42] that “the ‘full proprtionality’ test from </w:t>
      </w:r>
      <w:r w:rsidRPr="002777F1">
        <w:rPr>
          <w:rFonts w:ascii="Arial" w:hAnsi="Arial" w:cs="Arial"/>
          <w:i/>
          <w:iCs/>
          <w:color w:val="000000"/>
          <w:sz w:val="20"/>
          <w:szCs w:val="20"/>
        </w:rPr>
        <w:t>Postiglione</w:t>
      </w:r>
      <w:r w:rsidRPr="002777F1">
        <w:rPr>
          <w:rFonts w:ascii="Arial" w:hAnsi="Arial" w:cs="Arial"/>
          <w:color w:val="000000"/>
          <w:sz w:val="20"/>
          <w:szCs w:val="20"/>
        </w:rPr>
        <w:t xml:space="preserve"> </w:t>
      </w:r>
      <w:r w:rsidRPr="002777F1">
        <w:rPr>
          <w:rFonts w:ascii="Arial" w:hAnsi="Arial" w:cs="Arial"/>
          <w:sz w:val="20"/>
          <w:szCs w:val="20"/>
        </w:rPr>
        <w:t>(1997) 189 CLR 295; 308</w:t>
      </w:r>
      <w:r w:rsidRPr="002777F1">
        <w:rPr>
          <w:rFonts w:ascii="Arial" w:hAnsi="Arial" w:cs="Arial"/>
          <w:color w:val="000000"/>
          <w:sz w:val="20"/>
          <w:szCs w:val="20"/>
        </w:rPr>
        <w:t>… should be applied in all such cases</w:t>
      </w:r>
      <w:r>
        <w:rPr>
          <w:rFonts w:ascii="Arial" w:hAnsi="Arial" w:cs="Arial"/>
          <w:color w:val="000000"/>
          <w:sz w:val="20"/>
        </w:rPr>
        <w:t>.</w:t>
      </w:r>
      <w:r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Pr>
          <w:rFonts w:ascii="Arial" w:hAnsi="Arial" w:cs="Arial"/>
          <w:sz w:val="20"/>
        </w:rPr>
        <w:t xml:space="preserve">”.  Accordingly, the Court said at [6] that the decisions in </w:t>
      </w:r>
      <w:r w:rsidRPr="00D73239">
        <w:rPr>
          <w:rFonts w:ascii="Arial" w:hAnsi="Arial" w:cs="Arial"/>
          <w:i/>
          <w:iCs/>
          <w:color w:val="000000"/>
          <w:sz w:val="20"/>
          <w:szCs w:val="20"/>
        </w:rPr>
        <w:t>McCartney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and </w:t>
      </w:r>
      <w:r w:rsidRPr="00D73239">
        <w:rPr>
          <w:rFonts w:ascii="Arial" w:hAnsi="Arial" w:cs="Arial"/>
          <w:i/>
          <w:iCs/>
          <w:color w:val="000000"/>
          <w:sz w:val="20"/>
          <w:szCs w:val="20"/>
        </w:rPr>
        <w:t>Waugh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“should </w:t>
      </w:r>
      <w:r>
        <w:rPr>
          <w:rFonts w:ascii="Arial" w:hAnsi="Arial" w:cs="Arial"/>
          <w:color w:val="000000"/>
          <w:sz w:val="20"/>
          <w:szCs w:val="20"/>
        </w:rPr>
        <w:t xml:space="preserve">no longer be followed”, a particularly strong statement given that Maxwell P was involved in all three judgments.  </w:t>
      </w:r>
      <w:r>
        <w:rPr>
          <w:rFonts w:ascii="Arial" w:hAnsi="Arial" w:cs="Arial"/>
          <w:sz w:val="20"/>
        </w:rPr>
        <w:t>At [6]-[8] the Court continued:</w:t>
      </w:r>
    </w:p>
    <w:p w14:paraId="50EBD025" w14:textId="77777777" w:rsidR="003D2059" w:rsidRDefault="003D2059" w:rsidP="003D2059">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019CE9BF" w14:textId="77777777" w:rsidR="003D2059" w:rsidRPr="00AE234E" w:rsidRDefault="003D2059" w:rsidP="003D2059">
      <w:pPr>
        <w:pStyle w:val="Normal-Indent"/>
        <w:widowControl/>
        <w:spacing w:before="60" w:line="240" w:lineRule="auto"/>
        <w:ind w:left="567" w:right="567"/>
        <w:rPr>
          <w:rFonts w:ascii="Arial" w:hAnsi="Arial" w:cs="Arial"/>
          <w:sz w:val="20"/>
        </w:rPr>
      </w:pPr>
      <w:r w:rsidRPr="00AE234E">
        <w:rPr>
          <w:rFonts w:ascii="Arial" w:hAnsi="Arial" w:cs="Arial"/>
          <w:sz w:val="20"/>
        </w:rPr>
        <w:t xml:space="preserve">The principle of totality is, essentially, a principle of proportionality. Put another way, totality is a particular expression of the foundational sentencing principle that a sentence should be proportionate to the criminal conduct for which it is imposed: </w:t>
      </w:r>
      <w:r w:rsidRPr="00AE234E">
        <w:rPr>
          <w:rFonts w:ascii="Arial" w:hAnsi="Arial" w:cs="Arial"/>
          <w:i/>
          <w:iCs/>
          <w:sz w:val="20"/>
        </w:rPr>
        <w:t>Boulton v The Queen</w:t>
      </w:r>
      <w:r w:rsidRPr="00AE234E">
        <w:rPr>
          <w:rFonts w:ascii="Arial" w:hAnsi="Arial" w:cs="Arial"/>
          <w:sz w:val="20"/>
        </w:rPr>
        <w:t xml:space="preserve"> (2014) 46 VR 308, 325 [64]; [2014] VSCA 342.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 xml:space="preserve">involved in all of the offending: </w:t>
      </w:r>
      <w:r w:rsidRPr="00AE234E">
        <w:rPr>
          <w:rFonts w:ascii="Arial" w:hAnsi="Arial" w:cs="Arial"/>
          <w:i/>
          <w:iCs/>
          <w:sz w:val="20"/>
        </w:rPr>
        <w:t>Azzopardi v The Queen</w:t>
      </w:r>
      <w:r w:rsidRPr="00AE234E">
        <w:rPr>
          <w:rFonts w:ascii="Arial" w:hAnsi="Arial" w:cs="Arial"/>
          <w:sz w:val="20"/>
        </w:rPr>
        <w:t xml:space="preserve"> (2011) 35 VR 43, 59 [57] (Redlich JA, Coghlan and Macaulay AJJA agreeing); [2011] VSCA 372.</w:t>
      </w:r>
    </w:p>
    <w:p w14:paraId="7BBFF0BE" w14:textId="77777777" w:rsidR="003D2059" w:rsidRPr="001C6E0E" w:rsidRDefault="003D2059" w:rsidP="003D2059">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Pr>
          <w:rFonts w:ascii="Arial" w:hAnsi="Arial" w:cs="Arial"/>
          <w:sz w:val="20"/>
        </w:rPr>
        <w:t>.”</w:t>
      </w:r>
    </w:p>
    <w:p w14:paraId="0D83973F" w14:textId="77777777" w:rsidR="003D2059" w:rsidRDefault="003D2059" w:rsidP="003D2059">
      <w:pPr>
        <w:jc w:val="both"/>
        <w:rPr>
          <w:rFonts w:ascii="Arial" w:hAnsi="Arial" w:cs="Arial"/>
          <w:color w:val="000000"/>
          <w:sz w:val="20"/>
          <w:szCs w:val="20"/>
        </w:rPr>
      </w:pPr>
    </w:p>
    <w:p w14:paraId="59B8A092" w14:textId="5CCF07E8" w:rsidR="003D2059" w:rsidRDefault="003D2059" w:rsidP="003D2059">
      <w:pPr>
        <w:jc w:val="both"/>
        <w:rPr>
          <w:rFonts w:ascii="Arial" w:hAnsi="Arial" w:cs="Arial"/>
          <w:color w:val="000000"/>
          <w:sz w:val="20"/>
        </w:rPr>
      </w:pPr>
      <w:r>
        <w:rPr>
          <w:rFonts w:ascii="Arial" w:hAnsi="Arial" w:cs="Arial"/>
          <w:color w:val="000000"/>
          <w:sz w:val="20"/>
        </w:rPr>
        <w:t xml:space="preserve">Dicta from </w:t>
      </w:r>
      <w:r w:rsidRPr="00320D72">
        <w:rPr>
          <w:rFonts w:ascii="Arial" w:hAnsi="Arial" w:cs="Arial"/>
          <w:i/>
          <w:iCs/>
          <w:color w:val="000000"/>
          <w:sz w:val="20"/>
        </w:rPr>
        <w:t>DPP v Bowen</w:t>
      </w:r>
      <w:r w:rsidRPr="003D2059">
        <w:rPr>
          <w:rFonts w:ascii="Arial" w:hAnsi="Arial" w:cs="Arial"/>
          <w:color w:val="000000"/>
          <w:sz w:val="20"/>
        </w:rPr>
        <w:t xml:space="preserve"> was referred to </w:t>
      </w:r>
      <w:r>
        <w:rPr>
          <w:rFonts w:ascii="Arial" w:hAnsi="Arial" w:cs="Arial"/>
          <w:color w:val="000000"/>
          <w:sz w:val="20"/>
        </w:rPr>
        <w:t xml:space="preserve">with approval by the Court of Appeal in </w:t>
      </w:r>
      <w:r w:rsidRPr="00204EF2">
        <w:rPr>
          <w:rFonts w:ascii="Arial" w:hAnsi="Arial" w:cs="Arial"/>
          <w:i/>
          <w:iCs/>
          <w:color w:val="000000"/>
          <w:sz w:val="20"/>
        </w:rPr>
        <w:t>Polos v The King</w:t>
      </w:r>
      <w:r>
        <w:rPr>
          <w:rFonts w:ascii="Arial" w:hAnsi="Arial" w:cs="Arial"/>
          <w:color w:val="000000"/>
          <w:sz w:val="20"/>
        </w:rPr>
        <w:t xml:space="preserve"> [2022] VSCA 258 where at [41]-[43] Priest &amp; Niall JJA said:</w:t>
      </w:r>
    </w:p>
    <w:p w14:paraId="7F1E7E2F" w14:textId="1700FBF0" w:rsidR="003D2059" w:rsidRPr="00204EF2" w:rsidRDefault="003D2059" w:rsidP="003D2059">
      <w:pPr>
        <w:pStyle w:val="Normal-Indent"/>
        <w:widowControl/>
        <w:spacing w:before="60" w:line="240" w:lineRule="auto"/>
        <w:ind w:left="567" w:right="567"/>
        <w:rPr>
          <w:rFonts w:ascii="Arial" w:hAnsi="Arial" w:cs="Arial"/>
          <w:sz w:val="20"/>
        </w:rPr>
      </w:pPr>
      <w:r w:rsidRPr="00204EF2">
        <w:rPr>
          <w:rFonts w:ascii="Arial" w:hAnsi="Arial" w:cs="Arial"/>
          <w:sz w:val="20"/>
        </w:rPr>
        <w:t>[41] “The totality principle of sentencing requires a judge who is sentencing an offender for a number of offences to ensure that the aggregation of the sentences appropriate for each offence is a just and appropriate measure of the total criminality involved</w:t>
      </w:r>
      <w:r w:rsidR="00204EF2" w:rsidRPr="00204EF2">
        <w:rPr>
          <w:rFonts w:ascii="Arial" w:hAnsi="Arial" w:cs="Arial"/>
          <w:sz w:val="20"/>
        </w:rPr>
        <w:t xml:space="preserve">: </w:t>
      </w:r>
      <w:r w:rsidR="00204EF2" w:rsidRPr="00204EF2">
        <w:rPr>
          <w:rFonts w:ascii="Arial" w:hAnsi="Arial" w:cs="Arial"/>
          <w:i/>
          <w:iCs/>
          <w:sz w:val="20"/>
        </w:rPr>
        <w:t>Mill v The Queen</w:t>
      </w:r>
      <w:r w:rsidR="00204EF2" w:rsidRPr="00204EF2">
        <w:rPr>
          <w:rFonts w:ascii="Arial" w:hAnsi="Arial" w:cs="Arial"/>
          <w:sz w:val="20"/>
        </w:rPr>
        <w:t xml:space="preserve"> (1988) 166 CLR 59, 63 (Wilson, Deane, Dawson, Toohey and Gaudron JJ); [1988] HCA 70; </w:t>
      </w:r>
      <w:r w:rsidR="00204EF2" w:rsidRPr="00204EF2">
        <w:rPr>
          <w:rFonts w:ascii="Arial" w:hAnsi="Arial" w:cs="Arial"/>
          <w:i/>
          <w:iCs/>
          <w:sz w:val="20"/>
        </w:rPr>
        <w:t>Postglione v The Queen</w:t>
      </w:r>
      <w:r w:rsidR="00204EF2" w:rsidRPr="00204EF2">
        <w:rPr>
          <w:rFonts w:ascii="Arial" w:hAnsi="Arial" w:cs="Arial"/>
          <w:sz w:val="20"/>
        </w:rPr>
        <w:t xml:space="preserve"> (1997) 189 CLR 295, 308 (McHugh J); [1997] HCA 26</w:t>
      </w:r>
      <w:r w:rsidR="00204EF2">
        <w:rPr>
          <w:rFonts w:ascii="Arial" w:hAnsi="Arial" w:cs="Arial"/>
          <w:sz w:val="20"/>
        </w:rPr>
        <w:t xml:space="preserve">. </w:t>
      </w:r>
      <w:r w:rsidRPr="00204EF2">
        <w:rPr>
          <w:rFonts w:ascii="Arial" w:hAnsi="Arial" w:cs="Arial"/>
          <w:sz w:val="20"/>
        </w:rPr>
        <w:t xml:space="preserve"> The principle applies not just to an evaluation of the overall criminality involved in the charged offences for which the person is being sentenced but also takes into account sentences being served at the time of sentence</w:t>
      </w:r>
      <w:r w:rsidR="00204EF2" w:rsidRPr="00204EF2">
        <w:rPr>
          <w:rFonts w:ascii="Arial" w:hAnsi="Arial" w:cs="Arial"/>
          <w:sz w:val="20"/>
        </w:rPr>
        <w:t xml:space="preserve">: </w:t>
      </w:r>
      <w:r w:rsidR="00204EF2" w:rsidRPr="00204EF2">
        <w:rPr>
          <w:rFonts w:ascii="Arial" w:hAnsi="Arial" w:cs="Arial"/>
          <w:i/>
          <w:iCs/>
          <w:sz w:val="20"/>
        </w:rPr>
        <w:t>Postiglione</w:t>
      </w:r>
      <w:r w:rsidR="00204EF2" w:rsidRPr="00204EF2">
        <w:rPr>
          <w:rFonts w:ascii="Arial" w:hAnsi="Arial" w:cs="Arial"/>
          <w:sz w:val="20"/>
        </w:rPr>
        <w:t xml:space="preserve"> (1997) 189 CLR 295, 308 (McHugh J); [1997] HCA 26.</w:t>
      </w:r>
    </w:p>
    <w:p w14:paraId="0D17E57B" w14:textId="6EB33191" w:rsidR="003D2059" w:rsidRPr="00204EF2" w:rsidRDefault="003D2059" w:rsidP="003D2059">
      <w:pPr>
        <w:pStyle w:val="Normal-Indent"/>
        <w:widowControl/>
        <w:spacing w:before="60" w:line="240" w:lineRule="auto"/>
        <w:ind w:left="567" w:right="567"/>
        <w:rPr>
          <w:rFonts w:ascii="Arial" w:hAnsi="Arial" w:cs="Arial"/>
          <w:sz w:val="20"/>
        </w:rPr>
      </w:pPr>
      <w:r>
        <w:rPr>
          <w:rFonts w:ascii="Arial" w:hAnsi="Arial" w:cs="Arial"/>
          <w:sz w:val="20"/>
        </w:rPr>
        <w:t xml:space="preserve">[42] </w:t>
      </w:r>
      <w:r w:rsidRPr="00E9059B">
        <w:rPr>
          <w:rFonts w:ascii="Arial" w:hAnsi="Arial" w:cs="Arial"/>
          <w:sz w:val="20"/>
        </w:rPr>
        <w:t xml:space="preserve">In </w:t>
      </w:r>
      <w:r w:rsidRPr="003D2059">
        <w:rPr>
          <w:rFonts w:ascii="Arial" w:hAnsi="Arial" w:cs="Arial"/>
          <w:i/>
          <w:iCs/>
          <w:sz w:val="20"/>
        </w:rPr>
        <w:t>Bowen</w:t>
      </w:r>
      <w:r w:rsidRPr="00E9059B">
        <w:rPr>
          <w:rFonts w:ascii="Arial" w:hAnsi="Arial" w:cs="Arial"/>
          <w:sz w:val="20"/>
        </w:rPr>
        <w:t>, a five-member Court considered how the totality principle is to apply in circumstances where the person being sentenced was on parole at the time of the offending and, by reason of the offending has his or her parole cancelled and returns to</w:t>
      </w:r>
      <w:r>
        <w:rPr>
          <w:rFonts w:ascii="Arial" w:hAnsi="Arial" w:cs="Arial"/>
          <w:sz w:val="20"/>
        </w:rPr>
        <w:t xml:space="preserve"> </w:t>
      </w:r>
      <w:r w:rsidRPr="00E9059B">
        <w:rPr>
          <w:rFonts w:ascii="Arial" w:hAnsi="Arial" w:cs="Arial"/>
          <w:sz w:val="20"/>
        </w:rPr>
        <w:t xml:space="preserve">prison. In short, the issue was whether the Court should take into account the total sentence served (including any additional amount relating to the cancellation of parole), or only consider the further period of time the prisoner must serve by reason of the cancellation of parole. This Court unanimously held that it was the former. The Court said that the sentencing court must ask itself whether the combined effect of the original </w:t>
      </w:r>
      <w:r w:rsidRPr="00204EF2">
        <w:rPr>
          <w:rFonts w:ascii="Arial" w:hAnsi="Arial" w:cs="Arial"/>
          <w:sz w:val="20"/>
        </w:rPr>
        <w:t>sentence and the proposed breach sentence is (dis)proportionate to the total criminality involved in the two sets of offences</w:t>
      </w:r>
      <w:r w:rsidR="00204EF2" w:rsidRPr="00204EF2">
        <w:rPr>
          <w:rFonts w:ascii="Arial" w:hAnsi="Arial" w:cs="Arial"/>
          <w:sz w:val="20"/>
        </w:rPr>
        <w:t xml:space="preserve">: </w:t>
      </w:r>
      <w:r w:rsidR="00204EF2" w:rsidRPr="00204EF2">
        <w:rPr>
          <w:rFonts w:ascii="Arial" w:hAnsi="Arial" w:cs="Arial"/>
          <w:i/>
          <w:iCs/>
          <w:sz w:val="20"/>
        </w:rPr>
        <w:t>Bowen</w:t>
      </w:r>
      <w:r w:rsidR="00204EF2" w:rsidRPr="00204EF2">
        <w:rPr>
          <w:rFonts w:ascii="Arial" w:hAnsi="Arial" w:cs="Arial"/>
          <w:sz w:val="20"/>
        </w:rPr>
        <w:t xml:space="preserve"> (2021) 65 VR 385, 396 [42] (Maxwell P, Priest, McLeish, T Forrest and Walker JJA); [2021] VSCA 355.</w:t>
      </w:r>
      <w:r w:rsidR="00204EF2">
        <w:rPr>
          <w:rFonts w:ascii="Arial" w:hAnsi="Arial" w:cs="Arial"/>
          <w:sz w:val="20"/>
        </w:rPr>
        <w:t xml:space="preserve">  </w:t>
      </w:r>
      <w:r w:rsidRPr="00204EF2">
        <w:rPr>
          <w:rFonts w:ascii="Arial" w:hAnsi="Arial" w:cs="Arial"/>
          <w:sz w:val="20"/>
        </w:rPr>
        <w:t xml:space="preserve">The Court endorsed the following observation of Kaye AJA in </w:t>
      </w:r>
      <w:r w:rsidRPr="00204EF2">
        <w:rPr>
          <w:rFonts w:ascii="Arial" w:hAnsi="Arial" w:cs="Arial"/>
          <w:i/>
          <w:iCs/>
          <w:sz w:val="20"/>
        </w:rPr>
        <w:t>Koumis v The Queen</w:t>
      </w:r>
      <w:r w:rsidRPr="00204EF2">
        <w:rPr>
          <w:rFonts w:ascii="Arial" w:hAnsi="Arial" w:cs="Arial"/>
          <w:sz w:val="20"/>
        </w:rPr>
        <w:t>:</w:t>
      </w:r>
      <w:r w:rsidR="00204EF2" w:rsidRPr="00204EF2">
        <w:rPr>
          <w:rFonts w:ascii="Arial" w:hAnsi="Arial" w:cs="Arial"/>
          <w:sz w:val="20"/>
        </w:rPr>
        <w:t xml:space="preserve"> (2013) 44 VR 193, 195; [2013] VSCA 47</w:t>
      </w:r>
      <w:r w:rsidR="00204EF2">
        <w:rPr>
          <w:rFonts w:ascii="Arial" w:hAnsi="Arial" w:cs="Arial"/>
          <w:sz w:val="20"/>
        </w:rPr>
        <w:t xml:space="preserve"> at </w:t>
      </w:r>
      <w:r w:rsidR="00204EF2" w:rsidRPr="00204EF2">
        <w:rPr>
          <w:rFonts w:ascii="Arial" w:hAnsi="Arial" w:cs="Arial"/>
          <w:sz w:val="20"/>
        </w:rPr>
        <w:t>[9]</w:t>
      </w:r>
      <w:r w:rsidR="00204EF2">
        <w:rPr>
          <w:rFonts w:ascii="Arial" w:hAnsi="Arial" w:cs="Arial"/>
          <w:sz w:val="20"/>
        </w:rPr>
        <w:t>:</w:t>
      </w:r>
    </w:p>
    <w:p w14:paraId="380BA17F" w14:textId="3657CC97" w:rsidR="003D2059" w:rsidRPr="003D2059" w:rsidRDefault="00204EF2" w:rsidP="003D2059">
      <w:pPr>
        <w:spacing w:before="60"/>
        <w:ind w:left="1021" w:right="1021"/>
        <w:jc w:val="both"/>
        <w:rPr>
          <w:rFonts w:ascii="Arial" w:hAnsi="Arial" w:cs="Arial"/>
          <w:color w:val="000000"/>
          <w:sz w:val="18"/>
          <w:szCs w:val="22"/>
        </w:rPr>
      </w:pPr>
      <w:r>
        <w:rPr>
          <w:rFonts w:ascii="Arial" w:hAnsi="Arial" w:cs="Arial"/>
          <w:sz w:val="18"/>
          <w:szCs w:val="18"/>
        </w:rPr>
        <w:t>[</w:t>
      </w:r>
      <w:r w:rsidR="003D2059" w:rsidRPr="003D2059">
        <w:rPr>
          <w:rFonts w:ascii="Arial" w:hAnsi="Arial" w:cs="Arial"/>
          <w:sz w:val="18"/>
          <w:szCs w:val="18"/>
        </w:rPr>
        <w:t xml:space="preserve">T]he court must take into account that the cancellation of the offender’s parole means that the offender is required to complete the balance of a custodial sentence to which he or she is already subject, in addition to serving the sentence which is to be imposed on the offender. In doing so, the court must consider the criminality involved in the prior offending, and the period already served in custody in respect of it. Those circumstances are all logically relevant to determining whether, in a particular case, </w:t>
      </w:r>
      <w:r w:rsidR="003D2059" w:rsidRPr="003D2059">
        <w:rPr>
          <w:rFonts w:ascii="Arial" w:hAnsi="Arial" w:cs="Arial"/>
          <w:sz w:val="18"/>
          <w:szCs w:val="18"/>
        </w:rPr>
        <w:lastRenderedPageBreak/>
        <w:t>there may need to be some moderation of the sentence which is to be imposed, in order to ensure that, in all the circumstances, it is ‘just and appropriate’.</w:t>
      </w:r>
    </w:p>
    <w:p w14:paraId="3B8DC02E" w14:textId="33CA3F0D" w:rsidR="00204EF2" w:rsidRDefault="00204EF2" w:rsidP="00204EF2">
      <w:pPr>
        <w:pStyle w:val="Normal-Indent"/>
        <w:widowControl/>
        <w:spacing w:before="60" w:line="240" w:lineRule="auto"/>
        <w:ind w:left="567" w:right="567"/>
        <w:rPr>
          <w:rFonts w:ascii="Arial" w:hAnsi="Arial" w:cs="Arial"/>
          <w:sz w:val="20"/>
        </w:rPr>
      </w:pPr>
      <w:r>
        <w:rPr>
          <w:rFonts w:ascii="Arial" w:hAnsi="Arial" w:cs="Arial"/>
          <w:sz w:val="20"/>
        </w:rPr>
        <w:t xml:space="preserve">[43] </w:t>
      </w:r>
      <w:r w:rsidRPr="00E9059B">
        <w:rPr>
          <w:rFonts w:ascii="Arial" w:hAnsi="Arial" w:cs="Arial"/>
          <w:sz w:val="20"/>
        </w:rPr>
        <w:t>In this case, the applicant was sentenced to a total effective term of imprisonment of 10 years in 2013. By reason of the cancellation of parole, and the subsequent determination of the Parole Board, he had to serve the entire sentence, and got no credit for the time he spent on parole. When the judge came to sentence the applicant for the present offences, he was required to assess the total amount of time the applicant would spend in custody under both the 2013 sentence and any sentence the judge would impose in the context of the total criminality involved in all of the offending. In this case, that meant the judge had to assess whether a combined sentence of 13 years and 9 months was proportionate to the overall criminality involved.</w:t>
      </w:r>
      <w:r>
        <w:rPr>
          <w:rFonts w:ascii="Arial" w:hAnsi="Arial" w:cs="Arial"/>
          <w:sz w:val="20"/>
        </w:rPr>
        <w:t>”</w:t>
      </w:r>
    </w:p>
    <w:p w14:paraId="64B8CAAF" w14:textId="20448500" w:rsidR="003D2059" w:rsidRDefault="003D2059" w:rsidP="003D2059">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Gaudron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r w:rsidR="00CA7CE6" w:rsidRPr="00494023">
        <w:rPr>
          <w:rFonts w:ascii="Arial" w:eastAsia="Book Antiqua" w:hAnsi="Arial" w:cs="Arial"/>
          <w:i/>
          <w:sz w:val="20"/>
          <w:szCs w:val="22"/>
        </w:rPr>
        <w:t>Postiglione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R v Piacentino</w:t>
      </w:r>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Mangelen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CA7CE6">
      <w:pPr>
        <w:pStyle w:val="Normal-Indent"/>
        <w:widowControl/>
        <w:spacing w:before="60" w:line="240" w:lineRule="auto"/>
        <w:ind w:left="567" w:right="567"/>
        <w:rPr>
          <w:rFonts w:ascii="Arial" w:hAnsi="Arial" w:cs="Arial"/>
          <w:sz w:val="16"/>
          <w:szCs w:val="16"/>
        </w:rPr>
      </w:pPr>
      <w:r w:rsidRPr="00CA7CE6">
        <w:rPr>
          <w:rFonts w:ascii="Arial" w:hAnsi="Arial" w:cs="Arial"/>
          <w:sz w:val="20"/>
          <w:szCs w:val="16"/>
        </w:rPr>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3D474582" w14:textId="77777777" w:rsidR="00302CF8" w:rsidRPr="001C6E0E" w:rsidRDefault="00691A65" w:rsidP="00302CF8">
      <w:pPr>
        <w:jc w:val="both"/>
        <w:rPr>
          <w:rFonts w:ascii="Arial" w:hAnsi="Arial" w:cs="Arial"/>
          <w:color w:val="000000"/>
          <w:sz w:val="20"/>
          <w:szCs w:val="20"/>
        </w:rPr>
      </w:pPr>
      <w:r>
        <w:rPr>
          <w:rFonts w:ascii="Arial" w:hAnsi="Arial" w:cs="Arial"/>
          <w:color w:val="000000"/>
          <w:sz w:val="20"/>
        </w:rPr>
        <w:t xml:space="preserve">In </w:t>
      </w:r>
      <w:r w:rsidRPr="00691A65">
        <w:rPr>
          <w:rFonts w:ascii="Arial" w:hAnsi="Arial" w:cs="Arial"/>
          <w:i/>
          <w:iCs/>
          <w:color w:val="000000"/>
          <w:sz w:val="20"/>
        </w:rPr>
        <w:t>Phongthaihong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[35]</w:t>
      </w:r>
      <w:r w:rsidR="00B110F6">
        <w:rPr>
          <w:rFonts w:ascii="Arial" w:hAnsi="Arial" w:cs="Arial"/>
          <w:color w:val="000000"/>
          <w:sz w:val="20"/>
        </w:rPr>
        <w:noBreakHyphen/>
      </w:r>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Gaudron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lastRenderedPageBreak/>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Winneke P agreeing at 665, Hedigan AJA agreeing at 690); </w:t>
      </w:r>
      <w:r w:rsidRPr="008F7159">
        <w:rPr>
          <w:rFonts w:ascii="Arial" w:hAnsi="Arial" w:cs="Arial"/>
          <w:i/>
          <w:iCs/>
          <w:sz w:val="20"/>
          <w:szCs w:val="16"/>
        </w:rPr>
        <w:t>R v Lomax</w:t>
      </w:r>
      <w:r w:rsidRPr="00691A65">
        <w:rPr>
          <w:rFonts w:ascii="Arial" w:hAnsi="Arial" w:cs="Arial"/>
          <w:sz w:val="20"/>
          <w:szCs w:val="16"/>
        </w:rPr>
        <w:t xml:space="preserve"> [1998] 1 VR 551, 563 (Ormiston JA, Winneke P agreeing at 552, Hedigan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R v Guariglia</w:t>
      </w:r>
      <w:r w:rsidR="00B63C11" w:rsidRPr="00691A65">
        <w:rPr>
          <w:rFonts w:ascii="Arial" w:hAnsi="Arial" w:cs="Arial"/>
          <w:sz w:val="20"/>
          <w:szCs w:val="16"/>
        </w:rPr>
        <w:t xml:space="preserve"> [2001] VSCA 27, [21] (Winneke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State">
        <w:smartTag w:uri="urn:schemas-microsoft-com:office:smarttags" w:element="plac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2A2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52E2E7DB" w:rsidR="00BF52E5" w:rsidRDefault="00BF52E5">
      <w:pPr>
        <w:pStyle w:val="Heading3"/>
        <w:spacing w:line="240" w:lineRule="auto"/>
        <w:rPr>
          <w:rFonts w:ascii="Arial" w:hAnsi="Arial" w:cs="Arial"/>
          <w:color w:val="000000"/>
          <w:sz w:val="20"/>
        </w:rPr>
      </w:pPr>
    </w:p>
    <w:p w14:paraId="65E59C8A" w14:textId="4974EB57" w:rsidR="003C4928" w:rsidRPr="00302CF8" w:rsidRDefault="003C4928" w:rsidP="00302CF8">
      <w:pPr>
        <w:jc w:val="both"/>
        <w:rPr>
          <w:rFonts w:ascii="Arial" w:hAnsi="Arial" w:cs="Arial"/>
          <w:color w:val="000000"/>
          <w:sz w:val="20"/>
          <w:szCs w:val="20"/>
        </w:rPr>
      </w:pPr>
      <w:r>
        <w:rPr>
          <w:rFonts w:ascii="Arial" w:hAnsi="Arial" w:cs="Arial"/>
          <w:color w:val="000000"/>
          <w:sz w:val="20"/>
        </w:rPr>
        <w:t xml:space="preserve">In </w:t>
      </w:r>
      <w:r w:rsidRPr="003C4928">
        <w:rPr>
          <w:rFonts w:ascii="Arial" w:hAnsi="Arial" w:cs="Arial"/>
          <w:i/>
          <w:iCs/>
          <w:color w:val="000000"/>
          <w:sz w:val="20"/>
        </w:rPr>
        <w:t xml:space="preserve">Mohamed v </w:t>
      </w:r>
      <w:r w:rsidR="009B69A4">
        <w:rPr>
          <w:rFonts w:ascii="Arial" w:hAnsi="Arial" w:cs="Arial"/>
          <w:i/>
          <w:iCs/>
          <w:color w:val="000000"/>
          <w:sz w:val="20"/>
        </w:rPr>
        <w:t>The Queen</w:t>
      </w:r>
      <w:r>
        <w:rPr>
          <w:rFonts w:ascii="Arial" w:hAnsi="Arial" w:cs="Arial"/>
          <w:color w:val="000000"/>
          <w:sz w:val="20"/>
        </w:rPr>
        <w:t xml:space="preserve"> [2022] VSCA 136 the Court of Appeal (</w:t>
      </w:r>
      <w:r w:rsidR="009B69A4">
        <w:rPr>
          <w:rFonts w:ascii="Arial" w:hAnsi="Arial" w:cs="Arial"/>
          <w:color w:val="000000"/>
          <w:sz w:val="20"/>
        </w:rPr>
        <w:t>Max</w:t>
      </w:r>
      <w:r w:rsidR="00F06F21">
        <w:rPr>
          <w:rFonts w:ascii="Arial" w:hAnsi="Arial" w:cs="Arial"/>
          <w:color w:val="000000"/>
          <w:sz w:val="20"/>
        </w:rPr>
        <w:t>w</w:t>
      </w:r>
      <w:r w:rsidR="009B69A4">
        <w:rPr>
          <w:rFonts w:ascii="Arial" w:hAnsi="Arial" w:cs="Arial"/>
          <w:color w:val="000000"/>
          <w:sz w:val="20"/>
        </w:rPr>
        <w:t>ell P, Emerton &amp; Sifris JJA</w:t>
      </w:r>
      <w:r>
        <w:rPr>
          <w:rFonts w:ascii="Arial" w:hAnsi="Arial" w:cs="Arial"/>
          <w:color w:val="000000"/>
          <w:sz w:val="20"/>
        </w:rPr>
        <w:t>) said</w:t>
      </w:r>
      <w:r w:rsidR="009B69A4">
        <w:rPr>
          <w:rFonts w:ascii="Arial" w:hAnsi="Arial" w:cs="Arial"/>
          <w:color w:val="000000"/>
          <w:sz w:val="20"/>
        </w:rPr>
        <w:t xml:space="preserve"> at [4]-[6]:</w:t>
      </w:r>
    </w:p>
    <w:p w14:paraId="7D38BA3C" w14:textId="6473AE90" w:rsidR="009B69A4" w:rsidRPr="001C6E0E" w:rsidRDefault="009B69A4" w:rsidP="009B69A4">
      <w:pPr>
        <w:pStyle w:val="Normal-Indent"/>
        <w:spacing w:before="60" w:line="240" w:lineRule="auto"/>
        <w:ind w:left="567" w:right="567"/>
        <w:rPr>
          <w:rFonts w:ascii="Arial" w:hAnsi="Arial" w:cs="Arial"/>
          <w:color w:val="000000"/>
          <w:sz w:val="20"/>
        </w:rPr>
      </w:pPr>
      <w:r>
        <w:rPr>
          <w:rFonts w:ascii="Arial" w:hAnsi="Arial" w:cs="Arial"/>
          <w:color w:val="000000"/>
          <w:sz w:val="20"/>
        </w:rPr>
        <w:t>[4] “</w:t>
      </w:r>
      <w:r w:rsidRPr="009B69A4">
        <w:rPr>
          <w:rFonts w:ascii="Arial" w:hAnsi="Arial" w:cs="Arial"/>
          <w:sz w:val="20"/>
        </w:rPr>
        <w:t xml:space="preserve">The question for determination, therefore, is a question of totality. As this Court said recently in </w:t>
      </w:r>
      <w:r w:rsidRPr="009B69A4">
        <w:rPr>
          <w:rFonts w:ascii="Arial" w:hAnsi="Arial" w:cs="Arial"/>
          <w:i/>
          <w:sz w:val="20"/>
        </w:rPr>
        <w:t>Director of Public Prosecutions v Bowen</w:t>
      </w:r>
      <w:r>
        <w:rPr>
          <w:rFonts w:ascii="Arial" w:hAnsi="Arial" w:cs="Arial"/>
          <w:i/>
          <w:sz w:val="20"/>
        </w:rPr>
        <w:t xml:space="preserve"> </w:t>
      </w:r>
      <w:r w:rsidRPr="009B69A4">
        <w:rPr>
          <w:rFonts w:ascii="Arial" w:hAnsi="Arial" w:cs="Arial"/>
          <w:iCs/>
          <w:sz w:val="20"/>
        </w:rPr>
        <w:t>[2021] VSCA 355</w:t>
      </w:r>
      <w:r>
        <w:rPr>
          <w:rFonts w:ascii="Arial" w:hAnsi="Arial" w:cs="Arial"/>
          <w:iCs/>
          <w:sz w:val="20"/>
        </w:rPr>
        <w:t xml:space="preserve"> at [</w:t>
      </w:r>
      <w:r w:rsidR="00CA7A6C">
        <w:rPr>
          <w:rFonts w:ascii="Arial" w:hAnsi="Arial" w:cs="Arial"/>
          <w:iCs/>
          <w:sz w:val="20"/>
        </w:rPr>
        <w:t>7</w:t>
      </w:r>
      <w:r>
        <w:rPr>
          <w:rFonts w:ascii="Arial" w:hAnsi="Arial" w:cs="Arial"/>
          <w:iCs/>
          <w:sz w:val="20"/>
        </w:rPr>
        <w:t>]</w:t>
      </w:r>
      <w:r w:rsidRPr="009B69A4">
        <w:rPr>
          <w:rFonts w:ascii="Arial" w:hAnsi="Arial" w:cs="Arial"/>
          <w:sz w:val="20"/>
        </w:rPr>
        <w:t>:</w:t>
      </w:r>
    </w:p>
    <w:p w14:paraId="04921A22" w14:textId="52995E62" w:rsidR="009B69A4" w:rsidRPr="009B69A4" w:rsidRDefault="009B69A4" w:rsidP="009B69A4">
      <w:pPr>
        <w:spacing w:before="60"/>
        <w:ind w:left="1021" w:right="1021"/>
        <w:jc w:val="both"/>
        <w:rPr>
          <w:rFonts w:ascii="Arial" w:hAnsi="Arial" w:cs="Arial"/>
          <w:sz w:val="18"/>
          <w:szCs w:val="18"/>
        </w:rPr>
      </w:pPr>
      <w:r w:rsidRPr="009B69A4">
        <w:rPr>
          <w:rFonts w:ascii="Arial" w:hAnsi="Arial" w:cs="Arial"/>
          <w:sz w:val="18"/>
          <w:szCs w:val="18"/>
        </w:rPr>
        <w:lastRenderedPageBreak/>
        <w:t>The principle of totality is, essentially, a principle of proportionality. Put another way, totality is a particular expression of the foundational sentencing principle that a sentence should be proportionate to the criminal conduct for which it is imposed. In the ordinary case where sentence is to be imposed for multiple offences, the principle of totality requires the court to ask itself whether the proposed total effective sentence is proportionate to the aggregate criminality involved in all of the offending.</w:t>
      </w:r>
    </w:p>
    <w:p w14:paraId="64FFB0AF" w14:textId="77777777" w:rsidR="007415AB" w:rsidRDefault="009B69A4" w:rsidP="007415AB">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[5] </w:t>
      </w:r>
      <w:r w:rsidR="00CA7A6C" w:rsidRPr="009B69A4">
        <w:rPr>
          <w:rFonts w:ascii="Arial" w:hAnsi="Arial" w:cs="Arial"/>
          <w:sz w:val="20"/>
        </w:rPr>
        <w:t>The applicant also invokes what is said to be a distinct consideration, namely, that the total effective sentence should not be ‘crushing’. As will appear, ‘crushing’ is a term used to capture the notion that a sentence should not be so long as to ‘induce a feeling of helplessness in an offender and destroy any reasonable expectation of a useful life after their release from custody’.</w:t>
      </w:r>
      <w:r w:rsidR="007415AB">
        <w:rPr>
          <w:rFonts w:ascii="Arial" w:hAnsi="Arial" w:cs="Arial"/>
          <w:sz w:val="20"/>
        </w:rPr>
        <w:t xml:space="preserve">  See </w:t>
      </w:r>
      <w:r w:rsidR="007415AB" w:rsidRPr="007415AB">
        <w:rPr>
          <w:rFonts w:ascii="Arial" w:hAnsi="Arial" w:cs="Arial"/>
          <w:i/>
          <w:sz w:val="20"/>
          <w:szCs w:val="16"/>
        </w:rPr>
        <w:t>Sayed v The Queen</w:t>
      </w:r>
      <w:r w:rsidR="007415AB" w:rsidRPr="007415AB">
        <w:rPr>
          <w:rFonts w:ascii="Arial" w:hAnsi="Arial" w:cs="Arial"/>
          <w:sz w:val="20"/>
          <w:szCs w:val="16"/>
        </w:rPr>
        <w:t xml:space="preserve"> (2012) 220 A Crim R 236, 259 [108]; [2012] WASCA 17; </w:t>
      </w:r>
      <w:r w:rsidR="007415AB" w:rsidRPr="007415AB">
        <w:rPr>
          <w:rFonts w:ascii="Arial" w:hAnsi="Arial" w:cs="Arial"/>
          <w:i/>
          <w:sz w:val="20"/>
          <w:szCs w:val="16"/>
        </w:rPr>
        <w:t>Azzopardi v The Queen</w:t>
      </w:r>
      <w:r w:rsidR="007415AB" w:rsidRPr="007415AB">
        <w:rPr>
          <w:rFonts w:ascii="Arial" w:hAnsi="Arial" w:cs="Arial"/>
          <w:sz w:val="20"/>
          <w:szCs w:val="16"/>
        </w:rPr>
        <w:t xml:space="preserve"> (2011) 35 VR 43, 63 [69].</w:t>
      </w:r>
    </w:p>
    <w:p w14:paraId="0015E0EC" w14:textId="4FBF5D31" w:rsidR="003C4928" w:rsidRPr="001C6E0E" w:rsidRDefault="009B69A4" w:rsidP="007415A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 </w:t>
      </w:r>
      <w:r w:rsidR="003C4928" w:rsidRPr="003C4928">
        <w:rPr>
          <w:rFonts w:ascii="Arial" w:hAnsi="Arial" w:cs="Arial"/>
          <w:sz w:val="20"/>
          <w:szCs w:val="16"/>
        </w:rPr>
        <w:t xml:space="preserve">The preponderance of authority favours the view — with which we respectfully agree — that there is no separate sentencing principle requiring that a ‘crushing’ sentence be avoided. </w:t>
      </w:r>
      <w:r w:rsidR="00F06F21">
        <w:rPr>
          <w:rFonts w:ascii="Arial" w:hAnsi="Arial" w:cs="Arial"/>
          <w:sz w:val="20"/>
          <w:szCs w:val="16"/>
        </w:rPr>
        <w:t xml:space="preserve"> </w:t>
      </w:r>
      <w:r w:rsidR="003C4928" w:rsidRPr="003C4928">
        <w:rPr>
          <w:rFonts w:ascii="Arial" w:hAnsi="Arial" w:cs="Arial"/>
          <w:sz w:val="20"/>
          <w:szCs w:val="16"/>
        </w:rPr>
        <w:t>Rather, it is a particular expression of the fundamental sentencing principle of rehabilitation, which requires that the sentence to be imposed should, so far as possible consistently with the other sentencing purposes to be served, promote the rehabilitation of the offender.</w:t>
      </w:r>
      <w:r w:rsidR="003C4928">
        <w:rPr>
          <w:rFonts w:ascii="Arial" w:hAnsi="Arial" w:cs="Arial"/>
          <w:sz w:val="20"/>
          <w:szCs w:val="16"/>
        </w:rPr>
        <w:t>”</w:t>
      </w:r>
    </w:p>
    <w:p w14:paraId="5DC8DBFE" w14:textId="0AB5AEA6" w:rsidR="003C4928" w:rsidRDefault="003C4928" w:rsidP="003C4928">
      <w:pPr>
        <w:pStyle w:val="Heading3"/>
        <w:spacing w:before="60" w:line="240" w:lineRule="auto"/>
        <w:rPr>
          <w:rFonts w:ascii="Arial" w:hAnsi="Arial" w:cs="Arial"/>
          <w:color w:val="000000"/>
          <w:sz w:val="20"/>
        </w:rPr>
      </w:pPr>
      <w:r>
        <w:rPr>
          <w:rFonts w:ascii="Arial" w:hAnsi="Arial" w:cs="Arial"/>
          <w:color w:val="000000"/>
          <w:sz w:val="20"/>
        </w:rPr>
        <w:t xml:space="preserve">See also </w:t>
      </w:r>
      <w:r w:rsidRPr="003C4928">
        <w:rPr>
          <w:rFonts w:ascii="Arial" w:hAnsi="Arial" w:cs="Arial"/>
          <w:i/>
          <w:iCs/>
          <w:color w:val="000000"/>
          <w:sz w:val="20"/>
        </w:rPr>
        <w:t>DPP v Rider &amp; Ong</w:t>
      </w:r>
      <w:r>
        <w:rPr>
          <w:rFonts w:ascii="Arial" w:hAnsi="Arial" w:cs="Arial"/>
          <w:color w:val="000000"/>
          <w:sz w:val="20"/>
        </w:rPr>
        <w:t xml:space="preserve"> [2023] VSC 466 at [119].</w:t>
      </w:r>
    </w:p>
    <w:p w14:paraId="4C3BC42D" w14:textId="77777777" w:rsidR="003C4928" w:rsidRPr="001C6E0E" w:rsidRDefault="003C4928">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Attorney-General v Tichy</w:t>
      </w:r>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R v Sebborn</w:t>
      </w:r>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63EB50E8" w14:textId="77777777" w:rsidR="009E515D" w:rsidRDefault="009E515D" w:rsidP="00B63C11">
      <w:pPr>
        <w:jc w:val="both"/>
        <w:rPr>
          <w:rFonts w:ascii="Arial" w:hAnsi="Arial" w:cs="Arial"/>
          <w:color w:val="000000"/>
          <w:sz w:val="20"/>
        </w:rPr>
      </w:pPr>
    </w:p>
    <w:p w14:paraId="285DC71D" w14:textId="1F60E985"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generally be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R v Flavall</w:t>
      </w:r>
      <w:r w:rsidRPr="001C6E0E">
        <w:rPr>
          <w:rFonts w:ascii="Arial" w:hAnsi="Arial" w:cs="Arial"/>
          <w:color w:val="000000"/>
          <w:sz w:val="20"/>
        </w:rPr>
        <w:t xml:space="preserve"> [2006] VSCA 32 at [6] per Chernov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a person ought be concurrent:  </w:t>
      </w:r>
      <w:r w:rsidR="002F4198" w:rsidRPr="001C6E0E">
        <w:rPr>
          <w:rFonts w:ascii="Arial" w:hAnsi="Arial" w:cs="Arial"/>
          <w:i/>
          <w:color w:val="000000"/>
          <w:sz w:val="20"/>
        </w:rPr>
        <w:t>R v Mantini</w:t>
      </w:r>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w:t>
      </w:r>
      <w:r w:rsidRPr="001C6E0E">
        <w:rPr>
          <w:rFonts w:ascii="Arial" w:hAnsi="Arial" w:cs="Arial"/>
          <w:color w:val="000000"/>
          <w:sz w:val="20"/>
        </w:rPr>
        <w:lastRenderedPageBreak/>
        <w:t xml:space="preserve">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Bongiorno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R v McCorriston</w:t>
      </w:r>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R v Coukoulis</w:t>
      </w:r>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Ormiston JA, with whom Winneke P and Hedigan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eg,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(1988) 166 CLR 59, 62–3; [1988] HCA 70 (Wilson, Deane, Dawson, Toohey and Gaudron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r w:rsidRPr="00647DF2">
        <w:rPr>
          <w:rFonts w:ascii="Arial" w:eastAsia="Book Antiqua" w:hAnsi="Arial" w:cs="Arial"/>
          <w:i/>
          <w:sz w:val="20"/>
          <w:szCs w:val="16"/>
        </w:rPr>
        <w:t xml:space="preserve">Piacentino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r w:rsidRPr="001D3230">
        <w:rPr>
          <w:rFonts w:ascii="Arial" w:eastAsia="Book Antiqua" w:hAnsi="Arial" w:cs="Arial"/>
          <w:i/>
          <w:sz w:val="20"/>
        </w:rPr>
        <w:t>Bogdanovich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and whether the total 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w:t>
      </w:r>
      <w:r w:rsidR="00FF3593" w:rsidRPr="001D3230">
        <w:rPr>
          <w:rFonts w:ascii="Arial" w:hAnsi="Arial" w:cs="Arial"/>
          <w:sz w:val="18"/>
          <w:szCs w:val="20"/>
        </w:rPr>
        <w:lastRenderedPageBreak/>
        <w:t>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746214B9" w14:textId="77777777" w:rsidR="00E9059B" w:rsidRDefault="00E9059B" w:rsidP="00EE1C79">
      <w:pPr>
        <w:pStyle w:val="Heading2"/>
        <w:tabs>
          <w:tab w:val="left" w:pos="567"/>
        </w:tabs>
        <w:spacing w:line="240" w:lineRule="auto"/>
        <w:rPr>
          <w:rFonts w:ascii="Arial" w:hAnsi="Arial" w:cs="Arial"/>
          <w:bCs/>
          <w:color w:val="000000"/>
          <w:sz w:val="20"/>
          <w:lang w:val="en-US"/>
        </w:rPr>
      </w:pPr>
    </w:p>
    <w:p w14:paraId="42F6BF50" w14:textId="726DABBB" w:rsidR="00EE1C79" w:rsidRDefault="00EE1C79" w:rsidP="00EE1C79">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w:t>
      </w:r>
      <w:r w:rsidR="00B92B67">
        <w:rPr>
          <w:rFonts w:ascii="Arial" w:hAnsi="Arial" w:cs="Arial"/>
          <w:bCs/>
          <w:color w:val="000000"/>
          <w:sz w:val="20"/>
          <w:lang w:val="en-US"/>
        </w:rPr>
        <w:t xml:space="preserve">6 the appellant had been found guilty by a jury of charges of attempting to engage in a terrorist act and engaging in a terrorist act and was sentenced by Tinney J to IMP22y/17y.  </w:t>
      </w:r>
      <w:r w:rsidRPr="00127BB9">
        <w:rPr>
          <w:rFonts w:ascii="Arial" w:hAnsi="Arial" w:cs="Arial"/>
          <w:bCs/>
          <w:color w:val="000000"/>
          <w:sz w:val="20"/>
          <w:lang w:val="en-US"/>
        </w:rPr>
        <w:t xml:space="preserve">Several months later </w:t>
      </w:r>
      <w:r>
        <w:rPr>
          <w:rFonts w:ascii="Arial" w:hAnsi="Arial" w:cs="Arial"/>
          <w:bCs/>
          <w:color w:val="000000"/>
          <w:sz w:val="20"/>
          <w:lang w:val="en-US"/>
        </w:rPr>
        <w:t xml:space="preserve">in a separate trial </w:t>
      </w:r>
      <w:r w:rsidR="00B92B67">
        <w:rPr>
          <w:rFonts w:ascii="Arial" w:hAnsi="Arial" w:cs="Arial"/>
          <w:bCs/>
          <w:color w:val="000000"/>
          <w:sz w:val="20"/>
          <w:lang w:val="en-US"/>
        </w:rPr>
        <w:t>he</w:t>
      </w:r>
      <w:r w:rsidRPr="00127BB9">
        <w:rPr>
          <w:rFonts w:ascii="Arial" w:hAnsi="Arial" w:cs="Arial"/>
          <w:bCs/>
          <w:color w:val="000000"/>
          <w:sz w:val="20"/>
          <w:lang w:val="en-US"/>
        </w:rPr>
        <w:t xml:space="preserve"> </w:t>
      </w:r>
      <w:r w:rsidRPr="00127BB9">
        <w:rPr>
          <w:rFonts w:ascii="Arial" w:hAnsi="Arial" w:cs="Arial"/>
          <w:sz w:val="20"/>
        </w:rPr>
        <w:t>was found guilty by a jury of one charge of conspiring to do acts in preparation for, or planning, a terrorist act.</w:t>
      </w:r>
      <w:r>
        <w:rPr>
          <w:rFonts w:ascii="Arial" w:hAnsi="Arial" w:cs="Arial"/>
          <w:sz w:val="20"/>
        </w:rPr>
        <w:t xml:space="preserve">  He was subsequently sentenced by Beale J </w:t>
      </w:r>
      <w:r>
        <w:rPr>
          <w:rFonts w:ascii="Arial" w:hAnsi="Arial" w:cs="Arial"/>
          <w:bCs/>
          <w:color w:val="000000"/>
          <w:sz w:val="20"/>
          <w:lang w:val="en-US"/>
        </w:rPr>
        <w:t xml:space="preserve">to IMP26y of which 16y was to be served cumulatively on the 22y sentence imposed by Tinney J, resulting in a TES IMP38y/28y6m: see [2019] VSC 775.  He did not appeal either of the individual sentences but </w:t>
      </w:r>
      <w:r w:rsidR="00B92B67">
        <w:rPr>
          <w:rFonts w:ascii="Arial" w:hAnsi="Arial" w:cs="Arial"/>
          <w:bCs/>
          <w:color w:val="000000"/>
          <w:sz w:val="20"/>
          <w:lang w:val="en-US"/>
        </w:rPr>
        <w:t>appealed the order for cumulation made by Beale J.  The Court of Appeal (Maxwell P, Emerton &amp; Sifris JJA) allowed the appeal and substituted a TES IMP32y/24y.  At [63]-[80] the Court discussed the application of the principle of totality</w:t>
      </w:r>
      <w:r w:rsidR="008D743A">
        <w:rPr>
          <w:rFonts w:ascii="Arial" w:hAnsi="Arial" w:cs="Arial"/>
          <w:bCs/>
          <w:color w:val="000000"/>
          <w:sz w:val="20"/>
          <w:lang w:val="en-US"/>
        </w:rPr>
        <w:t xml:space="preserve"> and the related question of a ‘crushing’ sentence</w:t>
      </w:r>
      <w:r w:rsidR="00B92B67">
        <w:rPr>
          <w:rFonts w:ascii="Arial" w:hAnsi="Arial" w:cs="Arial"/>
          <w:bCs/>
          <w:color w:val="000000"/>
          <w:sz w:val="20"/>
          <w:lang w:val="en-US"/>
        </w:rPr>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The totality enquiry does not, of course, end with an assessment of the aggregate criminality involved in the offending. The total effective sentence will only satisfy the requirement of proportionality if it is a ‘just and appropriate measure of the total criminality involved’</w:t>
      </w:r>
      <w:r>
        <w:rPr>
          <w:rFonts w:ascii="Arial" w:hAnsi="Arial" w:cs="Arial"/>
          <w:sz w:val="20"/>
          <w:szCs w:val="16"/>
        </w:rPr>
        <w:t xml:space="preserve">: </w:t>
      </w:r>
      <w:r w:rsidRPr="00B1389E">
        <w:rPr>
          <w:rFonts w:ascii="Arial" w:hAnsi="Arial" w:cs="Arial"/>
          <w:i/>
          <w:iCs/>
          <w:sz w:val="20"/>
          <w:szCs w:val="16"/>
        </w:rPr>
        <w:t>Postiglione v The Queen</w:t>
      </w:r>
      <w:r>
        <w:rPr>
          <w:rFonts w:ascii="Arial" w:hAnsi="Arial" w:cs="Arial"/>
          <w:sz w:val="20"/>
          <w:szCs w:val="16"/>
        </w:rPr>
        <w:t xml:space="preserve">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[66] </w:t>
      </w:r>
      <w:r w:rsidRPr="00EE1C79">
        <w:rPr>
          <w:rFonts w:ascii="Arial" w:hAnsi="Arial" w:cs="Arial"/>
          <w:sz w:val="20"/>
          <w:szCs w:val="16"/>
        </w:rPr>
        <w:t>In the present case, there are other sentencing objectives of great significance. Foremost amongst them, in our view, is the need to maximise the applicant’s prospects of rehabilitation. When attention is directed to rehabilitation, the sentencing court is not — 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thus abandoning any possibility of appeal against conviction. Crucially, his Honour found that the applicant was ‘genuinely on the path of de-radicalisation’, was 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protection and incapacitation, see </w:t>
      </w:r>
      <w:r w:rsidRPr="008D743A">
        <w:rPr>
          <w:rFonts w:ascii="Arial" w:hAnsi="Arial" w:cs="Arial"/>
          <w:i/>
          <w:iCs/>
          <w:sz w:val="20"/>
          <w:szCs w:val="16"/>
        </w:rPr>
        <w:t>Elomar v The Queen</w:t>
      </w:r>
      <w:r w:rsidRPr="00EE1C79">
        <w:rPr>
          <w:rFonts w:ascii="Arial" w:hAnsi="Arial" w:cs="Arial"/>
          <w:sz w:val="20"/>
          <w:szCs w:val="16"/>
        </w:rPr>
        <w:t xml:space="preserve"> [2014] NSWCCA 303, [703]–[704]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particular,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(Spigelman CJ, Whealy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(Kourakis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Kourakis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w:t>
      </w:r>
      <w:r w:rsidR="00EE1C79" w:rsidRPr="005B53E3">
        <w:rPr>
          <w:rFonts w:ascii="Arial" w:hAnsi="Arial" w:cs="Arial"/>
          <w:sz w:val="18"/>
          <w:szCs w:val="14"/>
        </w:rPr>
        <w:lastRenderedPageBreak/>
        <w:t xml:space="preserve">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5A1F25EC" w14:textId="77777777" w:rsidR="00EE1C79" w:rsidRDefault="00EE1C79"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46" w:name="_Hlk95901916"/>
      <w:r w:rsidRPr="009C39AA">
        <w:rPr>
          <w:rFonts w:ascii="Arial" w:hAnsi="Arial" w:cs="Arial"/>
          <w:color w:val="000000"/>
          <w:sz w:val="20"/>
          <w:szCs w:val="20"/>
        </w:rPr>
        <w:t xml:space="preserve">In </w:t>
      </w:r>
      <w:r w:rsidRPr="009C39AA">
        <w:rPr>
          <w:rFonts w:ascii="Arial" w:hAnsi="Arial" w:cs="Arial"/>
          <w:i/>
          <w:iCs/>
          <w:color w:val="000000"/>
          <w:sz w:val="20"/>
          <w:szCs w:val="20"/>
        </w:rPr>
        <w:t>Kulafi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R v Samia</w:t>
      </w:r>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p w14:paraId="163E2F65" w14:textId="7F839D9C" w:rsidR="00453B00" w:rsidRDefault="00453B00" w:rsidP="0043368D">
      <w:pPr>
        <w:jc w:val="both"/>
        <w:rPr>
          <w:rFonts w:ascii="Arial" w:hAnsi="Arial" w:cs="Arial"/>
          <w:color w:val="000000"/>
          <w:sz w:val="20"/>
          <w:szCs w:val="20"/>
        </w:rPr>
      </w:pPr>
      <w:r>
        <w:rPr>
          <w:rFonts w:ascii="Arial" w:hAnsi="Arial" w:cs="Arial"/>
          <w:color w:val="000000"/>
          <w:sz w:val="20"/>
          <w:szCs w:val="20"/>
        </w:rPr>
        <w:t xml:space="preserve">In </w:t>
      </w:r>
      <w:r w:rsidRPr="00453B00">
        <w:rPr>
          <w:rFonts w:ascii="Arial" w:hAnsi="Arial" w:cs="Arial"/>
          <w:i/>
          <w:iCs/>
          <w:color w:val="000000"/>
          <w:sz w:val="20"/>
          <w:szCs w:val="20"/>
        </w:rPr>
        <w:t>Anh Thai Nguyen v The King</w:t>
      </w:r>
      <w:r>
        <w:rPr>
          <w:rFonts w:ascii="Arial" w:hAnsi="Arial" w:cs="Arial"/>
          <w:color w:val="000000"/>
          <w:sz w:val="20"/>
          <w:szCs w:val="20"/>
        </w:rPr>
        <w:t xml:space="preserve"> [2024] VSCA 290 the Court of Appeal refused leave to appeal against a TES IMP7y/5y imposed on a 43 year old offender who had pleaded not guilty to one count of recklessly exposing an emergency worker to risks by driving and 6 counts of reckless conduct endangering life.  The appellant – who had a poor criminal history for driving offences – had driven his vehicle on a pedestrian footpath to evade police, thereby endangering a police officer, pedestrians and workers. In refusing leave Priest &amp; T Forrest JJA rejected the appellant’s submission that the principle of totality had been breached in circumstances where one course of conduct had resulted in multiple victims.</w:t>
      </w:r>
    </w:p>
    <w:p w14:paraId="08589FC8" w14:textId="77777777" w:rsidR="00453B00" w:rsidRDefault="00453B00" w:rsidP="0043368D">
      <w:pPr>
        <w:jc w:val="both"/>
        <w:rPr>
          <w:rFonts w:ascii="Arial" w:hAnsi="Arial" w:cs="Arial"/>
          <w:color w:val="000000"/>
          <w:sz w:val="20"/>
          <w:szCs w:val="20"/>
        </w:rPr>
      </w:pPr>
    </w:p>
    <w:p w14:paraId="69062216" w14:textId="37133754" w:rsidR="007B6352" w:rsidRDefault="00D80001" w:rsidP="0043368D">
      <w:pPr>
        <w:jc w:val="both"/>
        <w:rPr>
          <w:rFonts w:ascii="Arial" w:hAnsi="Arial" w:cs="Arial"/>
          <w:color w:val="000000"/>
          <w:sz w:val="20"/>
          <w:szCs w:val="20"/>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w:t>
      </w:r>
      <w:r w:rsidR="00A3142A">
        <w:rPr>
          <w:rFonts w:ascii="Arial" w:hAnsi="Arial" w:cs="Arial"/>
          <w:color w:val="000000"/>
          <w:sz w:val="20"/>
          <w:szCs w:val="20"/>
        </w:rPr>
        <w:t xml:space="preserve">3 </w:t>
      </w:r>
      <w:r>
        <w:rPr>
          <w:rFonts w:ascii="Arial" w:hAnsi="Arial" w:cs="Arial"/>
          <w:color w:val="000000"/>
          <w:sz w:val="20"/>
          <w:szCs w:val="20"/>
        </w:rPr>
        <w:t>the Court of Appeal granted leave to appeal but dismissed the appeal against a TES IMP</w:t>
      </w:r>
      <w:r w:rsidR="003B31F4">
        <w:rPr>
          <w:rFonts w:ascii="Arial" w:hAnsi="Arial" w:cs="Arial"/>
          <w:color w:val="000000"/>
          <w:sz w:val="20"/>
          <w:szCs w:val="20"/>
        </w:rPr>
        <w:t>23</w:t>
      </w:r>
      <w:r>
        <w:rPr>
          <w:rFonts w:ascii="Arial" w:hAnsi="Arial" w:cs="Arial"/>
          <w:color w:val="000000"/>
          <w:sz w:val="20"/>
          <w:szCs w:val="20"/>
        </w:rPr>
        <w:t xml:space="preserve">m/16m imposed on the 47 year old applicant </w:t>
      </w:r>
      <w:r w:rsidR="009526F1">
        <w:rPr>
          <w:rFonts w:ascii="Arial" w:hAnsi="Arial" w:cs="Arial"/>
          <w:color w:val="000000"/>
          <w:sz w:val="20"/>
          <w:szCs w:val="20"/>
        </w:rPr>
        <w:t xml:space="preserve">with a ‘dreadful’ criminal history </w:t>
      </w:r>
      <w:r>
        <w:rPr>
          <w:rFonts w:ascii="Arial" w:hAnsi="Arial" w:cs="Arial"/>
          <w:color w:val="000000"/>
          <w:sz w:val="20"/>
          <w:szCs w:val="20"/>
        </w:rPr>
        <w:t xml:space="preserve">on charges including </w:t>
      </w:r>
      <w:r w:rsidR="008708E2" w:rsidRPr="008708E2">
        <w:rPr>
          <w:rFonts w:ascii="Arial" w:hAnsi="Arial" w:cs="Arial"/>
          <w:color w:val="000000"/>
          <w:sz w:val="20"/>
          <w:szCs w:val="20"/>
        </w:rPr>
        <w:t>reckless conduct endangering serious injury</w:t>
      </w:r>
      <w:r>
        <w:rPr>
          <w:rFonts w:ascii="Arial" w:hAnsi="Arial" w:cs="Arial"/>
          <w:color w:val="000000"/>
          <w:sz w:val="20"/>
          <w:szCs w:val="20"/>
        </w:rPr>
        <w:t xml:space="preserve"> and making a false report to polic</w:t>
      </w:r>
      <w:r w:rsidR="009526F1">
        <w:rPr>
          <w:rFonts w:ascii="Arial" w:hAnsi="Arial" w:cs="Arial"/>
          <w:color w:val="000000"/>
          <w:sz w:val="20"/>
          <w:szCs w:val="20"/>
        </w:rPr>
        <w:t xml:space="preserve">e in the context of driving described by the sentencing judge as ‘simply appalling’. At the time the applicant was arrested on these offences he was on parole for earlier offending. His parole was cancelled and he was returned to custody </w:t>
      </w:r>
      <w:r w:rsidR="008708E2">
        <w:rPr>
          <w:rFonts w:ascii="Arial" w:hAnsi="Arial" w:cs="Arial"/>
          <w:color w:val="000000"/>
          <w:sz w:val="20"/>
          <w:szCs w:val="20"/>
        </w:rPr>
        <w:t>where he spent the remaining 277 days of the original sentence and a further 160 days which were recorded as pre-sentence detention for the current offending</w:t>
      </w:r>
      <w:r w:rsidR="002209E7">
        <w:rPr>
          <w:rFonts w:ascii="Arial" w:hAnsi="Arial" w:cs="Arial"/>
          <w:color w:val="000000"/>
          <w:sz w:val="20"/>
          <w:szCs w:val="20"/>
        </w:rPr>
        <w:t xml:space="preserve">. Both </w:t>
      </w:r>
      <w:r w:rsidR="008708E2">
        <w:rPr>
          <w:rFonts w:ascii="Arial" w:hAnsi="Arial" w:cs="Arial"/>
          <w:color w:val="000000"/>
          <w:sz w:val="20"/>
          <w:szCs w:val="20"/>
        </w:rPr>
        <w:t xml:space="preserve">Niall CJ </w:t>
      </w:r>
      <w:r w:rsidR="002209E7">
        <w:rPr>
          <w:rFonts w:ascii="Arial" w:hAnsi="Arial" w:cs="Arial"/>
          <w:color w:val="000000"/>
          <w:sz w:val="20"/>
          <w:szCs w:val="20"/>
        </w:rPr>
        <w:t xml:space="preserve">at [25] </w:t>
      </w:r>
      <w:r w:rsidR="008708E2">
        <w:rPr>
          <w:rFonts w:ascii="Arial" w:hAnsi="Arial" w:cs="Arial"/>
          <w:color w:val="000000"/>
          <w:sz w:val="20"/>
          <w:szCs w:val="20"/>
        </w:rPr>
        <w:t xml:space="preserve">and Walker JA </w:t>
      </w:r>
      <w:r w:rsidR="002209E7">
        <w:rPr>
          <w:rFonts w:ascii="Arial" w:hAnsi="Arial" w:cs="Arial"/>
          <w:color w:val="000000"/>
          <w:sz w:val="20"/>
          <w:szCs w:val="20"/>
        </w:rPr>
        <w:t xml:space="preserve">at [48] &amp; [56] </w:t>
      </w:r>
      <w:r w:rsidR="002D3730">
        <w:rPr>
          <w:rFonts w:ascii="Arial" w:hAnsi="Arial" w:cs="Arial"/>
          <w:color w:val="000000"/>
          <w:sz w:val="20"/>
          <w:szCs w:val="20"/>
        </w:rPr>
        <w:t>considered</w:t>
      </w:r>
      <w:r w:rsidR="008708E2">
        <w:rPr>
          <w:rFonts w:ascii="Arial" w:hAnsi="Arial" w:cs="Arial"/>
          <w:color w:val="000000"/>
          <w:sz w:val="20"/>
          <w:szCs w:val="20"/>
        </w:rPr>
        <w:t xml:space="preserve"> that </w:t>
      </w:r>
      <w:r w:rsidR="002209E7">
        <w:rPr>
          <w:rFonts w:ascii="Arial" w:hAnsi="Arial" w:cs="Arial"/>
          <w:color w:val="000000"/>
          <w:sz w:val="20"/>
          <w:szCs w:val="20"/>
        </w:rPr>
        <w:t xml:space="preserve">no different sentence ought be imposed. </w:t>
      </w:r>
      <w:r w:rsidR="007B6352">
        <w:rPr>
          <w:rFonts w:ascii="Arial" w:hAnsi="Arial" w:cs="Arial"/>
          <w:color w:val="000000"/>
          <w:sz w:val="20"/>
          <w:szCs w:val="20"/>
        </w:rPr>
        <w:t xml:space="preserve">Niall CJ at [23] did not regard </w:t>
      </w:r>
      <w:r w:rsidR="002D3730">
        <w:rPr>
          <w:rFonts w:ascii="Arial" w:hAnsi="Arial" w:cs="Arial"/>
          <w:color w:val="000000"/>
          <w:sz w:val="20"/>
          <w:szCs w:val="20"/>
        </w:rPr>
        <w:t>the principle of totality as the critical issue:</w:t>
      </w:r>
    </w:p>
    <w:p w14:paraId="04A999EC" w14:textId="1F07F3BF" w:rsidR="007B6352" w:rsidRDefault="007B6352" w:rsidP="007B6352">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w:t>
      </w:r>
      <w:r w:rsidRPr="007B6352">
        <w:rPr>
          <w:rFonts w:ascii="Arial" w:hAnsi="Arial" w:cs="Arial"/>
          <w:color w:val="000000"/>
          <w:sz w:val="20"/>
          <w:szCs w:val="20"/>
        </w:rPr>
        <w:t>Whether or not the circumstances fall within the concept of totality as it is presently understood is not the critical question. Rather, in order to succeed, the applicant has to establish that the judge ignored the earlier sentence and its potential to moderate the sentence to be imposed. The applicant has failed to make that good</w:t>
      </w:r>
      <w:r>
        <w:rPr>
          <w:rFonts w:ascii="Arial" w:hAnsi="Arial" w:cs="Arial"/>
          <w:color w:val="000000"/>
          <w:sz w:val="20"/>
          <w:szCs w:val="20"/>
        </w:rPr>
        <w:t>…”</w:t>
      </w:r>
    </w:p>
    <w:p w14:paraId="226E3B2A" w14:textId="263CCC2A" w:rsidR="00D80001" w:rsidRDefault="002209E7" w:rsidP="002D3730">
      <w:pPr>
        <w:spacing w:before="60"/>
        <w:jc w:val="both"/>
        <w:rPr>
          <w:rFonts w:ascii="Arial" w:hAnsi="Arial" w:cs="Arial"/>
          <w:color w:val="000000"/>
          <w:sz w:val="20"/>
          <w:szCs w:val="20"/>
        </w:rPr>
      </w:pPr>
      <w:r>
        <w:rPr>
          <w:rFonts w:ascii="Arial" w:hAnsi="Arial" w:cs="Arial"/>
          <w:color w:val="000000"/>
          <w:sz w:val="20"/>
          <w:szCs w:val="20"/>
        </w:rPr>
        <w:t>However at [48] Walker JA considered that the sentencing judge had failed properly to take into account the cancellation of the applicant’s parole as an aspect of the principle of totality, her Honour saying at [51]-[5</w:t>
      </w:r>
      <w:r w:rsidR="00A3142A">
        <w:rPr>
          <w:rFonts w:ascii="Arial" w:hAnsi="Arial" w:cs="Arial"/>
          <w:color w:val="000000"/>
          <w:sz w:val="20"/>
          <w:szCs w:val="20"/>
        </w:rPr>
        <w:t>3</w:t>
      </w:r>
      <w:r>
        <w:rPr>
          <w:rFonts w:ascii="Arial" w:hAnsi="Arial" w:cs="Arial"/>
          <w:color w:val="000000"/>
          <w:sz w:val="20"/>
          <w:szCs w:val="20"/>
        </w:rPr>
        <w:t>]:</w:t>
      </w:r>
    </w:p>
    <w:p w14:paraId="79F24BFF" w14:textId="7DCDDFAE" w:rsidR="00D80001" w:rsidRDefault="002209E7" w:rsidP="002209E7">
      <w:pPr>
        <w:spacing w:before="60"/>
        <w:ind w:left="567" w:right="567"/>
        <w:jc w:val="both"/>
        <w:rPr>
          <w:rFonts w:ascii="Arial" w:hAnsi="Arial" w:cs="Arial"/>
          <w:color w:val="000000"/>
          <w:sz w:val="20"/>
          <w:szCs w:val="20"/>
        </w:rPr>
      </w:pPr>
      <w:r>
        <w:rPr>
          <w:rFonts w:ascii="Arial" w:hAnsi="Arial" w:cs="Arial"/>
          <w:sz w:val="20"/>
          <w:szCs w:val="20"/>
        </w:rPr>
        <w:t>[51] “</w:t>
      </w:r>
      <w:r w:rsidR="009526F1" w:rsidRPr="009526F1">
        <w:rPr>
          <w:rFonts w:ascii="Arial" w:hAnsi="Arial" w:cs="Arial"/>
          <w:color w:val="000000"/>
          <w:sz w:val="20"/>
          <w:szCs w:val="20"/>
        </w:rPr>
        <w:t>As Niall CJ explains, the principle of totality operates where a sentencing court is dealing with an offender who has been sentenced on another occasion and is still under sentence. In such cases the principle requires the judge to ensure that the aggregation of the sentences appropriate for each offence is a just and appropriate measure of the total criminality involved and avoids a crushing sentence. In addition, the principle of totality can apply in circumstances where the offender is no longer serving the sentence for the earlier offending. This includes circumstances where the offender was on remand for the present offending, while at the same time serving a term of imprisonment for another offence. Such a period of imprisonment cannot be claimed as pre-sentence detention under s 18, but is nonetheless relevant to the sentencing discretion as an aspect of the principle of totality.</w:t>
      </w:r>
      <w:r>
        <w:rPr>
          <w:rFonts w:ascii="Arial" w:hAnsi="Arial" w:cs="Arial"/>
          <w:color w:val="000000"/>
          <w:sz w:val="20"/>
          <w:szCs w:val="20"/>
        </w:rPr>
        <w:t xml:space="preserve"> </w:t>
      </w:r>
      <w:r w:rsidR="009526F1" w:rsidRPr="009526F1">
        <w:rPr>
          <w:rFonts w:ascii="Arial" w:hAnsi="Arial" w:cs="Arial"/>
          <w:color w:val="000000"/>
          <w:sz w:val="20"/>
          <w:szCs w:val="20"/>
        </w:rPr>
        <w:t xml:space="preserve">See, eg, </w:t>
      </w:r>
      <w:r w:rsidR="009526F1" w:rsidRPr="002209E7">
        <w:rPr>
          <w:rFonts w:ascii="Arial" w:hAnsi="Arial" w:cs="Arial"/>
          <w:i/>
          <w:iCs/>
          <w:color w:val="000000"/>
          <w:sz w:val="20"/>
          <w:szCs w:val="20"/>
        </w:rPr>
        <w:t>Kenyeres v The King</w:t>
      </w:r>
      <w:r w:rsidR="009526F1" w:rsidRPr="009526F1">
        <w:rPr>
          <w:rFonts w:ascii="Arial" w:hAnsi="Arial" w:cs="Arial"/>
          <w:color w:val="000000"/>
          <w:sz w:val="20"/>
          <w:szCs w:val="20"/>
        </w:rPr>
        <w:t xml:space="preserve"> [2023] VSCA 25, [59]</w:t>
      </w:r>
      <w:r>
        <w:rPr>
          <w:rFonts w:ascii="Arial" w:hAnsi="Arial" w:cs="Arial"/>
          <w:color w:val="000000"/>
          <w:sz w:val="20"/>
          <w:szCs w:val="20"/>
        </w:rPr>
        <w:t>-</w:t>
      </w:r>
      <w:r w:rsidR="009526F1" w:rsidRPr="009526F1">
        <w:rPr>
          <w:rFonts w:ascii="Arial" w:hAnsi="Arial" w:cs="Arial"/>
          <w:color w:val="000000"/>
          <w:sz w:val="20"/>
          <w:szCs w:val="20"/>
        </w:rPr>
        <w:t xml:space="preserve">[64]; </w:t>
      </w:r>
      <w:r w:rsidR="009526F1" w:rsidRPr="002209E7">
        <w:rPr>
          <w:rFonts w:ascii="Arial" w:hAnsi="Arial" w:cs="Arial"/>
          <w:i/>
          <w:iCs/>
          <w:color w:val="000000"/>
          <w:sz w:val="20"/>
          <w:szCs w:val="20"/>
        </w:rPr>
        <w:t>Lowell (a pseudonym) v The Queen</w:t>
      </w:r>
      <w:r w:rsidR="009526F1" w:rsidRPr="009526F1">
        <w:rPr>
          <w:rFonts w:ascii="Arial" w:hAnsi="Arial" w:cs="Arial"/>
          <w:color w:val="000000"/>
          <w:sz w:val="20"/>
          <w:szCs w:val="20"/>
        </w:rPr>
        <w:t xml:space="preserve"> [2022] VSCA 134, [30]–[33]; El</w:t>
      </w:r>
      <w:r>
        <w:rPr>
          <w:rFonts w:ascii="Arial" w:hAnsi="Arial" w:cs="Arial"/>
          <w:color w:val="000000"/>
          <w:sz w:val="20"/>
          <w:szCs w:val="20"/>
        </w:rPr>
        <w:noBreakHyphen/>
      </w:r>
      <w:r w:rsidR="009526F1" w:rsidRPr="009526F1">
        <w:rPr>
          <w:rFonts w:ascii="Arial" w:hAnsi="Arial" w:cs="Arial"/>
          <w:color w:val="000000"/>
          <w:sz w:val="20"/>
          <w:szCs w:val="20"/>
        </w:rPr>
        <w:t xml:space="preserve">Waly v The Queen (2012) 46 VR 656, 674 [111]–[112]; [2012] VSCA 184; </w:t>
      </w:r>
      <w:r w:rsidR="009526F1" w:rsidRPr="002209E7">
        <w:rPr>
          <w:rFonts w:ascii="Arial" w:hAnsi="Arial" w:cs="Arial"/>
          <w:i/>
          <w:iCs/>
          <w:color w:val="000000"/>
          <w:sz w:val="20"/>
          <w:szCs w:val="20"/>
        </w:rPr>
        <w:t>R v Renzella</w:t>
      </w:r>
      <w:r w:rsidR="009526F1" w:rsidRPr="009526F1">
        <w:rPr>
          <w:rFonts w:ascii="Arial" w:hAnsi="Arial" w:cs="Arial"/>
          <w:color w:val="000000"/>
          <w:sz w:val="20"/>
          <w:szCs w:val="20"/>
        </w:rPr>
        <w:t xml:space="preserve"> [1997] 2 VR 88, 98. The applicant did not rely on these authorities in this Court, nor were they drawn to the judge’s attention. Nonetheless, the applicant’s case on appeal was consistent with these authorities.</w:t>
      </w:r>
    </w:p>
    <w:p w14:paraId="532D55E5" w14:textId="171292DF" w:rsidR="003B31F4"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[52] </w:t>
      </w:r>
      <w:r w:rsidR="003B31F4" w:rsidRPr="003B31F4">
        <w:rPr>
          <w:rFonts w:ascii="Arial" w:hAnsi="Arial" w:cs="Arial"/>
          <w:color w:val="000000"/>
          <w:sz w:val="20"/>
          <w:szCs w:val="20"/>
        </w:rPr>
        <w:t xml:space="preserve">In the present case the judge was required to take into account the 277 days that the applicant was on remand for the current offences while at the same time serving a term of imprisonment for the earlier offending. As explained above, those 277 days did not constitute pre-sentence detention under s 18; nonetheless they raised a distinct issue of totality. I note that there is some debate about whether time spent in custody both on remand and serving an earlier sentence should be regarded as an aspect of the ‘Renzella discretion’, or whether it is better understood as a particular application of the principle of totality: see, eg, </w:t>
      </w:r>
      <w:r w:rsidR="003B31F4" w:rsidRPr="002209E7">
        <w:rPr>
          <w:rFonts w:ascii="Arial" w:hAnsi="Arial" w:cs="Arial"/>
          <w:i/>
          <w:iCs/>
          <w:color w:val="000000"/>
          <w:sz w:val="20"/>
          <w:szCs w:val="20"/>
        </w:rPr>
        <w:t>Lowell (a pseudonym) v The Queen</w:t>
      </w:r>
      <w:r w:rsidR="003B31F4" w:rsidRPr="003B31F4">
        <w:rPr>
          <w:rFonts w:ascii="Arial" w:hAnsi="Arial" w:cs="Arial"/>
          <w:color w:val="000000"/>
          <w:sz w:val="20"/>
          <w:szCs w:val="20"/>
        </w:rPr>
        <w:t xml:space="preserve"> [2022] VSCA 134, [33]. It is not necessary for me to enter into that debate in the present case.</w:t>
      </w:r>
      <w:r>
        <w:rPr>
          <w:rFonts w:ascii="Arial" w:hAnsi="Arial" w:cs="Arial"/>
          <w:color w:val="000000"/>
          <w:sz w:val="20"/>
          <w:szCs w:val="20"/>
        </w:rPr>
        <w:t>”</w:t>
      </w:r>
    </w:p>
    <w:p w14:paraId="159ECA7B" w14:textId="035FEBF6" w:rsidR="002209E7"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[53] </w:t>
      </w:r>
      <w:r w:rsidRPr="002209E7">
        <w:rPr>
          <w:rFonts w:ascii="Arial" w:hAnsi="Arial" w:cs="Arial"/>
          <w:sz w:val="20"/>
          <w:szCs w:val="20"/>
        </w:rPr>
        <w:t>In my view, the judge did not have regard to this aspect of the applicant’s circumstances. Although his Honour referred to the sentencing reasons in relation to the applicant’s earlier offending, and although the judge was aware that the applicant’s parole had been cancelled, his Honour made no reference to the 277 days of detention that did not constitute pre-sentence detention.</w:t>
      </w:r>
      <w:r>
        <w:rPr>
          <w:rFonts w:ascii="Arial" w:hAnsi="Arial" w:cs="Arial"/>
          <w:sz w:val="20"/>
          <w:szCs w:val="20"/>
        </w:rPr>
        <w:t>”</w:t>
      </w:r>
    </w:p>
    <w:p w14:paraId="7C5A4D42" w14:textId="77777777" w:rsidR="003B31F4" w:rsidRDefault="003B31F4" w:rsidP="0043368D">
      <w:pPr>
        <w:jc w:val="both"/>
        <w:rPr>
          <w:rFonts w:ascii="Arial" w:hAnsi="Arial" w:cs="Arial"/>
          <w:color w:val="000000"/>
          <w:sz w:val="20"/>
          <w:szCs w:val="20"/>
        </w:rPr>
      </w:pPr>
    </w:p>
    <w:p w14:paraId="7AC8F69D" w14:textId="4E64A3B8" w:rsidR="00D70BA6" w:rsidRDefault="00D70BA6" w:rsidP="0043368D">
      <w:pPr>
        <w:jc w:val="both"/>
        <w:rPr>
          <w:rFonts w:ascii="Arial" w:hAnsi="Arial" w:cs="Arial"/>
          <w:color w:val="000000"/>
          <w:sz w:val="20"/>
          <w:szCs w:val="20"/>
        </w:rPr>
      </w:pPr>
      <w:r>
        <w:rPr>
          <w:rFonts w:ascii="Arial" w:hAnsi="Arial" w:cs="Arial"/>
          <w:color w:val="000000"/>
          <w:sz w:val="20"/>
          <w:szCs w:val="20"/>
        </w:rPr>
        <w:t xml:space="preserve">In </w:t>
      </w:r>
      <w:r w:rsidRPr="00D70BA6">
        <w:rPr>
          <w:rFonts w:ascii="Arial" w:hAnsi="Arial" w:cs="Arial"/>
          <w:i/>
          <w:iCs/>
          <w:color w:val="000000"/>
          <w:sz w:val="20"/>
          <w:szCs w:val="20"/>
        </w:rPr>
        <w:t>Vassal</w:t>
      </w:r>
      <w:r w:rsidR="00AD0150">
        <w:rPr>
          <w:rFonts w:ascii="Arial" w:hAnsi="Arial" w:cs="Arial"/>
          <w:i/>
          <w:iCs/>
          <w:color w:val="000000"/>
          <w:sz w:val="20"/>
          <w:szCs w:val="20"/>
        </w:rPr>
        <w:t>l</w:t>
      </w:r>
      <w:r w:rsidRPr="00D70BA6">
        <w:rPr>
          <w:rFonts w:ascii="Arial" w:hAnsi="Arial" w:cs="Arial"/>
          <w:i/>
          <w:iCs/>
          <w:color w:val="000000"/>
          <w:sz w:val="20"/>
          <w:szCs w:val="20"/>
        </w:rPr>
        <w:t>o v The King</w:t>
      </w:r>
      <w:r>
        <w:rPr>
          <w:rFonts w:ascii="Arial" w:hAnsi="Arial" w:cs="Arial"/>
          <w:color w:val="000000"/>
          <w:sz w:val="20"/>
          <w:szCs w:val="20"/>
        </w:rPr>
        <w:t xml:space="preserve"> [2025] VSCA 7 the appellant had pleaded guilty to </w:t>
      </w:r>
      <w:r w:rsidRPr="00D70BA6">
        <w:rPr>
          <w:rFonts w:ascii="Arial" w:hAnsi="Arial" w:cs="Arial"/>
          <w:color w:val="000000"/>
          <w:sz w:val="20"/>
          <w:szCs w:val="20"/>
        </w:rPr>
        <w:t>rape (</w:t>
      </w:r>
      <w:r>
        <w:rPr>
          <w:rFonts w:ascii="Arial" w:hAnsi="Arial" w:cs="Arial"/>
          <w:color w:val="000000"/>
          <w:sz w:val="20"/>
          <w:szCs w:val="20"/>
        </w:rPr>
        <w:t xml:space="preserve">2 </w:t>
      </w:r>
      <w:r w:rsidRPr="00D70BA6">
        <w:rPr>
          <w:rFonts w:ascii="Arial" w:hAnsi="Arial" w:cs="Arial"/>
          <w:color w:val="000000"/>
          <w:sz w:val="20"/>
          <w:szCs w:val="20"/>
        </w:rPr>
        <w:t>charges), false imprisonment (</w:t>
      </w:r>
      <w:r>
        <w:rPr>
          <w:rFonts w:ascii="Arial" w:hAnsi="Arial" w:cs="Arial"/>
          <w:color w:val="000000"/>
          <w:sz w:val="20"/>
          <w:szCs w:val="20"/>
        </w:rPr>
        <w:t xml:space="preserve">2 </w:t>
      </w:r>
      <w:r w:rsidRPr="00D70BA6">
        <w:rPr>
          <w:rFonts w:ascii="Arial" w:hAnsi="Arial" w:cs="Arial"/>
          <w:color w:val="000000"/>
          <w:sz w:val="20"/>
          <w:szCs w:val="20"/>
        </w:rPr>
        <w:t>charges), supplying drug of dependence to a child, kidnapping, conduct endangering person, common assault and attempting to pervert course of justice</w:t>
      </w:r>
      <w:r>
        <w:rPr>
          <w:rFonts w:ascii="Arial" w:hAnsi="Arial" w:cs="Arial"/>
          <w:color w:val="000000"/>
          <w:sz w:val="20"/>
          <w:szCs w:val="20"/>
        </w:rPr>
        <w:t xml:space="preserve"> and had been sentenced to TES IMP22y/14y. </w:t>
      </w:r>
      <w:r w:rsidR="003F3726">
        <w:rPr>
          <w:rFonts w:ascii="Arial" w:hAnsi="Arial" w:cs="Arial"/>
          <w:color w:val="000000"/>
          <w:sz w:val="20"/>
          <w:szCs w:val="20"/>
        </w:rPr>
        <w:t>Holding that the TES was manifestly excessive and breached the totality principle</w:t>
      </w:r>
      <w:r w:rsidR="00343918">
        <w:rPr>
          <w:rFonts w:ascii="Arial" w:hAnsi="Arial" w:cs="Arial"/>
          <w:color w:val="000000"/>
          <w:sz w:val="20"/>
          <w:szCs w:val="20"/>
        </w:rPr>
        <w:t>,</w:t>
      </w:r>
      <w:r w:rsidR="003F3726">
        <w:rPr>
          <w:rFonts w:ascii="Arial" w:hAnsi="Arial" w:cs="Arial"/>
          <w:color w:val="000000"/>
          <w:sz w:val="20"/>
          <w:szCs w:val="20"/>
        </w:rPr>
        <w:t xml:space="preserve"> the Court of Appeal reduced the sentences on the 2 rape charges, resulting in a TES IMP19y/14y. At</w:t>
      </w:r>
      <w:r w:rsidR="000175A5">
        <w:rPr>
          <w:rFonts w:ascii="Arial" w:hAnsi="Arial" w:cs="Arial"/>
          <w:color w:val="000000"/>
          <w:sz w:val="20"/>
          <w:szCs w:val="20"/>
        </w:rPr>
        <w:t> </w:t>
      </w:r>
      <w:r w:rsidR="003F3726">
        <w:rPr>
          <w:rFonts w:ascii="Arial" w:hAnsi="Arial" w:cs="Arial"/>
          <w:color w:val="000000"/>
          <w:sz w:val="20"/>
          <w:szCs w:val="20"/>
        </w:rPr>
        <w:t>[104] &amp; [107] Priest &amp; Kaye JJ said:</w:t>
      </w:r>
    </w:p>
    <w:p w14:paraId="2ACC0B17" w14:textId="55FB19FD" w:rsidR="003F3726" w:rsidRDefault="003F3726" w:rsidP="003F3726">
      <w:pPr>
        <w:spacing w:before="60"/>
        <w:ind w:left="567" w:right="567"/>
        <w:jc w:val="both"/>
        <w:rPr>
          <w:rFonts w:ascii="Arial" w:hAnsi="Arial" w:cs="Arial"/>
          <w:color w:val="000000"/>
          <w:sz w:val="20"/>
          <w:szCs w:val="20"/>
        </w:rPr>
      </w:pPr>
      <w:r>
        <w:rPr>
          <w:rFonts w:ascii="Arial" w:hAnsi="Arial" w:cs="Arial"/>
          <w:color w:val="000000"/>
          <w:sz w:val="20"/>
          <w:szCs w:val="20"/>
        </w:rPr>
        <w:t>[104] “</w:t>
      </w:r>
      <w:r w:rsidRPr="003F3726">
        <w:rPr>
          <w:rFonts w:ascii="Arial" w:hAnsi="Arial" w:cs="Arial"/>
          <w:color w:val="000000"/>
          <w:sz w:val="20"/>
          <w:szCs w:val="20"/>
        </w:rPr>
        <w:t>The totality principle requires a court, in sentencing an offender for multiple offences, to ensure that the aggregate term of imprisonment (the total effective sentence) is a just and appropriate measure of the total criminality involved in the offending in question</w:t>
      </w:r>
      <w:r>
        <w:rPr>
          <w:rFonts w:ascii="Arial" w:hAnsi="Arial" w:cs="Arial"/>
          <w:color w:val="000000"/>
          <w:sz w:val="20"/>
          <w:szCs w:val="20"/>
        </w:rPr>
        <w:t>:</w:t>
      </w:r>
      <w:r w:rsidR="004468B6">
        <w:rPr>
          <w:rFonts w:ascii="Arial" w:hAnsi="Arial" w:cs="Arial"/>
          <w:color w:val="000000"/>
          <w:sz w:val="20"/>
          <w:szCs w:val="20"/>
        </w:rPr>
        <w:t xml:space="preserve"> </w:t>
      </w:r>
      <w:r w:rsidR="004468B6" w:rsidRPr="004468B6">
        <w:rPr>
          <w:rFonts w:ascii="Arial" w:hAnsi="Arial" w:cs="Arial"/>
          <w:i/>
          <w:iCs/>
          <w:color w:val="000000"/>
          <w:sz w:val="20"/>
          <w:szCs w:val="20"/>
        </w:rPr>
        <w:t>Postiglione v The Queen</w:t>
      </w:r>
      <w:r w:rsidR="004468B6" w:rsidRPr="003F3726">
        <w:rPr>
          <w:rFonts w:ascii="Arial" w:hAnsi="Arial" w:cs="Arial"/>
          <w:color w:val="000000"/>
          <w:sz w:val="20"/>
          <w:szCs w:val="20"/>
        </w:rPr>
        <w:t xml:space="preserve"> (1996) 189 CLR 295, 307–309 </w:t>
      </w:r>
      <w:r w:rsidR="004468B6">
        <w:rPr>
          <w:rFonts w:ascii="Arial" w:hAnsi="Arial" w:cs="Arial"/>
          <w:color w:val="000000"/>
          <w:sz w:val="20"/>
          <w:szCs w:val="20"/>
        </w:rPr>
        <w:t xml:space="preserve">&amp; </w:t>
      </w:r>
      <w:r w:rsidR="004468B6" w:rsidRPr="003F3726">
        <w:rPr>
          <w:rFonts w:ascii="Arial" w:hAnsi="Arial" w:cs="Arial"/>
          <w:color w:val="000000"/>
          <w:sz w:val="20"/>
          <w:szCs w:val="20"/>
        </w:rPr>
        <w:t xml:space="preserve">340; [1996] HCA 26; </w:t>
      </w:r>
      <w:r w:rsidR="004468B6" w:rsidRPr="004468B6">
        <w:rPr>
          <w:rFonts w:ascii="Arial" w:hAnsi="Arial" w:cs="Arial"/>
          <w:i/>
          <w:iCs/>
          <w:color w:val="000000"/>
          <w:sz w:val="20"/>
          <w:szCs w:val="20"/>
        </w:rPr>
        <w:t>Mill v The Queen</w:t>
      </w:r>
      <w:r w:rsidR="004468B6" w:rsidRPr="003F3726">
        <w:rPr>
          <w:rFonts w:ascii="Arial" w:hAnsi="Arial" w:cs="Arial"/>
          <w:color w:val="000000"/>
          <w:sz w:val="20"/>
          <w:szCs w:val="20"/>
        </w:rPr>
        <w:t xml:space="preserve"> (1988) 166 CLR 59, 62–3; [1988] HCA 70; </w:t>
      </w:r>
      <w:r w:rsidR="004468B6" w:rsidRPr="004468B6">
        <w:rPr>
          <w:rFonts w:ascii="Arial" w:hAnsi="Arial" w:cs="Arial"/>
          <w:i/>
          <w:iCs/>
          <w:color w:val="000000"/>
          <w:sz w:val="20"/>
          <w:szCs w:val="20"/>
        </w:rPr>
        <w:t>DPP v Grabovac</w:t>
      </w:r>
      <w:r w:rsidR="004468B6" w:rsidRPr="003F3726">
        <w:rPr>
          <w:rFonts w:ascii="Arial" w:hAnsi="Arial" w:cs="Arial"/>
          <w:color w:val="000000"/>
          <w:sz w:val="20"/>
          <w:szCs w:val="20"/>
        </w:rPr>
        <w:t xml:space="preserve"> [1998] 1</w:t>
      </w:r>
      <w:r w:rsidR="00AD0150">
        <w:rPr>
          <w:rFonts w:ascii="Arial" w:hAnsi="Arial" w:cs="Arial"/>
          <w:color w:val="000000"/>
          <w:sz w:val="20"/>
          <w:szCs w:val="20"/>
        </w:rPr>
        <w:t> </w:t>
      </w:r>
      <w:r w:rsidR="004468B6" w:rsidRPr="003F3726">
        <w:rPr>
          <w:rFonts w:ascii="Arial" w:hAnsi="Arial" w:cs="Arial"/>
          <w:color w:val="000000"/>
          <w:sz w:val="20"/>
          <w:szCs w:val="20"/>
        </w:rPr>
        <w:t>VR 664, 676–80.</w:t>
      </w:r>
    </w:p>
    <w:p w14:paraId="60E50383" w14:textId="13BC455D"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w:t>
      </w:r>
    </w:p>
    <w:p w14:paraId="61ECD22C" w14:textId="31796F90"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 xml:space="preserve">[107] </w:t>
      </w:r>
      <w:r w:rsidR="00AD0150" w:rsidRPr="00D70BA6">
        <w:rPr>
          <w:rFonts w:ascii="Arial" w:hAnsi="Arial" w:cs="Arial"/>
          <w:color w:val="000000"/>
          <w:sz w:val="20"/>
          <w:szCs w:val="20"/>
        </w:rPr>
        <w:t>Ordinarily, it is desirable that the principle of totality be catered for by adjusting the degree of cumulation between the individual sentences, rather than by adjusting the individual sentences themselves</w:t>
      </w:r>
      <w:r w:rsidR="00AD0150">
        <w:rPr>
          <w:rFonts w:ascii="Arial" w:hAnsi="Arial" w:cs="Arial"/>
          <w:color w:val="000000"/>
          <w:sz w:val="20"/>
          <w:szCs w:val="20"/>
        </w:rPr>
        <w:t xml:space="preserve">: </w:t>
      </w:r>
      <w:r w:rsidR="00AD0150" w:rsidRPr="00AD0150">
        <w:rPr>
          <w:rFonts w:ascii="Arial" w:hAnsi="Arial" w:cs="Arial"/>
          <w:i/>
          <w:iCs/>
          <w:color w:val="000000"/>
          <w:sz w:val="20"/>
          <w:szCs w:val="20"/>
        </w:rPr>
        <w:t>Mill v The Queen</w:t>
      </w:r>
      <w:r w:rsidR="00AD0150" w:rsidRPr="00AD0150">
        <w:rPr>
          <w:rFonts w:ascii="Arial" w:hAnsi="Arial" w:cs="Arial"/>
          <w:color w:val="000000"/>
          <w:sz w:val="20"/>
          <w:szCs w:val="20"/>
        </w:rPr>
        <w:t xml:space="preserve"> (1988) 166 CLR 59, 62–3; </w:t>
      </w:r>
      <w:r w:rsidR="00AD0150" w:rsidRPr="00AD0150">
        <w:rPr>
          <w:rFonts w:ascii="Arial" w:hAnsi="Arial" w:cs="Arial"/>
          <w:i/>
          <w:iCs/>
          <w:color w:val="000000"/>
          <w:sz w:val="20"/>
          <w:szCs w:val="20"/>
        </w:rPr>
        <w:t>R v Lomax</w:t>
      </w:r>
      <w:r w:rsidR="00AD0150" w:rsidRPr="00AD0150">
        <w:rPr>
          <w:rFonts w:ascii="Arial" w:hAnsi="Arial" w:cs="Arial"/>
          <w:color w:val="000000"/>
          <w:sz w:val="20"/>
          <w:szCs w:val="20"/>
        </w:rPr>
        <w:t xml:space="preserve"> [1998] 1 VR 551, 564; </w:t>
      </w:r>
      <w:r w:rsidR="00AD0150" w:rsidRPr="00AD0150">
        <w:rPr>
          <w:rFonts w:ascii="Arial" w:hAnsi="Arial" w:cs="Arial"/>
          <w:i/>
          <w:iCs/>
          <w:color w:val="000000"/>
          <w:sz w:val="20"/>
          <w:szCs w:val="20"/>
        </w:rPr>
        <w:t>DPP v Grabovac</w:t>
      </w:r>
      <w:r w:rsidR="00AD0150" w:rsidRPr="00AD0150">
        <w:rPr>
          <w:rFonts w:ascii="Arial" w:hAnsi="Arial" w:cs="Arial"/>
          <w:color w:val="000000"/>
          <w:sz w:val="20"/>
          <w:szCs w:val="20"/>
        </w:rPr>
        <w:t xml:space="preserve"> [1998] 1 VR 664, 682</w:t>
      </w:r>
      <w:r w:rsidR="00AD0150">
        <w:rPr>
          <w:rFonts w:ascii="Arial" w:hAnsi="Arial" w:cs="Arial"/>
          <w:color w:val="000000"/>
          <w:sz w:val="20"/>
          <w:szCs w:val="20"/>
        </w:rPr>
        <w:t>.</w:t>
      </w:r>
      <w:r w:rsidR="00AD0150" w:rsidRPr="00D70BA6">
        <w:rPr>
          <w:rFonts w:ascii="Arial" w:hAnsi="Arial" w:cs="Arial"/>
          <w:color w:val="000000"/>
          <w:sz w:val="20"/>
          <w:szCs w:val="20"/>
        </w:rPr>
        <w:t xml:space="preserve"> However, in the present case, the orders for cumulation were appropriately modest, and any moderation of them would fail to reflect, at all adequately, the additional offending involved in each charge. In those circumstances, the appropriate mechanism, by which to sufficiently accommodate the principle of totality, would be to moderate the sentences imposed on the two rape charges, which, for the reasons we have discussed, were particularly high.</w:t>
      </w:r>
      <w:r w:rsidR="00AD0150">
        <w:rPr>
          <w:rFonts w:ascii="Arial" w:hAnsi="Arial" w:cs="Arial"/>
          <w:color w:val="000000"/>
          <w:sz w:val="20"/>
          <w:szCs w:val="20"/>
        </w:rPr>
        <w:t>”</w:t>
      </w:r>
    </w:p>
    <w:p w14:paraId="1F124DC6" w14:textId="77777777" w:rsidR="00D70BA6" w:rsidRDefault="00D70BA6" w:rsidP="0043368D">
      <w:pPr>
        <w:jc w:val="both"/>
        <w:rPr>
          <w:rFonts w:ascii="Arial" w:hAnsi="Arial" w:cs="Arial"/>
          <w:color w:val="000000"/>
          <w:sz w:val="20"/>
          <w:szCs w:val="20"/>
        </w:rPr>
      </w:pPr>
    </w:p>
    <w:bookmarkEnd w:id="146"/>
    <w:p w14:paraId="5152E059" w14:textId="0803888D" w:rsidR="00D71D8D" w:rsidRPr="00FD2264" w:rsidRDefault="0008217D" w:rsidP="003C4928">
      <w:pPr>
        <w:jc w:val="both"/>
        <w:rPr>
          <w:rFonts w:ascii="Arial" w:hAnsi="Arial" w:cs="Arial"/>
          <w:color w:val="000000"/>
          <w:sz w:val="20"/>
          <w:szCs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Callinan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R v Stanisavljevic</w:t>
      </w:r>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R v Zaydan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DPP v Gany</w:t>
      </w:r>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R v Fadisarkis</w:t>
      </w:r>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R v Piacentino</w:t>
      </w:r>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47" w:name="COVvs2"/>
      <w:bookmarkEnd w:id="147"/>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DPP v Mirik</w:t>
      </w:r>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R v Rousetty</w:t>
      </w:r>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R v Samia</w:t>
      </w:r>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R v Minotto</w:t>
      </w:r>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453B00">
        <w:rPr>
          <w:rFonts w:ascii="Arial" w:hAnsi="Arial" w:cs="Arial"/>
          <w:color w:val="000000"/>
          <w:sz w:val="20"/>
        </w:rPr>
        <w:t>]-</w:t>
      </w:r>
      <w:r w:rsidR="00267E50" w:rsidRPr="001C6E0E">
        <w:rPr>
          <w:rFonts w:ascii="Arial" w:hAnsi="Arial" w:cs="Arial"/>
          <w:color w:val="000000"/>
          <w:sz w:val="20"/>
        </w:rPr>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R v Samac</w:t>
      </w:r>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DPP v Gangur</w:t>
      </w:r>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R v Gavanas</w:t>
      </w:r>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r w:rsidR="00E05C30" w:rsidRPr="003A6AAD">
        <w:rPr>
          <w:rFonts w:ascii="Arial" w:hAnsi="Arial" w:cs="Arial"/>
          <w:i/>
          <w:color w:val="000000"/>
          <w:sz w:val="20"/>
        </w:rPr>
        <w:t>Pasinis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r w:rsidR="00204847" w:rsidRPr="003A6AAD">
        <w:rPr>
          <w:rFonts w:ascii="Arial" w:hAnsi="Arial" w:cs="Arial"/>
          <w:i/>
          <w:color w:val="000000"/>
          <w:sz w:val="20"/>
          <w:szCs w:val="20"/>
        </w:rPr>
        <w:t>Zotos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r w:rsidR="004C1400" w:rsidRPr="003A6AAD">
        <w:rPr>
          <w:rFonts w:ascii="Arial" w:hAnsi="Arial" w:cs="Arial"/>
          <w:i/>
          <w:color w:val="000000"/>
          <w:sz w:val="20"/>
          <w:szCs w:val="20"/>
        </w:rPr>
        <w:t>Fridey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r w:rsidR="001254F4" w:rsidRPr="001254F4">
        <w:rPr>
          <w:rFonts w:ascii="Arial" w:hAnsi="Arial" w:cs="Arial"/>
          <w:i/>
          <w:color w:val="000000"/>
          <w:sz w:val="20"/>
        </w:rPr>
        <w:t>Sovolos v The Queen</w:t>
      </w:r>
      <w:r w:rsidR="001254F4">
        <w:rPr>
          <w:rFonts w:ascii="Arial" w:hAnsi="Arial" w:cs="Arial"/>
          <w:color w:val="000000"/>
          <w:sz w:val="20"/>
        </w:rPr>
        <w:t xml:space="preserve"> [2018] VSCA 149 at [34] &amp; [39]; </w:t>
      </w:r>
      <w:r w:rsidR="001A636E" w:rsidRPr="001A636E">
        <w:rPr>
          <w:rFonts w:ascii="Arial" w:hAnsi="Arial" w:cs="Arial"/>
          <w:i/>
          <w:iCs/>
          <w:color w:val="000000"/>
          <w:sz w:val="20"/>
        </w:rPr>
        <w:t>Sayer v The Queen</w:t>
      </w:r>
      <w:r w:rsidR="001A636E">
        <w:rPr>
          <w:rFonts w:ascii="Arial" w:hAnsi="Arial" w:cs="Arial"/>
          <w:color w:val="000000"/>
          <w:sz w:val="20"/>
        </w:rPr>
        <w:t xml:space="preserve"> [2018] VSCA 177 at [</w:t>
      </w:r>
      <w:r w:rsidR="00903FE7">
        <w:rPr>
          <w:rFonts w:ascii="Arial" w:hAnsi="Arial" w:cs="Arial"/>
          <w:color w:val="000000"/>
          <w:sz w:val="20"/>
        </w:rPr>
        <w:t>58</w:t>
      </w:r>
      <w:r w:rsidR="001A636E">
        <w:rPr>
          <w:rFonts w:ascii="Arial" w:hAnsi="Arial" w:cs="Arial"/>
          <w:color w:val="000000"/>
          <w:sz w:val="20"/>
        </w:rPr>
        <w:t>]-[</w:t>
      </w:r>
      <w:r w:rsidR="00903FE7">
        <w:rPr>
          <w:rFonts w:ascii="Arial" w:hAnsi="Arial" w:cs="Arial"/>
          <w:color w:val="000000"/>
          <w:sz w:val="20"/>
        </w:rPr>
        <w:t>83</w:t>
      </w:r>
      <w:r w:rsidR="001A636E">
        <w:rPr>
          <w:rFonts w:ascii="Arial" w:hAnsi="Arial" w:cs="Arial"/>
          <w:color w:val="000000"/>
          <w:sz w:val="20"/>
        </w:rPr>
        <w:t xml:space="preserve">]; </w:t>
      </w:r>
      <w:r w:rsidR="00B472DD" w:rsidRPr="00B472DD">
        <w:rPr>
          <w:rFonts w:ascii="Arial" w:hAnsi="Arial" w:cs="Arial"/>
          <w:i/>
          <w:color w:val="000000"/>
          <w:sz w:val="20"/>
        </w:rPr>
        <w:t xml:space="preserve">Mendelle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Zampatti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r w:rsidR="00EC3004" w:rsidRPr="00EC3004">
        <w:rPr>
          <w:rFonts w:ascii="Arial" w:hAnsi="Arial" w:cs="Arial"/>
          <w:i/>
          <w:iCs/>
          <w:color w:val="000000"/>
          <w:sz w:val="20"/>
        </w:rPr>
        <w:t>Bufton v The Queen</w:t>
      </w:r>
      <w:r w:rsidR="00EC3004">
        <w:rPr>
          <w:rFonts w:ascii="Arial" w:hAnsi="Arial" w:cs="Arial"/>
          <w:color w:val="000000"/>
          <w:sz w:val="20"/>
        </w:rPr>
        <w:t xml:space="preserve"> [2021] VSCA 228 at [85]</w:t>
      </w:r>
      <w:r w:rsidR="000C5ED6">
        <w:rPr>
          <w:rFonts w:ascii="Arial" w:hAnsi="Arial" w:cs="Arial"/>
          <w:color w:val="000000"/>
          <w:sz w:val="20"/>
        </w:rPr>
        <w:t xml:space="preserve">; </w:t>
      </w:r>
      <w:r w:rsidR="000C5ED6" w:rsidRPr="000C5ED6">
        <w:rPr>
          <w:rFonts w:ascii="Arial" w:hAnsi="Arial" w:cs="Arial"/>
          <w:i/>
          <w:iCs/>
          <w:color w:val="000000"/>
          <w:sz w:val="20"/>
        </w:rPr>
        <w:t xml:space="preserve">Hazell v The </w:t>
      </w:r>
      <w:r w:rsidR="000C5ED6" w:rsidRPr="00824AB6">
        <w:rPr>
          <w:rFonts w:ascii="Arial" w:hAnsi="Arial" w:cs="Arial"/>
          <w:i/>
          <w:iCs/>
          <w:color w:val="000000"/>
          <w:sz w:val="20"/>
          <w:szCs w:val="20"/>
        </w:rPr>
        <w:t>Queen</w:t>
      </w:r>
      <w:r w:rsidR="000C5ED6" w:rsidRPr="00824AB6">
        <w:rPr>
          <w:rFonts w:ascii="Arial" w:hAnsi="Arial" w:cs="Arial"/>
          <w:color w:val="000000"/>
          <w:sz w:val="20"/>
          <w:szCs w:val="20"/>
        </w:rPr>
        <w:t xml:space="preserve"> [2021] VSCA 313</w:t>
      </w:r>
      <w:r w:rsidR="001E2DE0" w:rsidRPr="00824AB6">
        <w:rPr>
          <w:rFonts w:ascii="Arial" w:hAnsi="Arial" w:cs="Arial"/>
          <w:color w:val="000000"/>
          <w:sz w:val="20"/>
          <w:szCs w:val="20"/>
        </w:rPr>
        <w:t xml:space="preserve">; </w:t>
      </w:r>
      <w:r w:rsidR="005D457F" w:rsidRPr="005D457F">
        <w:rPr>
          <w:rFonts w:ascii="Arial" w:hAnsi="Arial" w:cs="Arial"/>
          <w:i/>
          <w:iCs/>
          <w:color w:val="000000"/>
          <w:sz w:val="20"/>
          <w:szCs w:val="20"/>
        </w:rPr>
        <w:t>Jenkins v The Queen</w:t>
      </w:r>
      <w:r w:rsidR="005D457F">
        <w:rPr>
          <w:rFonts w:ascii="Arial" w:hAnsi="Arial" w:cs="Arial"/>
          <w:color w:val="000000"/>
          <w:sz w:val="20"/>
          <w:szCs w:val="20"/>
        </w:rPr>
        <w:t xml:space="preserve"> [2022] VSCA 1 at [13]-[17]; </w:t>
      </w:r>
      <w:r w:rsidR="00824AB6" w:rsidRPr="00824AB6">
        <w:rPr>
          <w:rFonts w:ascii="Arial" w:hAnsi="Arial" w:cs="Arial"/>
          <w:i/>
          <w:iCs/>
          <w:color w:val="000000"/>
          <w:sz w:val="20"/>
          <w:szCs w:val="20"/>
        </w:rPr>
        <w:t>Wilson v The Queen</w:t>
      </w:r>
      <w:r w:rsidR="00824AB6" w:rsidRPr="00824AB6">
        <w:rPr>
          <w:rFonts w:ascii="Arial" w:hAnsi="Arial" w:cs="Arial"/>
          <w:color w:val="000000"/>
          <w:sz w:val="20"/>
          <w:szCs w:val="20"/>
        </w:rPr>
        <w:t xml:space="preserve"> [2022] VSCA 2 at [27]-[37]</w:t>
      </w:r>
      <w:r w:rsidR="00824AB6">
        <w:rPr>
          <w:rFonts w:ascii="Arial" w:hAnsi="Arial" w:cs="Arial"/>
          <w:color w:val="000000"/>
          <w:sz w:val="20"/>
          <w:szCs w:val="20"/>
        </w:rPr>
        <w:t xml:space="preserve">; </w:t>
      </w:r>
      <w:r w:rsidR="001E2DE0" w:rsidRPr="00824AB6">
        <w:rPr>
          <w:rFonts w:ascii="Arial" w:hAnsi="Arial" w:cs="Arial"/>
          <w:i/>
          <w:iCs/>
          <w:color w:val="000000"/>
          <w:sz w:val="20"/>
          <w:szCs w:val="20"/>
        </w:rPr>
        <w:t>Sang Zung Mang v The Queen</w:t>
      </w:r>
      <w:r w:rsidR="001E2DE0" w:rsidRPr="00824AB6">
        <w:rPr>
          <w:rFonts w:ascii="Arial" w:hAnsi="Arial" w:cs="Arial"/>
          <w:color w:val="000000"/>
          <w:sz w:val="20"/>
          <w:szCs w:val="20"/>
        </w:rPr>
        <w:t xml:space="preserve"> [2022] VSCA 10 at [18]-[24]</w:t>
      </w:r>
      <w:r w:rsidR="00903FE7">
        <w:rPr>
          <w:rFonts w:ascii="Arial" w:hAnsi="Arial" w:cs="Arial"/>
          <w:color w:val="000000"/>
          <w:sz w:val="20"/>
          <w:szCs w:val="20"/>
        </w:rPr>
        <w:t xml:space="preserve">; </w:t>
      </w:r>
      <w:r w:rsidR="00903FE7" w:rsidRPr="00903FE7">
        <w:rPr>
          <w:rFonts w:ascii="Arial" w:hAnsi="Arial" w:cs="Arial"/>
          <w:i/>
          <w:iCs/>
          <w:color w:val="000000"/>
          <w:sz w:val="20"/>
          <w:szCs w:val="20"/>
        </w:rPr>
        <w:t>Bidong v The Queen</w:t>
      </w:r>
      <w:r w:rsidR="00903FE7">
        <w:rPr>
          <w:rFonts w:ascii="Arial" w:hAnsi="Arial" w:cs="Arial"/>
          <w:color w:val="000000"/>
          <w:sz w:val="20"/>
          <w:szCs w:val="20"/>
        </w:rPr>
        <w:t xml:space="preserve"> [2022] VSCA 33 at [28]-[43]</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 xml:space="preserve">Salvaggio v The </w:t>
      </w:r>
      <w:r w:rsidR="002F0F66" w:rsidRPr="00C82DE2">
        <w:rPr>
          <w:rFonts w:ascii="Arial" w:hAnsi="Arial" w:cs="Arial"/>
          <w:i/>
          <w:iCs/>
          <w:color w:val="000000"/>
          <w:sz w:val="20"/>
          <w:szCs w:val="20"/>
        </w:rPr>
        <w:t>Queen</w:t>
      </w:r>
      <w:r w:rsidR="002F0F66" w:rsidRPr="00C82DE2">
        <w:rPr>
          <w:rFonts w:ascii="Arial" w:hAnsi="Arial" w:cs="Arial"/>
          <w:color w:val="000000"/>
          <w:sz w:val="20"/>
          <w:szCs w:val="20"/>
        </w:rPr>
        <w:t xml:space="preserve"> [2022] VSCA 88 at [11</w:t>
      </w:r>
      <w:r w:rsidR="008A410E">
        <w:rPr>
          <w:rFonts w:ascii="Arial" w:hAnsi="Arial" w:cs="Arial"/>
          <w:color w:val="000000"/>
          <w:sz w:val="20"/>
          <w:szCs w:val="20"/>
        </w:rPr>
        <w:t>reynolds</w:t>
      </w:r>
      <w:r w:rsidR="002F0F66" w:rsidRPr="00C82DE2">
        <w:rPr>
          <w:rFonts w:ascii="Arial" w:hAnsi="Arial" w:cs="Arial"/>
          <w:color w:val="000000"/>
          <w:sz w:val="20"/>
          <w:szCs w:val="20"/>
        </w:rPr>
        <w:t>9]-[124]</w:t>
      </w:r>
      <w:r w:rsidR="00C82DE2" w:rsidRPr="00C82DE2">
        <w:rPr>
          <w:rFonts w:ascii="Arial" w:hAnsi="Arial" w:cs="Arial"/>
          <w:color w:val="000000"/>
          <w:sz w:val="20"/>
          <w:szCs w:val="20"/>
        </w:rPr>
        <w:t xml:space="preserve">; </w:t>
      </w:r>
      <w:r w:rsidR="00C82DE2" w:rsidRPr="00C82DE2">
        <w:rPr>
          <w:rFonts w:ascii="Arial" w:hAnsi="Arial" w:cs="Arial"/>
          <w:bCs/>
          <w:i/>
          <w:iCs/>
          <w:color w:val="000000"/>
          <w:sz w:val="20"/>
          <w:szCs w:val="20"/>
        </w:rPr>
        <w:t>Donnes v The Queen</w:t>
      </w:r>
      <w:r w:rsidR="00C82DE2" w:rsidRPr="00C82DE2">
        <w:rPr>
          <w:rFonts w:ascii="Arial" w:hAnsi="Arial" w:cs="Arial"/>
          <w:bCs/>
          <w:color w:val="000000"/>
          <w:sz w:val="20"/>
          <w:szCs w:val="20"/>
        </w:rPr>
        <w:t xml:space="preserve"> [2022] VSCA 132 at [21]-[24]</w:t>
      </w:r>
      <w:r w:rsidR="00777C0E">
        <w:rPr>
          <w:rFonts w:ascii="Arial" w:hAnsi="Arial" w:cs="Arial"/>
          <w:bCs/>
          <w:color w:val="000000"/>
          <w:sz w:val="20"/>
          <w:szCs w:val="20"/>
        </w:rPr>
        <w:t xml:space="preserve">; </w:t>
      </w:r>
      <w:r w:rsidR="00777C0E" w:rsidRPr="00777C0E">
        <w:rPr>
          <w:rFonts w:ascii="Arial" w:hAnsi="Arial" w:cs="Arial"/>
          <w:bCs/>
          <w:i/>
          <w:iCs/>
          <w:color w:val="000000"/>
          <w:sz w:val="20"/>
          <w:szCs w:val="20"/>
        </w:rPr>
        <w:t>De Luca v The</w:t>
      </w:r>
      <w:r w:rsidR="00777C0E">
        <w:rPr>
          <w:rFonts w:ascii="Arial" w:hAnsi="Arial" w:cs="Arial"/>
          <w:bCs/>
          <w:i/>
          <w:iCs/>
          <w:color w:val="000000"/>
          <w:sz w:val="20"/>
          <w:szCs w:val="20"/>
        </w:rPr>
        <w:t xml:space="preserve"> </w:t>
      </w:r>
      <w:r w:rsidR="00777C0E" w:rsidRPr="00777C0E">
        <w:rPr>
          <w:rFonts w:ascii="Arial" w:hAnsi="Arial" w:cs="Arial"/>
          <w:i/>
          <w:iCs/>
          <w:color w:val="000000"/>
          <w:sz w:val="20"/>
        </w:rPr>
        <w:t>King</w:t>
      </w:r>
      <w:r w:rsidR="00777C0E">
        <w:rPr>
          <w:rFonts w:ascii="Arial" w:hAnsi="Arial" w:cs="Arial"/>
          <w:color w:val="000000"/>
          <w:sz w:val="20"/>
        </w:rPr>
        <w:t xml:space="preserve"> [2023] VSCA 44 at [47]-[60]</w:t>
      </w:r>
      <w:r w:rsidR="00B608B3">
        <w:rPr>
          <w:rFonts w:ascii="Arial" w:hAnsi="Arial" w:cs="Arial"/>
          <w:color w:val="000000"/>
          <w:sz w:val="20"/>
        </w:rPr>
        <w:t xml:space="preserve">; </w:t>
      </w:r>
      <w:r w:rsidR="0023765A" w:rsidRPr="0023765A">
        <w:rPr>
          <w:rFonts w:ascii="Arial" w:hAnsi="Arial" w:cs="Arial"/>
          <w:i/>
          <w:iCs/>
          <w:color w:val="000000"/>
          <w:sz w:val="20"/>
          <w:szCs w:val="20"/>
        </w:rPr>
        <w:t>Tonkin v The King</w:t>
      </w:r>
      <w:r w:rsidR="0023765A">
        <w:rPr>
          <w:rFonts w:ascii="Arial" w:hAnsi="Arial" w:cs="Arial"/>
          <w:color w:val="000000"/>
          <w:sz w:val="20"/>
          <w:szCs w:val="20"/>
        </w:rPr>
        <w:t xml:space="preserve"> [2023] VSCA 194 at [61]-[81]; </w:t>
      </w:r>
      <w:r w:rsidR="0023765A" w:rsidRPr="00B608B3">
        <w:rPr>
          <w:rFonts w:ascii="Arial" w:hAnsi="Arial" w:cs="Arial"/>
          <w:i/>
          <w:iCs/>
          <w:color w:val="000000"/>
          <w:sz w:val="20"/>
          <w:szCs w:val="20"/>
        </w:rPr>
        <w:t>Seiler v The King</w:t>
      </w:r>
      <w:r w:rsidR="0023765A">
        <w:rPr>
          <w:rFonts w:ascii="Arial" w:hAnsi="Arial" w:cs="Arial"/>
          <w:color w:val="000000"/>
          <w:sz w:val="20"/>
          <w:szCs w:val="20"/>
        </w:rPr>
        <w:t xml:space="preserve"> </w:t>
      </w:r>
      <w:r w:rsidR="0023765A" w:rsidRPr="004F158F">
        <w:rPr>
          <w:rFonts w:ascii="Arial" w:hAnsi="Arial" w:cs="Arial"/>
          <w:color w:val="000000"/>
          <w:sz w:val="20"/>
          <w:szCs w:val="20"/>
        </w:rPr>
        <w:t>[2023] VSCA 207 at [44]-[45]</w:t>
      </w:r>
      <w:r w:rsidR="009F10DA" w:rsidRPr="004F158F">
        <w:rPr>
          <w:rFonts w:ascii="Arial" w:hAnsi="Arial" w:cs="Arial"/>
          <w:color w:val="000000"/>
          <w:sz w:val="20"/>
          <w:szCs w:val="20"/>
        </w:rPr>
        <w:t xml:space="preserve">; </w:t>
      </w:r>
      <w:r w:rsidR="009F10DA" w:rsidRPr="004F158F">
        <w:rPr>
          <w:rFonts w:ascii="Arial" w:hAnsi="Arial" w:cs="Arial"/>
          <w:i/>
          <w:iCs/>
          <w:color w:val="000000"/>
          <w:sz w:val="20"/>
          <w:szCs w:val="20"/>
        </w:rPr>
        <w:t>Norman v The King</w:t>
      </w:r>
      <w:r w:rsidR="009F10DA" w:rsidRPr="004F158F">
        <w:rPr>
          <w:rFonts w:ascii="Arial" w:hAnsi="Arial" w:cs="Arial"/>
          <w:color w:val="000000"/>
          <w:sz w:val="20"/>
          <w:szCs w:val="20"/>
        </w:rPr>
        <w:t xml:space="preserve"> [2023] VSCA 213 at [53]-[65]</w:t>
      </w:r>
      <w:r w:rsidR="00170067" w:rsidRPr="004F158F">
        <w:rPr>
          <w:rFonts w:ascii="Arial" w:hAnsi="Arial" w:cs="Arial"/>
          <w:color w:val="000000"/>
          <w:sz w:val="20"/>
          <w:szCs w:val="20"/>
        </w:rPr>
        <w:t xml:space="preserve">; </w:t>
      </w:r>
      <w:r w:rsidR="00170067" w:rsidRPr="004F158F">
        <w:rPr>
          <w:rFonts w:ascii="Arial" w:hAnsi="Arial" w:cs="Arial"/>
          <w:i/>
          <w:iCs/>
          <w:color w:val="000000"/>
          <w:sz w:val="20"/>
          <w:szCs w:val="20"/>
        </w:rPr>
        <w:t>Natano v The King</w:t>
      </w:r>
      <w:r w:rsidR="00170067" w:rsidRPr="004F158F">
        <w:rPr>
          <w:rFonts w:ascii="Arial" w:hAnsi="Arial" w:cs="Arial"/>
          <w:color w:val="000000"/>
          <w:sz w:val="20"/>
          <w:szCs w:val="20"/>
        </w:rPr>
        <w:t xml:space="preserve"> [2023] VSCA 261 at [46]-[55]</w:t>
      </w:r>
      <w:r w:rsidR="00642516" w:rsidRPr="004F158F">
        <w:rPr>
          <w:rFonts w:ascii="Arial" w:hAnsi="Arial" w:cs="Arial"/>
          <w:color w:val="000000"/>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[39]-[51]; </w:t>
      </w:r>
      <w:r w:rsidR="00642516" w:rsidRPr="004F158F">
        <w:rPr>
          <w:rFonts w:ascii="Arial" w:hAnsi="Arial" w:cs="Arial"/>
          <w:i/>
          <w:iCs/>
          <w:color w:val="000000"/>
          <w:sz w:val="20"/>
          <w:szCs w:val="20"/>
        </w:rPr>
        <w:t>Barnett v The King</w:t>
      </w:r>
      <w:r w:rsidR="00642516" w:rsidRPr="004F158F">
        <w:rPr>
          <w:rFonts w:ascii="Arial" w:hAnsi="Arial" w:cs="Arial"/>
          <w:color w:val="000000"/>
          <w:sz w:val="20"/>
          <w:szCs w:val="20"/>
        </w:rPr>
        <w:t xml:space="preserve"> [2024] VSCA 100 at [36]-[56]</w:t>
      </w:r>
      <w:r w:rsidR="00F10375">
        <w:rPr>
          <w:rFonts w:ascii="Arial" w:hAnsi="Arial" w:cs="Arial"/>
          <w:color w:val="000000"/>
          <w:sz w:val="20"/>
          <w:szCs w:val="20"/>
        </w:rPr>
        <w:t xml:space="preserve">; </w:t>
      </w:r>
      <w:r w:rsidR="00F10375" w:rsidRPr="00F10375">
        <w:rPr>
          <w:rFonts w:ascii="Arial" w:hAnsi="Arial" w:cs="Arial"/>
          <w:i/>
          <w:iCs/>
          <w:color w:val="000000"/>
          <w:sz w:val="20"/>
          <w:szCs w:val="20"/>
        </w:rPr>
        <w:t>Phillips v DPP (Cth)</w:t>
      </w:r>
      <w:r w:rsidR="00F10375">
        <w:rPr>
          <w:rFonts w:ascii="Arial" w:hAnsi="Arial" w:cs="Arial"/>
          <w:color w:val="000000"/>
          <w:sz w:val="20"/>
          <w:szCs w:val="20"/>
        </w:rPr>
        <w:t xml:space="preserve"> [2024] VSCA 132 at [27] &amp; [55]</w:t>
      </w:r>
      <w:r w:rsidR="00D71D8D">
        <w:rPr>
          <w:rFonts w:ascii="Arial" w:hAnsi="Arial" w:cs="Arial"/>
          <w:color w:val="000000"/>
          <w:sz w:val="20"/>
          <w:szCs w:val="20"/>
        </w:rPr>
        <w:t xml:space="preserve">; </w:t>
      </w:r>
      <w:r w:rsidR="00D71D8D" w:rsidRPr="00D71D8D">
        <w:rPr>
          <w:rFonts w:ascii="Arial" w:hAnsi="Arial" w:cs="Arial"/>
          <w:i/>
          <w:iCs/>
          <w:color w:val="000000"/>
          <w:sz w:val="20"/>
          <w:szCs w:val="20"/>
        </w:rPr>
        <w:t>Sepehrnia v The King</w:t>
      </w:r>
      <w:r w:rsidR="00D71D8D">
        <w:rPr>
          <w:rFonts w:ascii="Arial" w:hAnsi="Arial" w:cs="Arial"/>
          <w:color w:val="000000"/>
          <w:sz w:val="20"/>
          <w:szCs w:val="20"/>
        </w:rPr>
        <w:t xml:space="preserve"> [2024] VSCA 149 at [52]-[69]</w:t>
      </w:r>
      <w:r w:rsidR="00FD2264">
        <w:rPr>
          <w:rFonts w:ascii="Arial" w:hAnsi="Arial" w:cs="Arial"/>
          <w:color w:val="000000"/>
          <w:sz w:val="20"/>
          <w:szCs w:val="20"/>
        </w:rPr>
        <w:t xml:space="preserve">; </w:t>
      </w:r>
      <w:r w:rsidR="00FD2264" w:rsidRPr="00FD2264">
        <w:rPr>
          <w:rFonts w:ascii="Arial" w:hAnsi="Arial" w:cs="Arial"/>
          <w:i/>
          <w:iCs/>
          <w:color w:val="000000"/>
          <w:sz w:val="20"/>
          <w:szCs w:val="20"/>
        </w:rPr>
        <w:t>Liberatore v The King</w:t>
      </w:r>
      <w:r w:rsidR="00FD2264">
        <w:rPr>
          <w:rFonts w:ascii="Arial" w:hAnsi="Arial" w:cs="Arial"/>
          <w:color w:val="000000"/>
          <w:sz w:val="20"/>
          <w:szCs w:val="20"/>
        </w:rPr>
        <w:t xml:space="preserve"> [2024] VSCA 263 at </w:t>
      </w:r>
      <w:r w:rsidR="00FD2264" w:rsidRPr="00FD2264">
        <w:rPr>
          <w:rFonts w:ascii="Arial" w:hAnsi="Arial" w:cs="Arial"/>
          <w:color w:val="000000"/>
          <w:sz w:val="20"/>
          <w:szCs w:val="20"/>
        </w:rPr>
        <w:t>[55]</w:t>
      </w:r>
      <w:r w:rsidR="00FD2264" w:rsidRPr="00FD2264">
        <w:rPr>
          <w:rFonts w:ascii="Arial" w:hAnsi="Arial" w:cs="Arial"/>
          <w:color w:val="000000"/>
          <w:sz w:val="20"/>
          <w:szCs w:val="20"/>
        </w:rPr>
        <w:noBreakHyphen/>
        <w:t>[80];</w:t>
      </w:r>
      <w:r w:rsidR="00FD2264" w:rsidRPr="00FD2264">
        <w:rPr>
          <w:rFonts w:ascii="Arial" w:hAnsi="Arial" w:cs="Arial"/>
          <w:i/>
          <w:iCs/>
          <w:color w:val="000000"/>
          <w:sz w:val="20"/>
          <w:szCs w:val="20"/>
        </w:rPr>
        <w:t xml:space="preserve"> Harre v The King</w:t>
      </w:r>
      <w:r w:rsidR="00FD2264" w:rsidRPr="00FD2264">
        <w:rPr>
          <w:rFonts w:ascii="Arial" w:hAnsi="Arial" w:cs="Arial"/>
          <w:color w:val="000000"/>
          <w:sz w:val="20"/>
          <w:szCs w:val="20"/>
        </w:rPr>
        <w:t xml:space="preserve"> [2024] VSCA 278 at [85]-[88]</w:t>
      </w:r>
      <w:r w:rsidR="009722CF">
        <w:rPr>
          <w:rFonts w:ascii="Arial" w:hAnsi="Arial" w:cs="Arial"/>
          <w:color w:val="000000"/>
          <w:sz w:val="20"/>
          <w:szCs w:val="20"/>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[32]-[41]</w:t>
      </w:r>
      <w:r w:rsidR="009722CF">
        <w:rPr>
          <w:rFonts w:ascii="Arial" w:hAnsi="Arial" w:cs="Arial"/>
          <w:color w:val="000000"/>
          <w:sz w:val="20"/>
        </w:rPr>
        <w:t>.</w:t>
      </w:r>
    </w:p>
    <w:p w14:paraId="52FECC88" w14:textId="4EC232FE" w:rsidR="00777C0E" w:rsidRPr="004F158F" w:rsidRDefault="00777C0E">
      <w:pPr>
        <w:jc w:val="both"/>
        <w:rPr>
          <w:rFonts w:ascii="Arial" w:hAnsi="Arial" w:cs="Arial"/>
          <w:color w:val="000000"/>
          <w:sz w:val="20"/>
          <w:szCs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Winneke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R v McCorriston</w:t>
      </w:r>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3C4928">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lastRenderedPageBreak/>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R v Birnie</w:t>
      </w:r>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R v Nikodjevic</w:t>
      </w:r>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R v Nikodjevic</w:t>
      </w:r>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Having sentenced the applicant for the death of Mr Pich, it was then necessary for the sentencing judge to recognise in the sentence he imposed the harm inflicted on the three passengers who suffered serious injuries, bearing in mind that exactly the same conjunction of acts and events that caused the death of Mr Pich also caused those injuries. Arriving at an appropriate overall sentence was an extremely difficult task for the judge. The applicant engaged in a single course of criminal conduct that caused the death of Mr Pich and the injuries to the three passengers, albeit that the consequences of that conduct were multifarious. His moral culpability, which was a significant factor in the sentencing exercise, was not made worse because there was more than one victim. On the other hand, the total 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We consider that the periods of cumulation imposed were manifestly excessive having regard to the total effective sentence that they produced. The aggregation of the sentences 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48" w:name="_11.1.4.5__Combination"/>
      <w:bookmarkEnd w:id="148"/>
      <w:r w:rsidRPr="001C6E0E">
        <w:rPr>
          <w:rFonts w:ascii="Arial" w:hAnsi="Arial" w:cs="Arial"/>
          <w:b/>
          <w:bCs/>
          <w:color w:val="000000"/>
          <w:sz w:val="20"/>
        </w:rPr>
        <w:t>11.1.4.</w:t>
      </w:r>
      <w:r>
        <w:rPr>
          <w:rFonts w:ascii="Arial" w:hAnsi="Arial" w:cs="Arial"/>
          <w:b/>
          <w:bCs/>
          <w:color w:val="000000"/>
          <w:sz w:val="20"/>
        </w:rPr>
        <w:t>5  C</w:t>
      </w:r>
      <w:r w:rsidR="00A26116">
        <w:rPr>
          <w:rFonts w:ascii="Arial" w:hAnsi="Arial" w:cs="Arial"/>
          <w:b/>
          <w:bCs/>
          <w:color w:val="000000"/>
          <w:sz w:val="20"/>
        </w:rPr>
        <w:t>ommunity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offences he had served 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rsidP="00C223DA">
      <w:pPr>
        <w:pStyle w:val="ListParagraph"/>
        <w:numPr>
          <w:ilvl w:val="0"/>
          <w:numId w:val="103"/>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rsidP="00C223DA">
      <w:pPr>
        <w:pStyle w:val="ListParagraph"/>
        <w:numPr>
          <w:ilvl w:val="0"/>
          <w:numId w:val="103"/>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rsidP="00C223DA">
      <w:pPr>
        <w:pStyle w:val="ListParagraph"/>
        <w:numPr>
          <w:ilvl w:val="0"/>
          <w:numId w:val="103"/>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Appendix 1 contains a set of guidelines for sentencing courts to use in deciding whether to impose a CCO and, if so, of what length and with what conditions.  The content of the guidelines reflects the views expressed in the guideline judgment and 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2209E7">
      <w:pPr>
        <w:pStyle w:val="Normal-Indent"/>
        <w:widowControl/>
        <w:spacing w:before="60" w:line="240" w:lineRule="auto"/>
        <w:ind w:left="567" w:right="567"/>
        <w:rPr>
          <w:rFonts w:ascii="Arial" w:hAnsi="Arial" w:cs="Arial"/>
          <w:sz w:val="20"/>
        </w:rPr>
      </w:pPr>
      <w:r w:rsidRPr="00FD5D57">
        <w:rPr>
          <w:rFonts w:ascii="Arial" w:hAnsi="Arial" w:cs="Arial"/>
          <w:color w:val="000000"/>
          <w:sz w:val="20"/>
        </w:rPr>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3C4928">
      <w:pPr>
        <w:pStyle w:val="Normal-Indent"/>
        <w:widowControl/>
        <w:spacing w:before="60" w:line="240" w:lineRule="auto"/>
        <w:ind w:left="567" w:right="567"/>
        <w:rPr>
          <w:rFonts w:ascii="Arial" w:hAnsi="Arial" w:cs="Arial"/>
          <w:color w:val="000000"/>
          <w:sz w:val="20"/>
        </w:rPr>
      </w:pPr>
      <w:r w:rsidRPr="00FD5D57">
        <w:rPr>
          <w:rFonts w:ascii="Arial" w:hAnsi="Arial" w:cs="Arial"/>
          <w:sz w:val="20"/>
          <w:szCs w:val="16"/>
        </w:rPr>
        <w:t>In short, the CCO offers the sentencing court the best opportunity to promote, simultaneously, the best interests of the community and the best interests of the offender and of those who are dependent on him/her.  On this analysis, if defence counsel submits that a CCO would be appropriate, it is no answer for a prosecutor (or a judge) to say, ‘How could a CCO be appropriate given that an offence of this seriousness has always received 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4CE8FF62" w14:textId="182AD023"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w:t>
      </w:r>
      <w:r w:rsidR="007415AB">
        <w:rPr>
          <w:rFonts w:ascii="Arial" w:hAnsi="Arial" w:cs="Arial"/>
          <w:color w:val="000000"/>
          <w:sz w:val="20"/>
          <w:szCs w:val="20"/>
        </w:rPr>
        <w:t>4</w:t>
      </w:r>
      <w:r w:rsidRPr="00033DBF">
        <w:rPr>
          <w:rFonts w:ascii="Arial" w:hAnsi="Arial" w:cs="Arial"/>
          <w:color w:val="000000"/>
          <w:sz w:val="20"/>
          <w:szCs w:val="20"/>
        </w:rPr>
        <w:t>]-[13]</w:t>
      </w:r>
      <w:r w:rsidR="00DF060F">
        <w:rPr>
          <w:rFonts w:ascii="Arial" w:hAnsi="Arial" w:cs="Arial"/>
          <w:color w:val="000000"/>
          <w:sz w:val="20"/>
          <w:szCs w:val="20"/>
        </w:rPr>
        <w:t xml:space="preserve">; </w:t>
      </w:r>
      <w:r w:rsidR="00DF060F" w:rsidRPr="00DF060F">
        <w:rPr>
          <w:rFonts w:ascii="Arial" w:hAnsi="Arial" w:cs="Arial"/>
          <w:i/>
          <w:iCs/>
          <w:color w:val="000000"/>
          <w:sz w:val="20"/>
          <w:szCs w:val="20"/>
        </w:rPr>
        <w:t>Wasif v The Queen</w:t>
      </w:r>
      <w:r w:rsidR="00DF060F">
        <w:rPr>
          <w:rFonts w:ascii="Arial" w:hAnsi="Arial" w:cs="Arial"/>
          <w:color w:val="000000"/>
          <w:sz w:val="20"/>
          <w:szCs w:val="20"/>
        </w:rPr>
        <w:t xml:space="preserve"> [2022] VSCA 182 at [60]</w:t>
      </w:r>
      <w:r w:rsidRPr="00033DBF">
        <w:rPr>
          <w:rFonts w:ascii="Arial" w:hAnsi="Arial" w:cs="Arial"/>
          <w:color w:val="000000"/>
          <w:sz w:val="20"/>
          <w:szCs w:val="20"/>
        </w:rPr>
        <w:t>.</w:t>
      </w:r>
    </w:p>
    <w:p w14:paraId="57FB1248" w14:textId="0D15147D" w:rsidR="007755E0" w:rsidRDefault="007755E0" w:rsidP="007755E0">
      <w:pPr>
        <w:jc w:val="both"/>
        <w:rPr>
          <w:rFonts w:ascii="Arial" w:hAnsi="Arial" w:cs="Arial"/>
          <w:color w:val="000000"/>
          <w:sz w:val="22"/>
        </w:rPr>
      </w:pPr>
      <w:bookmarkStart w:id="149" w:name="_11.1.5_Sentencing_orders"/>
      <w:bookmarkStart w:id="150" w:name="_Toc30671662"/>
      <w:bookmarkStart w:id="151" w:name="_Toc30674189"/>
      <w:bookmarkStart w:id="152" w:name="_Toc30691456"/>
      <w:bookmarkStart w:id="153" w:name="_Toc30691836"/>
      <w:bookmarkStart w:id="154" w:name="_Toc30692216"/>
      <w:bookmarkStart w:id="155" w:name="_Toc30692974"/>
      <w:bookmarkStart w:id="156" w:name="_Toc30693353"/>
      <w:bookmarkStart w:id="157" w:name="_Toc30693731"/>
      <w:bookmarkStart w:id="158" w:name="_Toc30694109"/>
      <w:bookmarkStart w:id="159" w:name="_Toc30694490"/>
      <w:bookmarkStart w:id="160" w:name="_Toc30699080"/>
      <w:bookmarkStart w:id="161" w:name="_Toc30699465"/>
      <w:bookmarkStart w:id="162" w:name="_Toc30699850"/>
      <w:bookmarkStart w:id="163" w:name="_Toc30701005"/>
      <w:bookmarkStart w:id="164" w:name="_Toc30701392"/>
      <w:bookmarkStart w:id="165" w:name="_Toc30743999"/>
      <w:bookmarkStart w:id="166" w:name="_Toc30754822"/>
      <w:bookmarkStart w:id="167" w:name="_Toc30757278"/>
      <w:bookmarkStart w:id="168" w:name="_Toc30757826"/>
      <w:bookmarkStart w:id="169" w:name="_Toc30758226"/>
      <w:bookmarkStart w:id="170" w:name="_Toc30762987"/>
      <w:bookmarkStart w:id="171" w:name="_Toc30767641"/>
      <w:bookmarkStart w:id="172" w:name="_Toc34823659"/>
      <w:bookmarkStart w:id="173" w:name="_Toc107101736"/>
      <w:bookmarkEnd w:id="149"/>
    </w:p>
    <w:p w14:paraId="2DECCDA3" w14:textId="77777777" w:rsidR="003C4928" w:rsidRPr="001E6BE9" w:rsidRDefault="003C4928" w:rsidP="003C4928">
      <w:pPr>
        <w:jc w:val="center"/>
        <w:rPr>
          <w:rFonts w:ascii="Arial" w:hAnsi="Arial" w:cs="Arial"/>
          <w:b/>
          <w:color w:val="000000"/>
          <w:sz w:val="22"/>
          <w:szCs w:val="36"/>
        </w:rPr>
      </w:pPr>
      <w:r w:rsidRPr="001E6BE9">
        <w:rPr>
          <w:rFonts w:ascii="Arial" w:hAnsi="Arial" w:cs="Arial"/>
          <w:b/>
          <w:color w:val="000000"/>
          <w:sz w:val="22"/>
          <w:szCs w:val="36"/>
        </w:rPr>
        <w:lastRenderedPageBreak/>
        <w:t>THE REST OF THIS PAGE IS BLANK</w:t>
      </w:r>
    </w:p>
    <w:p w14:paraId="7099AF31" w14:textId="77777777" w:rsidR="003C4928" w:rsidRDefault="003C4928" w:rsidP="003C4928">
      <w:pPr>
        <w:jc w:val="both"/>
        <w:rPr>
          <w:rFonts w:ascii="Arial" w:hAnsi="Arial" w:cs="Arial"/>
          <w:iCs/>
          <w:color w:val="000000"/>
          <w:sz w:val="20"/>
        </w:rPr>
      </w:pPr>
    </w:p>
    <w:p w14:paraId="63AC1016" w14:textId="77777777" w:rsidR="003C4928" w:rsidRDefault="003C4928">
      <w:pPr>
        <w:rPr>
          <w:rFonts w:ascii="Arial" w:hAnsi="Arial" w:cs="Arial"/>
          <w:b/>
          <w:bCs/>
          <w:color w:val="000000"/>
          <w:kern w:val="28"/>
          <w:sz w:val="20"/>
          <w:szCs w:val="20"/>
          <w:lang w:val="en-GB"/>
        </w:rPr>
      </w:pPr>
      <w:r>
        <w:rPr>
          <w:rFonts w:ascii="Arial" w:hAnsi="Arial" w:cs="Arial"/>
          <w:b/>
          <w:bCs/>
          <w:color w:val="000000"/>
          <w:sz w:val="20"/>
        </w:rPr>
        <w:br w:type="page"/>
      </w:r>
    </w:p>
    <w:p w14:paraId="5386432C" w14:textId="66263AD6"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11.1.5</w:t>
      </w:r>
      <w:r w:rsidRPr="001C6E0E">
        <w:rPr>
          <w:rFonts w:ascii="Arial" w:hAnsi="Arial" w:cs="Arial"/>
          <w:b/>
          <w:bCs/>
          <w:color w:val="000000"/>
          <w:sz w:val="20"/>
        </w:rPr>
        <w:tab/>
        <w:t>Sentencing orders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70"/>
      <w:bookmarkEnd w:id="171"/>
      <w:bookmarkEnd w:id="172"/>
      <w:bookmarkEnd w:id="173"/>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sentencing…[A]dditional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7C9D3A0A" w14:textId="5ACCA0EA" w:rsidR="00BF52E5" w:rsidRDefault="00472E89" w:rsidP="00AE7E94">
      <w:pPr>
        <w:jc w:val="both"/>
        <w:rPr>
          <w:rFonts w:ascii="Arial" w:hAnsi="Arial" w:cs="Arial"/>
          <w:sz w:val="20"/>
          <w:szCs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4F4A4F">
        <w:rPr>
          <w:rFonts w:ascii="Arial" w:hAnsi="Arial" w:cs="Arial"/>
          <w:color w:val="000000"/>
          <w:sz w:val="20"/>
        </w:rPr>
        <w:t xml:space="preserve"> as to which, in relation to a sentence imposed on an adult, the Court of Appeal in </w:t>
      </w:r>
      <w:r w:rsidR="004F4A4F" w:rsidRPr="004F4A4F">
        <w:rPr>
          <w:rFonts w:ascii="Arial" w:hAnsi="Arial" w:cs="Arial"/>
          <w:i/>
          <w:iCs/>
          <w:color w:val="000000"/>
          <w:sz w:val="20"/>
        </w:rPr>
        <w:t>Wasif v The Queen</w:t>
      </w:r>
      <w:r w:rsidR="004F4A4F">
        <w:rPr>
          <w:rFonts w:ascii="Arial" w:hAnsi="Arial" w:cs="Arial"/>
          <w:color w:val="000000"/>
          <w:sz w:val="20"/>
        </w:rPr>
        <w:t xml:space="preserve"> [2022] VSCA 182 said at [45]: </w:t>
      </w:r>
      <w:r w:rsidR="00AE7E94">
        <w:rPr>
          <w:rFonts w:ascii="Arial" w:hAnsi="Arial" w:cs="Arial"/>
          <w:color w:val="000000"/>
          <w:sz w:val="20"/>
        </w:rPr>
        <w:t>“</w:t>
      </w:r>
      <w:r w:rsidR="004F4A4F" w:rsidRPr="004F4A4F">
        <w:rPr>
          <w:rFonts w:ascii="Arial" w:hAnsi="Arial" w:cs="Arial"/>
          <w:sz w:val="20"/>
          <w:szCs w:val="20"/>
        </w:rPr>
        <w:t>The longstanding common law principle of parsimony is directed to ensuring that a just and appropriate sentence is imposed, by requiring that, in each case, such sentence is no more than that which is commensurate with the offending, taking into account all the relevant circumstances of the case, including the subjective circumstances of the offender.</w:t>
      </w:r>
      <w:r w:rsidR="00AE7E94">
        <w:rPr>
          <w:rFonts w:ascii="Arial" w:hAnsi="Arial" w:cs="Arial"/>
          <w:sz w:val="20"/>
          <w:szCs w:val="20"/>
        </w:rPr>
        <w:t>”</w:t>
      </w:r>
      <w:r w:rsidR="00477CAE">
        <w:rPr>
          <w:rFonts w:ascii="Arial" w:hAnsi="Arial" w:cs="Arial"/>
          <w:sz w:val="20"/>
          <w:szCs w:val="20"/>
        </w:rPr>
        <w:t xml:space="preserve">  See also </w:t>
      </w:r>
      <w:r w:rsidR="00477CAE" w:rsidRPr="00477CAE">
        <w:rPr>
          <w:rFonts w:ascii="Arial" w:hAnsi="Arial" w:cs="Arial"/>
          <w:i/>
          <w:iCs/>
          <w:sz w:val="20"/>
          <w:szCs w:val="20"/>
        </w:rPr>
        <w:t>R v Assaad</w:t>
      </w:r>
      <w:r w:rsidR="00477CAE">
        <w:rPr>
          <w:rFonts w:ascii="Arial" w:hAnsi="Arial" w:cs="Arial"/>
          <w:sz w:val="20"/>
          <w:szCs w:val="20"/>
        </w:rPr>
        <w:t xml:space="preserve"> [2022] VSC 800 at [119]</w:t>
      </w:r>
      <w:r w:rsidR="00A82210">
        <w:rPr>
          <w:rFonts w:ascii="Arial" w:hAnsi="Arial" w:cs="Arial"/>
          <w:sz w:val="20"/>
          <w:szCs w:val="20"/>
        </w:rPr>
        <w:t xml:space="preserve">; </w:t>
      </w:r>
      <w:r w:rsidR="00A82210" w:rsidRPr="0053259B">
        <w:rPr>
          <w:rFonts w:ascii="Arial" w:hAnsi="Arial" w:cs="Arial"/>
          <w:i/>
          <w:iCs/>
          <w:color w:val="000000"/>
          <w:sz w:val="20"/>
          <w:szCs w:val="20"/>
        </w:rPr>
        <w:t>R v K</w:t>
      </w:r>
      <w:r w:rsidR="00A82210" w:rsidRPr="0053259B">
        <w:rPr>
          <w:rFonts w:ascii="Arial" w:hAnsi="Arial" w:cs="Arial"/>
          <w:color w:val="000000"/>
          <w:sz w:val="20"/>
          <w:szCs w:val="20"/>
        </w:rPr>
        <w:t>Y [2022] VSC 805</w:t>
      </w:r>
      <w:r w:rsidR="00A82210">
        <w:rPr>
          <w:rFonts w:ascii="Arial" w:hAnsi="Arial" w:cs="Arial"/>
          <w:color w:val="000000"/>
          <w:sz w:val="20"/>
          <w:szCs w:val="20"/>
        </w:rPr>
        <w:t xml:space="preserve"> at [85]</w:t>
      </w:r>
      <w:r w:rsidR="00977C47">
        <w:rPr>
          <w:rFonts w:ascii="Arial" w:hAnsi="Arial" w:cs="Arial"/>
          <w:color w:val="000000"/>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[65]</w:t>
      </w:r>
      <w:r w:rsidR="00477CAE">
        <w:rPr>
          <w:rFonts w:ascii="Arial" w:hAnsi="Arial" w:cs="Arial"/>
          <w:sz w:val="20"/>
          <w:szCs w:val="20"/>
        </w:rPr>
        <w:t>.</w:t>
      </w:r>
    </w:p>
    <w:p w14:paraId="2B972937" w14:textId="77777777" w:rsidR="00AE7E94" w:rsidRPr="001C6E0E" w:rsidRDefault="00AE7E94" w:rsidP="00AE7E94">
      <w:pPr>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03B6F5A8"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0"/>
        <w:gridCol w:w="132"/>
        <w:gridCol w:w="1741"/>
        <w:gridCol w:w="28"/>
        <w:gridCol w:w="4766"/>
      </w:tblGrid>
      <w:tr w:rsidR="00CA1697" w:rsidRPr="001C6E0E" w14:paraId="10E97931" w14:textId="77777777" w:rsidTr="003E6AC1">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3E6AC1">
        <w:trPr>
          <w:trHeight w:val="20"/>
        </w:trPr>
        <w:tc>
          <w:tcPr>
            <w:tcW w:w="2539"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69"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6"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3E6AC1">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2"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69"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6"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2"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69"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6"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3E6AC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2"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69"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6"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3E6AC1">
        <w:trPr>
          <w:trHeight w:val="20"/>
        </w:trPr>
        <w:tc>
          <w:tcPr>
            <w:tcW w:w="4308" w:type="dxa"/>
            <w:gridSpan w:val="6"/>
            <w:tcBorders>
              <w:top w:val="single" w:sz="4" w:space="0" w:color="auto"/>
              <w:bottom w:val="single" w:sz="18" w:space="0" w:color="auto"/>
              <w:right w:val="single" w:sz="6" w:space="0" w:color="auto"/>
            </w:tcBorders>
            <w:shd w:val="clear" w:color="auto" w:fill="auto"/>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6"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2"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69"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6"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3E6AC1">
        <w:trPr>
          <w:trHeight w:val="20"/>
        </w:trPr>
        <w:tc>
          <w:tcPr>
            <w:tcW w:w="4308"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6"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3E6AC1">
        <w:trPr>
          <w:trHeight w:val="20"/>
        </w:trPr>
        <w:tc>
          <w:tcPr>
            <w:tcW w:w="4308"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F2607D">
            <w:pPr>
              <w:numPr>
                <w:ilvl w:val="0"/>
                <w:numId w:val="70"/>
              </w:numPr>
              <w:spacing w:before="120"/>
              <w:ind w:left="284" w:hanging="284"/>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6"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B1354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lastRenderedPageBreak/>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2"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69"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6"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B13542">
        <w:trPr>
          <w:trHeight w:val="907"/>
        </w:trPr>
        <w:tc>
          <w:tcPr>
            <w:tcW w:w="4308" w:type="dxa"/>
            <w:gridSpan w:val="6"/>
            <w:tcBorders>
              <w:top w:val="single" w:sz="6" w:space="0" w:color="auto"/>
              <w:bottom w:val="single" w:sz="18" w:space="0" w:color="auto"/>
              <w:right w:val="single" w:sz="6" w:space="0" w:color="auto"/>
            </w:tcBorders>
            <w:shd w:val="clear" w:color="auto" w:fill="auto"/>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6"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B13542">
        <w:trPr>
          <w:trHeight w:val="1094"/>
        </w:trPr>
        <w:tc>
          <w:tcPr>
            <w:tcW w:w="4308" w:type="dxa"/>
            <w:gridSpan w:val="6"/>
            <w:tcBorders>
              <w:top w:val="single" w:sz="18" w:space="0" w:color="auto"/>
              <w:bottom w:val="single" w:sz="18" w:space="0" w:color="auto"/>
              <w:right w:val="single" w:sz="6" w:space="0" w:color="auto"/>
            </w:tcBorders>
            <w:shd w:val="clear" w:color="auto" w:fill="auto"/>
          </w:tcPr>
          <w:p w14:paraId="115C881C" w14:textId="0B44C43C"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w:t>
            </w:r>
            <w:r w:rsidR="00477CAE">
              <w:rPr>
                <w:rFonts w:ascii="Arial" w:hAnsi="Arial" w:cs="Arial"/>
                <w:color w:val="000000"/>
                <w:sz w:val="20"/>
              </w:rPr>
              <w:t xml:space="preserve"> </w:t>
            </w:r>
            <w:r>
              <w:rPr>
                <w:rFonts w:ascii="Arial" w:hAnsi="Arial" w:cs="Arial"/>
                <w:color w:val="000000"/>
                <w:sz w:val="20"/>
              </w:rPr>
              <w:t>aggregate fine.</w:t>
            </w:r>
          </w:p>
          <w:p w14:paraId="25DE5C09" w14:textId="203EC34D"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[ss.375-7]</w:t>
            </w:r>
            <w:r w:rsidR="00B13542">
              <w:rPr>
                <w:rFonts w:ascii="Arial" w:hAnsi="Arial" w:cs="Arial"/>
                <w:color w:val="000000"/>
                <w:sz w:val="20"/>
              </w:rPr>
              <w:t>.</w:t>
            </w:r>
          </w:p>
          <w:p w14:paraId="5E7D9225" w14:textId="22D72F6D"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r w:rsidR="00B13542">
              <w:rPr>
                <w:rFonts w:ascii="Arial" w:hAnsi="Arial" w:cs="Arial"/>
                <w:color w:val="000000"/>
                <w:sz w:val="20"/>
              </w:rPr>
              <w:t>.</w:t>
            </w:r>
          </w:p>
        </w:tc>
        <w:tc>
          <w:tcPr>
            <w:tcW w:w="4766"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3E6AC1">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18"/>
              </w:rPr>
              <w:t>[PRO]</w:t>
            </w:r>
          </w:p>
        </w:tc>
        <w:tc>
          <w:tcPr>
            <w:tcW w:w="1637"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D0EC2">
            <w:pPr>
              <w:keepNext/>
              <w:keepLines/>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D0EC2">
            <w:pPr>
              <w:keepNext/>
              <w:keepLines/>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D0EC2">
            <w:pPr>
              <w:keepNext/>
              <w:keepLines/>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08A576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Ors </w:t>
            </w:r>
            <w:r w:rsidRPr="001C6E0E">
              <w:rPr>
                <w:rFonts w:ascii="Arial" w:hAnsi="Arial" w:cs="Arial"/>
                <w:color w:val="000000"/>
                <w:sz w:val="20"/>
              </w:rPr>
              <w:t>[2007] VChC 3 at [51] &amp; [54] Judge Grant distinguished between two co-offenders, convicting one and not convicting the other.</w:t>
            </w:r>
          </w:p>
          <w:p w14:paraId="4EAFC258"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E6AC1">
        <w:trPr>
          <w:trHeight w:val="1176"/>
        </w:trPr>
        <w:tc>
          <w:tcPr>
            <w:tcW w:w="4280"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4"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E6AC1">
        <w:trPr>
          <w:trHeight w:val="510"/>
        </w:trPr>
        <w:tc>
          <w:tcPr>
            <w:tcW w:w="4280" w:type="dxa"/>
            <w:gridSpan w:val="5"/>
            <w:tcBorders>
              <w:top w:val="single" w:sz="18" w:space="0" w:color="auto"/>
              <w:bottom w:val="single" w:sz="18" w:space="0" w:color="auto"/>
              <w:right w:val="single" w:sz="6" w:space="0" w:color="auto"/>
            </w:tcBorders>
            <w:shd w:val="clear" w:color="auto" w:fill="auto"/>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4"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3E6AC1">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7"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Ors </w:t>
            </w:r>
            <w:r w:rsidRPr="001C6E0E">
              <w:rPr>
                <w:rFonts w:ascii="Arial" w:hAnsi="Arial" w:cs="Arial"/>
                <w:color w:val="000000"/>
                <w:sz w:val="20"/>
              </w:rPr>
              <w:t>[2007] VChC 3 at [39],</w:t>
            </w:r>
            <w:r w:rsidR="00756609">
              <w:rPr>
                <w:rFonts w:ascii="Arial" w:hAnsi="Arial" w:cs="Arial"/>
                <w:color w:val="000000"/>
                <w:sz w:val="20"/>
              </w:rPr>
              <w:t xml:space="preserve"> </w:t>
            </w:r>
            <w:r w:rsidRPr="001C6E0E">
              <w:rPr>
                <w:rFonts w:ascii="Arial" w:hAnsi="Arial" w:cs="Arial"/>
                <w:color w:val="000000"/>
                <w:sz w:val="20"/>
              </w:rPr>
              <w:t>[41], [43], [45], [47] &amp;[49]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VChC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[ss.381(3)+(4)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3E6AC1">
        <w:trPr>
          <w:trHeight w:val="835"/>
        </w:trPr>
        <w:tc>
          <w:tcPr>
            <w:tcW w:w="4280"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4" w:type="dxa"/>
            <w:gridSpan w:val="2"/>
            <w:vMerge/>
            <w:tcBorders>
              <w:top w:val="nil"/>
              <w:left w:val="nil"/>
              <w:bottom w:val="single" w:sz="18" w:space="0" w:color="auto"/>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3E6AC1">
        <w:trPr>
          <w:trHeight w:val="832"/>
        </w:trPr>
        <w:tc>
          <w:tcPr>
            <w:tcW w:w="4280"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4" w:type="dxa"/>
            <w:gridSpan w:val="2"/>
            <w:vMerge/>
            <w:tcBorders>
              <w:top w:val="nil"/>
              <w:left w:val="nil"/>
              <w:bottom w:val="single" w:sz="18" w:space="0" w:color="auto"/>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3E6AC1">
        <w:trPr>
          <w:trHeight w:val="1020"/>
        </w:trPr>
        <w:tc>
          <w:tcPr>
            <w:tcW w:w="4280"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4" w:type="dxa"/>
            <w:gridSpan w:val="2"/>
            <w:vMerge/>
            <w:tcBorders>
              <w:top w:val="nil"/>
              <w:left w:val="nil"/>
              <w:bottom w:val="single" w:sz="18"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3E6AC1">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City">
              <w:smartTag w:uri="urn:schemas-microsoft-com:office:smarttags" w:element="place">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7"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4"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1D310A">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373C48B5" w:rsidR="00CE6501" w:rsidRPr="001C6E0E" w:rsidRDefault="00CE6501" w:rsidP="003E6AC1">
            <w:pPr>
              <w:keepNext/>
              <w:keepLines/>
              <w:numPr>
                <w:ilvl w:val="0"/>
                <w:numId w:val="70"/>
              </w:numPr>
              <w:ind w:left="284" w:hanging="284"/>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 xml:space="preserve">381(3)+(4)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7755E0">
        <w:trPr>
          <w:trHeight w:val="794"/>
        </w:trPr>
        <w:tc>
          <w:tcPr>
            <w:tcW w:w="4280"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1A526144" w:rsidR="00CE6501" w:rsidRPr="001C6E0E" w:rsidRDefault="00CE6501" w:rsidP="003E6AC1">
            <w:pPr>
              <w:keepNext/>
              <w:keepLines/>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 xml:space="preserve">(b) such attendances to be for a maximum of 10 hours of which no more than 4 hours may be spent in community service </w:t>
            </w:r>
            <w:r w:rsidRPr="001C6E0E">
              <w:rPr>
                <w:rFonts w:ascii="Arial" w:hAnsi="Arial" w:cs="Arial"/>
                <w:color w:val="000000"/>
                <w:sz w:val="20"/>
              </w:rPr>
              <w:lastRenderedPageBreak/>
              <w:t>activities under s.407.</w:t>
            </w:r>
          </w:p>
        </w:tc>
        <w:tc>
          <w:tcPr>
            <w:tcW w:w="4794"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3E6AC1">
        <w:trPr>
          <w:trHeight w:val="680"/>
        </w:trPr>
        <w:tc>
          <w:tcPr>
            <w:tcW w:w="4280" w:type="dxa"/>
            <w:gridSpan w:val="5"/>
            <w:tcBorders>
              <w:top w:val="single" w:sz="6" w:space="0" w:color="auto"/>
              <w:bottom w:val="single" w:sz="4" w:space="0" w:color="auto"/>
              <w:right w:val="single" w:sz="6" w:space="0" w:color="auto"/>
            </w:tcBorders>
            <w:shd w:val="clear" w:color="auto" w:fill="auto"/>
          </w:tcPr>
          <w:p w14:paraId="71635FC5" w14:textId="77777777" w:rsidR="00CE6501" w:rsidRPr="001C6E0E" w:rsidRDefault="00CE6501" w:rsidP="007755E0">
            <w:pPr>
              <w:jc w:val="both"/>
              <w:rPr>
                <w:rFonts w:ascii="Arial" w:hAnsi="Arial" w:cs="Arial"/>
                <w:color w:val="000000"/>
                <w:sz w:val="20"/>
              </w:rPr>
            </w:pPr>
            <w:r w:rsidRPr="001C6E0E">
              <w:rPr>
                <w:rFonts w:ascii="Arial" w:hAnsi="Arial" w:cs="Arial"/>
                <w:color w:val="000000"/>
                <w:sz w:val="20"/>
              </w:rPr>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4"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3E6AC1">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3E6AC1">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7"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E6AC1">
        <w:trPr>
          <w:cantSplit/>
          <w:trHeight w:val="425"/>
        </w:trPr>
        <w:tc>
          <w:tcPr>
            <w:tcW w:w="4280"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4"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E6AC1">
        <w:trPr>
          <w:cantSplit/>
          <w:trHeight w:val="424"/>
        </w:trPr>
        <w:tc>
          <w:tcPr>
            <w:tcW w:w="4280"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4"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E6AC1">
        <w:trPr>
          <w:cantSplit/>
          <w:trHeight w:val="1182"/>
        </w:trPr>
        <w:tc>
          <w:tcPr>
            <w:tcW w:w="4280"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4"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3E6AC1">
        <w:trPr>
          <w:trHeight w:val="20"/>
        </w:trPr>
        <w:tc>
          <w:tcPr>
            <w:tcW w:w="9074" w:type="dxa"/>
            <w:gridSpan w:val="7"/>
            <w:tcBorders>
              <w:top w:val="single" w:sz="18" w:space="0" w:color="auto"/>
              <w:bottom w:val="single" w:sz="18" w:space="0" w:color="auto"/>
            </w:tcBorders>
            <w:shd w:val="clear" w:color="auto" w:fill="auto"/>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3E6AC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7755E0">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 xml:space="preserve">Section 409L provides that a child in respect of whom a YCO is in force must attend the Court from time to time (at least monthly for the first half of the order) as directed by the Court, for the Court (constituted by the same magistrate who sentenced </w:t>
            </w:r>
            <w:r>
              <w:rPr>
                <w:rFonts w:ascii="Arial" w:hAnsi="Arial" w:cs="Arial"/>
                <w:color w:val="000000"/>
                <w:sz w:val="20"/>
              </w:rPr>
              <w:lastRenderedPageBreak/>
              <w:t>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ongoing suitability of the requirements of the YCO.</w:t>
            </w:r>
          </w:p>
          <w:p w14:paraId="2DEDCBEC" w14:textId="77777777" w:rsidR="00756609" w:rsidRDefault="00756609" w:rsidP="00B13542">
            <w:pPr>
              <w:keepNext/>
              <w:keepLines/>
              <w:jc w:val="both"/>
              <w:rPr>
                <w:rFonts w:ascii="Arial" w:hAnsi="Arial" w:cs="Arial"/>
                <w:color w:val="000000"/>
                <w:sz w:val="20"/>
              </w:rPr>
            </w:pPr>
            <w:r>
              <w:rPr>
                <w:rFonts w:ascii="Arial" w:hAnsi="Arial" w:cs="Arial"/>
                <w:color w:val="000000"/>
                <w:sz w:val="20"/>
              </w:rPr>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3E6AC1">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lastRenderedPageBreak/>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7"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3E6AC1">
        <w:trPr>
          <w:cantSplit/>
          <w:trHeight w:val="567"/>
        </w:trPr>
        <w:tc>
          <w:tcPr>
            <w:tcW w:w="4280"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3E6AC1">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7"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3E6AC1">
        <w:trPr>
          <w:cantSplit/>
          <w:trHeight w:val="284"/>
        </w:trPr>
        <w:tc>
          <w:tcPr>
            <w:tcW w:w="4280"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3E6AC1">
        <w:trPr>
          <w:cantSplit/>
          <w:trHeight w:val="567"/>
        </w:trPr>
        <w:tc>
          <w:tcPr>
            <w:tcW w:w="9074" w:type="dxa"/>
            <w:gridSpan w:val="7"/>
            <w:tcBorders>
              <w:top w:val="single" w:sz="18" w:space="0" w:color="auto"/>
              <w:bottom w:val="single" w:sz="18" w:space="0" w:color="auto"/>
            </w:tcBorders>
            <w:shd w:val="clear" w:color="auto" w:fill="auto"/>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18-21 year old women sentenced to a YJC order by the Magistrates, County &amp; Supreme Cts.</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4" w:name="_Toc30671664"/>
      <w:bookmarkStart w:id="175" w:name="_Toc30674191"/>
      <w:bookmarkStart w:id="176" w:name="_Toc30691458"/>
      <w:bookmarkStart w:id="177" w:name="_Toc30691838"/>
      <w:bookmarkStart w:id="178" w:name="_Toc30692218"/>
      <w:bookmarkStart w:id="179" w:name="_Toc30692976"/>
      <w:bookmarkStart w:id="180" w:name="_Toc30693355"/>
      <w:bookmarkStart w:id="181" w:name="_Toc30693733"/>
      <w:bookmarkStart w:id="182" w:name="_Toc30694111"/>
      <w:bookmarkStart w:id="183" w:name="_Toc30694492"/>
      <w:bookmarkStart w:id="184" w:name="_Toc30699082"/>
      <w:bookmarkStart w:id="185" w:name="_Toc30699467"/>
      <w:bookmarkStart w:id="186" w:name="_Toc30699852"/>
      <w:bookmarkStart w:id="187" w:name="_Toc30701007"/>
      <w:bookmarkStart w:id="188" w:name="_Toc30701394"/>
      <w:bookmarkStart w:id="189" w:name="_Toc30744001"/>
      <w:bookmarkStart w:id="190" w:name="_Toc30754824"/>
      <w:bookmarkStart w:id="191" w:name="_Toc30757280"/>
      <w:bookmarkStart w:id="192" w:name="_Toc30757828"/>
      <w:bookmarkStart w:id="193" w:name="_Toc30758228"/>
      <w:bookmarkStart w:id="194" w:name="_Toc30762988"/>
      <w:bookmarkStart w:id="195" w:name="_Toc30767642"/>
      <w:bookmarkStart w:id="196"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Tinney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Pr="00E31EB3" w:rsidRDefault="00475F68" w:rsidP="00CC0DF5">
      <w:pPr>
        <w:rPr>
          <w:rFonts w:ascii="Arial" w:hAnsi="Arial" w:cs="Arial"/>
          <w:color w:val="000000"/>
          <w:sz w:val="20"/>
          <w:szCs w:val="2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7755E0">
      <w:pPr>
        <w:keepNext/>
        <w:keepLines/>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r w:rsidRPr="001C6E0E">
        <w:rPr>
          <w:rFonts w:ascii="Arial" w:hAnsi="Arial" w:cs="Arial"/>
          <w:i/>
          <w:color w:val="000000"/>
          <w:sz w:val="20"/>
        </w:rPr>
        <w:t>Hansford v His Honour Judge Neesham</w:t>
      </w:r>
      <w:r w:rsidRPr="001C6E0E">
        <w:rPr>
          <w:rFonts w:ascii="Arial" w:hAnsi="Arial" w:cs="Arial"/>
          <w:color w:val="000000"/>
          <w:sz w:val="20"/>
        </w:rPr>
        <w:t xml:space="preserve"> [1995] 2 VR 233, 236;</w:t>
      </w:r>
      <w:r w:rsidRPr="001C6E0E">
        <w:rPr>
          <w:rFonts w:ascii="Arial" w:hAnsi="Arial" w:cs="Arial"/>
          <w:i/>
          <w:color w:val="000000"/>
          <w:sz w:val="20"/>
        </w:rPr>
        <w:t xml:space="preserve"> R v Sibic</w:t>
      </w:r>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R v Sibic</w:t>
      </w:r>
      <w:r w:rsidRPr="001C6E0E">
        <w:rPr>
          <w:rFonts w:ascii="Arial" w:hAnsi="Arial" w:cs="Arial"/>
          <w:color w:val="000000"/>
          <w:sz w:val="20"/>
          <w:szCs w:val="20"/>
        </w:rPr>
        <w:t xml:space="preserve"> (2006) 168 A Crim R 305, [14]-[17] (Redlich JA); </w:t>
      </w:r>
      <w:r w:rsidRPr="001C6E0E">
        <w:rPr>
          <w:rFonts w:ascii="Arial" w:hAnsi="Arial" w:cs="Arial"/>
          <w:i/>
          <w:color w:val="000000"/>
          <w:sz w:val="20"/>
          <w:szCs w:val="20"/>
        </w:rPr>
        <w:t xml:space="preserve">Ibbs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Sibic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[C]areful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 xml:space="preserve">[51]  </w:t>
      </w:r>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r w:rsidRPr="001C6E0E">
        <w:rPr>
          <w:rFonts w:ascii="Arial" w:hAnsi="Arial" w:cs="Arial"/>
          <w:i/>
          <w:color w:val="000000"/>
          <w:sz w:val="20"/>
        </w:rPr>
        <w:t>Ibbs v R</w:t>
      </w:r>
      <w:r w:rsidRPr="001C6E0E">
        <w:rPr>
          <w:rFonts w:ascii="Arial" w:hAnsi="Arial" w:cs="Arial"/>
          <w:color w:val="000000"/>
          <w:sz w:val="20"/>
        </w:rPr>
        <w:t xml:space="preserve"> (1987) 163 CLR 447; </w:t>
      </w:r>
      <w:r w:rsidRPr="001C6E0E">
        <w:rPr>
          <w:rFonts w:ascii="Arial" w:hAnsi="Arial" w:cs="Arial"/>
          <w:i/>
          <w:color w:val="000000"/>
          <w:sz w:val="20"/>
        </w:rPr>
        <w:t xml:space="preserve">R v Sibic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Gummow, Hayne &amp; Callinan JJ).”</w:t>
      </w:r>
    </w:p>
    <w:p w14:paraId="5E38C215" w14:textId="77777777" w:rsidR="00696280" w:rsidRPr="00B13542" w:rsidRDefault="00696280" w:rsidP="00E31EB3">
      <w:pPr>
        <w:jc w:val="both"/>
        <w:rPr>
          <w:rFonts w:ascii="Arial" w:hAnsi="Arial" w:cs="Arial"/>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344322E5" w:rsidR="006C351A" w:rsidRDefault="006C351A" w:rsidP="00696280">
      <w:pPr>
        <w:rPr>
          <w:rFonts w:ascii="Arial" w:hAnsi="Arial" w:cs="Arial"/>
          <w:color w:val="000000"/>
          <w:sz w:val="18"/>
          <w:szCs w:val="22"/>
        </w:rPr>
      </w:pPr>
    </w:p>
    <w:p w14:paraId="0E9E6ACF" w14:textId="00940DE1" w:rsidR="00B13542" w:rsidRDefault="00B13542" w:rsidP="00696280">
      <w:pPr>
        <w:rPr>
          <w:rFonts w:ascii="Arial" w:hAnsi="Arial" w:cs="Arial"/>
          <w:color w:val="000000"/>
          <w:sz w:val="20"/>
        </w:rPr>
      </w:pPr>
      <w:r w:rsidRPr="00B13542">
        <w:rPr>
          <w:rFonts w:ascii="Arial" w:hAnsi="Arial" w:cs="Arial"/>
          <w:color w:val="000000"/>
          <w:sz w:val="20"/>
        </w:rPr>
        <w:t xml:space="preserve">It is important to note that </w:t>
      </w:r>
      <w:r w:rsidR="002A51AA">
        <w:rPr>
          <w:rFonts w:ascii="Arial" w:hAnsi="Arial" w:cs="Arial"/>
          <w:color w:val="000000"/>
          <w:sz w:val="20"/>
        </w:rPr>
        <w:t xml:space="preserve">s.571 CYFA provides that the Court </w:t>
      </w:r>
      <w:r w:rsidR="002A51AA" w:rsidRPr="002A51AA">
        <w:rPr>
          <w:rFonts w:ascii="Arial" w:hAnsi="Arial" w:cs="Arial"/>
          <w:b/>
          <w:bCs/>
          <w:color w:val="000000"/>
          <w:sz w:val="20"/>
        </w:rPr>
        <w:t>must</w:t>
      </w:r>
      <w:r w:rsidR="002A51AA">
        <w:rPr>
          <w:rFonts w:ascii="Arial" w:hAnsi="Arial" w:cs="Arial"/>
          <w:color w:val="000000"/>
          <w:sz w:val="20"/>
        </w:rPr>
        <w:t xml:space="preserve"> order a pre-sentence report-</w:t>
      </w:r>
    </w:p>
    <w:p w14:paraId="384F0285" w14:textId="1AFCD479"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is considering making a youth residential centre order or a youth justice centre order</w:t>
      </w:r>
      <w:r w:rsidR="00E13170">
        <w:rPr>
          <w:rFonts w:ascii="Arial" w:hAnsi="Arial" w:cs="Arial"/>
          <w:color w:val="000000"/>
          <w:sz w:val="20"/>
        </w:rPr>
        <w:t xml:space="preserve"> for a child</w:t>
      </w:r>
      <w:r>
        <w:rPr>
          <w:rFonts w:ascii="Arial" w:hAnsi="Arial" w:cs="Arial"/>
          <w:color w:val="000000"/>
          <w:sz w:val="20"/>
        </w:rPr>
        <w:t>;</w:t>
      </w:r>
    </w:p>
    <w:p w14:paraId="2BE7DCA7" w14:textId="2700F770"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appears to the Court that a child found guilty of an offence is intellectually disabled</w:t>
      </w:r>
      <w:r w:rsidR="00E13170">
        <w:rPr>
          <w:rFonts w:ascii="Arial" w:hAnsi="Arial" w:cs="Arial"/>
          <w:color w:val="000000"/>
          <w:sz w:val="20"/>
        </w:rPr>
        <w:t>.  I</w:t>
      </w:r>
      <w:r>
        <w:rPr>
          <w:rFonts w:ascii="Arial" w:hAnsi="Arial" w:cs="Arial"/>
          <w:color w:val="000000"/>
          <w:sz w:val="20"/>
        </w:rPr>
        <w:t>n that event the pre-sentence report:</w:t>
      </w:r>
    </w:p>
    <w:p w14:paraId="6DC95D91" w14:textId="2981070E" w:rsid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 xml:space="preserve">must include a copy of any statement issued by the Secretary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w:t>
      </w:r>
      <w:r w:rsidRPr="002A51AA">
        <w:rPr>
          <w:rFonts w:ascii="Arial" w:hAnsi="Arial" w:cs="Arial"/>
          <w:color w:val="000000"/>
          <w:sz w:val="20"/>
        </w:rPr>
        <w:t>and</w:t>
      </w:r>
    </w:p>
    <w:p w14:paraId="55F86DE4" w14:textId="2F7CA770" w:rsidR="002A51AA" w:rsidRP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must specify any disability services available, appropriate to the child and designed to reduce the likelihood of the child committing further offences.</w:t>
      </w:r>
    </w:p>
    <w:p w14:paraId="4C3175B4" w14:textId="77777777" w:rsidR="002A51AA" w:rsidRDefault="002A51AA" w:rsidP="00696280">
      <w:pPr>
        <w:rPr>
          <w:rFonts w:ascii="Arial" w:hAnsi="Arial" w:cs="Arial"/>
          <w:color w:val="000000"/>
          <w:sz w:val="18"/>
          <w:szCs w:val="22"/>
        </w:rPr>
      </w:pPr>
    </w:p>
    <w:p w14:paraId="3A581577" w14:textId="25E309F5" w:rsidR="00BF52E5" w:rsidRPr="001C6E0E" w:rsidRDefault="00BF52E5" w:rsidP="00E31EB3">
      <w:pPr>
        <w:pStyle w:val="Heading3"/>
        <w:keepNext/>
        <w:spacing w:after="80" w:line="240" w:lineRule="auto"/>
        <w:rPr>
          <w:rFonts w:ascii="Arial" w:hAnsi="Arial" w:cs="Arial"/>
          <w:b/>
          <w:bCs/>
          <w:color w:val="000000"/>
          <w:sz w:val="20"/>
        </w:rPr>
      </w:pPr>
      <w:bookmarkStart w:id="197" w:name="_11.1.6_The_community"/>
      <w:bookmarkStart w:id="198" w:name="_Toc107101737"/>
      <w:bookmarkEnd w:id="197"/>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8"/>
    </w:p>
    <w:p w14:paraId="603C4EDE" w14:textId="77777777" w:rsidR="00BF52E5" w:rsidRPr="001C6E0E" w:rsidRDefault="00854D67" w:rsidP="00E31EB3">
      <w:pPr>
        <w:spacing w:after="120"/>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7755E0">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F2607D">
            <w:pPr>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7755E0">
        <w:trPr>
          <w:cantSplit/>
          <w:trHeight w:val="227"/>
        </w:trPr>
        <w:tc>
          <w:tcPr>
            <w:tcW w:w="835" w:type="dxa"/>
            <w:tcBorders>
              <w:top w:val="single" w:sz="6" w:space="0" w:color="auto"/>
              <w:bottom w:val="single" w:sz="6" w:space="0" w:color="auto"/>
              <w:right w:val="single" w:sz="6" w:space="0" w:color="auto"/>
            </w:tcBorders>
            <w:shd w:val="pct10" w:color="auto" w:fill="auto"/>
          </w:tcPr>
          <w:p w14:paraId="37D71F3E"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6" w:space="0" w:color="auto"/>
              <w:right w:val="nil"/>
            </w:tcBorders>
            <w:shd w:val="pct10" w:color="auto" w:fill="auto"/>
          </w:tcPr>
          <w:p w14:paraId="03E3E802" w14:textId="77777777" w:rsidR="00FB247F" w:rsidRPr="001C6E0E" w:rsidRDefault="00FB247F" w:rsidP="00F2607D">
            <w:pPr>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6" w:space="0" w:color="auto"/>
            </w:tcBorders>
            <w:shd w:val="pct10" w:color="auto" w:fill="auto"/>
          </w:tcPr>
          <w:p w14:paraId="5948432E" w14:textId="77777777" w:rsidR="00FB247F" w:rsidRPr="001C6E0E" w:rsidRDefault="00FB247F" w:rsidP="00E31EB3">
            <w:pPr>
              <w:spacing w:before="40" w:after="4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7755E0" w:rsidRPr="001C6E0E" w14:paraId="3E4EF01F" w14:textId="77777777" w:rsidTr="007755E0">
        <w:trPr>
          <w:cantSplit/>
          <w:trHeight w:val="227"/>
        </w:trPr>
        <w:tc>
          <w:tcPr>
            <w:tcW w:w="9242" w:type="dxa"/>
            <w:gridSpan w:val="3"/>
            <w:tcBorders>
              <w:top w:val="single" w:sz="6" w:space="0" w:color="auto"/>
              <w:bottom w:val="single" w:sz="4" w:space="0" w:color="auto"/>
            </w:tcBorders>
            <w:shd w:val="clear" w:color="auto" w:fill="auto"/>
          </w:tcPr>
          <w:p w14:paraId="5AF1B18D" w14:textId="77777777" w:rsidR="007755E0" w:rsidRPr="001C6E0E" w:rsidRDefault="007755E0" w:rsidP="007755E0">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053560CB"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4B770B7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31007814"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7A0B5D8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2110AC3D"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43585953"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3CE378D1" w14:textId="77777777" w:rsidR="007755E0" w:rsidRDefault="007755E0" w:rsidP="00B77328">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p w14:paraId="0AD8E828" w14:textId="26CA6077" w:rsidR="00B77328" w:rsidRPr="001C6E0E" w:rsidRDefault="00B77328" w:rsidP="00B77328">
            <w:pPr>
              <w:ind w:left="284" w:hanging="284"/>
              <w:jc w:val="both"/>
              <w:rPr>
                <w:rFonts w:ascii="Arial" w:hAnsi="Arial" w:cs="Arial"/>
                <w:color w:val="000000"/>
                <w:sz w:val="20"/>
              </w:rPr>
            </w:pPr>
          </w:p>
        </w:tc>
      </w:tr>
    </w:tbl>
    <w:p w14:paraId="36E64175" w14:textId="77777777" w:rsidR="007755E0" w:rsidRDefault="007755E0">
      <w:r>
        <w:br w:type="page"/>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343"/>
        <w:gridCol w:w="1725"/>
        <w:gridCol w:w="4610"/>
        <w:gridCol w:w="13"/>
      </w:tblGrid>
      <w:tr w:rsidR="00FB247F" w:rsidRPr="001C6E0E" w14:paraId="66DA9928" w14:textId="77777777" w:rsidTr="002435BB">
        <w:trPr>
          <w:cantSplit/>
          <w:trHeight w:val="615"/>
        </w:trPr>
        <w:tc>
          <w:tcPr>
            <w:tcW w:w="9242" w:type="dxa"/>
            <w:gridSpan w:val="6"/>
            <w:tcBorders>
              <w:top w:val="single" w:sz="4" w:space="0" w:color="auto"/>
              <w:bottom w:val="single" w:sz="18" w:space="0" w:color="auto"/>
            </w:tcBorders>
          </w:tcPr>
          <w:p w14:paraId="48B0032C" w14:textId="77777777" w:rsidR="00E31EB3" w:rsidRPr="001C6E0E" w:rsidRDefault="00E31EB3" w:rsidP="00E31EB3">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OPTIONAL SPECIAL CONDITIONS [ss.381(2)-(4)]</w:t>
            </w:r>
          </w:p>
          <w:p w14:paraId="158E56C6" w14:textId="77777777" w:rsidR="00E31EB3" w:rsidRPr="001C6E0E" w:rsidRDefault="00E31EB3" w:rsidP="00E31EB3">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These may include:</w:t>
            </w:r>
          </w:p>
          <w:p w14:paraId="23E719A9" w14:textId="11A78D3D"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63E21B6C" w14:textId="6DB0A743"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EE23B27" w14:textId="0FEB7600"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541CCA75" w14:textId="77777777"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008AC600" w14:textId="2B9F8767" w:rsidR="002435BB" w:rsidRPr="00E31EB3" w:rsidRDefault="002435BB" w:rsidP="00E31EB3">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2435BB">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2A51AA">
            <w:pPr>
              <w:keepNext/>
              <w:keepLines/>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gridSpan w:val="4"/>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6"/>
            <w:tcBorders>
              <w:top w:val="single" w:sz="4" w:space="0" w:color="auto"/>
              <w:bottom w:val="single" w:sz="4" w:space="0" w:color="auto"/>
            </w:tcBorders>
            <w:shd w:val="clear" w:color="auto" w:fill="auto"/>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City">
              <w:smartTag w:uri="urn:schemas-microsoft-com:office:smarttags" w:element="place">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gridSpan w:val="4"/>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City">
              <w:smartTag w:uri="urn:schemas-microsoft-com:office:smarttags" w:element="place">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6"/>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40285266"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 xml:space="preserve">(e) notify </w:t>
            </w:r>
            <w:r w:rsidR="00F2607D">
              <w:rPr>
                <w:rFonts w:ascii="Arial" w:hAnsi="Arial" w:cs="Arial"/>
                <w:color w:val="000000"/>
                <w:sz w:val="20"/>
              </w:rPr>
              <w:t xml:space="preserve">the </w:t>
            </w:r>
            <w:r w:rsidRPr="001C6E0E">
              <w:rPr>
                <w:rFonts w:ascii="Arial" w:hAnsi="Arial" w:cs="Arial"/>
                <w:color w:val="000000"/>
                <w:sz w:val="20"/>
              </w:rPr>
              <w:t>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4BF997A4"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under s.402(5) or any extension of the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lastRenderedPageBreak/>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gridSpan w:val="2"/>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6"/>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6"/>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4"/>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1D310A">
        <w:trPr>
          <w:cantSplit/>
          <w:trHeight w:val="284"/>
        </w:trPr>
        <w:tc>
          <w:tcPr>
            <w:tcW w:w="9242" w:type="dxa"/>
            <w:gridSpan w:val="6"/>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199" w:name="_11.1.7_Power_to"/>
      <w:bookmarkEnd w:id="199"/>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1B782D16"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R v Grossi</w:t>
      </w:r>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w:t>
      </w:r>
      <w:r w:rsidR="00980719" w:rsidRPr="001C6E0E">
        <w:rPr>
          <w:rFonts w:ascii="Arial" w:hAnsi="Arial" w:cs="Arial"/>
          <w:color w:val="000000"/>
          <w:sz w:val="20"/>
        </w:rPr>
        <w:lastRenderedPageBreak/>
        <w:t>VSCA 52</w:t>
      </w:r>
      <w:r w:rsidR="000134E1">
        <w:rPr>
          <w:rFonts w:ascii="Arial" w:hAnsi="Arial" w:cs="Arial"/>
          <w:color w:val="000000"/>
          <w:sz w:val="20"/>
        </w:rPr>
        <w:t xml:space="preserve">, </w:t>
      </w:r>
      <w:r w:rsidR="000134E1" w:rsidRPr="000134E1">
        <w:rPr>
          <w:rFonts w:ascii="Arial" w:hAnsi="Arial" w:cs="Arial"/>
          <w:i/>
          <w:color w:val="000000"/>
          <w:sz w:val="20"/>
        </w:rPr>
        <w:t>Oleyar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765669">
        <w:rPr>
          <w:rFonts w:ascii="Arial" w:hAnsi="Arial" w:cs="Arial"/>
          <w:color w:val="000000"/>
          <w:sz w:val="20"/>
          <w:szCs w:val="20"/>
        </w:rPr>
        <w:t xml:space="preserve">; </w:t>
      </w:r>
      <w:r w:rsidR="00765669" w:rsidRPr="00765669">
        <w:rPr>
          <w:rFonts w:ascii="Arial" w:hAnsi="Arial" w:cs="Arial"/>
          <w:i/>
          <w:iCs/>
          <w:color w:val="000000"/>
          <w:sz w:val="20"/>
          <w:szCs w:val="20"/>
        </w:rPr>
        <w:t>Hassall v The King</w:t>
      </w:r>
      <w:r w:rsidR="00765669">
        <w:rPr>
          <w:rFonts w:ascii="Arial" w:hAnsi="Arial" w:cs="Arial"/>
          <w:color w:val="000000"/>
          <w:sz w:val="20"/>
          <w:szCs w:val="20"/>
        </w:rPr>
        <w:t xml:space="preserve"> [2024] VSCA 163 at [58]-[73]</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Director of Public Prosecutions v Frewstal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200" w:name="_11.1.8_Restitution/Compensation/Cos"/>
      <w:bookmarkStart w:id="201" w:name="_Toc30671666"/>
      <w:bookmarkStart w:id="202" w:name="_Toc30674193"/>
      <w:bookmarkStart w:id="203" w:name="_Toc30691460"/>
      <w:bookmarkStart w:id="204" w:name="_Toc30691840"/>
      <w:bookmarkStart w:id="205" w:name="_Toc30692220"/>
      <w:bookmarkStart w:id="206" w:name="_Toc30692978"/>
      <w:bookmarkStart w:id="207" w:name="_Toc30693357"/>
      <w:bookmarkStart w:id="208" w:name="_Toc30693735"/>
      <w:bookmarkStart w:id="209" w:name="_Toc30694113"/>
      <w:bookmarkStart w:id="210" w:name="_Toc30694494"/>
      <w:bookmarkStart w:id="211" w:name="_Toc30699084"/>
      <w:bookmarkStart w:id="212" w:name="_Toc30699469"/>
      <w:bookmarkStart w:id="213" w:name="_Toc30699854"/>
      <w:bookmarkStart w:id="214" w:name="_Toc30701009"/>
      <w:bookmarkStart w:id="215" w:name="_Toc30701396"/>
      <w:bookmarkStart w:id="216" w:name="_Toc30744003"/>
      <w:bookmarkStart w:id="217" w:name="_Toc30754826"/>
      <w:bookmarkStart w:id="218" w:name="_Toc30757282"/>
      <w:bookmarkStart w:id="219" w:name="_Toc30757830"/>
      <w:bookmarkStart w:id="220" w:name="_Toc30758230"/>
      <w:bookmarkStart w:id="221" w:name="_Toc30762990"/>
      <w:bookmarkStart w:id="222" w:name="_Toc30767644"/>
      <w:bookmarkStart w:id="223" w:name="_Toc34823662"/>
      <w:bookmarkStart w:id="224" w:name="_Toc107101739"/>
      <w:bookmarkEnd w:id="200"/>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695AEC78" w14:textId="77777777" w:rsidR="00BF52E5" w:rsidRPr="001C6E0E" w:rsidRDefault="00BF52E5" w:rsidP="000F6649">
      <w:pPr>
        <w:keepNext/>
        <w:keepLines/>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7755E0">
      <w:pPr>
        <w:keepNext/>
        <w:keepLines/>
        <w:numPr>
          <w:ilvl w:val="0"/>
          <w:numId w:val="20"/>
        </w:numPr>
        <w:ind w:left="777"/>
        <w:jc w:val="both"/>
        <w:rPr>
          <w:rFonts w:ascii="Arial" w:hAnsi="Arial" w:cs="Arial"/>
          <w:color w:val="000000"/>
          <w:sz w:val="20"/>
        </w:rPr>
      </w:pPr>
      <w:r w:rsidRPr="001C6E0E">
        <w:rPr>
          <w:rFonts w:ascii="Arial" w:hAnsi="Arial" w:cs="Arial"/>
          <w:color w:val="000000"/>
          <w:sz w:val="20"/>
        </w:rPr>
        <w:lastRenderedPageBreak/>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ss.85B(1)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0F664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principles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w:t>
      </w:r>
      <w:r w:rsidRPr="001C6E0E">
        <w:rPr>
          <w:rFonts w:ascii="Arial" w:hAnsi="Arial" w:cs="Arial"/>
          <w:color w:val="000000"/>
          <w:sz w:val="20"/>
        </w:rPr>
        <w:lastRenderedPageBreak/>
        <w:t xml:space="preserve">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Kortel v Mirik &amp; Mirik</w:t>
      </w:r>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40EEFAA" w14:textId="13894491" w:rsidR="009A052D" w:rsidRPr="001C6E0E" w:rsidRDefault="009A052D">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RK v Mirik &amp; Mirik</w:t>
      </w:r>
      <w:r w:rsidRPr="001C6E0E">
        <w:rPr>
          <w:rFonts w:ascii="Arial" w:hAnsi="Arial" w:cs="Arial"/>
          <w:color w:val="000000"/>
          <w:sz w:val="20"/>
        </w:rPr>
        <w:t xml:space="preserve"> [2009] VSC 14 Bell J </w:t>
      </w:r>
      <w:r w:rsidR="00032829" w:rsidRPr="001C6E0E">
        <w:rPr>
          <w:rFonts w:ascii="Arial" w:hAnsi="Arial" w:cs="Arial"/>
          <w:color w:val="000000"/>
          <w:sz w:val="20"/>
        </w:rPr>
        <w:t xml:space="preserve">discussed in detail and applied the principles in ss. 85B(1)-(4), 85C, 85F, 85G, 85H(1)-(2)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Ioannou v </w:t>
      </w:r>
      <w:smartTag w:uri="urn:schemas-microsoft-com:office:smarttags" w:element="place">
        <w:smartTag w:uri="urn:schemas-microsoft-com:office:smarttags" w:element="City">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D52380">
      <w:pPr>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Shepherd &amp; anor v Kell &amp; anor</w:t>
      </w:r>
      <w:r w:rsidRPr="001C6E0E">
        <w:rPr>
          <w:rFonts w:ascii="Arial" w:hAnsi="Arial" w:cs="Arial"/>
          <w:color w:val="000000"/>
          <w:sz w:val="20"/>
        </w:rPr>
        <w:t xml:space="preserve"> [2012] VSC 80 Lasry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lastRenderedPageBreak/>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Shepherd &amp; anor v Kell &amp; anor</w:t>
      </w:r>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Koeleman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5" w:name="_11.1.9_Additional_orders"/>
      <w:bookmarkStart w:id="226" w:name="_Toc30671667"/>
      <w:bookmarkStart w:id="227" w:name="_Toc30674194"/>
      <w:bookmarkStart w:id="228" w:name="_Toc30691461"/>
      <w:bookmarkStart w:id="229" w:name="_Toc30691841"/>
      <w:bookmarkStart w:id="230" w:name="_Toc30692221"/>
      <w:bookmarkStart w:id="231" w:name="_Toc30692979"/>
      <w:bookmarkStart w:id="232" w:name="_Toc30693358"/>
      <w:bookmarkStart w:id="233" w:name="_Toc30693736"/>
      <w:bookmarkStart w:id="234" w:name="_Toc30694114"/>
      <w:bookmarkStart w:id="235" w:name="_Toc30694495"/>
      <w:bookmarkStart w:id="236" w:name="_Toc30699085"/>
      <w:bookmarkStart w:id="237" w:name="_Toc30699470"/>
      <w:bookmarkStart w:id="238" w:name="_Toc30699855"/>
      <w:bookmarkStart w:id="239" w:name="_Toc30701010"/>
      <w:bookmarkStart w:id="240" w:name="_Toc30701397"/>
      <w:bookmarkStart w:id="241" w:name="_Toc30744004"/>
      <w:bookmarkStart w:id="242" w:name="_Toc30754827"/>
      <w:bookmarkStart w:id="243" w:name="_Toc30757283"/>
      <w:bookmarkStart w:id="244" w:name="_Toc30757831"/>
      <w:bookmarkStart w:id="245" w:name="_Toc30758231"/>
      <w:bookmarkStart w:id="246" w:name="_Toc30762991"/>
      <w:bookmarkStart w:id="247" w:name="_Toc30767645"/>
      <w:bookmarkStart w:id="248" w:name="_Toc34823663"/>
      <w:bookmarkStart w:id="249" w:name="_Toc107101740"/>
      <w:bookmarkEnd w:id="225"/>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City">
        <w:smartTag w:uri="urn:schemas-microsoft-com:office:smarttags" w:element="place">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r w:rsidR="001526E6" w:rsidRPr="00FD76EC">
        <w:rPr>
          <w:rFonts w:ascii="Arial" w:hAnsi="Arial" w:cs="Arial"/>
          <w:i/>
          <w:color w:val="000000"/>
          <w:sz w:val="20"/>
        </w:rPr>
        <w:t>Markovski v DPP</w:t>
      </w:r>
      <w:r w:rsidR="001526E6" w:rsidRPr="00FD76EC">
        <w:rPr>
          <w:rFonts w:ascii="Arial" w:hAnsi="Arial" w:cs="Arial"/>
          <w:color w:val="000000"/>
          <w:sz w:val="20"/>
        </w:rPr>
        <w:t xml:space="preserve"> [2014] VSCA 35.</w:t>
      </w:r>
    </w:p>
    <w:p w14:paraId="5710F08A" w14:textId="647A1D03" w:rsidR="0052583B" w:rsidRPr="001C6E0E" w:rsidRDefault="0052583B">
      <w:pPr>
        <w:ind w:left="363" w:hanging="363"/>
        <w:jc w:val="both"/>
        <w:rPr>
          <w:rFonts w:ascii="Arial" w:hAnsi="Arial" w:cs="Arial"/>
          <w:color w:val="000000"/>
          <w:sz w:val="20"/>
        </w:rPr>
      </w:pPr>
    </w:p>
    <w:p w14:paraId="3FE8CC47" w14:textId="388BCBEF" w:rsidR="00403814" w:rsidRPr="001C6E0E" w:rsidRDefault="00403814" w:rsidP="00403814">
      <w:pPr>
        <w:pStyle w:val="Heading3"/>
        <w:keepNext/>
        <w:spacing w:after="120" w:line="240" w:lineRule="auto"/>
        <w:rPr>
          <w:rFonts w:ascii="Arial" w:hAnsi="Arial" w:cs="Arial"/>
          <w:b/>
          <w:bCs/>
          <w:color w:val="000000"/>
          <w:sz w:val="20"/>
        </w:rPr>
      </w:pPr>
      <w:bookmarkStart w:id="250" w:name="_11.1.9.1__"/>
      <w:bookmarkStart w:id="251" w:name="_Hlk121924323"/>
      <w:bookmarkEnd w:id="250"/>
      <w:r w:rsidRPr="001C6E0E">
        <w:rPr>
          <w:rFonts w:ascii="Arial" w:hAnsi="Arial" w:cs="Arial"/>
          <w:b/>
          <w:bCs/>
          <w:color w:val="000000"/>
          <w:sz w:val="20"/>
        </w:rPr>
        <w:t>11.1.9.1</w:t>
      </w:r>
      <w:r w:rsidR="00C73ACE">
        <w:rPr>
          <w:rFonts w:ascii="Arial" w:hAnsi="Arial" w:cs="Arial"/>
          <w:b/>
          <w:bCs/>
          <w:color w:val="000000"/>
          <w:sz w:val="20"/>
        </w:rPr>
        <w:t xml:space="preserve">   </w:t>
      </w:r>
      <w:r w:rsidR="00FA26E8">
        <w:rPr>
          <w:rFonts w:ascii="Arial" w:hAnsi="Arial" w:cs="Arial"/>
          <w:b/>
          <w:bCs/>
          <w:color w:val="000000"/>
          <w:sz w:val="20"/>
        </w:rPr>
        <w:t xml:space="preserve">Licence </w:t>
      </w:r>
      <w:r w:rsidR="00190A88">
        <w:rPr>
          <w:rFonts w:ascii="Arial" w:hAnsi="Arial" w:cs="Arial"/>
          <w:b/>
          <w:bCs/>
          <w:color w:val="000000"/>
          <w:sz w:val="20"/>
        </w:rPr>
        <w:t>suspension/cancellation</w:t>
      </w:r>
      <w:r w:rsidR="00FA26E8">
        <w:rPr>
          <w:rFonts w:ascii="Arial" w:hAnsi="Arial" w:cs="Arial"/>
          <w:b/>
          <w:bCs/>
          <w:color w:val="000000"/>
          <w:sz w:val="20"/>
        </w:rPr>
        <w:t xml:space="preserve"> and d</w:t>
      </w:r>
      <w:r w:rsidRPr="001C6E0E">
        <w:rPr>
          <w:rFonts w:ascii="Arial" w:hAnsi="Arial" w:cs="Arial"/>
          <w:b/>
          <w:bCs/>
          <w:color w:val="000000"/>
          <w:sz w:val="20"/>
        </w:rPr>
        <w:t>isqualification</w:t>
      </w:r>
      <w:r w:rsidR="009E6D49">
        <w:rPr>
          <w:rFonts w:ascii="Arial" w:hAnsi="Arial" w:cs="Arial"/>
          <w:b/>
          <w:bCs/>
          <w:color w:val="000000"/>
          <w:sz w:val="20"/>
        </w:rPr>
        <w:t xml:space="preserve"> from driving</w:t>
      </w:r>
    </w:p>
    <w:p w14:paraId="60F19A14" w14:textId="5B562BF8"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w:t>
      </w:r>
      <w:r w:rsidR="00190A88">
        <w:rPr>
          <w:rFonts w:ascii="Arial" w:hAnsi="Arial" w:cs="Arial"/>
          <w:color w:val="000000"/>
          <w:sz w:val="20"/>
        </w:rPr>
        <w:t>on occasion</w:t>
      </w:r>
      <w:r w:rsidRPr="001C6E0E">
        <w:rPr>
          <w:rFonts w:ascii="Arial" w:hAnsi="Arial" w:cs="Arial"/>
          <w:color w:val="000000"/>
          <w:sz w:val="20"/>
        </w:rPr>
        <w:t xml:space="preserve"> in sentencing </w:t>
      </w:r>
      <w:r w:rsidR="007575E6">
        <w:rPr>
          <w:rFonts w:ascii="Arial" w:hAnsi="Arial" w:cs="Arial"/>
          <w:color w:val="000000"/>
          <w:sz w:val="20"/>
        </w:rPr>
        <w:t xml:space="preserve">children </w:t>
      </w:r>
      <w:r w:rsidRPr="001C6E0E">
        <w:rPr>
          <w:rFonts w:ascii="Arial" w:hAnsi="Arial" w:cs="Arial"/>
          <w:color w:val="000000"/>
          <w:sz w:val="20"/>
        </w:rPr>
        <w:t xml:space="preserve">is </w:t>
      </w:r>
      <w:r w:rsidR="00655FF6">
        <w:rPr>
          <w:rFonts w:ascii="Arial" w:hAnsi="Arial" w:cs="Arial"/>
          <w:color w:val="000000"/>
          <w:sz w:val="20"/>
        </w:rPr>
        <w:t>whether</w:t>
      </w:r>
      <w:r w:rsidR="00F83DDB">
        <w:rPr>
          <w:rFonts w:ascii="Arial" w:hAnsi="Arial" w:cs="Arial"/>
          <w:color w:val="000000"/>
          <w:sz w:val="20"/>
        </w:rPr>
        <w:t xml:space="preserve"> </w:t>
      </w:r>
      <w:r w:rsidRPr="001C6E0E">
        <w:rPr>
          <w:rFonts w:ascii="Arial" w:hAnsi="Arial" w:cs="Arial"/>
          <w:color w:val="000000"/>
          <w:sz w:val="20"/>
        </w:rPr>
        <w:t xml:space="preserve">the </w:t>
      </w:r>
      <w:r w:rsidR="000F6649">
        <w:rPr>
          <w:rFonts w:ascii="Arial" w:hAnsi="Arial" w:cs="Arial"/>
          <w:color w:val="000000"/>
          <w:sz w:val="20"/>
        </w:rPr>
        <w:t xml:space="preserve">licence </w:t>
      </w:r>
      <w:r w:rsidR="00190A88">
        <w:rPr>
          <w:rFonts w:ascii="Arial" w:hAnsi="Arial" w:cs="Arial"/>
          <w:color w:val="000000"/>
          <w:sz w:val="20"/>
        </w:rPr>
        <w:t>suspension/cancellation</w:t>
      </w:r>
      <w:r w:rsidR="000F6649">
        <w:rPr>
          <w:rFonts w:ascii="Arial" w:hAnsi="Arial" w:cs="Arial"/>
          <w:color w:val="000000"/>
          <w:sz w:val="20"/>
        </w:rPr>
        <w:t xml:space="preserve"> and </w:t>
      </w:r>
      <w:r w:rsidRPr="001C6E0E">
        <w:rPr>
          <w:rFonts w:ascii="Arial" w:hAnsi="Arial" w:cs="Arial"/>
          <w:color w:val="000000"/>
          <w:sz w:val="20"/>
        </w:rPr>
        <w:t xml:space="preserve">disqualification provisions </w:t>
      </w:r>
      <w:r w:rsidR="00E57E03">
        <w:rPr>
          <w:rFonts w:ascii="Arial" w:hAnsi="Arial" w:cs="Arial"/>
          <w:color w:val="000000"/>
          <w:sz w:val="20"/>
        </w:rPr>
        <w:t xml:space="preserve">in the </w:t>
      </w:r>
      <w:r w:rsidR="00E57E03" w:rsidRPr="000F6649">
        <w:rPr>
          <w:rFonts w:ascii="Arial" w:hAnsi="Arial" w:cs="Arial"/>
          <w:b/>
          <w:bCs/>
          <w:color w:val="000000"/>
          <w:sz w:val="20"/>
          <w:u w:val="single"/>
        </w:rPr>
        <w:t>Sentencing Act 1991</w:t>
      </w:r>
      <w:r w:rsidR="00E57E03">
        <w:rPr>
          <w:rFonts w:ascii="Arial" w:hAnsi="Arial" w:cs="Arial"/>
          <w:color w:val="000000"/>
          <w:sz w:val="20"/>
        </w:rPr>
        <w:t xml:space="preserve"> </w:t>
      </w:r>
      <w:r w:rsidR="0034365F">
        <w:rPr>
          <w:rFonts w:ascii="Arial" w:hAnsi="Arial" w:cs="Arial"/>
          <w:color w:val="000000"/>
          <w:sz w:val="20"/>
        </w:rPr>
        <w:t xml:space="preserve">[SA] </w:t>
      </w:r>
      <w:r w:rsidR="00E57E03">
        <w:rPr>
          <w:rFonts w:ascii="Arial" w:hAnsi="Arial" w:cs="Arial"/>
          <w:color w:val="000000"/>
          <w:sz w:val="20"/>
        </w:rPr>
        <w:t xml:space="preserve">and the </w:t>
      </w:r>
      <w:r w:rsidRPr="000F6649">
        <w:rPr>
          <w:rFonts w:ascii="Arial" w:hAnsi="Arial" w:cs="Arial"/>
          <w:b/>
          <w:bCs/>
          <w:color w:val="000000"/>
          <w:sz w:val="20"/>
          <w:u w:val="single"/>
        </w:rPr>
        <w:t>Road Safety Act 198</w:t>
      </w:r>
      <w:r w:rsidR="000A79E1" w:rsidRPr="000F6649">
        <w:rPr>
          <w:rFonts w:ascii="Arial" w:hAnsi="Arial" w:cs="Arial"/>
          <w:b/>
          <w:bCs/>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655FF6">
        <w:rPr>
          <w:rFonts w:ascii="Arial" w:hAnsi="Arial" w:cs="Arial"/>
          <w:color w:val="000000"/>
          <w:sz w:val="20"/>
        </w:rPr>
        <w:t xml:space="preserve">apply </w:t>
      </w:r>
      <w:r w:rsidRPr="001C6E0E">
        <w:rPr>
          <w:rFonts w:ascii="Arial" w:hAnsi="Arial" w:cs="Arial"/>
          <w:color w:val="000000"/>
          <w:sz w:val="20"/>
        </w:rPr>
        <w:t xml:space="preserve">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 xml:space="preserve">offence against </w:t>
      </w:r>
      <w:r w:rsidR="00464BFE">
        <w:rPr>
          <w:rFonts w:ascii="Arial" w:hAnsi="Arial" w:cs="Arial"/>
          <w:color w:val="000000"/>
          <w:sz w:val="20"/>
        </w:rPr>
        <w:t xml:space="preserve">either of </w:t>
      </w:r>
      <w:r w:rsidR="000A79E1" w:rsidRPr="001C6E0E">
        <w:rPr>
          <w:rFonts w:ascii="Arial" w:hAnsi="Arial" w:cs="Arial"/>
          <w:color w:val="000000"/>
          <w:sz w:val="20"/>
        </w:rPr>
        <w:t>th</w:t>
      </w:r>
      <w:r w:rsidR="00E57E03">
        <w:rPr>
          <w:rFonts w:ascii="Arial" w:hAnsi="Arial" w:cs="Arial"/>
          <w:color w:val="000000"/>
          <w:sz w:val="20"/>
        </w:rPr>
        <w:t>ose</w:t>
      </w:r>
      <w:r w:rsidR="000A79E1" w:rsidRPr="001C6E0E">
        <w:rPr>
          <w:rFonts w:ascii="Arial" w:hAnsi="Arial" w:cs="Arial"/>
          <w:color w:val="000000"/>
          <w:sz w:val="20"/>
        </w:rPr>
        <w:t xml:space="preserve"> Act</w:t>
      </w:r>
      <w:r w:rsidR="00E57E03">
        <w:rPr>
          <w:rFonts w:ascii="Arial" w:hAnsi="Arial" w:cs="Arial"/>
          <w:color w:val="000000"/>
          <w:sz w:val="20"/>
        </w:rPr>
        <w:t>s</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w:t>
      </w:r>
      <w:r w:rsidR="00F83DDB">
        <w:rPr>
          <w:rFonts w:ascii="Arial" w:hAnsi="Arial" w:cs="Arial"/>
          <w:color w:val="000000"/>
          <w:sz w:val="20"/>
        </w:rPr>
        <w:t xml:space="preserve">  The writer’s </w:t>
      </w:r>
      <w:r w:rsidR="00655FF6">
        <w:rPr>
          <w:rFonts w:ascii="Arial" w:hAnsi="Arial" w:cs="Arial"/>
          <w:color w:val="000000"/>
          <w:sz w:val="20"/>
        </w:rPr>
        <w:t>opinion</w:t>
      </w:r>
      <w:r w:rsidR="00F83DDB">
        <w:rPr>
          <w:rFonts w:ascii="Arial" w:hAnsi="Arial" w:cs="Arial"/>
          <w:color w:val="000000"/>
          <w:sz w:val="20"/>
        </w:rPr>
        <w:t xml:space="preserve"> is that they </w:t>
      </w:r>
      <w:r w:rsidR="00655FF6">
        <w:rPr>
          <w:rFonts w:ascii="Arial" w:hAnsi="Arial" w:cs="Arial"/>
          <w:color w:val="000000"/>
          <w:sz w:val="20"/>
        </w:rPr>
        <w:t>do apply</w:t>
      </w:r>
      <w:r w:rsidR="00F83DDB">
        <w:rPr>
          <w:rFonts w:ascii="Arial" w:hAnsi="Arial" w:cs="Arial"/>
          <w:color w:val="000000"/>
          <w:sz w:val="20"/>
        </w:rPr>
        <w:t>.</w:t>
      </w:r>
    </w:p>
    <w:p w14:paraId="2FB0ECC0" w14:textId="00ADAAF5" w:rsidR="00B74E9A" w:rsidRDefault="00B74E9A" w:rsidP="00A57FFD">
      <w:pPr>
        <w:jc w:val="both"/>
        <w:rPr>
          <w:rFonts w:ascii="Arial" w:hAnsi="Arial" w:cs="Arial"/>
          <w:color w:val="000000"/>
          <w:sz w:val="20"/>
        </w:rPr>
      </w:pPr>
    </w:p>
    <w:p w14:paraId="244502C2" w14:textId="6445A5C4" w:rsidR="009E6D49" w:rsidRDefault="00464BFE" w:rsidP="00464BFE">
      <w:pPr>
        <w:jc w:val="both"/>
        <w:rPr>
          <w:rFonts w:ascii="Arial" w:hAnsi="Arial" w:cs="Arial"/>
          <w:sz w:val="20"/>
          <w:szCs w:val="20"/>
          <w:lang w:val="en-GB"/>
        </w:rPr>
      </w:pPr>
      <w:r>
        <w:rPr>
          <w:rFonts w:ascii="Arial" w:hAnsi="Arial" w:cs="Arial"/>
          <w:color w:val="000000"/>
          <w:sz w:val="20"/>
        </w:rPr>
        <w:t xml:space="preserve">Section 417(1) of the CYFA provides: “The provisions of Part 4 of the </w:t>
      </w:r>
      <w:r w:rsidRPr="000F6649">
        <w:rPr>
          <w:rFonts w:ascii="Arial" w:hAnsi="Arial" w:cs="Arial"/>
          <w:color w:val="000000"/>
          <w:sz w:val="20"/>
        </w:rPr>
        <w:t>S</w:t>
      </w:r>
      <w:r w:rsidR="008E4DB4" w:rsidRPr="000F6649">
        <w:rPr>
          <w:rFonts w:ascii="Arial" w:hAnsi="Arial" w:cs="Arial"/>
          <w:color w:val="000000"/>
          <w:sz w:val="20"/>
        </w:rPr>
        <w:t>A</w:t>
      </w:r>
      <w:r>
        <w:rPr>
          <w:rFonts w:ascii="Arial" w:hAnsi="Arial" w:cs="Arial"/>
          <w:color w:val="000000"/>
          <w:sz w:val="20"/>
        </w:rPr>
        <w:t xml:space="preserve"> apply to a proceeding in the Criminal Division with any necessary modification…”.  For the purposes of this discussion the relevant provisions are in Division 3 of Part 4 </w:t>
      </w:r>
      <w:r w:rsidR="0034365F">
        <w:rPr>
          <w:rFonts w:ascii="Arial" w:hAnsi="Arial" w:cs="Arial"/>
          <w:color w:val="000000"/>
          <w:sz w:val="20"/>
        </w:rPr>
        <w:t xml:space="preserve">of the SA </w:t>
      </w:r>
      <w:r>
        <w:rPr>
          <w:rFonts w:ascii="Arial" w:hAnsi="Arial" w:cs="Arial"/>
          <w:color w:val="000000"/>
          <w:sz w:val="20"/>
        </w:rPr>
        <w:t>headed “</w:t>
      </w:r>
      <w:r w:rsidRPr="00464BFE">
        <w:rPr>
          <w:rFonts w:ascii="Arial" w:hAnsi="Arial" w:cs="Arial"/>
          <w:b/>
          <w:bCs/>
          <w:color w:val="000000"/>
          <w:sz w:val="20"/>
        </w:rPr>
        <w:t>Driver licences and learner permits</w:t>
      </w:r>
      <w:r w:rsidR="009E6D49" w:rsidRPr="00464BFE">
        <w:rPr>
          <w:rFonts w:ascii="Arial" w:hAnsi="Arial" w:cs="Arial"/>
          <w:b/>
          <w:bCs/>
          <w:sz w:val="20"/>
          <w:szCs w:val="20"/>
          <w:lang w:val="en-GB"/>
        </w:rPr>
        <w:t>—suspension, cancellation and driver disqualification</w:t>
      </w:r>
      <w:r>
        <w:rPr>
          <w:rFonts w:ascii="Arial" w:hAnsi="Arial" w:cs="Arial"/>
          <w:sz w:val="20"/>
          <w:szCs w:val="20"/>
          <w:lang w:val="en-GB"/>
        </w:rPr>
        <w:t xml:space="preserve">” and the sections </w:t>
      </w:r>
      <w:r w:rsidR="00F769D8">
        <w:rPr>
          <w:rFonts w:ascii="Arial" w:hAnsi="Arial" w:cs="Arial"/>
          <w:sz w:val="20"/>
          <w:szCs w:val="20"/>
          <w:lang w:val="en-GB"/>
        </w:rPr>
        <w:t xml:space="preserve">therein </w:t>
      </w:r>
      <w:r>
        <w:rPr>
          <w:rFonts w:ascii="Arial" w:hAnsi="Arial" w:cs="Arial"/>
          <w:sz w:val="20"/>
          <w:szCs w:val="20"/>
          <w:lang w:val="en-GB"/>
        </w:rPr>
        <w:t>are as follows:</w:t>
      </w:r>
    </w:p>
    <w:p w14:paraId="5F734E3E" w14:textId="658D914A" w:rsidR="00464BFE" w:rsidRDefault="00464BFE" w:rsidP="00464BFE">
      <w:pPr>
        <w:jc w:val="both"/>
        <w:rPr>
          <w:rFonts w:ascii="Arial" w:hAnsi="Arial" w:cs="Arial"/>
          <w:sz w:val="20"/>
          <w:szCs w:val="20"/>
          <w:lang w:val="en-GB"/>
        </w:rPr>
      </w:pPr>
    </w:p>
    <w:tbl>
      <w:tblPr>
        <w:tblStyle w:val="TableGrid"/>
        <w:tblW w:w="9122" w:type="dxa"/>
        <w:tblInd w:w="113" w:type="dxa"/>
        <w:tblLook w:val="04A0" w:firstRow="1" w:lastRow="0" w:firstColumn="1" w:lastColumn="0" w:noHBand="0" w:noVBand="1"/>
      </w:tblPr>
      <w:tblGrid>
        <w:gridCol w:w="958"/>
        <w:gridCol w:w="8164"/>
      </w:tblGrid>
      <w:tr w:rsidR="00464BFE" w14:paraId="49DBE02D" w14:textId="77777777" w:rsidTr="004E6265">
        <w:tc>
          <w:tcPr>
            <w:tcW w:w="958" w:type="dxa"/>
          </w:tcPr>
          <w:p w14:paraId="70F63DC6" w14:textId="10FC4E88"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87P</w:t>
            </w:r>
          </w:p>
        </w:tc>
        <w:tc>
          <w:tcPr>
            <w:tcW w:w="8164" w:type="dxa"/>
          </w:tcPr>
          <w:p w14:paraId="31ACB656" w14:textId="7919C18F" w:rsidR="00464BFE" w:rsidRPr="00464BFE" w:rsidRDefault="00464BFE" w:rsidP="00464BFE">
            <w:pPr>
              <w:jc w:val="both"/>
              <w:rPr>
                <w:rFonts w:ascii="Arial" w:hAnsi="Arial" w:cs="Arial"/>
                <w:sz w:val="20"/>
                <w:szCs w:val="20"/>
                <w:lang w:eastAsia="en-AU"/>
              </w:rPr>
            </w:pPr>
            <w:r>
              <w:rPr>
                <w:rFonts w:ascii="Arial" w:hAnsi="Arial" w:cs="Arial"/>
                <w:sz w:val="20"/>
                <w:szCs w:val="20"/>
                <w:lang w:eastAsia="en-AU"/>
              </w:rPr>
              <w:t>Definition of ‘serious motor vehicle offence’</w:t>
            </w:r>
          </w:p>
        </w:tc>
      </w:tr>
      <w:tr w:rsidR="00464BFE" w14:paraId="793538CC" w14:textId="77777777" w:rsidTr="004E6265">
        <w:tc>
          <w:tcPr>
            <w:tcW w:w="958" w:type="dxa"/>
          </w:tcPr>
          <w:p w14:paraId="1333FD82" w14:textId="406908A4"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87Q</w:t>
            </w:r>
          </w:p>
        </w:tc>
        <w:tc>
          <w:tcPr>
            <w:tcW w:w="8164" w:type="dxa"/>
          </w:tcPr>
          <w:p w14:paraId="4C9131ED" w14:textId="12F7D1EF"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Matters to be sent to the Secretary to the Department of Transport</w:t>
            </w:r>
          </w:p>
        </w:tc>
      </w:tr>
      <w:tr w:rsidR="00464BFE" w14:paraId="43BB67AC" w14:textId="77777777" w:rsidTr="004E6265">
        <w:tc>
          <w:tcPr>
            <w:tcW w:w="958" w:type="dxa"/>
          </w:tcPr>
          <w:p w14:paraId="09D0D2F0" w14:textId="190F54E5"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88</w:t>
            </w:r>
          </w:p>
        </w:tc>
        <w:tc>
          <w:tcPr>
            <w:tcW w:w="8164" w:type="dxa"/>
          </w:tcPr>
          <w:p w14:paraId="2B38F929" w14:textId="5F8D6366"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Application of Evidence Act 2008 </w:t>
            </w:r>
          </w:p>
        </w:tc>
      </w:tr>
      <w:tr w:rsidR="00464BFE" w14:paraId="3C36EDA1" w14:textId="77777777" w:rsidTr="004E6265">
        <w:tc>
          <w:tcPr>
            <w:tcW w:w="958" w:type="dxa"/>
          </w:tcPr>
          <w:p w14:paraId="0784F9CB" w14:textId="6E5B2AA1"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w:t>
            </w:r>
          </w:p>
        </w:tc>
        <w:tc>
          <w:tcPr>
            <w:tcW w:w="8164" w:type="dxa"/>
          </w:tcPr>
          <w:p w14:paraId="136F9F17" w14:textId="5CDBDAE7"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disqualification—certain motor vehicle offences</w:t>
            </w:r>
          </w:p>
        </w:tc>
      </w:tr>
      <w:tr w:rsidR="00464BFE" w14:paraId="1FC93CBD" w14:textId="77777777" w:rsidTr="004E6265">
        <w:tc>
          <w:tcPr>
            <w:tcW w:w="958" w:type="dxa"/>
          </w:tcPr>
          <w:p w14:paraId="2246FCC7" w14:textId="729019A7"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89A</w:t>
            </w:r>
          </w:p>
        </w:tc>
        <w:tc>
          <w:tcPr>
            <w:tcW w:w="8164" w:type="dxa"/>
          </w:tcPr>
          <w:p w14:paraId="185C161E" w14:textId="70A7037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disqualification—any offence</w:t>
            </w:r>
          </w:p>
        </w:tc>
      </w:tr>
      <w:tr w:rsidR="00464BFE" w14:paraId="2235DEEF" w14:textId="77777777" w:rsidTr="004E6265">
        <w:tc>
          <w:tcPr>
            <w:tcW w:w="958" w:type="dxa"/>
          </w:tcPr>
          <w:p w14:paraId="062BEF36" w14:textId="3ECB111C"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89B</w:t>
            </w:r>
          </w:p>
        </w:tc>
        <w:tc>
          <w:tcPr>
            <w:tcW w:w="8164" w:type="dxa"/>
          </w:tcPr>
          <w:p w14:paraId="5E84A835" w14:textId="2AD596B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Commencement of period of disqualification</w:t>
            </w:r>
          </w:p>
        </w:tc>
      </w:tr>
      <w:tr w:rsidR="00464BFE" w14:paraId="34069B1B" w14:textId="77777777" w:rsidTr="004E6265">
        <w:tc>
          <w:tcPr>
            <w:tcW w:w="958" w:type="dxa"/>
          </w:tcPr>
          <w:p w14:paraId="07B63CF6" w14:textId="67BD4130"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89C</w:t>
            </w:r>
          </w:p>
        </w:tc>
        <w:tc>
          <w:tcPr>
            <w:tcW w:w="8164" w:type="dxa"/>
          </w:tcPr>
          <w:p w14:paraId="754D5D70" w14:textId="45B58713"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Finding on cancellation of driver licence or learner permit or driver disqualification</w:t>
            </w:r>
          </w:p>
        </w:tc>
      </w:tr>
      <w:tr w:rsidR="00464BFE" w14:paraId="5D6B91EC" w14:textId="77777777" w:rsidTr="004E6265">
        <w:tc>
          <w:tcPr>
            <w:tcW w:w="958" w:type="dxa"/>
          </w:tcPr>
          <w:p w14:paraId="7C7939BD" w14:textId="33C7712D"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89D</w:t>
            </w:r>
          </w:p>
        </w:tc>
        <w:tc>
          <w:tcPr>
            <w:tcW w:w="8164" w:type="dxa"/>
          </w:tcPr>
          <w:p w14:paraId="51A90D2E" w14:textId="20E0020F"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Presumption in favour of concurrency</w:t>
            </w:r>
          </w:p>
        </w:tc>
      </w:tr>
      <w:tr w:rsidR="00464BFE" w14:paraId="1EE134DA" w14:textId="77777777" w:rsidTr="004E6265">
        <w:tc>
          <w:tcPr>
            <w:tcW w:w="958" w:type="dxa"/>
          </w:tcPr>
          <w:p w14:paraId="6672C23D" w14:textId="618A5431" w:rsidR="00464BFE" w:rsidRDefault="00464BFE" w:rsidP="00464BFE">
            <w:pPr>
              <w:jc w:val="center"/>
              <w:rPr>
                <w:rFonts w:ascii="Arial" w:hAnsi="Arial" w:cs="Arial"/>
                <w:sz w:val="20"/>
                <w:szCs w:val="20"/>
                <w:lang w:eastAsia="en-AU"/>
              </w:rPr>
            </w:pPr>
            <w:r>
              <w:rPr>
                <w:rFonts w:ascii="Arial" w:hAnsi="Arial" w:cs="Arial"/>
                <w:sz w:val="20"/>
                <w:szCs w:val="20"/>
                <w:lang w:eastAsia="en-AU"/>
              </w:rPr>
              <w:t>89DA</w:t>
            </w:r>
          </w:p>
        </w:tc>
        <w:tc>
          <w:tcPr>
            <w:tcW w:w="8164" w:type="dxa"/>
          </w:tcPr>
          <w:p w14:paraId="5B928410" w14:textId="35D4D782"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Cancellation on disqualification</w:t>
            </w:r>
          </w:p>
        </w:tc>
      </w:tr>
      <w:tr w:rsidR="00464BFE" w14:paraId="5EAD9930" w14:textId="77777777" w:rsidTr="004E6265">
        <w:tc>
          <w:tcPr>
            <w:tcW w:w="958" w:type="dxa"/>
          </w:tcPr>
          <w:p w14:paraId="7C57B91A" w14:textId="776CE576" w:rsidR="00464BFE" w:rsidRDefault="00464BFE" w:rsidP="00464BFE">
            <w:pPr>
              <w:jc w:val="center"/>
              <w:rPr>
                <w:rFonts w:ascii="Arial" w:hAnsi="Arial" w:cs="Arial"/>
                <w:sz w:val="20"/>
                <w:szCs w:val="20"/>
                <w:lang w:eastAsia="en-AU"/>
              </w:rPr>
            </w:pPr>
            <w:r>
              <w:rPr>
                <w:rFonts w:ascii="Arial" w:hAnsi="Arial" w:cs="Arial"/>
                <w:sz w:val="20"/>
                <w:szCs w:val="20"/>
                <w:lang w:eastAsia="en-AU"/>
              </w:rPr>
              <w:t>89DB</w:t>
            </w:r>
          </w:p>
        </w:tc>
        <w:tc>
          <w:tcPr>
            <w:tcW w:w="8164" w:type="dxa"/>
          </w:tcPr>
          <w:p w14:paraId="4C6520F1" w14:textId="283B2D58" w:rsidR="00464BFE" w:rsidRPr="00464BFE" w:rsidRDefault="001D6EEA" w:rsidP="00464BFE">
            <w:pPr>
              <w:jc w:val="both"/>
              <w:rPr>
                <w:rFonts w:ascii="Arial" w:hAnsi="Arial" w:cs="Arial"/>
                <w:sz w:val="20"/>
                <w:szCs w:val="20"/>
                <w:lang w:eastAsia="en-AU"/>
              </w:rPr>
            </w:pPr>
            <w:r>
              <w:rPr>
                <w:rFonts w:ascii="Arial" w:hAnsi="Arial" w:cs="Arial"/>
                <w:sz w:val="20"/>
                <w:szCs w:val="20"/>
                <w:lang w:val="en-GB"/>
              </w:rPr>
              <w:t>Effect of cancellation</w:t>
            </w:r>
          </w:p>
        </w:tc>
      </w:tr>
    </w:tbl>
    <w:p w14:paraId="198B4C5A" w14:textId="77777777" w:rsidR="00F769D8" w:rsidRDefault="00F769D8" w:rsidP="009E6D49">
      <w:pPr>
        <w:rPr>
          <w:rFonts w:ascii="Arial" w:hAnsi="Arial" w:cs="Arial"/>
          <w:sz w:val="20"/>
          <w:szCs w:val="20"/>
        </w:rPr>
      </w:pPr>
    </w:p>
    <w:p w14:paraId="71007C58" w14:textId="011AAF50" w:rsidR="00F769D8" w:rsidRPr="004E6265" w:rsidRDefault="00F769D8" w:rsidP="004E6265">
      <w:pPr>
        <w:shd w:val="clear" w:color="auto" w:fill="000000" w:themeFill="text1"/>
        <w:ind w:left="28" w:right="-28"/>
        <w:jc w:val="both"/>
        <w:rPr>
          <w:rFonts w:ascii="Arial" w:hAnsi="Arial" w:cs="Arial"/>
          <w:b/>
          <w:bCs/>
          <w:color w:val="FFFFFF" w:themeColor="background1"/>
          <w:sz w:val="20"/>
          <w:szCs w:val="20"/>
        </w:rPr>
      </w:pPr>
      <w:bookmarkStart w:id="252" w:name="_Hlk122011735"/>
      <w:r w:rsidRPr="004E6265">
        <w:rPr>
          <w:rFonts w:ascii="Arial" w:hAnsi="Arial" w:cs="Arial"/>
          <w:b/>
          <w:bCs/>
          <w:color w:val="FFFFFF" w:themeColor="background1"/>
          <w:sz w:val="20"/>
          <w:szCs w:val="20"/>
        </w:rPr>
        <w:t>Section</w:t>
      </w:r>
      <w:r w:rsidR="00ED3B1B" w:rsidRPr="004E6265">
        <w:rPr>
          <w:rFonts w:ascii="Arial" w:hAnsi="Arial" w:cs="Arial"/>
          <w:b/>
          <w:bCs/>
          <w:color w:val="FFFFFF" w:themeColor="background1"/>
          <w:sz w:val="20"/>
          <w:szCs w:val="20"/>
        </w:rPr>
        <w:t>s</w:t>
      </w:r>
      <w:r w:rsidRPr="004E6265">
        <w:rPr>
          <w:rFonts w:ascii="Arial" w:hAnsi="Arial" w:cs="Arial"/>
          <w:b/>
          <w:bCs/>
          <w:color w:val="FFFFFF" w:themeColor="background1"/>
          <w:sz w:val="20"/>
          <w:szCs w:val="20"/>
        </w:rPr>
        <w:t xml:space="preserve"> 89</w:t>
      </w:r>
      <w:r w:rsidR="00ED3B1B" w:rsidRPr="004E6265">
        <w:rPr>
          <w:rFonts w:ascii="Arial" w:hAnsi="Arial" w:cs="Arial"/>
          <w:b/>
          <w:bCs/>
          <w:color w:val="FFFFFF" w:themeColor="background1"/>
          <w:sz w:val="20"/>
          <w:szCs w:val="20"/>
        </w:rPr>
        <w:t>(1), (2) &amp; (3)</w:t>
      </w:r>
      <w:r w:rsidR="008E4DB4"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 </w:t>
      </w:r>
      <w:r w:rsidR="009E452B" w:rsidRPr="004E6265">
        <w:rPr>
          <w:rFonts w:ascii="Arial" w:hAnsi="Arial" w:cs="Arial"/>
          <w:b/>
          <w:bCs/>
          <w:color w:val="FFFFFF" w:themeColor="background1"/>
          <w:sz w:val="20"/>
          <w:szCs w:val="20"/>
        </w:rPr>
        <w:t xml:space="preserve">Mandatory </w:t>
      </w:r>
      <w:r w:rsidR="00191938" w:rsidRPr="004E6265">
        <w:rPr>
          <w:rFonts w:ascii="Arial" w:hAnsi="Arial" w:cs="Arial"/>
          <w:b/>
          <w:bCs/>
          <w:color w:val="FFFFFF" w:themeColor="background1"/>
          <w:sz w:val="20"/>
          <w:szCs w:val="20"/>
        </w:rPr>
        <w:t>cancellation &amp; disqualification</w:t>
      </w:r>
      <w:r w:rsidR="009E452B" w:rsidRPr="004E6265">
        <w:rPr>
          <w:rFonts w:ascii="Arial" w:hAnsi="Arial" w:cs="Arial"/>
          <w:b/>
          <w:bCs/>
          <w:color w:val="FFFFFF" w:themeColor="background1"/>
          <w:sz w:val="20"/>
          <w:szCs w:val="20"/>
        </w:rPr>
        <w:t xml:space="preserve"> for s</w:t>
      </w:r>
      <w:r w:rsidR="00DA5DDD" w:rsidRPr="004E6265">
        <w:rPr>
          <w:rFonts w:ascii="Arial" w:hAnsi="Arial" w:cs="Arial"/>
          <w:b/>
          <w:bCs/>
          <w:color w:val="FFFFFF" w:themeColor="background1"/>
          <w:sz w:val="20"/>
          <w:szCs w:val="20"/>
        </w:rPr>
        <w:t>erious motor vehicle offences (s.87P</w:t>
      </w:r>
      <w:r w:rsidR="005B276B"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w:t>
      </w:r>
      <w:r w:rsidR="009E452B" w:rsidRPr="004E6265">
        <w:rPr>
          <w:rFonts w:ascii="Arial" w:hAnsi="Arial" w:cs="Arial"/>
          <w:b/>
          <w:bCs/>
          <w:color w:val="FFFFFF" w:themeColor="background1"/>
          <w:sz w:val="20"/>
          <w:szCs w:val="20"/>
        </w:rPr>
        <w:t>and</w:t>
      </w:r>
      <w:r w:rsidR="00DA5DDD" w:rsidRPr="004E6265">
        <w:rPr>
          <w:rFonts w:ascii="Arial" w:hAnsi="Arial" w:cs="Arial"/>
          <w:b/>
          <w:bCs/>
          <w:color w:val="FFFFFF" w:themeColor="background1"/>
          <w:sz w:val="20"/>
          <w:szCs w:val="20"/>
        </w:rPr>
        <w:t xml:space="preserve"> </w:t>
      </w:r>
      <w:r w:rsidR="005B276B" w:rsidRPr="004E6265">
        <w:rPr>
          <w:rFonts w:ascii="Arial" w:hAnsi="Arial" w:cs="Arial"/>
          <w:b/>
          <w:bCs/>
          <w:color w:val="FFFFFF" w:themeColor="background1"/>
          <w:sz w:val="20"/>
          <w:szCs w:val="20"/>
        </w:rPr>
        <w:t>Dangerous or negligent driving when pursued by police</w:t>
      </w:r>
    </w:p>
    <w:p w14:paraId="7887CD94" w14:textId="0F327C6C" w:rsidR="00DA5DDD" w:rsidRDefault="00DA5DDD" w:rsidP="00F769D8">
      <w:pPr>
        <w:spacing w:before="120" w:after="120"/>
        <w:jc w:val="both"/>
        <w:rPr>
          <w:rFonts w:ascii="Arial" w:hAnsi="Arial" w:cs="Arial"/>
          <w:sz w:val="20"/>
          <w:szCs w:val="20"/>
        </w:rPr>
      </w:pPr>
      <w:r>
        <w:rPr>
          <w:rFonts w:ascii="Arial" w:hAnsi="Arial" w:cs="Arial"/>
          <w:sz w:val="20"/>
          <w:szCs w:val="20"/>
        </w:rPr>
        <w:t xml:space="preserve">If a person is </w:t>
      </w:r>
      <w:r w:rsidRPr="00C95742">
        <w:rPr>
          <w:rFonts w:ascii="Arial" w:hAnsi="Arial" w:cs="Arial"/>
          <w:b/>
          <w:bCs/>
          <w:sz w:val="20"/>
          <w:szCs w:val="20"/>
        </w:rPr>
        <w:t>found guilty or convicted</w:t>
      </w:r>
      <w:r w:rsidRPr="00C95742">
        <w:rPr>
          <w:rFonts w:ascii="Arial" w:hAnsi="Arial" w:cs="Arial"/>
          <w:sz w:val="20"/>
          <w:szCs w:val="20"/>
        </w:rPr>
        <w:t xml:space="preserve"> of</w:t>
      </w:r>
      <w:r>
        <w:rPr>
          <w:rFonts w:ascii="Arial" w:hAnsi="Arial" w:cs="Arial"/>
          <w:sz w:val="20"/>
          <w:szCs w:val="20"/>
        </w:rPr>
        <w:t xml:space="preserve"> any of the following offences under the </w:t>
      </w:r>
      <w:r w:rsidRPr="0091554B">
        <w:rPr>
          <w:rFonts w:ascii="Arial" w:hAnsi="Arial" w:cs="Arial"/>
          <w:b/>
          <w:bCs/>
          <w:sz w:val="20"/>
          <w:szCs w:val="20"/>
        </w:rPr>
        <w:t>Crimes Act 1958</w:t>
      </w:r>
      <w:r>
        <w:rPr>
          <w:rFonts w:ascii="Arial" w:hAnsi="Arial" w:cs="Arial"/>
          <w:sz w:val="20"/>
          <w:szCs w:val="20"/>
        </w:rPr>
        <w:t xml:space="preserve"> </w:t>
      </w:r>
      <w:r w:rsidR="000F6649" w:rsidRPr="000F6649">
        <w:rPr>
          <w:rFonts w:ascii="Arial" w:hAnsi="Arial" w:cs="Arial"/>
          <w:sz w:val="20"/>
          <w:szCs w:val="20"/>
        </w:rPr>
        <w:t>[CA]</w:t>
      </w:r>
      <w:r>
        <w:rPr>
          <w:rFonts w:ascii="Arial" w:hAnsi="Arial" w:cs="Arial"/>
          <w:sz w:val="20"/>
          <w:szCs w:val="20"/>
        </w:rPr>
        <w:t xml:space="preserve"> the following mandatory licence cancellation &amp; disqualification provisions in s.89 of the SA apply.  The</w:t>
      </w:r>
      <w:r w:rsidR="009E452B">
        <w:rPr>
          <w:rFonts w:ascii="Arial" w:hAnsi="Arial" w:cs="Arial"/>
          <w:sz w:val="20"/>
          <w:szCs w:val="20"/>
        </w:rPr>
        <w:t>se</w:t>
      </w:r>
      <w:r>
        <w:rPr>
          <w:rFonts w:ascii="Arial" w:hAnsi="Arial" w:cs="Arial"/>
          <w:sz w:val="20"/>
          <w:szCs w:val="20"/>
        </w:rPr>
        <w:t xml:space="preserve"> provisions require the </w:t>
      </w:r>
      <w:r w:rsidRPr="000F6649">
        <w:rPr>
          <w:rFonts w:ascii="Arial" w:hAnsi="Arial" w:cs="Arial"/>
          <w:b/>
          <w:bCs/>
          <w:sz w:val="20"/>
          <w:szCs w:val="20"/>
        </w:rPr>
        <w:t>cancellation</w:t>
      </w:r>
      <w:r>
        <w:rPr>
          <w:rFonts w:ascii="Arial" w:hAnsi="Arial" w:cs="Arial"/>
          <w:sz w:val="20"/>
          <w:szCs w:val="20"/>
        </w:rPr>
        <w:t xml:space="preserve"> of any Victorian driver licence or learner permit (but not a licence or permit issued elsewhere) which the person holds and the </w:t>
      </w:r>
      <w:r w:rsidRPr="000F6649">
        <w:rPr>
          <w:rFonts w:ascii="Arial" w:hAnsi="Arial" w:cs="Arial"/>
          <w:b/>
          <w:bCs/>
          <w:sz w:val="20"/>
          <w:szCs w:val="20"/>
        </w:rPr>
        <w:t>disqualification</w:t>
      </w:r>
      <w:r>
        <w:rPr>
          <w:rFonts w:ascii="Arial" w:hAnsi="Arial" w:cs="Arial"/>
          <w:sz w:val="20"/>
          <w:szCs w:val="20"/>
        </w:rPr>
        <w:t xml:space="preserve"> of the person from driving a motor vehicle on a road in Victoria for the period specified.</w:t>
      </w:r>
    </w:p>
    <w:tbl>
      <w:tblPr>
        <w:tblStyle w:val="TableGrid"/>
        <w:tblW w:w="9129" w:type="dxa"/>
        <w:tblInd w:w="113" w:type="dxa"/>
        <w:tblLook w:val="04A0" w:firstRow="1" w:lastRow="0" w:firstColumn="1" w:lastColumn="0" w:noHBand="0" w:noVBand="1"/>
      </w:tblPr>
      <w:tblGrid>
        <w:gridCol w:w="1133"/>
        <w:gridCol w:w="7996"/>
      </w:tblGrid>
      <w:tr w:rsidR="002534E8" w14:paraId="04819DE4" w14:textId="77777777" w:rsidTr="004E6265">
        <w:tc>
          <w:tcPr>
            <w:tcW w:w="9298" w:type="dxa"/>
            <w:gridSpan w:val="2"/>
            <w:shd w:val="clear" w:color="auto" w:fill="DDDDDD"/>
          </w:tcPr>
          <w:p w14:paraId="4919F966" w14:textId="3E08E880" w:rsidR="002534E8" w:rsidRPr="002534E8" w:rsidRDefault="001A0D1E" w:rsidP="007755E0">
            <w:pPr>
              <w:keepNext/>
              <w:keepLines/>
              <w:jc w:val="center"/>
              <w:rPr>
                <w:rFonts w:ascii="Arial" w:hAnsi="Arial" w:cs="Arial"/>
                <w:b/>
                <w:bCs/>
                <w:sz w:val="20"/>
                <w:szCs w:val="20"/>
              </w:rPr>
            </w:pPr>
            <w:r w:rsidRPr="00D76B29">
              <w:rPr>
                <w:rFonts w:ascii="Arial" w:hAnsi="Arial" w:cs="Arial"/>
                <w:b/>
                <w:bCs/>
                <w:sz w:val="20"/>
                <w:szCs w:val="20"/>
                <w:shd w:val="clear" w:color="auto" w:fill="000000" w:themeFill="text1"/>
              </w:rPr>
              <w:t>s.89(2)(a) SA</w:t>
            </w:r>
            <w:r>
              <w:rPr>
                <w:rFonts w:ascii="Arial" w:hAnsi="Arial" w:cs="Arial"/>
                <w:b/>
                <w:bCs/>
                <w:sz w:val="20"/>
                <w:szCs w:val="20"/>
              </w:rPr>
              <w:t xml:space="preserve"> – </w:t>
            </w:r>
            <w:r w:rsidR="002534E8">
              <w:rPr>
                <w:rFonts w:ascii="Arial" w:hAnsi="Arial" w:cs="Arial"/>
                <w:b/>
                <w:bCs/>
                <w:sz w:val="20"/>
                <w:szCs w:val="20"/>
              </w:rPr>
              <w:t>MANDATORY</w:t>
            </w:r>
            <w:r>
              <w:rPr>
                <w:rFonts w:ascii="Arial" w:hAnsi="Arial" w:cs="Arial"/>
                <w:b/>
                <w:bCs/>
                <w:sz w:val="20"/>
                <w:szCs w:val="20"/>
              </w:rPr>
              <w:t xml:space="preserve"> </w:t>
            </w:r>
            <w:r w:rsidR="002534E8">
              <w:rPr>
                <w:rFonts w:ascii="Arial" w:hAnsi="Arial" w:cs="Arial"/>
                <w:b/>
                <w:bCs/>
                <w:sz w:val="20"/>
                <w:szCs w:val="20"/>
              </w:rPr>
              <w:t xml:space="preserve">CANCELLATION + DISQUALIFICATION </w:t>
            </w:r>
            <w:r w:rsidR="007575E6">
              <w:rPr>
                <w:rFonts w:ascii="Arial" w:hAnsi="Arial" w:cs="Arial"/>
                <w:b/>
                <w:bCs/>
                <w:sz w:val="20"/>
                <w:szCs w:val="20"/>
              </w:rPr>
              <w:t>AT LEAST 18 MONTHS</w:t>
            </w:r>
          </w:p>
        </w:tc>
      </w:tr>
      <w:tr w:rsidR="001D6EEA" w14:paraId="1B96460C" w14:textId="77777777" w:rsidTr="004E6265">
        <w:tc>
          <w:tcPr>
            <w:tcW w:w="1134" w:type="dxa"/>
          </w:tcPr>
          <w:p w14:paraId="4B85F2B7" w14:textId="308C83EF" w:rsidR="001D6EEA" w:rsidRDefault="001D6EEA" w:rsidP="001D6EEA">
            <w:pPr>
              <w:jc w:val="center"/>
              <w:rPr>
                <w:rFonts w:ascii="Arial" w:hAnsi="Arial" w:cs="Arial"/>
                <w:sz w:val="20"/>
                <w:szCs w:val="20"/>
              </w:rPr>
            </w:pPr>
            <w:r>
              <w:rPr>
                <w:rFonts w:ascii="Arial" w:hAnsi="Arial" w:cs="Arial"/>
                <w:sz w:val="20"/>
                <w:szCs w:val="20"/>
              </w:rPr>
              <w:t>87P(d)</w:t>
            </w:r>
          </w:p>
        </w:tc>
        <w:tc>
          <w:tcPr>
            <w:tcW w:w="8164" w:type="dxa"/>
          </w:tcPr>
          <w:p w14:paraId="3321325F" w14:textId="07DAF2A5" w:rsidR="001D6EEA" w:rsidRDefault="001D6EEA" w:rsidP="007755E0">
            <w:pPr>
              <w:keepNext/>
              <w:keepLines/>
              <w:jc w:val="both"/>
              <w:rPr>
                <w:rFonts w:ascii="Arial" w:hAnsi="Arial" w:cs="Arial"/>
                <w:sz w:val="20"/>
                <w:szCs w:val="20"/>
              </w:rPr>
            </w:pPr>
            <w:r w:rsidRPr="001D6EEA">
              <w:rPr>
                <w:rFonts w:ascii="Arial" w:hAnsi="Arial" w:cs="Arial"/>
                <w:b/>
                <w:bCs/>
                <w:sz w:val="20"/>
                <w:szCs w:val="20"/>
              </w:rPr>
              <w:t>s.31</w:t>
            </w:r>
            <w:r>
              <w:rPr>
                <w:rFonts w:ascii="Arial" w:hAnsi="Arial" w:cs="Arial"/>
                <w:b/>
                <w:bCs/>
                <w:sz w:val="20"/>
                <w:szCs w:val="20"/>
              </w:rPr>
              <w:t>9</w:t>
            </w:r>
            <w:r w:rsidRPr="001D6EEA">
              <w:rPr>
                <w:rFonts w:ascii="Arial" w:hAnsi="Arial" w:cs="Arial"/>
                <w:b/>
                <w:bCs/>
                <w:sz w:val="20"/>
                <w:szCs w:val="20"/>
              </w:rPr>
              <w:t xml:space="preserve"> CA</w:t>
            </w:r>
            <w:r>
              <w:rPr>
                <w:rFonts w:ascii="Arial" w:hAnsi="Arial" w:cs="Arial"/>
                <w:sz w:val="20"/>
                <w:szCs w:val="20"/>
              </w:rPr>
              <w:t xml:space="preserve">: </w:t>
            </w:r>
            <w:r w:rsidR="0050619F">
              <w:rPr>
                <w:rFonts w:ascii="Arial" w:hAnsi="Arial" w:cs="Arial"/>
                <w:sz w:val="20"/>
                <w:szCs w:val="20"/>
              </w:rPr>
              <w:t xml:space="preserve">Dangerous driving of a motor vehicle </w:t>
            </w:r>
            <w:r>
              <w:rPr>
                <w:rFonts w:ascii="Arial" w:hAnsi="Arial" w:cs="Arial"/>
                <w:sz w:val="20"/>
                <w:szCs w:val="20"/>
              </w:rPr>
              <w:t>(but not a vessel) causing death</w:t>
            </w:r>
            <w:r w:rsidR="0050619F">
              <w:rPr>
                <w:rFonts w:ascii="Arial" w:hAnsi="Arial" w:cs="Arial"/>
                <w:sz w:val="20"/>
                <w:szCs w:val="20"/>
              </w:rPr>
              <w:t xml:space="preserve"> or </w:t>
            </w:r>
            <w:r w:rsidR="0050619F">
              <w:rPr>
                <w:rFonts w:ascii="Arial" w:hAnsi="Arial" w:cs="Arial"/>
                <w:sz w:val="20"/>
                <w:szCs w:val="20"/>
              </w:rPr>
              <w:lastRenderedPageBreak/>
              <w:t>serious injury</w:t>
            </w:r>
          </w:p>
        </w:tc>
      </w:tr>
      <w:tr w:rsidR="001D6EEA" w14:paraId="77C86171" w14:textId="77777777" w:rsidTr="004E6265">
        <w:tc>
          <w:tcPr>
            <w:tcW w:w="9298" w:type="dxa"/>
            <w:gridSpan w:val="2"/>
            <w:shd w:val="clear" w:color="auto" w:fill="DDDDDD"/>
          </w:tcPr>
          <w:p w14:paraId="2CE567B5" w14:textId="24E835D0" w:rsidR="001D6EEA" w:rsidRDefault="001A0D1E" w:rsidP="001D6EEA">
            <w:pPr>
              <w:jc w:val="center"/>
              <w:rPr>
                <w:rFonts w:ascii="Arial" w:hAnsi="Arial" w:cs="Arial"/>
                <w:sz w:val="20"/>
                <w:szCs w:val="20"/>
              </w:rPr>
            </w:pPr>
            <w:r w:rsidRPr="00D76B29">
              <w:rPr>
                <w:rFonts w:ascii="Arial" w:hAnsi="Arial" w:cs="Arial"/>
                <w:b/>
                <w:bCs/>
                <w:sz w:val="20"/>
                <w:szCs w:val="20"/>
                <w:shd w:val="clear" w:color="auto" w:fill="000000" w:themeFill="text1"/>
              </w:rPr>
              <w:lastRenderedPageBreak/>
              <w:t>s.89(2)(b)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24 MONTHS</w:t>
            </w:r>
          </w:p>
        </w:tc>
      </w:tr>
      <w:tr w:rsidR="001D6EEA" w14:paraId="37BDB7A1" w14:textId="77777777" w:rsidTr="004E6265">
        <w:tc>
          <w:tcPr>
            <w:tcW w:w="1134" w:type="dxa"/>
          </w:tcPr>
          <w:p w14:paraId="4F8EA8BD" w14:textId="48748172" w:rsidR="001D6EEA" w:rsidRDefault="001D6EEA" w:rsidP="001D6EEA">
            <w:pPr>
              <w:jc w:val="center"/>
              <w:rPr>
                <w:rFonts w:ascii="Arial" w:hAnsi="Arial" w:cs="Arial"/>
                <w:sz w:val="20"/>
                <w:szCs w:val="20"/>
              </w:rPr>
            </w:pPr>
            <w:r>
              <w:rPr>
                <w:rFonts w:ascii="Arial" w:hAnsi="Arial" w:cs="Arial"/>
                <w:sz w:val="20"/>
                <w:szCs w:val="20"/>
              </w:rPr>
              <w:t>87P(a)</w:t>
            </w:r>
          </w:p>
        </w:tc>
        <w:tc>
          <w:tcPr>
            <w:tcW w:w="8164" w:type="dxa"/>
          </w:tcPr>
          <w:p w14:paraId="2EEC3BC5" w14:textId="3207E88F" w:rsidR="001D6EEA" w:rsidRDefault="001D6EEA" w:rsidP="001D6EEA">
            <w:pPr>
              <w:jc w:val="both"/>
              <w:rPr>
                <w:rFonts w:ascii="Arial" w:hAnsi="Arial" w:cs="Arial"/>
                <w:sz w:val="20"/>
                <w:szCs w:val="20"/>
              </w:rPr>
            </w:pPr>
            <w:r>
              <w:rPr>
                <w:rFonts w:ascii="Arial" w:hAnsi="Arial" w:cs="Arial"/>
                <w:sz w:val="20"/>
                <w:szCs w:val="20"/>
              </w:rPr>
              <w:t>Manslaughter arising out of the driving of a motor vehicle</w:t>
            </w:r>
          </w:p>
        </w:tc>
      </w:tr>
      <w:tr w:rsidR="001D6EEA" w14:paraId="227146DF" w14:textId="77777777" w:rsidTr="004E6265">
        <w:tc>
          <w:tcPr>
            <w:tcW w:w="1134" w:type="dxa"/>
          </w:tcPr>
          <w:p w14:paraId="59633C03" w14:textId="68350A56" w:rsidR="001D6EEA" w:rsidRDefault="001D6EEA" w:rsidP="001D6EEA">
            <w:pPr>
              <w:jc w:val="center"/>
              <w:rPr>
                <w:rFonts w:ascii="Arial" w:hAnsi="Arial" w:cs="Arial"/>
                <w:sz w:val="20"/>
                <w:szCs w:val="20"/>
              </w:rPr>
            </w:pPr>
            <w:r>
              <w:rPr>
                <w:rFonts w:ascii="Arial" w:hAnsi="Arial" w:cs="Arial"/>
                <w:sz w:val="20"/>
                <w:szCs w:val="20"/>
              </w:rPr>
              <w:t>87P(b)</w:t>
            </w:r>
          </w:p>
        </w:tc>
        <w:tc>
          <w:tcPr>
            <w:tcW w:w="8164" w:type="dxa"/>
          </w:tcPr>
          <w:p w14:paraId="4F023327" w14:textId="011A098D" w:rsidR="001D6EEA" w:rsidRDefault="001D6EEA" w:rsidP="001D6EEA">
            <w:pPr>
              <w:jc w:val="both"/>
              <w:rPr>
                <w:rFonts w:ascii="Arial" w:hAnsi="Arial" w:cs="Arial"/>
                <w:sz w:val="20"/>
                <w:szCs w:val="20"/>
              </w:rPr>
            </w:pPr>
            <w:r w:rsidRPr="008E4DB4">
              <w:rPr>
                <w:rFonts w:ascii="Arial" w:hAnsi="Arial" w:cs="Arial"/>
                <w:b/>
                <w:bCs/>
                <w:sz w:val="20"/>
                <w:szCs w:val="20"/>
              </w:rPr>
              <w:t>s.24</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xml:space="preserve">: </w:t>
            </w:r>
            <w:r w:rsidR="001B2A2A">
              <w:rPr>
                <w:rFonts w:ascii="Arial" w:hAnsi="Arial" w:cs="Arial"/>
                <w:sz w:val="20"/>
                <w:szCs w:val="20"/>
              </w:rPr>
              <w:t>N</w:t>
            </w:r>
            <w:r>
              <w:rPr>
                <w:rFonts w:ascii="Arial" w:hAnsi="Arial" w:cs="Arial"/>
                <w:sz w:val="20"/>
                <w:szCs w:val="20"/>
              </w:rPr>
              <w:t>egligently causing serious injury arising out of the driving of a motor vehicle</w:t>
            </w:r>
          </w:p>
        </w:tc>
      </w:tr>
      <w:tr w:rsidR="001D6EEA" w14:paraId="60C84084" w14:textId="77777777" w:rsidTr="004E6265">
        <w:tc>
          <w:tcPr>
            <w:tcW w:w="1134" w:type="dxa"/>
          </w:tcPr>
          <w:p w14:paraId="1B7FD5FC" w14:textId="268FDEF9" w:rsidR="001D6EEA" w:rsidRDefault="001D6EEA" w:rsidP="001D6EEA">
            <w:pPr>
              <w:jc w:val="center"/>
              <w:rPr>
                <w:rFonts w:ascii="Arial" w:hAnsi="Arial" w:cs="Arial"/>
                <w:sz w:val="20"/>
                <w:szCs w:val="20"/>
              </w:rPr>
            </w:pPr>
            <w:r>
              <w:rPr>
                <w:rFonts w:ascii="Arial" w:hAnsi="Arial" w:cs="Arial"/>
                <w:sz w:val="20"/>
                <w:szCs w:val="20"/>
              </w:rPr>
              <w:t>87P(ba)</w:t>
            </w:r>
          </w:p>
        </w:tc>
        <w:tc>
          <w:tcPr>
            <w:tcW w:w="8164" w:type="dxa"/>
          </w:tcPr>
          <w:p w14:paraId="1240F373" w14:textId="49D19042" w:rsidR="001D6EEA" w:rsidRDefault="001D6EEA" w:rsidP="001D6EEA">
            <w:pPr>
              <w:jc w:val="both"/>
              <w:rPr>
                <w:rFonts w:ascii="Arial" w:hAnsi="Arial" w:cs="Arial"/>
                <w:sz w:val="20"/>
                <w:szCs w:val="20"/>
              </w:rPr>
            </w:pPr>
            <w:r w:rsidRPr="008E4DB4">
              <w:rPr>
                <w:rFonts w:ascii="Arial" w:hAnsi="Arial" w:cs="Arial"/>
                <w:b/>
                <w:bCs/>
                <w:sz w:val="20"/>
                <w:szCs w:val="20"/>
              </w:rPr>
              <w:t>ss.317AC, 317AD, 317AE or 317AF CA</w:t>
            </w:r>
            <w:r>
              <w:rPr>
                <w:rFonts w:ascii="Arial" w:hAnsi="Arial" w:cs="Arial"/>
                <w:sz w:val="20"/>
                <w:szCs w:val="20"/>
              </w:rPr>
              <w:t xml:space="preserve">: </w:t>
            </w:r>
            <w:r w:rsidR="001B2A2A">
              <w:rPr>
                <w:rFonts w:ascii="Arial" w:hAnsi="Arial" w:cs="Arial"/>
                <w:sz w:val="20"/>
                <w:szCs w:val="20"/>
              </w:rPr>
              <w:t>R</w:t>
            </w:r>
            <w:r>
              <w:rPr>
                <w:rFonts w:ascii="Arial" w:hAnsi="Arial" w:cs="Arial"/>
                <w:sz w:val="20"/>
                <w:szCs w:val="20"/>
              </w:rPr>
              <w:t>isk to emergency worker/custodial officer arising out of the driving of a motor vehicle</w:t>
            </w:r>
          </w:p>
        </w:tc>
      </w:tr>
      <w:tr w:rsidR="001D6EEA" w14:paraId="7B028D24" w14:textId="77777777" w:rsidTr="004E6265">
        <w:tc>
          <w:tcPr>
            <w:tcW w:w="1134" w:type="dxa"/>
          </w:tcPr>
          <w:p w14:paraId="2BE2FECD" w14:textId="270406AD" w:rsidR="001D6EEA" w:rsidRDefault="001D6EEA" w:rsidP="001D6EEA">
            <w:pPr>
              <w:jc w:val="center"/>
              <w:rPr>
                <w:rFonts w:ascii="Arial" w:hAnsi="Arial" w:cs="Arial"/>
                <w:sz w:val="20"/>
                <w:szCs w:val="20"/>
              </w:rPr>
            </w:pPr>
            <w:r>
              <w:rPr>
                <w:rFonts w:ascii="Arial" w:hAnsi="Arial" w:cs="Arial"/>
                <w:sz w:val="20"/>
                <w:szCs w:val="20"/>
              </w:rPr>
              <w:t>87P(c)</w:t>
            </w:r>
          </w:p>
        </w:tc>
        <w:tc>
          <w:tcPr>
            <w:tcW w:w="8164" w:type="dxa"/>
          </w:tcPr>
          <w:p w14:paraId="3E55C20F" w14:textId="71CF50F5" w:rsidR="001D6EEA" w:rsidRDefault="001D6EEA" w:rsidP="001D6EEA">
            <w:pPr>
              <w:jc w:val="both"/>
              <w:rPr>
                <w:rFonts w:ascii="Arial" w:hAnsi="Arial" w:cs="Arial"/>
                <w:sz w:val="20"/>
                <w:szCs w:val="20"/>
              </w:rPr>
            </w:pPr>
            <w:r w:rsidRPr="001D6EEA">
              <w:rPr>
                <w:rFonts w:ascii="Arial" w:hAnsi="Arial" w:cs="Arial"/>
                <w:b/>
                <w:bCs/>
                <w:sz w:val="20"/>
                <w:szCs w:val="20"/>
              </w:rPr>
              <w:t>s.318 CA</w:t>
            </w:r>
            <w:r>
              <w:rPr>
                <w:rFonts w:ascii="Arial" w:hAnsi="Arial" w:cs="Arial"/>
                <w:sz w:val="20"/>
                <w:szCs w:val="20"/>
              </w:rPr>
              <w:t>: Culpable driving of a motor vehicle (but not a vessel) causing death</w:t>
            </w:r>
          </w:p>
        </w:tc>
      </w:tr>
      <w:tr w:rsidR="001D6EEA" w14:paraId="58733A2F" w14:textId="77777777" w:rsidTr="004E6265">
        <w:tc>
          <w:tcPr>
            <w:tcW w:w="1134" w:type="dxa"/>
          </w:tcPr>
          <w:p w14:paraId="0FD83B6C" w14:textId="42E49ABF" w:rsidR="001D6EEA" w:rsidRDefault="001D6EEA" w:rsidP="001D6EEA">
            <w:pPr>
              <w:jc w:val="center"/>
              <w:rPr>
                <w:rFonts w:ascii="Arial" w:hAnsi="Arial" w:cs="Arial"/>
                <w:sz w:val="20"/>
                <w:szCs w:val="20"/>
              </w:rPr>
            </w:pPr>
            <w:r>
              <w:rPr>
                <w:rFonts w:ascii="Arial" w:hAnsi="Arial" w:cs="Arial"/>
                <w:sz w:val="20"/>
                <w:szCs w:val="20"/>
              </w:rPr>
              <w:t>87P(e)</w:t>
            </w:r>
          </w:p>
        </w:tc>
        <w:tc>
          <w:tcPr>
            <w:tcW w:w="8164" w:type="dxa"/>
          </w:tcPr>
          <w:p w14:paraId="756C57DA" w14:textId="70B99989" w:rsidR="001D6EEA" w:rsidRDefault="001D6EEA" w:rsidP="001D6EEA">
            <w:pPr>
              <w:jc w:val="both"/>
              <w:rPr>
                <w:rFonts w:ascii="Arial" w:hAnsi="Arial" w:cs="Arial"/>
                <w:sz w:val="20"/>
                <w:szCs w:val="20"/>
              </w:rPr>
            </w:pPr>
            <w:r>
              <w:rPr>
                <w:rFonts w:ascii="Arial" w:hAnsi="Arial" w:cs="Arial"/>
                <w:sz w:val="20"/>
                <w:szCs w:val="20"/>
              </w:rPr>
              <w:t>Murder or attempted murder arising out of the driving of a motor vehicle</w:t>
            </w:r>
          </w:p>
        </w:tc>
      </w:tr>
      <w:tr w:rsidR="001D6EEA" w14:paraId="0DFE6FB0" w14:textId="77777777" w:rsidTr="004E6265">
        <w:tc>
          <w:tcPr>
            <w:tcW w:w="1134" w:type="dxa"/>
          </w:tcPr>
          <w:p w14:paraId="53E83A8A" w14:textId="42F36B4E" w:rsidR="001D6EEA" w:rsidRDefault="001D6EEA" w:rsidP="001D6EEA">
            <w:pPr>
              <w:jc w:val="center"/>
              <w:rPr>
                <w:rFonts w:ascii="Arial" w:hAnsi="Arial" w:cs="Arial"/>
                <w:sz w:val="20"/>
                <w:szCs w:val="20"/>
              </w:rPr>
            </w:pPr>
            <w:r>
              <w:rPr>
                <w:rFonts w:ascii="Arial" w:hAnsi="Arial" w:cs="Arial"/>
                <w:sz w:val="20"/>
                <w:szCs w:val="20"/>
              </w:rPr>
              <w:t>87P(f)(vii)</w:t>
            </w:r>
          </w:p>
        </w:tc>
        <w:tc>
          <w:tcPr>
            <w:tcW w:w="8164" w:type="dxa"/>
          </w:tcPr>
          <w:p w14:paraId="0F1AB0D4" w14:textId="601E92C7" w:rsidR="001D6EEA" w:rsidRDefault="001D6EEA" w:rsidP="001D6EEA">
            <w:pPr>
              <w:jc w:val="both"/>
              <w:rPr>
                <w:rFonts w:ascii="Arial" w:hAnsi="Arial" w:cs="Arial"/>
                <w:sz w:val="20"/>
                <w:szCs w:val="20"/>
              </w:rPr>
            </w:pPr>
            <w:r w:rsidRPr="001D6EEA">
              <w:rPr>
                <w:rFonts w:ascii="Arial" w:hAnsi="Arial" w:cs="Arial"/>
                <w:b/>
                <w:bCs/>
                <w:sz w:val="20"/>
                <w:szCs w:val="20"/>
              </w:rPr>
              <w:t>s.79A CA</w:t>
            </w:r>
            <w:r>
              <w:rPr>
                <w:rFonts w:ascii="Arial" w:hAnsi="Arial" w:cs="Arial"/>
                <w:sz w:val="20"/>
                <w:szCs w:val="20"/>
              </w:rPr>
              <w:t>: Aggravated carjacking</w:t>
            </w:r>
          </w:p>
        </w:tc>
      </w:tr>
      <w:tr w:rsidR="001D6EEA" w14:paraId="4690CD13" w14:textId="77777777" w:rsidTr="004E6265">
        <w:tc>
          <w:tcPr>
            <w:tcW w:w="9298" w:type="dxa"/>
            <w:gridSpan w:val="2"/>
            <w:shd w:val="clear" w:color="auto" w:fill="DDDDDD"/>
          </w:tcPr>
          <w:p w14:paraId="7B2B48B2" w14:textId="7BA36954" w:rsidR="001D6EEA" w:rsidRPr="008E4DB4" w:rsidRDefault="001A0D1E" w:rsidP="001A0D1E">
            <w:pPr>
              <w:jc w:val="center"/>
              <w:rPr>
                <w:rFonts w:ascii="Arial" w:hAnsi="Arial" w:cs="Arial"/>
                <w:b/>
                <w:bCs/>
                <w:sz w:val="20"/>
                <w:szCs w:val="20"/>
              </w:rPr>
            </w:pPr>
            <w:r w:rsidRPr="00D76B29">
              <w:rPr>
                <w:rFonts w:ascii="Arial" w:hAnsi="Arial" w:cs="Arial"/>
                <w:b/>
                <w:bCs/>
                <w:sz w:val="20"/>
                <w:szCs w:val="20"/>
                <w:shd w:val="clear" w:color="auto" w:fill="000000" w:themeFill="text1"/>
              </w:rPr>
              <w:t>s.89(2)(c)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12 MONTHS</w:t>
            </w:r>
            <w:r>
              <w:rPr>
                <w:rFonts w:ascii="Arial" w:hAnsi="Arial" w:cs="Arial"/>
                <w:b/>
                <w:bCs/>
                <w:sz w:val="20"/>
                <w:szCs w:val="20"/>
              </w:rPr>
              <w:t xml:space="preserve"> </w:t>
            </w:r>
            <w:r w:rsidR="001D6EEA" w:rsidRPr="008E4DB4">
              <w:rPr>
                <w:rFonts w:ascii="Arial" w:hAnsi="Arial" w:cs="Arial"/>
                <w:b/>
                <w:bCs/>
                <w:sz w:val="20"/>
                <w:szCs w:val="20"/>
              </w:rPr>
              <w:t xml:space="preserve">IF ARISING OUT OF THE DRIVING OF A MOTOR VEHICLE </w:t>
            </w:r>
            <w:r w:rsidR="001D6EEA">
              <w:rPr>
                <w:rFonts w:ascii="Arial" w:hAnsi="Arial" w:cs="Arial"/>
                <w:b/>
                <w:bCs/>
                <w:sz w:val="20"/>
                <w:szCs w:val="20"/>
              </w:rPr>
              <w:t xml:space="preserve">WHILE </w:t>
            </w:r>
            <w:r w:rsidR="001D6EEA" w:rsidRPr="008E4DB4">
              <w:rPr>
                <w:rFonts w:ascii="Arial" w:hAnsi="Arial" w:cs="Arial"/>
                <w:b/>
                <w:bCs/>
                <w:sz w:val="20"/>
                <w:szCs w:val="20"/>
              </w:rPr>
              <w:t xml:space="preserve">UNDER </w:t>
            </w:r>
            <w:r w:rsidR="001D6EEA">
              <w:rPr>
                <w:rFonts w:ascii="Arial" w:hAnsi="Arial" w:cs="Arial"/>
                <w:b/>
                <w:bCs/>
                <w:sz w:val="20"/>
                <w:szCs w:val="20"/>
              </w:rPr>
              <w:t xml:space="preserve">THE </w:t>
            </w:r>
            <w:r w:rsidR="001D6EEA" w:rsidRPr="008E4DB4">
              <w:rPr>
                <w:rFonts w:ascii="Arial" w:hAnsi="Arial" w:cs="Arial"/>
                <w:b/>
                <w:bCs/>
                <w:sz w:val="20"/>
                <w:szCs w:val="20"/>
              </w:rPr>
              <w:t>INFLUENCE OF ALCOHOL OR ALCOHOL AND A DRUG</w:t>
            </w:r>
          </w:p>
        </w:tc>
      </w:tr>
      <w:tr w:rsidR="001D6EEA" w14:paraId="3EE59A6F" w14:textId="77777777" w:rsidTr="004E6265">
        <w:tc>
          <w:tcPr>
            <w:tcW w:w="1134" w:type="dxa"/>
          </w:tcPr>
          <w:p w14:paraId="223FC99B" w14:textId="7499F130" w:rsidR="001D6EEA" w:rsidRDefault="001D6EEA" w:rsidP="001D6EEA">
            <w:pPr>
              <w:jc w:val="center"/>
              <w:rPr>
                <w:rFonts w:ascii="Arial" w:hAnsi="Arial" w:cs="Arial"/>
                <w:sz w:val="20"/>
                <w:szCs w:val="20"/>
              </w:rPr>
            </w:pPr>
            <w:r>
              <w:rPr>
                <w:rFonts w:ascii="Arial" w:hAnsi="Arial" w:cs="Arial"/>
                <w:sz w:val="20"/>
                <w:szCs w:val="20"/>
              </w:rPr>
              <w:t>87P(f)(i)</w:t>
            </w:r>
          </w:p>
        </w:tc>
        <w:tc>
          <w:tcPr>
            <w:tcW w:w="8164" w:type="dxa"/>
          </w:tcPr>
          <w:p w14:paraId="0425F2F0" w14:textId="559D2BCE" w:rsidR="001D6EEA" w:rsidRDefault="001D6EEA" w:rsidP="001D6EEA">
            <w:pPr>
              <w:jc w:val="both"/>
              <w:rPr>
                <w:rFonts w:ascii="Arial" w:hAnsi="Arial" w:cs="Arial"/>
                <w:sz w:val="20"/>
                <w:szCs w:val="20"/>
              </w:rPr>
            </w:pPr>
            <w:r w:rsidRPr="008E4DB4">
              <w:rPr>
                <w:rFonts w:ascii="Arial" w:hAnsi="Arial" w:cs="Arial"/>
                <w:b/>
                <w:bCs/>
                <w:sz w:val="20"/>
                <w:szCs w:val="20"/>
              </w:rPr>
              <w:t>ss.15A/15B</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intentionally/recklessly in circs of gross violence</w:t>
            </w:r>
          </w:p>
        </w:tc>
      </w:tr>
      <w:tr w:rsidR="001D6EEA" w14:paraId="71E9EABB" w14:textId="77777777" w:rsidTr="004E6265">
        <w:tc>
          <w:tcPr>
            <w:tcW w:w="1134" w:type="dxa"/>
          </w:tcPr>
          <w:p w14:paraId="6F3F8B05" w14:textId="13F316DD" w:rsidR="001D6EEA" w:rsidRDefault="001D6EEA" w:rsidP="001D6EEA">
            <w:pPr>
              <w:jc w:val="center"/>
              <w:rPr>
                <w:rFonts w:ascii="Arial" w:hAnsi="Arial" w:cs="Arial"/>
                <w:sz w:val="20"/>
                <w:szCs w:val="20"/>
              </w:rPr>
            </w:pPr>
            <w:r>
              <w:rPr>
                <w:rFonts w:ascii="Arial" w:hAnsi="Arial" w:cs="Arial"/>
                <w:sz w:val="20"/>
                <w:szCs w:val="20"/>
              </w:rPr>
              <w:t>87P(f)(ii)</w:t>
            </w:r>
          </w:p>
        </w:tc>
        <w:tc>
          <w:tcPr>
            <w:tcW w:w="8164" w:type="dxa"/>
          </w:tcPr>
          <w:p w14:paraId="73C544B6" w14:textId="789E2EEB" w:rsidR="001D6EEA" w:rsidRDefault="001D6EEA" w:rsidP="001D6EEA">
            <w:pPr>
              <w:jc w:val="both"/>
              <w:rPr>
                <w:rFonts w:ascii="Arial" w:hAnsi="Arial" w:cs="Arial"/>
                <w:sz w:val="20"/>
                <w:szCs w:val="20"/>
              </w:rPr>
            </w:pPr>
            <w:r w:rsidRPr="008E4DB4">
              <w:rPr>
                <w:rFonts w:ascii="Arial" w:hAnsi="Arial" w:cs="Arial"/>
                <w:b/>
                <w:bCs/>
                <w:sz w:val="20"/>
                <w:szCs w:val="20"/>
              </w:rPr>
              <w:t>ss.1</w:t>
            </w:r>
            <w:r>
              <w:rPr>
                <w:rFonts w:ascii="Arial" w:hAnsi="Arial" w:cs="Arial"/>
                <w:b/>
                <w:bCs/>
                <w:sz w:val="20"/>
                <w:szCs w:val="20"/>
              </w:rPr>
              <w:t>6</w:t>
            </w:r>
            <w:r w:rsidRPr="008E4DB4">
              <w:rPr>
                <w:rFonts w:ascii="Arial" w:hAnsi="Arial" w:cs="Arial"/>
                <w:b/>
                <w:bCs/>
                <w:sz w:val="20"/>
                <w:szCs w:val="20"/>
              </w:rPr>
              <w:t>/1</w:t>
            </w:r>
            <w:r>
              <w:rPr>
                <w:rFonts w:ascii="Arial" w:hAnsi="Arial" w:cs="Arial"/>
                <w:b/>
                <w:bCs/>
                <w:sz w:val="20"/>
                <w:szCs w:val="20"/>
              </w:rPr>
              <w:t>7/18</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or injury intentionally/recklessly</w:t>
            </w:r>
          </w:p>
        </w:tc>
      </w:tr>
      <w:tr w:rsidR="001D6EEA" w14:paraId="535FB5F3" w14:textId="77777777" w:rsidTr="004E6265">
        <w:tc>
          <w:tcPr>
            <w:tcW w:w="1134" w:type="dxa"/>
          </w:tcPr>
          <w:p w14:paraId="452D4ECA" w14:textId="5667758D" w:rsidR="001D6EEA" w:rsidRDefault="001D6EEA" w:rsidP="001D6EEA">
            <w:pPr>
              <w:jc w:val="center"/>
              <w:rPr>
                <w:rFonts w:ascii="Arial" w:hAnsi="Arial" w:cs="Arial"/>
                <w:sz w:val="20"/>
                <w:szCs w:val="20"/>
              </w:rPr>
            </w:pPr>
            <w:r>
              <w:rPr>
                <w:rFonts w:ascii="Arial" w:hAnsi="Arial" w:cs="Arial"/>
                <w:sz w:val="20"/>
                <w:szCs w:val="20"/>
              </w:rPr>
              <w:t>87P(f)(iii)</w:t>
            </w:r>
          </w:p>
        </w:tc>
        <w:tc>
          <w:tcPr>
            <w:tcW w:w="8164" w:type="dxa"/>
          </w:tcPr>
          <w:p w14:paraId="763466FC" w14:textId="4B679436" w:rsidR="001D6EEA" w:rsidRDefault="001D6EEA" w:rsidP="001D6EEA">
            <w:pPr>
              <w:jc w:val="both"/>
              <w:rPr>
                <w:rFonts w:ascii="Arial" w:hAnsi="Arial" w:cs="Arial"/>
                <w:sz w:val="20"/>
                <w:szCs w:val="20"/>
              </w:rPr>
            </w:pPr>
            <w:r w:rsidRPr="008E4DB4">
              <w:rPr>
                <w:rFonts w:ascii="Arial" w:hAnsi="Arial" w:cs="Arial"/>
                <w:b/>
                <w:bCs/>
                <w:sz w:val="20"/>
                <w:szCs w:val="20"/>
              </w:rPr>
              <w:t>ss.22/23 CA</w:t>
            </w:r>
            <w:r>
              <w:rPr>
                <w:rFonts w:ascii="Arial" w:hAnsi="Arial" w:cs="Arial"/>
                <w:sz w:val="20"/>
                <w:szCs w:val="20"/>
              </w:rPr>
              <w:t>: Conduct endangering life/serious injury</w:t>
            </w:r>
          </w:p>
        </w:tc>
      </w:tr>
      <w:tr w:rsidR="001D6EEA" w14:paraId="4F6A0D69" w14:textId="77777777" w:rsidTr="004E6265">
        <w:tc>
          <w:tcPr>
            <w:tcW w:w="1134" w:type="dxa"/>
          </w:tcPr>
          <w:p w14:paraId="6C92191F" w14:textId="5A157445" w:rsidR="001D6EEA" w:rsidRDefault="001D6EEA" w:rsidP="001D6EEA">
            <w:pPr>
              <w:jc w:val="center"/>
              <w:rPr>
                <w:rFonts w:ascii="Arial" w:hAnsi="Arial" w:cs="Arial"/>
                <w:sz w:val="20"/>
                <w:szCs w:val="20"/>
              </w:rPr>
            </w:pPr>
            <w:r>
              <w:rPr>
                <w:rFonts w:ascii="Arial" w:hAnsi="Arial" w:cs="Arial"/>
                <w:sz w:val="20"/>
                <w:szCs w:val="20"/>
              </w:rPr>
              <w:t>87P(f)(iv)</w:t>
            </w:r>
          </w:p>
        </w:tc>
        <w:tc>
          <w:tcPr>
            <w:tcW w:w="8164" w:type="dxa"/>
          </w:tcPr>
          <w:p w14:paraId="3BDAAEA0" w14:textId="598ED8B0" w:rsidR="001D6EEA" w:rsidRDefault="001D6EEA" w:rsidP="001D6EEA">
            <w:pPr>
              <w:jc w:val="both"/>
              <w:rPr>
                <w:rFonts w:ascii="Arial" w:hAnsi="Arial" w:cs="Arial"/>
                <w:sz w:val="20"/>
                <w:szCs w:val="20"/>
              </w:rPr>
            </w:pPr>
            <w:r w:rsidRPr="008E4DB4">
              <w:rPr>
                <w:rFonts w:ascii="Arial" w:hAnsi="Arial" w:cs="Arial"/>
                <w:b/>
                <w:bCs/>
                <w:sz w:val="20"/>
                <w:szCs w:val="20"/>
              </w:rPr>
              <w:t>s.63A CA</w:t>
            </w:r>
            <w:r>
              <w:rPr>
                <w:rFonts w:ascii="Arial" w:hAnsi="Arial" w:cs="Arial"/>
                <w:sz w:val="20"/>
                <w:szCs w:val="20"/>
              </w:rPr>
              <w:t>:</w:t>
            </w:r>
            <w:r w:rsidR="0050619F">
              <w:rPr>
                <w:rFonts w:ascii="Arial" w:hAnsi="Arial" w:cs="Arial"/>
                <w:sz w:val="20"/>
                <w:szCs w:val="20"/>
              </w:rPr>
              <w:t xml:space="preserve"> Kidnapping</w:t>
            </w:r>
          </w:p>
        </w:tc>
      </w:tr>
      <w:tr w:rsidR="001D6EEA" w14:paraId="411A985E" w14:textId="77777777" w:rsidTr="004E6265">
        <w:tc>
          <w:tcPr>
            <w:tcW w:w="1134" w:type="dxa"/>
          </w:tcPr>
          <w:p w14:paraId="1D53CEC1" w14:textId="009FC0D0" w:rsidR="001D6EEA" w:rsidRDefault="001D6EEA" w:rsidP="001D6EEA">
            <w:pPr>
              <w:jc w:val="center"/>
              <w:rPr>
                <w:rFonts w:ascii="Arial" w:hAnsi="Arial" w:cs="Arial"/>
                <w:sz w:val="20"/>
                <w:szCs w:val="20"/>
              </w:rPr>
            </w:pPr>
            <w:r>
              <w:rPr>
                <w:rFonts w:ascii="Arial" w:hAnsi="Arial" w:cs="Arial"/>
                <w:sz w:val="20"/>
                <w:szCs w:val="20"/>
              </w:rPr>
              <w:t>87P(f)(v)</w:t>
            </w:r>
          </w:p>
        </w:tc>
        <w:tc>
          <w:tcPr>
            <w:tcW w:w="8164" w:type="dxa"/>
          </w:tcPr>
          <w:p w14:paraId="332F8553" w14:textId="13ED8E48" w:rsidR="001D6EEA" w:rsidRDefault="001D6EEA" w:rsidP="001D6EEA">
            <w:pPr>
              <w:jc w:val="both"/>
              <w:rPr>
                <w:rFonts w:ascii="Arial" w:hAnsi="Arial" w:cs="Arial"/>
                <w:sz w:val="20"/>
                <w:szCs w:val="20"/>
              </w:rPr>
            </w:pPr>
            <w:r>
              <w:rPr>
                <w:rFonts w:ascii="Arial" w:hAnsi="Arial" w:cs="Arial"/>
                <w:sz w:val="20"/>
                <w:szCs w:val="20"/>
              </w:rPr>
              <w:t>The common law offence of kidnapping</w:t>
            </w:r>
          </w:p>
        </w:tc>
      </w:tr>
      <w:tr w:rsidR="001D6EEA" w14:paraId="1D78D46E" w14:textId="77777777" w:rsidTr="004E6265">
        <w:tc>
          <w:tcPr>
            <w:tcW w:w="1134" w:type="dxa"/>
          </w:tcPr>
          <w:p w14:paraId="18B3BB78" w14:textId="0BB492D4" w:rsidR="001D6EEA" w:rsidRDefault="001D6EEA" w:rsidP="001D6EEA">
            <w:pPr>
              <w:jc w:val="center"/>
              <w:rPr>
                <w:rFonts w:ascii="Arial" w:hAnsi="Arial" w:cs="Arial"/>
                <w:sz w:val="20"/>
                <w:szCs w:val="20"/>
              </w:rPr>
            </w:pPr>
            <w:r>
              <w:rPr>
                <w:rFonts w:ascii="Arial" w:hAnsi="Arial" w:cs="Arial"/>
                <w:sz w:val="20"/>
                <w:szCs w:val="20"/>
              </w:rPr>
              <w:t>87P(f)(vi)</w:t>
            </w:r>
          </w:p>
        </w:tc>
        <w:tc>
          <w:tcPr>
            <w:tcW w:w="8164" w:type="dxa"/>
          </w:tcPr>
          <w:p w14:paraId="422B9826" w14:textId="6B82D95B" w:rsidR="001D6EEA" w:rsidRDefault="001D6EEA" w:rsidP="001D6EEA">
            <w:pPr>
              <w:jc w:val="both"/>
              <w:rPr>
                <w:rFonts w:ascii="Arial" w:hAnsi="Arial" w:cs="Arial"/>
                <w:sz w:val="20"/>
                <w:szCs w:val="20"/>
              </w:rPr>
            </w:pPr>
            <w:r w:rsidRPr="008E4DB4">
              <w:rPr>
                <w:rFonts w:ascii="Arial" w:hAnsi="Arial" w:cs="Arial"/>
                <w:b/>
                <w:bCs/>
                <w:sz w:val="20"/>
                <w:szCs w:val="20"/>
              </w:rPr>
              <w:t>s.79</w:t>
            </w:r>
            <w:r w:rsidR="003719E7">
              <w:rPr>
                <w:rFonts w:ascii="Arial" w:hAnsi="Arial" w:cs="Arial"/>
                <w:b/>
                <w:bCs/>
                <w:sz w:val="20"/>
                <w:szCs w:val="20"/>
              </w:rPr>
              <w:t xml:space="preserve"> </w:t>
            </w:r>
            <w:r w:rsidRPr="008E4DB4">
              <w:rPr>
                <w:rFonts w:ascii="Arial" w:hAnsi="Arial" w:cs="Arial"/>
                <w:b/>
                <w:bCs/>
                <w:sz w:val="20"/>
                <w:szCs w:val="20"/>
              </w:rPr>
              <w:t>CA</w:t>
            </w:r>
            <w:r>
              <w:rPr>
                <w:rFonts w:ascii="Arial" w:hAnsi="Arial" w:cs="Arial"/>
                <w:sz w:val="20"/>
                <w:szCs w:val="20"/>
              </w:rPr>
              <w:t>: Carjacking</w:t>
            </w:r>
          </w:p>
        </w:tc>
      </w:tr>
      <w:tr w:rsidR="00ED3B1B" w14:paraId="20756234" w14:textId="77777777" w:rsidTr="004E6265">
        <w:tc>
          <w:tcPr>
            <w:tcW w:w="9298" w:type="dxa"/>
            <w:gridSpan w:val="2"/>
            <w:shd w:val="clear" w:color="auto" w:fill="DDDDDD"/>
          </w:tcPr>
          <w:p w14:paraId="148A80A1" w14:textId="3817E974" w:rsidR="00ED3B1B" w:rsidRPr="002534E8" w:rsidRDefault="001A0D1E" w:rsidP="0095573F">
            <w:pPr>
              <w:jc w:val="center"/>
              <w:rPr>
                <w:rFonts w:ascii="Arial" w:hAnsi="Arial" w:cs="Arial"/>
                <w:b/>
                <w:bCs/>
                <w:sz w:val="20"/>
                <w:szCs w:val="20"/>
              </w:rPr>
            </w:pPr>
            <w:r w:rsidRPr="00D76B29">
              <w:rPr>
                <w:rFonts w:ascii="Arial" w:hAnsi="Arial" w:cs="Arial"/>
                <w:b/>
                <w:bCs/>
                <w:sz w:val="20"/>
                <w:szCs w:val="20"/>
                <w:shd w:val="clear" w:color="auto" w:fill="000000" w:themeFill="text1"/>
              </w:rPr>
              <w:t>s.89(3) SA</w:t>
            </w:r>
            <w:r>
              <w:rPr>
                <w:rFonts w:ascii="Arial" w:hAnsi="Arial" w:cs="Arial"/>
                <w:b/>
                <w:bCs/>
                <w:sz w:val="20"/>
                <w:szCs w:val="20"/>
              </w:rPr>
              <w:t xml:space="preserve"> – </w:t>
            </w:r>
            <w:r w:rsidR="00ED3B1B">
              <w:rPr>
                <w:rFonts w:ascii="Arial" w:hAnsi="Arial" w:cs="Arial"/>
                <w:b/>
                <w:bCs/>
                <w:sz w:val="20"/>
                <w:szCs w:val="20"/>
              </w:rPr>
              <w:t>MANDATORY</w:t>
            </w:r>
            <w:r>
              <w:rPr>
                <w:rFonts w:ascii="Arial" w:hAnsi="Arial" w:cs="Arial"/>
                <w:b/>
                <w:bCs/>
                <w:sz w:val="20"/>
                <w:szCs w:val="20"/>
              </w:rPr>
              <w:t xml:space="preserve"> </w:t>
            </w:r>
            <w:r w:rsidR="00ED3B1B">
              <w:rPr>
                <w:rFonts w:ascii="Arial" w:hAnsi="Arial" w:cs="Arial"/>
                <w:b/>
                <w:bCs/>
                <w:sz w:val="20"/>
                <w:szCs w:val="20"/>
              </w:rPr>
              <w:t>CANCELLATION + DISQUALIFICATION AT LEAST 12 MONTHS</w:t>
            </w:r>
          </w:p>
        </w:tc>
      </w:tr>
      <w:tr w:rsidR="00ED3B1B" w14:paraId="16137348" w14:textId="77777777" w:rsidTr="004E6265">
        <w:tc>
          <w:tcPr>
            <w:tcW w:w="1134" w:type="dxa"/>
          </w:tcPr>
          <w:p w14:paraId="1B6CEDDE" w14:textId="352FEBFB" w:rsidR="00ED3B1B" w:rsidRDefault="00ED3B1B" w:rsidP="0095573F">
            <w:pPr>
              <w:jc w:val="center"/>
              <w:rPr>
                <w:rFonts w:ascii="Arial" w:hAnsi="Arial" w:cs="Arial"/>
                <w:sz w:val="20"/>
                <w:szCs w:val="20"/>
              </w:rPr>
            </w:pPr>
            <w:r>
              <w:rPr>
                <w:rFonts w:ascii="Arial" w:hAnsi="Arial" w:cs="Arial"/>
                <w:sz w:val="20"/>
                <w:szCs w:val="20"/>
              </w:rPr>
              <w:t>---</w:t>
            </w:r>
          </w:p>
        </w:tc>
        <w:tc>
          <w:tcPr>
            <w:tcW w:w="8164" w:type="dxa"/>
          </w:tcPr>
          <w:p w14:paraId="3CEE1E76" w14:textId="45360F5E" w:rsidR="00ED3B1B" w:rsidRDefault="00ED3B1B" w:rsidP="0095573F">
            <w:pPr>
              <w:jc w:val="both"/>
              <w:rPr>
                <w:rFonts w:ascii="Arial" w:hAnsi="Arial" w:cs="Arial"/>
                <w:sz w:val="20"/>
                <w:szCs w:val="20"/>
              </w:rPr>
            </w:pPr>
            <w:r w:rsidRPr="008E4DB4">
              <w:rPr>
                <w:rFonts w:ascii="Arial" w:hAnsi="Arial" w:cs="Arial"/>
                <w:b/>
                <w:bCs/>
                <w:sz w:val="20"/>
                <w:szCs w:val="20"/>
              </w:rPr>
              <w:t>s.</w:t>
            </w:r>
            <w:r>
              <w:rPr>
                <w:rFonts w:ascii="Arial" w:hAnsi="Arial" w:cs="Arial"/>
                <w:b/>
                <w:bCs/>
                <w:sz w:val="20"/>
                <w:szCs w:val="20"/>
              </w:rPr>
              <w:t>319AA</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Dangerous or negligent driving when pursued by police</w:t>
            </w:r>
          </w:p>
        </w:tc>
      </w:tr>
    </w:tbl>
    <w:p w14:paraId="61FFEBD0" w14:textId="3E2506A4" w:rsidR="001D6EEA" w:rsidRDefault="001D6EEA">
      <w:pPr>
        <w:rPr>
          <w:rFonts w:ascii="Arial" w:hAnsi="Arial" w:cs="Arial"/>
          <w:sz w:val="20"/>
          <w:szCs w:val="20"/>
        </w:rPr>
      </w:pPr>
    </w:p>
    <w:p w14:paraId="2D7C9606" w14:textId="594899C0" w:rsidR="00D558C6" w:rsidRDefault="00D558C6" w:rsidP="006D6C55">
      <w:pPr>
        <w:jc w:val="both"/>
        <w:rPr>
          <w:rFonts w:ascii="Arial" w:hAnsi="Arial" w:cs="Arial"/>
          <w:sz w:val="20"/>
          <w:szCs w:val="20"/>
        </w:rPr>
      </w:pPr>
      <w:r>
        <w:rPr>
          <w:rFonts w:ascii="Arial" w:hAnsi="Arial" w:cs="Arial"/>
          <w:sz w:val="20"/>
          <w:szCs w:val="20"/>
        </w:rPr>
        <w:t xml:space="preserve">These mandatory licence cancellation provisions do not </w:t>
      </w:r>
      <w:r w:rsidR="00655FF6">
        <w:rPr>
          <w:rFonts w:ascii="Arial" w:hAnsi="Arial" w:cs="Arial"/>
          <w:sz w:val="20"/>
          <w:szCs w:val="20"/>
        </w:rPr>
        <w:t>enable</w:t>
      </w:r>
      <w:r>
        <w:rPr>
          <w:rFonts w:ascii="Arial" w:hAnsi="Arial" w:cs="Arial"/>
          <w:sz w:val="20"/>
          <w:szCs w:val="20"/>
        </w:rPr>
        <w:t xml:space="preserve"> a court to merely suspend a person’s driver licen</w:t>
      </w:r>
      <w:r w:rsidR="000C7780">
        <w:rPr>
          <w:rFonts w:ascii="Arial" w:hAnsi="Arial" w:cs="Arial"/>
          <w:sz w:val="20"/>
          <w:szCs w:val="20"/>
        </w:rPr>
        <w:t>c</w:t>
      </w:r>
      <w:r>
        <w:rPr>
          <w:rFonts w:ascii="Arial" w:hAnsi="Arial" w:cs="Arial"/>
          <w:sz w:val="20"/>
          <w:szCs w:val="20"/>
        </w:rPr>
        <w:t>e or learner permit.</w:t>
      </w:r>
    </w:p>
    <w:p w14:paraId="136FCAC3" w14:textId="77777777" w:rsidR="00D558C6" w:rsidRDefault="00D558C6">
      <w:pPr>
        <w:rPr>
          <w:rFonts w:ascii="Arial" w:hAnsi="Arial" w:cs="Arial"/>
          <w:sz w:val="20"/>
          <w:szCs w:val="20"/>
        </w:rPr>
      </w:pPr>
    </w:p>
    <w:p w14:paraId="35C51D67" w14:textId="2858CDF2" w:rsidR="009E452B" w:rsidRDefault="009E452B" w:rsidP="00D558C6">
      <w:pPr>
        <w:jc w:val="both"/>
        <w:rPr>
          <w:rFonts w:ascii="Arial" w:hAnsi="Arial" w:cs="Arial"/>
          <w:sz w:val="20"/>
          <w:szCs w:val="20"/>
        </w:rPr>
      </w:pPr>
      <w:r>
        <w:rPr>
          <w:rFonts w:ascii="Arial" w:hAnsi="Arial" w:cs="Arial"/>
          <w:sz w:val="20"/>
          <w:szCs w:val="20"/>
        </w:rPr>
        <w:t xml:space="preserve">The wording of s.87P(f) SA is </w:t>
      </w:r>
      <w:r w:rsidR="00D558C6">
        <w:rPr>
          <w:rFonts w:ascii="Arial" w:hAnsi="Arial" w:cs="Arial"/>
          <w:sz w:val="20"/>
          <w:szCs w:val="20"/>
        </w:rPr>
        <w:t xml:space="preserve">potentially </w:t>
      </w:r>
      <w:r>
        <w:rPr>
          <w:rFonts w:ascii="Arial" w:hAnsi="Arial" w:cs="Arial"/>
          <w:sz w:val="20"/>
          <w:szCs w:val="20"/>
        </w:rPr>
        <w:t xml:space="preserve">ambiguous.  It lists 7 categories of offences under the </w:t>
      </w:r>
      <w:r w:rsidRPr="00146E81">
        <w:rPr>
          <w:rFonts w:ascii="Arial" w:hAnsi="Arial" w:cs="Arial"/>
          <w:sz w:val="20"/>
          <w:szCs w:val="20"/>
        </w:rPr>
        <w:t>CA</w:t>
      </w:r>
      <w:r>
        <w:rPr>
          <w:rFonts w:ascii="Arial" w:hAnsi="Arial" w:cs="Arial"/>
          <w:sz w:val="20"/>
          <w:szCs w:val="20"/>
        </w:rPr>
        <w:t xml:space="preserve"> which are defined as ‘serious motor vehicle offences’ “if arising out of the driving of a motor vehicle while under the influence of alcohol or alcohol </w:t>
      </w:r>
      <w:r w:rsidRPr="009E452B">
        <w:rPr>
          <w:rFonts w:ascii="Arial" w:hAnsi="Arial" w:cs="Arial"/>
          <w:b/>
          <w:bCs/>
          <w:sz w:val="20"/>
          <w:szCs w:val="20"/>
        </w:rPr>
        <w:t>and</w:t>
      </w:r>
      <w:r>
        <w:rPr>
          <w:rFonts w:ascii="Arial" w:hAnsi="Arial" w:cs="Arial"/>
          <w:sz w:val="20"/>
          <w:szCs w:val="20"/>
        </w:rPr>
        <w:t xml:space="preserve"> a drug” [emphasis added].  A question arises whether any of the offences listed in s.87P(f) are ‘serious motor vehicle offences’ </w:t>
      </w:r>
      <w:r w:rsidR="00D558C6">
        <w:rPr>
          <w:rFonts w:ascii="Arial" w:hAnsi="Arial" w:cs="Arial"/>
          <w:sz w:val="20"/>
          <w:szCs w:val="20"/>
        </w:rPr>
        <w:t xml:space="preserve">if arising out of the driving of a motor vehicle while under the influence of a drug </w:t>
      </w:r>
      <w:r w:rsidR="00D558C6" w:rsidRPr="00D558C6">
        <w:rPr>
          <w:rFonts w:ascii="Arial" w:hAnsi="Arial" w:cs="Arial"/>
          <w:i/>
          <w:iCs/>
          <w:sz w:val="20"/>
          <w:szCs w:val="20"/>
        </w:rPr>
        <w:t>simpliciter</w:t>
      </w:r>
      <w:r w:rsidR="00D558C6">
        <w:rPr>
          <w:rFonts w:ascii="Arial" w:hAnsi="Arial" w:cs="Arial"/>
          <w:sz w:val="20"/>
          <w:szCs w:val="20"/>
        </w:rPr>
        <w:t>.</w:t>
      </w:r>
      <w:r w:rsidR="00D739E4">
        <w:rPr>
          <w:rFonts w:ascii="Arial" w:hAnsi="Arial" w:cs="Arial"/>
          <w:sz w:val="20"/>
          <w:szCs w:val="20"/>
        </w:rPr>
        <w:t xml:space="preserve">  The omission of </w:t>
      </w:r>
      <w:r w:rsidR="00253CA2">
        <w:rPr>
          <w:rFonts w:ascii="Arial" w:hAnsi="Arial" w:cs="Arial"/>
          <w:sz w:val="20"/>
          <w:szCs w:val="20"/>
        </w:rPr>
        <w:t xml:space="preserve">“under the influence of a drug” from s.87P(f) SA appears </w:t>
      </w:r>
      <w:r w:rsidR="00A65044">
        <w:rPr>
          <w:rFonts w:ascii="Arial" w:hAnsi="Arial" w:cs="Arial"/>
          <w:sz w:val="20"/>
          <w:szCs w:val="20"/>
        </w:rPr>
        <w:t>at</w:t>
      </w:r>
      <w:r w:rsidR="00253CA2">
        <w:rPr>
          <w:rFonts w:ascii="Arial" w:hAnsi="Arial" w:cs="Arial"/>
          <w:sz w:val="20"/>
          <w:szCs w:val="20"/>
        </w:rPr>
        <w:t xml:space="preserve"> odd</w:t>
      </w:r>
      <w:r w:rsidR="00A65044">
        <w:rPr>
          <w:rFonts w:ascii="Arial" w:hAnsi="Arial" w:cs="Arial"/>
          <w:sz w:val="20"/>
          <w:szCs w:val="20"/>
        </w:rPr>
        <w:t>s</w:t>
      </w:r>
      <w:r w:rsidR="00253CA2">
        <w:rPr>
          <w:rFonts w:ascii="Arial" w:hAnsi="Arial" w:cs="Arial"/>
          <w:sz w:val="20"/>
          <w:szCs w:val="20"/>
        </w:rPr>
        <w:t xml:space="preserve"> </w:t>
      </w:r>
      <w:r w:rsidR="00A65044">
        <w:rPr>
          <w:rFonts w:ascii="Arial" w:hAnsi="Arial" w:cs="Arial"/>
          <w:sz w:val="20"/>
          <w:szCs w:val="20"/>
        </w:rPr>
        <w:t>with</w:t>
      </w:r>
      <w:r w:rsidR="00253CA2">
        <w:rPr>
          <w:rFonts w:ascii="Arial" w:hAnsi="Arial" w:cs="Arial"/>
          <w:sz w:val="20"/>
          <w:szCs w:val="20"/>
        </w:rPr>
        <w:t xml:space="preserve"> s.89C SA </w:t>
      </w:r>
      <w:r w:rsidR="00A65044">
        <w:rPr>
          <w:rFonts w:ascii="Arial" w:hAnsi="Arial" w:cs="Arial"/>
          <w:sz w:val="20"/>
          <w:szCs w:val="20"/>
        </w:rPr>
        <w:t xml:space="preserve">which </w:t>
      </w:r>
      <w:r w:rsidR="00253CA2">
        <w:rPr>
          <w:rFonts w:ascii="Arial" w:hAnsi="Arial" w:cs="Arial"/>
          <w:sz w:val="20"/>
          <w:szCs w:val="20"/>
        </w:rPr>
        <w:t>refers in two places to the court making “a finding that the offence was committed while the offender was under the influence of alcohol or a drug, or both alcohol and a drug, which contributed to the offence.”</w:t>
      </w:r>
    </w:p>
    <w:p w14:paraId="610CABBB" w14:textId="77777777" w:rsidR="00D558C6" w:rsidRPr="001D6EEA" w:rsidRDefault="00D558C6">
      <w:pPr>
        <w:rPr>
          <w:rFonts w:ascii="Arial" w:hAnsi="Arial" w:cs="Arial"/>
          <w:sz w:val="20"/>
          <w:szCs w:val="20"/>
        </w:rPr>
      </w:pPr>
    </w:p>
    <w:p w14:paraId="60B4ADB9" w14:textId="2667333F" w:rsidR="004E6265" w:rsidRPr="00220B9E" w:rsidRDefault="004E6265" w:rsidP="004E626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Sections 89(4) &amp; (5) SA – Theft</w:t>
      </w:r>
      <w:r w:rsidR="001A0D1E">
        <w:rPr>
          <w:rFonts w:ascii="Arial" w:hAnsi="Arial" w:cs="Arial"/>
          <w:b/>
          <w:bCs/>
          <w:color w:val="FFFFFF" w:themeColor="background1"/>
          <w:sz w:val="20"/>
          <w:shd w:val="clear" w:color="auto" w:fill="000000" w:themeFill="text1"/>
        </w:rPr>
        <w:t>/Attempted theft</w:t>
      </w:r>
      <w:r>
        <w:rPr>
          <w:rFonts w:ascii="Arial" w:hAnsi="Arial" w:cs="Arial"/>
          <w:b/>
          <w:bCs/>
          <w:color w:val="FFFFFF" w:themeColor="background1"/>
          <w:sz w:val="20"/>
          <w:shd w:val="clear" w:color="auto" w:fill="000000" w:themeFill="text1"/>
        </w:rPr>
        <w:t xml:space="preserve"> of a motor vehicle</w:t>
      </w:r>
    </w:p>
    <w:p w14:paraId="305D75A4" w14:textId="31CEE349" w:rsidR="00D558C6" w:rsidRPr="00D558C6" w:rsidRDefault="00D558C6" w:rsidP="00D558C6">
      <w:pPr>
        <w:spacing w:before="120"/>
        <w:jc w:val="both"/>
        <w:rPr>
          <w:rFonts w:ascii="Arial" w:hAnsi="Arial" w:cs="Arial"/>
          <w:sz w:val="20"/>
          <w:szCs w:val="20"/>
        </w:rPr>
      </w:pPr>
      <w:r>
        <w:rPr>
          <w:rFonts w:ascii="Arial" w:hAnsi="Arial" w:cs="Arial"/>
          <w:sz w:val="20"/>
          <w:szCs w:val="20"/>
        </w:rPr>
        <w:t xml:space="preserve">In relation to the offences of theft </w:t>
      </w:r>
      <w:r w:rsidR="001A0D1E">
        <w:rPr>
          <w:rFonts w:ascii="Arial" w:hAnsi="Arial" w:cs="Arial"/>
          <w:sz w:val="20"/>
          <w:szCs w:val="20"/>
        </w:rPr>
        <w:t>and</w:t>
      </w:r>
      <w:r>
        <w:rPr>
          <w:rFonts w:ascii="Arial" w:hAnsi="Arial" w:cs="Arial"/>
          <w:sz w:val="20"/>
          <w:szCs w:val="20"/>
        </w:rPr>
        <w:t xml:space="preserve"> attempted theft of a motor vehicle, s.8</w:t>
      </w:r>
      <w:r w:rsidRPr="00D558C6">
        <w:rPr>
          <w:rFonts w:ascii="Arial" w:hAnsi="Arial" w:cs="Arial"/>
          <w:sz w:val="20"/>
          <w:szCs w:val="20"/>
        </w:rPr>
        <w:t xml:space="preserve">9(4) </w:t>
      </w:r>
      <w:r>
        <w:rPr>
          <w:rFonts w:ascii="Arial" w:hAnsi="Arial" w:cs="Arial"/>
          <w:sz w:val="20"/>
          <w:szCs w:val="20"/>
        </w:rPr>
        <w:t xml:space="preserve">SA </w:t>
      </w:r>
      <w:r w:rsidRPr="00D558C6">
        <w:rPr>
          <w:rFonts w:ascii="Arial" w:hAnsi="Arial" w:cs="Arial"/>
          <w:sz w:val="20"/>
          <w:szCs w:val="20"/>
        </w:rPr>
        <w:t xml:space="preserve">provides that </w:t>
      </w:r>
      <w:r>
        <w:rPr>
          <w:rFonts w:ascii="Arial" w:hAnsi="Arial" w:cs="Arial"/>
          <w:sz w:val="20"/>
          <w:szCs w:val="20"/>
        </w:rPr>
        <w:t>if a person is-</w:t>
      </w:r>
    </w:p>
    <w:p w14:paraId="46A5D313" w14:textId="07D1E1B8" w:rsid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convicted</w:t>
      </w:r>
      <w:r>
        <w:rPr>
          <w:rFonts w:ascii="Arial" w:hAnsi="Arial" w:cs="Arial"/>
          <w:sz w:val="20"/>
          <w:szCs w:val="20"/>
        </w:rPr>
        <w:t xml:space="preserve"> of either offence, the court </w:t>
      </w:r>
      <w:r w:rsidRPr="00D558C6">
        <w:rPr>
          <w:rFonts w:ascii="Arial" w:hAnsi="Arial" w:cs="Arial"/>
          <w:b/>
          <w:bCs/>
          <w:sz w:val="20"/>
          <w:szCs w:val="20"/>
        </w:rPr>
        <w:t>must</w:t>
      </w:r>
      <w:r w:rsidR="000F6649">
        <w:rPr>
          <w:rFonts w:ascii="Arial" w:hAnsi="Arial" w:cs="Arial"/>
          <w:sz w:val="20"/>
          <w:szCs w:val="20"/>
        </w:rPr>
        <w:t>;</w:t>
      </w:r>
    </w:p>
    <w:p w14:paraId="16BEEAA6" w14:textId="1EC903AC" w:rsidR="00D558C6" w:rsidRP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found guilty</w:t>
      </w:r>
      <w:r>
        <w:rPr>
          <w:rFonts w:ascii="Arial" w:hAnsi="Arial" w:cs="Arial"/>
          <w:sz w:val="20"/>
          <w:szCs w:val="20"/>
        </w:rPr>
        <w:t xml:space="preserve"> </w:t>
      </w:r>
      <w:r w:rsidR="00C65398">
        <w:rPr>
          <w:rFonts w:ascii="Arial" w:hAnsi="Arial" w:cs="Arial"/>
          <w:sz w:val="20"/>
          <w:szCs w:val="20"/>
        </w:rPr>
        <w:t xml:space="preserve">(without conviction) </w:t>
      </w:r>
      <w:r>
        <w:rPr>
          <w:rFonts w:ascii="Arial" w:hAnsi="Arial" w:cs="Arial"/>
          <w:sz w:val="20"/>
          <w:szCs w:val="20"/>
        </w:rPr>
        <w:t xml:space="preserve">of either offence, the court </w:t>
      </w:r>
      <w:r w:rsidRPr="00D558C6">
        <w:rPr>
          <w:rFonts w:ascii="Arial" w:hAnsi="Arial" w:cs="Arial"/>
          <w:b/>
          <w:bCs/>
          <w:sz w:val="20"/>
          <w:szCs w:val="20"/>
        </w:rPr>
        <w:t>may</w:t>
      </w:r>
      <w:r>
        <w:rPr>
          <w:rFonts w:ascii="Arial" w:hAnsi="Arial" w:cs="Arial"/>
          <w:sz w:val="20"/>
          <w:szCs w:val="20"/>
        </w:rPr>
        <w:t>-</w:t>
      </w:r>
    </w:p>
    <w:p w14:paraId="145CD58E" w14:textId="1BF166FD" w:rsidR="00D558C6" w:rsidRDefault="00312271" w:rsidP="00D558C6">
      <w:pPr>
        <w:jc w:val="both"/>
        <w:rPr>
          <w:rFonts w:ascii="Arial" w:hAnsi="Arial" w:cs="Arial"/>
          <w:sz w:val="20"/>
          <w:szCs w:val="20"/>
        </w:rPr>
      </w:pPr>
      <w:r w:rsidRPr="006D6C55">
        <w:rPr>
          <w:rFonts w:ascii="Arial" w:hAnsi="Arial" w:cs="Arial"/>
          <w:b/>
          <w:bCs/>
          <w:sz w:val="20"/>
          <w:szCs w:val="20"/>
        </w:rPr>
        <w:t>suspend</w:t>
      </w:r>
      <w:r w:rsidR="006D6C55">
        <w:rPr>
          <w:rFonts w:ascii="Arial" w:hAnsi="Arial" w:cs="Arial"/>
          <w:sz w:val="20"/>
          <w:szCs w:val="20"/>
        </w:rPr>
        <w:t xml:space="preserve"> </w:t>
      </w:r>
      <w:r w:rsidRPr="006D6C55">
        <w:rPr>
          <w:rFonts w:ascii="Arial" w:hAnsi="Arial" w:cs="Arial"/>
          <w:sz w:val="20"/>
          <w:szCs w:val="20"/>
        </w:rPr>
        <w:t>or</w:t>
      </w:r>
      <w:r w:rsidR="006D6C55">
        <w:rPr>
          <w:rFonts w:ascii="Arial" w:hAnsi="Arial" w:cs="Arial"/>
          <w:sz w:val="20"/>
          <w:szCs w:val="20"/>
        </w:rPr>
        <w:t xml:space="preserve"> </w:t>
      </w:r>
      <w:r w:rsidR="006D6C55" w:rsidRPr="006D6C55">
        <w:rPr>
          <w:rFonts w:ascii="Arial" w:hAnsi="Arial" w:cs="Arial"/>
          <w:b/>
          <w:bCs/>
          <w:sz w:val="20"/>
          <w:szCs w:val="20"/>
        </w:rPr>
        <w:t>cancel</w:t>
      </w:r>
      <w:r w:rsidR="006D6C55">
        <w:rPr>
          <w:rFonts w:ascii="Arial" w:hAnsi="Arial" w:cs="Arial"/>
          <w:sz w:val="20"/>
          <w:szCs w:val="20"/>
        </w:rPr>
        <w:t xml:space="preserve"> </w:t>
      </w:r>
      <w:r w:rsidR="00D558C6">
        <w:rPr>
          <w:rFonts w:ascii="Arial" w:hAnsi="Arial" w:cs="Arial"/>
          <w:sz w:val="20"/>
          <w:szCs w:val="20"/>
        </w:rPr>
        <w:t>any Victorian driver licence or learner permit (but not a licence or permit issued elsewhere) which the person holds and disqualif</w:t>
      </w:r>
      <w:r>
        <w:rPr>
          <w:rFonts w:ascii="Arial" w:hAnsi="Arial" w:cs="Arial"/>
          <w:sz w:val="20"/>
          <w:szCs w:val="20"/>
        </w:rPr>
        <w:t>y</w:t>
      </w:r>
      <w:r w:rsidR="00D558C6">
        <w:rPr>
          <w:rFonts w:ascii="Arial" w:hAnsi="Arial" w:cs="Arial"/>
          <w:sz w:val="20"/>
          <w:szCs w:val="20"/>
        </w:rPr>
        <w:t xml:space="preserve"> the person from driving a motor vehicle on a road in Victoria for the period specified.</w:t>
      </w:r>
    </w:p>
    <w:p w14:paraId="321C17F4" w14:textId="77777777" w:rsidR="00C65398" w:rsidRDefault="00C65398" w:rsidP="00D558C6">
      <w:pPr>
        <w:jc w:val="both"/>
        <w:rPr>
          <w:rFonts w:ascii="Arial" w:hAnsi="Arial" w:cs="Arial"/>
          <w:sz w:val="20"/>
          <w:szCs w:val="20"/>
        </w:rPr>
      </w:pPr>
    </w:p>
    <w:bookmarkEnd w:id="252"/>
    <w:p w14:paraId="154AEA99" w14:textId="77777777" w:rsidR="001955C0" w:rsidRDefault="004D74D7" w:rsidP="00C65398">
      <w:pPr>
        <w:jc w:val="both"/>
        <w:rPr>
          <w:rFonts w:ascii="Arial" w:hAnsi="Arial" w:cs="Arial"/>
          <w:sz w:val="20"/>
          <w:szCs w:val="20"/>
        </w:rPr>
      </w:pPr>
      <w:r>
        <w:rPr>
          <w:rFonts w:ascii="Arial" w:hAnsi="Arial" w:cs="Arial"/>
          <w:sz w:val="20"/>
          <w:szCs w:val="20"/>
        </w:rPr>
        <w:t>It follows that</w:t>
      </w:r>
      <w:r w:rsidR="001955C0">
        <w:rPr>
          <w:rFonts w:ascii="Arial" w:hAnsi="Arial" w:cs="Arial"/>
          <w:sz w:val="20"/>
          <w:szCs w:val="20"/>
        </w:rPr>
        <w:t>-</w:t>
      </w:r>
    </w:p>
    <w:p w14:paraId="2BBF32A6" w14:textId="77777777" w:rsidR="001955C0" w:rsidRDefault="004D74D7"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convicted</w:t>
      </w:r>
      <w:r w:rsidRPr="001955C0">
        <w:rPr>
          <w:rFonts w:ascii="Arial" w:hAnsi="Arial" w:cs="Arial"/>
          <w:sz w:val="20"/>
          <w:szCs w:val="20"/>
        </w:rPr>
        <w:t xml:space="preserve"> of theft or attempted theft of a motor vehicle the court </w:t>
      </w:r>
      <w:r w:rsidRPr="001955C0">
        <w:rPr>
          <w:rFonts w:ascii="Arial" w:hAnsi="Arial" w:cs="Arial"/>
          <w:b/>
          <w:bCs/>
          <w:sz w:val="20"/>
          <w:szCs w:val="20"/>
        </w:rPr>
        <w:t>must</w:t>
      </w:r>
      <w:r w:rsidRPr="001955C0">
        <w:rPr>
          <w:rFonts w:ascii="Arial" w:hAnsi="Arial" w:cs="Arial"/>
          <w:sz w:val="20"/>
          <w:szCs w:val="20"/>
        </w:rPr>
        <w:t xml:space="preserve"> interfere with that person’s right to drive in Victoria but has </w:t>
      </w:r>
      <w:r w:rsidRPr="001955C0">
        <w:rPr>
          <w:rFonts w:ascii="Arial" w:hAnsi="Arial" w:cs="Arial"/>
          <w:b/>
          <w:bCs/>
          <w:sz w:val="20"/>
          <w:szCs w:val="20"/>
        </w:rPr>
        <w:t xml:space="preserve">a </w:t>
      </w:r>
      <w:r w:rsidR="001A0D1E" w:rsidRPr="001955C0">
        <w:rPr>
          <w:rFonts w:ascii="Arial" w:hAnsi="Arial" w:cs="Arial"/>
          <w:b/>
          <w:bCs/>
          <w:sz w:val="20"/>
          <w:szCs w:val="20"/>
        </w:rPr>
        <w:t>choice</w:t>
      </w:r>
      <w:r w:rsidRPr="001955C0">
        <w:rPr>
          <w:rFonts w:ascii="Arial" w:hAnsi="Arial" w:cs="Arial"/>
          <w:sz w:val="20"/>
          <w:szCs w:val="20"/>
        </w:rPr>
        <w:t xml:space="preserve"> as to whether </w:t>
      </w:r>
      <w:r w:rsidR="00EB4A21" w:rsidRPr="001955C0">
        <w:rPr>
          <w:rFonts w:ascii="Arial" w:hAnsi="Arial" w:cs="Arial"/>
          <w:sz w:val="20"/>
          <w:szCs w:val="20"/>
        </w:rPr>
        <w:t>any Victorian driver licence or learner permit is suspended or cancelled</w:t>
      </w:r>
      <w:r w:rsidR="001955C0">
        <w:rPr>
          <w:rFonts w:ascii="Arial" w:hAnsi="Arial" w:cs="Arial"/>
          <w:sz w:val="20"/>
          <w:szCs w:val="20"/>
        </w:rPr>
        <w:t>;</w:t>
      </w:r>
    </w:p>
    <w:p w14:paraId="739F7A0A" w14:textId="4BE5AF32" w:rsidR="00D558C6" w:rsidRPr="001955C0" w:rsidRDefault="00C65398"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found guilty but not convicted</w:t>
      </w:r>
      <w:r w:rsidRPr="001955C0">
        <w:rPr>
          <w:rFonts w:ascii="Arial" w:hAnsi="Arial" w:cs="Arial"/>
          <w:sz w:val="20"/>
          <w:szCs w:val="20"/>
        </w:rPr>
        <w:t xml:space="preserve"> of </w:t>
      </w:r>
      <w:r w:rsidR="001A0D1E" w:rsidRPr="001955C0">
        <w:rPr>
          <w:rFonts w:ascii="Arial" w:hAnsi="Arial" w:cs="Arial"/>
          <w:sz w:val="20"/>
          <w:szCs w:val="20"/>
        </w:rPr>
        <w:t>theft or attempted theft of a motor vehicle</w:t>
      </w:r>
      <w:r w:rsidR="001955C0" w:rsidRPr="001955C0">
        <w:rPr>
          <w:rFonts w:ascii="Arial" w:hAnsi="Arial" w:cs="Arial"/>
          <w:sz w:val="20"/>
          <w:szCs w:val="20"/>
        </w:rPr>
        <w:t xml:space="preserve"> </w:t>
      </w:r>
      <w:r w:rsidRPr="001955C0">
        <w:rPr>
          <w:rFonts w:ascii="Arial" w:hAnsi="Arial" w:cs="Arial"/>
          <w:sz w:val="20"/>
          <w:szCs w:val="20"/>
        </w:rPr>
        <w:t>the court has an</w:t>
      </w:r>
      <w:r w:rsidRPr="001955C0">
        <w:rPr>
          <w:rFonts w:ascii="Arial" w:hAnsi="Arial" w:cs="Arial"/>
          <w:b/>
          <w:bCs/>
          <w:sz w:val="20"/>
          <w:szCs w:val="20"/>
        </w:rPr>
        <w:t xml:space="preserve"> absolute discretion whether or not</w:t>
      </w:r>
      <w:r w:rsidRPr="001955C0">
        <w:rPr>
          <w:rFonts w:ascii="Arial" w:hAnsi="Arial" w:cs="Arial"/>
          <w:sz w:val="20"/>
          <w:szCs w:val="20"/>
        </w:rPr>
        <w:t xml:space="preserve"> </w:t>
      </w:r>
      <w:r w:rsidR="00695AAF" w:rsidRPr="001955C0">
        <w:rPr>
          <w:rFonts w:ascii="Arial" w:hAnsi="Arial" w:cs="Arial"/>
          <w:sz w:val="20"/>
          <w:szCs w:val="20"/>
        </w:rPr>
        <w:t xml:space="preserve">(and if so how) </w:t>
      </w:r>
      <w:r w:rsidRPr="001955C0">
        <w:rPr>
          <w:rFonts w:ascii="Arial" w:hAnsi="Arial" w:cs="Arial"/>
          <w:sz w:val="20"/>
          <w:szCs w:val="20"/>
        </w:rPr>
        <w:t>to interfere with that person’s right to drive in Victoria.</w:t>
      </w:r>
    </w:p>
    <w:p w14:paraId="08E10A47" w14:textId="59858417" w:rsidR="00C65398" w:rsidRDefault="00C65398" w:rsidP="00C65398">
      <w:pPr>
        <w:rPr>
          <w:rFonts w:ascii="Arial" w:hAnsi="Arial" w:cs="Arial"/>
          <w:sz w:val="20"/>
          <w:szCs w:val="20"/>
        </w:rPr>
      </w:pPr>
    </w:p>
    <w:p w14:paraId="722942F7" w14:textId="358F7551" w:rsidR="00C65398" w:rsidRDefault="00C65398" w:rsidP="00C65398">
      <w:pPr>
        <w:jc w:val="both"/>
        <w:rPr>
          <w:rFonts w:ascii="Arial" w:hAnsi="Arial" w:cs="Arial"/>
          <w:sz w:val="20"/>
          <w:szCs w:val="20"/>
        </w:rPr>
      </w:pPr>
      <w:r>
        <w:rPr>
          <w:rFonts w:ascii="Arial" w:hAnsi="Arial" w:cs="Arial"/>
          <w:sz w:val="20"/>
          <w:szCs w:val="20"/>
        </w:rPr>
        <w:t xml:space="preserve">There is no minimum period of suspension or disqualification referred to in s.89(4) SA but s.89(5) provides that if a period of suspension </w:t>
      </w:r>
      <w:r w:rsidR="00DF586F">
        <w:rPr>
          <w:rFonts w:ascii="Arial" w:hAnsi="Arial" w:cs="Arial"/>
          <w:sz w:val="20"/>
          <w:szCs w:val="20"/>
        </w:rPr>
        <w:t xml:space="preserve">or disqualification is not specified by the court </w:t>
      </w:r>
      <w:r w:rsidR="004E6265">
        <w:rPr>
          <w:rFonts w:ascii="Arial" w:hAnsi="Arial" w:cs="Arial"/>
          <w:sz w:val="20"/>
          <w:szCs w:val="20"/>
        </w:rPr>
        <w:t>o</w:t>
      </w:r>
      <w:r w:rsidR="00DF586F">
        <w:rPr>
          <w:rFonts w:ascii="Arial" w:hAnsi="Arial" w:cs="Arial"/>
          <w:sz w:val="20"/>
          <w:szCs w:val="20"/>
        </w:rPr>
        <w:t>n making an order under s.89(4), the period is 3 months.</w:t>
      </w:r>
    </w:p>
    <w:p w14:paraId="3C182C29" w14:textId="49F21F7E" w:rsidR="00C65398" w:rsidRDefault="00C65398" w:rsidP="00C65398">
      <w:pPr>
        <w:rPr>
          <w:rFonts w:ascii="Arial" w:hAnsi="Arial" w:cs="Arial"/>
          <w:sz w:val="20"/>
          <w:szCs w:val="20"/>
        </w:rPr>
      </w:pPr>
    </w:p>
    <w:p w14:paraId="3C53FA9E" w14:textId="6B721686" w:rsidR="00C65398" w:rsidRPr="00981168" w:rsidRDefault="00C65398" w:rsidP="00C65398">
      <w:pPr>
        <w:rPr>
          <w:rFonts w:ascii="Arial" w:hAnsi="Arial" w:cs="Arial"/>
          <w:b/>
          <w:bCs/>
          <w:color w:val="FFFFFF" w:themeColor="background1"/>
          <w:sz w:val="20"/>
          <w:szCs w:val="20"/>
        </w:rPr>
      </w:pPr>
      <w:r w:rsidRPr="00981168">
        <w:rPr>
          <w:rFonts w:ascii="Arial" w:hAnsi="Arial" w:cs="Arial"/>
          <w:b/>
          <w:bCs/>
          <w:color w:val="FFFFFF" w:themeColor="background1"/>
          <w:sz w:val="20"/>
          <w:szCs w:val="20"/>
          <w:shd w:val="clear" w:color="auto" w:fill="000000" w:themeFill="text1"/>
        </w:rPr>
        <w:t>Section 89</w:t>
      </w:r>
      <w:r w:rsidR="00DF586F" w:rsidRPr="00981168">
        <w:rPr>
          <w:rFonts w:ascii="Arial" w:hAnsi="Arial" w:cs="Arial"/>
          <w:b/>
          <w:bCs/>
          <w:color w:val="FFFFFF" w:themeColor="background1"/>
          <w:sz w:val="20"/>
          <w:szCs w:val="20"/>
          <w:shd w:val="clear" w:color="auto" w:fill="000000" w:themeFill="text1"/>
        </w:rPr>
        <w:t xml:space="preserve">A </w:t>
      </w:r>
      <w:r w:rsidRPr="00981168">
        <w:rPr>
          <w:rFonts w:ascii="Arial" w:hAnsi="Arial" w:cs="Arial"/>
          <w:b/>
          <w:bCs/>
          <w:color w:val="FFFFFF" w:themeColor="background1"/>
          <w:sz w:val="20"/>
          <w:szCs w:val="20"/>
          <w:shd w:val="clear" w:color="auto" w:fill="000000" w:themeFill="text1"/>
        </w:rPr>
        <w:t xml:space="preserve">SA – </w:t>
      </w:r>
      <w:r w:rsidR="00DF586F" w:rsidRPr="00981168">
        <w:rPr>
          <w:rFonts w:ascii="Arial" w:hAnsi="Arial" w:cs="Arial"/>
          <w:b/>
          <w:bCs/>
          <w:color w:val="FFFFFF" w:themeColor="background1"/>
          <w:sz w:val="20"/>
          <w:szCs w:val="20"/>
          <w:shd w:val="clear" w:color="auto" w:fill="000000" w:themeFill="text1"/>
        </w:rPr>
        <w:t>Any other offence</w:t>
      </w:r>
      <w:r w:rsidR="00981168">
        <w:rPr>
          <w:rFonts w:ascii="Arial" w:hAnsi="Arial" w:cs="Arial"/>
          <w:b/>
          <w:bCs/>
          <w:color w:val="FFFFFF" w:themeColor="background1"/>
          <w:sz w:val="20"/>
          <w:szCs w:val="20"/>
          <w:shd w:val="clear" w:color="auto" w:fill="000000" w:themeFill="text1"/>
        </w:rPr>
        <w:t xml:space="preserve"> except under the Road Safety Act 1986</w:t>
      </w:r>
    </w:p>
    <w:p w14:paraId="149E45A1" w14:textId="5EC00813" w:rsidR="00DF586F" w:rsidRDefault="00DF586F" w:rsidP="006D6C55">
      <w:pPr>
        <w:spacing w:before="120"/>
        <w:jc w:val="both"/>
        <w:rPr>
          <w:rFonts w:ascii="Arial" w:hAnsi="Arial" w:cs="Arial"/>
          <w:sz w:val="20"/>
          <w:szCs w:val="20"/>
        </w:rPr>
      </w:pPr>
      <w:r w:rsidRPr="00DF586F">
        <w:rPr>
          <w:rFonts w:ascii="Arial" w:hAnsi="Arial" w:cs="Arial"/>
          <w:sz w:val="20"/>
          <w:szCs w:val="20"/>
        </w:rPr>
        <w:t>Section</w:t>
      </w:r>
      <w:r>
        <w:rPr>
          <w:rFonts w:ascii="Arial" w:hAnsi="Arial" w:cs="Arial"/>
          <w:sz w:val="20"/>
          <w:szCs w:val="20"/>
        </w:rPr>
        <w:t>s</w:t>
      </w:r>
      <w:r w:rsidRPr="00DF586F">
        <w:rPr>
          <w:rFonts w:ascii="Arial" w:hAnsi="Arial" w:cs="Arial"/>
          <w:sz w:val="20"/>
          <w:szCs w:val="20"/>
        </w:rPr>
        <w:t xml:space="preserve"> </w:t>
      </w:r>
      <w:r>
        <w:rPr>
          <w:rFonts w:ascii="Arial" w:hAnsi="Arial" w:cs="Arial"/>
          <w:sz w:val="20"/>
          <w:szCs w:val="20"/>
        </w:rPr>
        <w:t>89</w:t>
      </w:r>
      <w:r w:rsidR="006D6C55">
        <w:rPr>
          <w:rFonts w:ascii="Arial" w:hAnsi="Arial" w:cs="Arial"/>
          <w:sz w:val="20"/>
          <w:szCs w:val="20"/>
        </w:rPr>
        <w:t>A</w:t>
      </w:r>
      <w:r>
        <w:rPr>
          <w:rFonts w:ascii="Arial" w:hAnsi="Arial" w:cs="Arial"/>
          <w:sz w:val="20"/>
          <w:szCs w:val="20"/>
        </w:rPr>
        <w:t xml:space="preserve">(1) &amp; 89A(4) SA provide that if a person is </w:t>
      </w:r>
      <w:r w:rsidRPr="006D6C55">
        <w:rPr>
          <w:rFonts w:ascii="Arial" w:hAnsi="Arial" w:cs="Arial"/>
          <w:b/>
          <w:bCs/>
          <w:sz w:val="20"/>
          <w:szCs w:val="20"/>
        </w:rPr>
        <w:t>found guilty</w:t>
      </w:r>
      <w:r>
        <w:rPr>
          <w:rFonts w:ascii="Arial" w:hAnsi="Arial" w:cs="Arial"/>
          <w:sz w:val="20"/>
          <w:szCs w:val="20"/>
        </w:rPr>
        <w:t xml:space="preserve"> or </w:t>
      </w:r>
      <w:r w:rsidRPr="006D6C55">
        <w:rPr>
          <w:rFonts w:ascii="Arial" w:hAnsi="Arial" w:cs="Arial"/>
          <w:b/>
          <w:bCs/>
          <w:sz w:val="20"/>
          <w:szCs w:val="20"/>
        </w:rPr>
        <w:t>convicted</w:t>
      </w:r>
      <w:r>
        <w:rPr>
          <w:rFonts w:ascii="Arial" w:hAnsi="Arial" w:cs="Arial"/>
          <w:sz w:val="20"/>
          <w:szCs w:val="20"/>
        </w:rPr>
        <w:t xml:space="preserve"> of any offence </w:t>
      </w:r>
      <w:r w:rsidR="006D6C55">
        <w:rPr>
          <w:rFonts w:ascii="Arial" w:hAnsi="Arial" w:cs="Arial"/>
          <w:sz w:val="20"/>
          <w:szCs w:val="20"/>
        </w:rPr>
        <w:t>other than-</w:t>
      </w:r>
    </w:p>
    <w:p w14:paraId="54E30751" w14:textId="15C52837"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 serious motor vehicle offence</w:t>
      </w:r>
      <w:r w:rsidR="00695AAF">
        <w:rPr>
          <w:rFonts w:ascii="Arial" w:hAnsi="Arial" w:cs="Arial"/>
          <w:sz w:val="20"/>
          <w:szCs w:val="20"/>
        </w:rPr>
        <w:t xml:space="preserve"> listed in s.87P SA</w:t>
      </w:r>
      <w:r>
        <w:rPr>
          <w:rFonts w:ascii="Arial" w:hAnsi="Arial" w:cs="Arial"/>
          <w:sz w:val="20"/>
          <w:szCs w:val="20"/>
        </w:rPr>
        <w:t>; or</w:t>
      </w:r>
    </w:p>
    <w:p w14:paraId="047D839C" w14:textId="06763935"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 xml:space="preserve">an offence under s.319AA </w:t>
      </w:r>
      <w:r w:rsidR="00695AAF">
        <w:rPr>
          <w:rFonts w:ascii="Arial" w:hAnsi="Arial" w:cs="Arial"/>
          <w:sz w:val="20"/>
          <w:szCs w:val="20"/>
        </w:rPr>
        <w:t xml:space="preserve">CA </w:t>
      </w:r>
      <w:r>
        <w:rPr>
          <w:rFonts w:ascii="Arial" w:hAnsi="Arial" w:cs="Arial"/>
          <w:sz w:val="20"/>
          <w:szCs w:val="20"/>
        </w:rPr>
        <w:t>of dangerous or negligent driving when pursued by police; or</w:t>
      </w:r>
    </w:p>
    <w:p w14:paraId="59130D92" w14:textId="2A71DAB3"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of theft or attempted theft of a motor vehicle; or</w:t>
      </w:r>
    </w:p>
    <w:p w14:paraId="2C680D90" w14:textId="3DF41D41"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lastRenderedPageBreak/>
        <w:t>an offence under the RSA or regulations or rules made under the RSA-</w:t>
      </w:r>
    </w:p>
    <w:p w14:paraId="3B2D688C" w14:textId="77777777" w:rsidR="0029472E" w:rsidRDefault="006D6C55" w:rsidP="006D6C55">
      <w:pPr>
        <w:jc w:val="both"/>
        <w:rPr>
          <w:rFonts w:ascii="Arial" w:hAnsi="Arial" w:cs="Arial"/>
          <w:b/>
          <w:bCs/>
          <w:sz w:val="20"/>
          <w:szCs w:val="20"/>
        </w:rPr>
      </w:pPr>
      <w:r w:rsidRPr="006D6C55">
        <w:rPr>
          <w:rFonts w:ascii="Arial" w:hAnsi="Arial" w:cs="Arial"/>
          <w:sz w:val="20"/>
          <w:szCs w:val="20"/>
        </w:rPr>
        <w:t xml:space="preserve">the court </w:t>
      </w:r>
      <w:r w:rsidRPr="006D6C55">
        <w:rPr>
          <w:rFonts w:ascii="Arial" w:hAnsi="Arial" w:cs="Arial"/>
          <w:b/>
          <w:bCs/>
          <w:sz w:val="20"/>
          <w:szCs w:val="20"/>
        </w:rPr>
        <w:t>may</w:t>
      </w:r>
      <w:r w:rsidR="0029472E">
        <w:rPr>
          <w:rFonts w:ascii="Arial" w:hAnsi="Arial" w:cs="Arial"/>
          <w:b/>
          <w:bCs/>
          <w:sz w:val="20"/>
          <w:szCs w:val="20"/>
        </w:rPr>
        <w:t>-</w:t>
      </w:r>
    </w:p>
    <w:p w14:paraId="570BABEC" w14:textId="5031CB37" w:rsidR="0029472E" w:rsidRDefault="0029472E"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if the person is the holder of a Victorian driver licence or learner permit-</w:t>
      </w:r>
    </w:p>
    <w:p w14:paraId="43D0A63B" w14:textId="3AF41CB3" w:rsidR="0029472E" w:rsidRDefault="0029472E" w:rsidP="0029472E">
      <w:pPr>
        <w:pStyle w:val="ListParagraph"/>
        <w:numPr>
          <w:ilvl w:val="0"/>
          <w:numId w:val="125"/>
        </w:numPr>
        <w:ind w:left="714" w:hanging="357"/>
        <w:jc w:val="both"/>
        <w:rPr>
          <w:rFonts w:ascii="Arial" w:hAnsi="Arial" w:cs="Arial"/>
          <w:sz w:val="20"/>
          <w:szCs w:val="20"/>
        </w:rPr>
      </w:pPr>
      <w:r w:rsidRPr="0029472E">
        <w:rPr>
          <w:rFonts w:ascii="Arial" w:hAnsi="Arial" w:cs="Arial"/>
          <w:b/>
          <w:bCs/>
          <w:sz w:val="20"/>
          <w:szCs w:val="20"/>
        </w:rPr>
        <w:t>suspend</w:t>
      </w:r>
      <w:r w:rsidRPr="0029472E">
        <w:rPr>
          <w:rFonts w:ascii="Arial" w:hAnsi="Arial" w:cs="Arial"/>
          <w:sz w:val="20"/>
          <w:szCs w:val="20"/>
        </w:rPr>
        <w:t xml:space="preserve"> that licence or permit for a specified period; or</w:t>
      </w:r>
    </w:p>
    <w:p w14:paraId="41FDD725" w14:textId="50C47C28" w:rsidR="0029472E" w:rsidRPr="0029472E" w:rsidRDefault="0029472E" w:rsidP="0029472E">
      <w:pPr>
        <w:pStyle w:val="ListParagraph"/>
        <w:numPr>
          <w:ilvl w:val="0"/>
          <w:numId w:val="125"/>
        </w:numPr>
        <w:ind w:left="714" w:hanging="357"/>
        <w:jc w:val="both"/>
        <w:rPr>
          <w:rFonts w:ascii="Arial" w:hAnsi="Arial" w:cs="Arial"/>
          <w:sz w:val="20"/>
          <w:szCs w:val="20"/>
        </w:rPr>
      </w:pPr>
      <w:r>
        <w:rPr>
          <w:rFonts w:ascii="Arial" w:hAnsi="Arial" w:cs="Arial"/>
          <w:b/>
          <w:bCs/>
          <w:sz w:val="20"/>
          <w:szCs w:val="20"/>
        </w:rPr>
        <w:t>cancel</w:t>
      </w:r>
      <w:r w:rsidRPr="0029472E">
        <w:rPr>
          <w:rFonts w:ascii="Arial" w:hAnsi="Arial" w:cs="Arial"/>
          <w:sz w:val="20"/>
          <w:szCs w:val="20"/>
        </w:rPr>
        <w:t xml:space="preserve"> that </w:t>
      </w:r>
      <w:r>
        <w:rPr>
          <w:rFonts w:ascii="Arial" w:hAnsi="Arial" w:cs="Arial"/>
          <w:sz w:val="20"/>
          <w:szCs w:val="20"/>
        </w:rPr>
        <w:t xml:space="preserve">licence or permit and </w:t>
      </w:r>
      <w:r w:rsidRPr="0029472E">
        <w:rPr>
          <w:rFonts w:ascii="Arial" w:hAnsi="Arial" w:cs="Arial"/>
          <w:b/>
          <w:bCs/>
          <w:sz w:val="20"/>
          <w:szCs w:val="20"/>
        </w:rPr>
        <w:t>disqualify</w:t>
      </w:r>
      <w:r>
        <w:rPr>
          <w:rFonts w:ascii="Arial" w:hAnsi="Arial" w:cs="Arial"/>
          <w:sz w:val="20"/>
          <w:szCs w:val="20"/>
        </w:rPr>
        <w:t xml:space="preserve"> the person from obtaining a futher one for a specified period;</w:t>
      </w:r>
      <w:r w:rsidR="00F11919">
        <w:rPr>
          <w:rFonts w:ascii="Arial" w:hAnsi="Arial" w:cs="Arial"/>
          <w:sz w:val="20"/>
          <w:szCs w:val="20"/>
        </w:rPr>
        <w:t xml:space="preserve"> or</w:t>
      </w:r>
    </w:p>
    <w:p w14:paraId="3215EA96" w14:textId="377DEE71" w:rsidR="0029472E" w:rsidRP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if the person is not the holder of a Victorian licence or permit but is the holder of one obtained elsewhere, </w:t>
      </w:r>
      <w:r w:rsidRPr="00F11919">
        <w:rPr>
          <w:rFonts w:ascii="Arial" w:hAnsi="Arial" w:cs="Arial"/>
          <w:b/>
          <w:bCs/>
          <w:sz w:val="20"/>
          <w:szCs w:val="20"/>
        </w:rPr>
        <w:t>disqualify</w:t>
      </w:r>
      <w:r>
        <w:rPr>
          <w:rFonts w:ascii="Arial" w:hAnsi="Arial" w:cs="Arial"/>
          <w:sz w:val="20"/>
          <w:szCs w:val="20"/>
        </w:rPr>
        <w:t xml:space="preserve"> the person from driving a motor vehicle on a road in Victoria for the period that he or she would have been disqualified from obtaining a Victorian licence or permit; or</w:t>
      </w:r>
    </w:p>
    <w:p w14:paraId="4861A853" w14:textId="00ED09B1" w:rsid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in </w:t>
      </w:r>
      <w:r w:rsidR="0029472E" w:rsidRPr="0029472E">
        <w:rPr>
          <w:rFonts w:ascii="Arial" w:hAnsi="Arial" w:cs="Arial"/>
          <w:sz w:val="20"/>
          <w:szCs w:val="20"/>
        </w:rPr>
        <w:t xml:space="preserve">any </w:t>
      </w:r>
      <w:r>
        <w:rPr>
          <w:rFonts w:ascii="Arial" w:hAnsi="Arial" w:cs="Arial"/>
          <w:sz w:val="20"/>
          <w:szCs w:val="20"/>
        </w:rPr>
        <w:t xml:space="preserve">other case where the person is not the holder of a driver licence or learner permit, </w:t>
      </w:r>
      <w:r w:rsidRPr="00101FC4">
        <w:rPr>
          <w:rFonts w:ascii="Arial" w:hAnsi="Arial" w:cs="Arial"/>
          <w:b/>
          <w:bCs/>
          <w:sz w:val="20"/>
          <w:szCs w:val="20"/>
        </w:rPr>
        <w:t>disqualify</w:t>
      </w:r>
      <w:r>
        <w:rPr>
          <w:rFonts w:ascii="Arial" w:hAnsi="Arial" w:cs="Arial"/>
          <w:sz w:val="20"/>
          <w:szCs w:val="20"/>
        </w:rPr>
        <w:t xml:space="preserve"> him or her from obtaining one for a specified period.</w:t>
      </w:r>
    </w:p>
    <w:p w14:paraId="28957112" w14:textId="77777777" w:rsidR="00F11919" w:rsidRDefault="00F11919" w:rsidP="00F11919">
      <w:pPr>
        <w:jc w:val="both"/>
        <w:rPr>
          <w:rFonts w:ascii="Arial" w:hAnsi="Arial" w:cs="Arial"/>
          <w:sz w:val="20"/>
          <w:szCs w:val="20"/>
        </w:rPr>
      </w:pPr>
    </w:p>
    <w:p w14:paraId="5613C2D1" w14:textId="52447DA8" w:rsidR="00203573" w:rsidRPr="00F11919" w:rsidRDefault="00F11919" w:rsidP="00F11919">
      <w:pPr>
        <w:jc w:val="both"/>
        <w:rPr>
          <w:rFonts w:ascii="Arial" w:hAnsi="Arial" w:cs="Arial"/>
          <w:sz w:val="20"/>
          <w:szCs w:val="20"/>
        </w:rPr>
      </w:pPr>
      <w:r>
        <w:rPr>
          <w:rFonts w:ascii="Arial" w:hAnsi="Arial" w:cs="Arial"/>
          <w:sz w:val="20"/>
          <w:szCs w:val="20"/>
        </w:rPr>
        <w:t>I</w:t>
      </w:r>
      <w:r w:rsidR="004E6265" w:rsidRPr="00F11919">
        <w:rPr>
          <w:rFonts w:ascii="Arial" w:hAnsi="Arial" w:cs="Arial"/>
          <w:sz w:val="20"/>
          <w:szCs w:val="20"/>
        </w:rPr>
        <w:t>t follows</w:t>
      </w:r>
      <w:r w:rsidR="00203573" w:rsidRPr="00F11919">
        <w:rPr>
          <w:rFonts w:ascii="Arial" w:hAnsi="Arial" w:cs="Arial"/>
          <w:sz w:val="20"/>
          <w:szCs w:val="20"/>
        </w:rPr>
        <w:t xml:space="preserve"> </w:t>
      </w:r>
      <w:r w:rsidR="004E6265" w:rsidRPr="00F11919">
        <w:rPr>
          <w:rFonts w:ascii="Arial" w:hAnsi="Arial" w:cs="Arial"/>
          <w:sz w:val="20"/>
          <w:szCs w:val="20"/>
        </w:rPr>
        <w:t xml:space="preserve">that </w:t>
      </w:r>
      <w:r w:rsidR="00203573" w:rsidRPr="00F11919">
        <w:rPr>
          <w:rFonts w:ascii="Arial" w:hAnsi="Arial" w:cs="Arial"/>
          <w:sz w:val="20"/>
          <w:szCs w:val="20"/>
        </w:rPr>
        <w:t>in relation to any other offence under the SA the court has an absolute discretion whether or not to interfere with that person’s right to drive in Victoria.</w:t>
      </w:r>
      <w:r w:rsidR="00E96DAD" w:rsidRPr="00F11919">
        <w:rPr>
          <w:rFonts w:ascii="Arial" w:hAnsi="Arial" w:cs="Arial"/>
          <w:sz w:val="20"/>
          <w:szCs w:val="20"/>
        </w:rPr>
        <w:t xml:space="preserve">  There is no express nexus in s.89A between an offence and the driving of a motor vehicle.</w:t>
      </w:r>
    </w:p>
    <w:p w14:paraId="41DE6FB0" w14:textId="77777777" w:rsidR="00E96DAD" w:rsidRDefault="00E96DAD" w:rsidP="006D6C55">
      <w:pPr>
        <w:jc w:val="both"/>
        <w:rPr>
          <w:rFonts w:ascii="Arial" w:hAnsi="Arial" w:cs="Arial"/>
          <w:sz w:val="20"/>
          <w:szCs w:val="20"/>
        </w:rPr>
      </w:pPr>
    </w:p>
    <w:p w14:paraId="7273EBD4" w14:textId="62A27FE4" w:rsidR="004E6265" w:rsidRDefault="004E6265" w:rsidP="004E6265">
      <w:pPr>
        <w:jc w:val="both"/>
        <w:rPr>
          <w:rFonts w:ascii="Arial" w:hAnsi="Arial" w:cs="Arial"/>
          <w:sz w:val="20"/>
          <w:szCs w:val="20"/>
        </w:rPr>
      </w:pPr>
      <w:r>
        <w:rPr>
          <w:rFonts w:ascii="Arial" w:hAnsi="Arial" w:cs="Arial"/>
          <w:sz w:val="20"/>
          <w:szCs w:val="20"/>
        </w:rPr>
        <w:t>There is no minimum period of suspension or disqualification referred to in s.89A(1) SA but s.89A(2) provides that if a period of suspension or disqualification is not specified by the court on making an order under s.89A(1), the period is 3 months.</w:t>
      </w:r>
    </w:p>
    <w:p w14:paraId="1D24AA0C" w14:textId="77777777" w:rsidR="004E6265" w:rsidRDefault="004E6265" w:rsidP="00203573">
      <w:pPr>
        <w:jc w:val="both"/>
        <w:rPr>
          <w:rFonts w:ascii="Arial" w:hAnsi="Arial" w:cs="Arial"/>
          <w:sz w:val="20"/>
          <w:szCs w:val="20"/>
        </w:rPr>
      </w:pPr>
    </w:p>
    <w:p w14:paraId="76BCFF7F" w14:textId="78EFA780" w:rsidR="00DF586F" w:rsidRPr="00203573" w:rsidRDefault="00203573" w:rsidP="00203573">
      <w:pPr>
        <w:jc w:val="both"/>
        <w:rPr>
          <w:rFonts w:ascii="Arial" w:hAnsi="Arial" w:cs="Arial"/>
          <w:b/>
          <w:bCs/>
          <w:color w:val="FFFFFF" w:themeColor="background1"/>
          <w:sz w:val="20"/>
          <w:szCs w:val="20"/>
        </w:rPr>
      </w:pPr>
      <w:r w:rsidRPr="00203573">
        <w:rPr>
          <w:rFonts w:ascii="Arial" w:hAnsi="Arial" w:cs="Arial"/>
          <w:b/>
          <w:bCs/>
          <w:color w:val="FFFFFF" w:themeColor="background1"/>
          <w:sz w:val="20"/>
          <w:szCs w:val="20"/>
          <w:shd w:val="clear" w:color="auto" w:fill="000000" w:themeFill="text1"/>
        </w:rPr>
        <w:t xml:space="preserve">Notes </w:t>
      </w:r>
      <w:r>
        <w:rPr>
          <w:rFonts w:ascii="Arial" w:hAnsi="Arial" w:cs="Arial"/>
          <w:b/>
          <w:bCs/>
          <w:color w:val="FFFFFF" w:themeColor="background1"/>
          <w:sz w:val="20"/>
          <w:szCs w:val="20"/>
          <w:shd w:val="clear" w:color="auto" w:fill="000000" w:themeFill="text1"/>
        </w:rPr>
        <w:t>on</w:t>
      </w:r>
      <w:r w:rsidRPr="00203573">
        <w:rPr>
          <w:rFonts w:ascii="Arial" w:hAnsi="Arial" w:cs="Arial"/>
          <w:b/>
          <w:bCs/>
          <w:color w:val="FFFFFF" w:themeColor="background1"/>
          <w:sz w:val="20"/>
          <w:szCs w:val="20"/>
          <w:shd w:val="clear" w:color="auto" w:fill="000000" w:themeFill="text1"/>
        </w:rPr>
        <w:t xml:space="preserve"> sections 89 &amp; 89A</w:t>
      </w:r>
      <w:r w:rsidR="00C453DC">
        <w:rPr>
          <w:rFonts w:ascii="Arial" w:hAnsi="Arial" w:cs="Arial"/>
          <w:b/>
          <w:bCs/>
          <w:color w:val="FFFFFF" w:themeColor="background1"/>
          <w:sz w:val="20"/>
          <w:szCs w:val="20"/>
          <w:shd w:val="clear" w:color="auto" w:fill="000000" w:themeFill="text1"/>
        </w:rPr>
        <w:t xml:space="preserve"> of the SA confirm their applicability to Children’s Court sentences</w:t>
      </w:r>
    </w:p>
    <w:p w14:paraId="3932B3ED" w14:textId="07117BD2" w:rsidR="00C453DC" w:rsidRDefault="000530A2" w:rsidP="000530A2">
      <w:pPr>
        <w:spacing w:before="120"/>
        <w:jc w:val="both"/>
        <w:rPr>
          <w:rFonts w:ascii="Arial" w:hAnsi="Arial" w:cs="Arial"/>
          <w:sz w:val="20"/>
          <w:szCs w:val="20"/>
        </w:rPr>
      </w:pPr>
      <w:r>
        <w:rPr>
          <w:rFonts w:ascii="Arial" w:hAnsi="Arial" w:cs="Arial"/>
          <w:sz w:val="20"/>
          <w:szCs w:val="20"/>
        </w:rPr>
        <w:t xml:space="preserve">There are a number of Notes </w:t>
      </w:r>
      <w:r w:rsidR="00253CA2">
        <w:rPr>
          <w:rFonts w:ascii="Arial" w:hAnsi="Arial" w:cs="Arial"/>
          <w:sz w:val="20"/>
          <w:szCs w:val="20"/>
        </w:rPr>
        <w:t>to</w:t>
      </w:r>
      <w:r>
        <w:rPr>
          <w:rFonts w:ascii="Arial" w:hAnsi="Arial" w:cs="Arial"/>
          <w:sz w:val="20"/>
          <w:szCs w:val="20"/>
        </w:rPr>
        <w:t xml:space="preserve"> </w:t>
      </w:r>
      <w:r w:rsidR="00D739E4">
        <w:rPr>
          <w:rFonts w:ascii="Arial" w:hAnsi="Arial" w:cs="Arial"/>
          <w:sz w:val="20"/>
          <w:szCs w:val="20"/>
        </w:rPr>
        <w:t>ss.89 &amp; 89A RSA</w:t>
      </w:r>
      <w:r w:rsidR="00C453DC">
        <w:rPr>
          <w:rFonts w:ascii="Arial" w:hAnsi="Arial" w:cs="Arial"/>
          <w:sz w:val="20"/>
          <w:szCs w:val="20"/>
        </w:rPr>
        <w:t>. Note 1 to both sections contains the following information</w:t>
      </w:r>
      <w:r w:rsidR="00D739E4">
        <w:rPr>
          <w:rFonts w:ascii="Arial" w:hAnsi="Arial" w:cs="Arial"/>
          <w:sz w:val="20"/>
          <w:szCs w:val="20"/>
        </w:rPr>
        <w:t xml:space="preserve"> [emphasis added]</w:t>
      </w:r>
      <w:r w:rsidR="00253CA2">
        <w:rPr>
          <w:rFonts w:ascii="Arial" w:hAnsi="Arial" w:cs="Arial"/>
          <w:sz w:val="20"/>
          <w:szCs w:val="20"/>
        </w:rPr>
        <w:t xml:space="preserve"> which confirms that both ss.89 &amp; 89A do apply to sentencing in the Children’s Court</w:t>
      </w:r>
      <w:r w:rsidR="00C453DC">
        <w:rPr>
          <w:rFonts w:ascii="Arial" w:hAnsi="Arial" w:cs="Arial"/>
          <w:sz w:val="20"/>
          <w:szCs w:val="20"/>
        </w:rPr>
        <w:t xml:space="preserve">: “A person who is disqualified from obtaining a driver licence or learner permit </w:t>
      </w:r>
      <w:r w:rsidR="00D739E4">
        <w:rPr>
          <w:rFonts w:ascii="Arial" w:hAnsi="Arial" w:cs="Arial"/>
          <w:sz w:val="20"/>
          <w:szCs w:val="20"/>
        </w:rPr>
        <w:t xml:space="preserve">or whose driver licence or learner permit is cancelled under this section </w:t>
      </w:r>
      <w:r w:rsidR="00C453DC">
        <w:rPr>
          <w:rFonts w:ascii="Arial" w:hAnsi="Arial" w:cs="Arial"/>
          <w:sz w:val="20"/>
          <w:szCs w:val="20"/>
        </w:rPr>
        <w:t xml:space="preserve">by order of the Magistrates’ Court or </w:t>
      </w:r>
      <w:r w:rsidR="00C453DC" w:rsidRPr="00C453DC">
        <w:rPr>
          <w:rFonts w:ascii="Arial" w:hAnsi="Arial" w:cs="Arial"/>
          <w:b/>
          <w:bCs/>
          <w:sz w:val="20"/>
          <w:szCs w:val="20"/>
        </w:rPr>
        <w:t>Children’s Court</w:t>
      </w:r>
      <w:r w:rsidR="00C453DC">
        <w:rPr>
          <w:rFonts w:ascii="Arial" w:hAnsi="Arial" w:cs="Arial"/>
          <w:sz w:val="20"/>
          <w:szCs w:val="20"/>
        </w:rPr>
        <w:t xml:space="preserve"> may appeal to the County Court.  See s.29 of the RSA.”</w:t>
      </w:r>
    </w:p>
    <w:p w14:paraId="6E9E30E3" w14:textId="77777777" w:rsidR="006D6C55" w:rsidRDefault="006D6C55" w:rsidP="006D6C55">
      <w:pPr>
        <w:rPr>
          <w:rFonts w:ascii="Arial" w:hAnsi="Arial" w:cs="Arial"/>
          <w:sz w:val="20"/>
          <w:szCs w:val="20"/>
        </w:rPr>
      </w:pPr>
    </w:p>
    <w:p w14:paraId="7047ABF1" w14:textId="5392009B" w:rsidR="00E96DAD" w:rsidRPr="00203573" w:rsidRDefault="00E96DAD" w:rsidP="00E96DA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Offences under the Road Safety Act 1986</w:t>
      </w:r>
    </w:p>
    <w:p w14:paraId="4A84CF58" w14:textId="36237BDC" w:rsidR="004819F4" w:rsidRDefault="009E6D49" w:rsidP="005330DF">
      <w:pPr>
        <w:spacing w:before="120"/>
        <w:jc w:val="both"/>
        <w:rPr>
          <w:rFonts w:ascii="Arial" w:hAnsi="Arial" w:cs="Arial"/>
          <w:color w:val="000000"/>
          <w:sz w:val="20"/>
        </w:rPr>
      </w:pPr>
      <w:r w:rsidRPr="009E6D49">
        <w:rPr>
          <w:rFonts w:ascii="Arial" w:hAnsi="Arial" w:cs="Arial"/>
          <w:sz w:val="20"/>
          <w:szCs w:val="20"/>
        </w:rPr>
        <w:t xml:space="preserve">Pursuant to s.89A(4) </w:t>
      </w:r>
      <w:r w:rsidR="005330DF">
        <w:rPr>
          <w:rFonts w:ascii="Arial" w:hAnsi="Arial" w:cs="Arial"/>
          <w:sz w:val="20"/>
          <w:szCs w:val="20"/>
        </w:rPr>
        <w:t xml:space="preserve">SA </w:t>
      </w:r>
      <w:r w:rsidR="005330DF" w:rsidRPr="001C6E0E">
        <w:rPr>
          <w:rFonts w:ascii="Arial" w:hAnsi="Arial" w:cs="Arial"/>
          <w:color w:val="000000"/>
          <w:sz w:val="20"/>
        </w:rPr>
        <w:t xml:space="preserve">the </w:t>
      </w:r>
      <w:r w:rsidR="005330DF">
        <w:rPr>
          <w:rFonts w:ascii="Arial" w:hAnsi="Arial" w:cs="Arial"/>
          <w:color w:val="000000"/>
          <w:sz w:val="20"/>
        </w:rPr>
        <w:t xml:space="preserve">licence </w:t>
      </w:r>
      <w:r w:rsidR="00655FF6">
        <w:rPr>
          <w:rFonts w:ascii="Arial" w:hAnsi="Arial" w:cs="Arial"/>
          <w:color w:val="000000"/>
          <w:sz w:val="20"/>
        </w:rPr>
        <w:t>suspension/cancellation</w:t>
      </w:r>
      <w:r w:rsidR="005330DF">
        <w:rPr>
          <w:rFonts w:ascii="Arial" w:hAnsi="Arial" w:cs="Arial"/>
          <w:color w:val="000000"/>
          <w:sz w:val="20"/>
        </w:rPr>
        <w:t xml:space="preserve"> and </w:t>
      </w:r>
      <w:r w:rsidR="005330DF" w:rsidRPr="001C6E0E">
        <w:rPr>
          <w:rFonts w:ascii="Arial" w:hAnsi="Arial" w:cs="Arial"/>
          <w:color w:val="000000"/>
          <w:sz w:val="20"/>
        </w:rPr>
        <w:t>disqualification provisions</w:t>
      </w:r>
      <w:r w:rsidR="005330DF">
        <w:rPr>
          <w:rFonts w:ascii="Arial" w:hAnsi="Arial" w:cs="Arial"/>
          <w:color w:val="000000"/>
          <w:sz w:val="20"/>
        </w:rPr>
        <w:t xml:space="preserve"> in the </w:t>
      </w:r>
      <w:r w:rsidR="005330DF" w:rsidRPr="000F6649">
        <w:rPr>
          <w:rFonts w:ascii="Arial" w:hAnsi="Arial" w:cs="Arial"/>
          <w:b/>
          <w:bCs/>
          <w:color w:val="000000"/>
          <w:sz w:val="20"/>
          <w:u w:val="single"/>
        </w:rPr>
        <w:t>Sentencing Act 1991</w:t>
      </w:r>
      <w:r w:rsidR="005330DF">
        <w:rPr>
          <w:rFonts w:ascii="Arial" w:hAnsi="Arial" w:cs="Arial"/>
          <w:color w:val="000000"/>
          <w:sz w:val="20"/>
        </w:rPr>
        <w:t xml:space="preserve"> do not apply to offences under the </w:t>
      </w:r>
      <w:r w:rsidR="005330DF" w:rsidRPr="000F6649">
        <w:rPr>
          <w:rFonts w:ascii="Arial" w:hAnsi="Arial" w:cs="Arial"/>
          <w:b/>
          <w:bCs/>
          <w:color w:val="000000"/>
          <w:sz w:val="20"/>
          <w:u w:val="single"/>
        </w:rPr>
        <w:t>Road Safety Act 1986</w:t>
      </w:r>
      <w:r w:rsidR="005330DF">
        <w:rPr>
          <w:rFonts w:ascii="Arial" w:hAnsi="Arial" w:cs="Arial"/>
          <w:color w:val="000000"/>
          <w:sz w:val="20"/>
        </w:rPr>
        <w:t xml:space="preserve">.  The issue whether the RSA provisions </w:t>
      </w:r>
      <w:r w:rsidR="005330DF" w:rsidRPr="001C6E0E">
        <w:rPr>
          <w:rFonts w:ascii="Arial" w:hAnsi="Arial" w:cs="Arial"/>
          <w:color w:val="000000"/>
          <w:sz w:val="20"/>
        </w:rPr>
        <w:t>– for example s.28 &amp; Schedule 5 or s.50(1A) &amp; Schedule 1</w:t>
      </w:r>
      <w:r w:rsidR="005330DF">
        <w:rPr>
          <w:rFonts w:ascii="Arial" w:hAnsi="Arial" w:cs="Arial"/>
          <w:color w:val="000000"/>
          <w:sz w:val="20"/>
        </w:rPr>
        <w:t xml:space="preserve"> </w:t>
      </w:r>
      <w:r w:rsidR="005330DF" w:rsidRPr="001C6E0E">
        <w:rPr>
          <w:rFonts w:ascii="Arial" w:hAnsi="Arial" w:cs="Arial"/>
          <w:color w:val="000000"/>
          <w:sz w:val="20"/>
        </w:rPr>
        <w:t>–</w:t>
      </w:r>
      <w:r w:rsidR="005330DF">
        <w:rPr>
          <w:rFonts w:ascii="Arial" w:hAnsi="Arial" w:cs="Arial"/>
          <w:color w:val="000000"/>
          <w:sz w:val="20"/>
        </w:rPr>
        <w:t xml:space="preserve"> apply to sentencing in the Children’s Court has not been the subject of any superior court decision of which the writer is aware, an appeal </w:t>
      </w:r>
      <w:r w:rsidR="000A79E1" w:rsidRPr="001C6E0E">
        <w:rPr>
          <w:rFonts w:ascii="Arial" w:hAnsi="Arial" w:cs="Arial"/>
          <w:color w:val="000000"/>
          <w:sz w:val="20"/>
        </w:rPr>
        <w:t xml:space="preserve">to the Supreme Court against a </w:t>
      </w:r>
      <w:r w:rsidR="00115202">
        <w:rPr>
          <w:rFonts w:ascii="Arial" w:hAnsi="Arial" w:cs="Arial"/>
          <w:color w:val="000000"/>
          <w:sz w:val="20"/>
        </w:rPr>
        <w:t xml:space="preserve">magistrate’s </w:t>
      </w:r>
      <w:r w:rsidR="000A79E1"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000A79E1" w:rsidRPr="001C6E0E">
        <w:rPr>
          <w:rFonts w:ascii="Arial" w:hAnsi="Arial" w:cs="Arial"/>
          <w:color w:val="000000"/>
          <w:sz w:val="20"/>
        </w:rPr>
        <w:t>having been abandoned some years ago.</w:t>
      </w:r>
    </w:p>
    <w:p w14:paraId="5401C0FD" w14:textId="77777777" w:rsidR="004819F4" w:rsidRDefault="004819F4" w:rsidP="004819F4">
      <w:pPr>
        <w:jc w:val="both"/>
        <w:rPr>
          <w:rFonts w:ascii="Arial" w:hAnsi="Arial" w:cs="Arial"/>
          <w:color w:val="000000"/>
          <w:sz w:val="20"/>
        </w:rPr>
      </w:pPr>
    </w:p>
    <w:p w14:paraId="3177426A" w14:textId="04C638C6" w:rsidR="00F10B77" w:rsidRDefault="00F10B77" w:rsidP="004819F4">
      <w:pPr>
        <w:jc w:val="both"/>
        <w:rPr>
          <w:rFonts w:ascii="Arial" w:hAnsi="Arial" w:cs="Arial"/>
          <w:color w:val="000000"/>
          <w:sz w:val="20"/>
        </w:rPr>
      </w:pPr>
      <w:r>
        <w:rPr>
          <w:rFonts w:ascii="Arial" w:hAnsi="Arial" w:cs="Arial"/>
          <w:color w:val="000000"/>
          <w:sz w:val="20"/>
        </w:rPr>
        <w:t xml:space="preserve">However, in </w:t>
      </w:r>
      <w:r w:rsidRPr="00F00947">
        <w:rPr>
          <w:rFonts w:ascii="Arial" w:hAnsi="Arial" w:cs="Arial"/>
          <w:i/>
          <w:color w:val="000000"/>
          <w:sz w:val="20"/>
        </w:rPr>
        <w:t xml:space="preserve">Victoria Police v </w:t>
      </w:r>
      <w:r w:rsidR="009710A3">
        <w:rPr>
          <w:rFonts w:ascii="Arial" w:hAnsi="Arial" w:cs="Arial"/>
          <w:i/>
          <w:color w:val="000000"/>
          <w:sz w:val="20"/>
        </w:rPr>
        <w:t>FT</w:t>
      </w:r>
      <w:r>
        <w:rPr>
          <w:rFonts w:ascii="Arial" w:hAnsi="Arial" w:cs="Arial"/>
          <w:color w:val="000000"/>
          <w:sz w:val="20"/>
        </w:rPr>
        <w:t xml:space="preserve"> </w:t>
      </w:r>
      <w:r w:rsidR="007A47DA">
        <w:rPr>
          <w:rFonts w:ascii="Arial" w:hAnsi="Arial" w:cs="Arial"/>
          <w:color w:val="000000"/>
          <w:sz w:val="20"/>
        </w:rPr>
        <w:t xml:space="preserve">[2018] VChC 2 </w:t>
      </w:r>
      <w:r>
        <w:rPr>
          <w:rFonts w:ascii="Arial" w:hAnsi="Arial" w:cs="Arial"/>
          <w:color w:val="000000"/>
          <w:sz w:val="20"/>
        </w:rPr>
        <w:t>[Children’s Court of Victoria, 06/03/2018] Magistrate Bowles held at [20] that having regard to-</w:t>
      </w:r>
    </w:p>
    <w:p w14:paraId="473BACF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4AE307C7" w:rsidR="00F10B77" w:rsidRDefault="00F10B77" w:rsidP="004819F4">
      <w:pPr>
        <w:jc w:val="both"/>
        <w:rPr>
          <w:rFonts w:ascii="Arial" w:hAnsi="Arial" w:cs="Arial"/>
          <w:color w:val="000000"/>
          <w:sz w:val="20"/>
        </w:rPr>
      </w:pPr>
      <w:r>
        <w:rPr>
          <w:rFonts w:ascii="Arial" w:hAnsi="Arial" w:cs="Arial"/>
          <w:color w:val="000000"/>
          <w:sz w:val="20"/>
        </w:rPr>
        <w:t xml:space="preserve">the mandatory provisions </w:t>
      </w:r>
      <w:r w:rsidR="004819F4">
        <w:rPr>
          <w:rFonts w:ascii="Arial" w:hAnsi="Arial" w:cs="Arial"/>
          <w:color w:val="000000"/>
          <w:sz w:val="20"/>
        </w:rPr>
        <w:t>of</w:t>
      </w:r>
      <w:r>
        <w:rPr>
          <w:rFonts w:ascii="Arial" w:hAnsi="Arial" w:cs="Arial"/>
          <w:color w:val="000000"/>
          <w:sz w:val="20"/>
        </w:rPr>
        <w:t xml:space="preserve">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6F46F234"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190A88">
      <w:pPr>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4BC49E2E" w14:textId="77777777" w:rsidR="0095573F" w:rsidRDefault="0095573F" w:rsidP="00F10B77">
      <w:pPr>
        <w:jc w:val="both"/>
        <w:rPr>
          <w:rFonts w:ascii="Arial" w:hAnsi="Arial" w:cs="Arial"/>
          <w:color w:val="000000"/>
          <w:sz w:val="20"/>
        </w:rPr>
      </w:pPr>
    </w:p>
    <w:p w14:paraId="51CB5EB5" w14:textId="51552DA3" w:rsidR="0095726B" w:rsidRDefault="004819F4" w:rsidP="00F10B77">
      <w:pPr>
        <w:jc w:val="both"/>
        <w:rPr>
          <w:rFonts w:ascii="Arial" w:hAnsi="Arial" w:cs="Arial"/>
          <w:color w:val="000000"/>
          <w:sz w:val="20"/>
        </w:rPr>
      </w:pPr>
      <w:r>
        <w:rPr>
          <w:rFonts w:ascii="Arial" w:hAnsi="Arial" w:cs="Arial"/>
          <w:color w:val="000000"/>
          <w:sz w:val="20"/>
        </w:rPr>
        <w:t>The Court accepted that FT had no criminal history, had completed Year 12 and had been accepted into a tertiary course, works part-time in food retailing, had been intercepted by police on a routine basis and not as a result of bad driving, had completed 100 hours of driving and lived at home with her parents, one of whom was wheelchair-bound.</w:t>
      </w:r>
    </w:p>
    <w:p w14:paraId="696ECD89" w14:textId="5ACFDD4E" w:rsidR="004819F4" w:rsidRDefault="004819F4" w:rsidP="00F10B77">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95573F">
      <w:pPr>
        <w:spacing w:before="60" w:after="60"/>
        <w:ind w:left="510" w:right="510"/>
        <w:jc w:val="both"/>
        <w:rPr>
          <w:rFonts w:ascii="Arial" w:hAnsi="Arial" w:cs="Arial"/>
          <w:color w:val="000000"/>
          <w:sz w:val="20"/>
        </w:rPr>
      </w:pPr>
      <w:r>
        <w:rPr>
          <w:rFonts w:ascii="Arial" w:hAnsi="Arial" w:cs="Arial"/>
          <w:color w:val="000000"/>
          <w:sz w:val="20"/>
        </w:rPr>
        <w:lastRenderedPageBreak/>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se provisions to only apply to persons 18 years and older or specifying that they do not apply to those persons under the age of 18 years.  The words therefore bear their ordinary meaning.  A child or young person appearing before the 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190A88">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r>
        <w:rPr>
          <w:rFonts w:ascii="Arial" w:hAnsi="Arial" w:cs="Arial"/>
          <w:color w:val="000000"/>
          <w:sz w:val="20"/>
        </w:rPr>
        <w:t xml:space="preserve">the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6CAAC0A7" w14:textId="17278331" w:rsidR="004819F4" w:rsidRDefault="004A10F5" w:rsidP="004A10F5">
      <w:pPr>
        <w:jc w:val="both"/>
        <w:rPr>
          <w:rFonts w:ascii="Arial" w:hAnsi="Arial" w:cs="Arial"/>
          <w:color w:val="000000"/>
          <w:sz w:val="20"/>
        </w:rPr>
      </w:pPr>
      <w:r>
        <w:rPr>
          <w:rFonts w:ascii="Arial" w:hAnsi="Arial" w:cs="Arial"/>
          <w:color w:val="000000"/>
          <w:sz w:val="20"/>
        </w:rPr>
        <w:t>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w:t>
      </w:r>
      <w:r w:rsidR="0095573F">
        <w:rPr>
          <w:rFonts w:ascii="Arial" w:hAnsi="Arial" w:cs="Arial"/>
          <w:color w:val="000000"/>
          <w:sz w:val="20"/>
        </w:rPr>
        <w:t>(b)</w:t>
      </w:r>
      <w:r>
        <w:rPr>
          <w:rFonts w:ascii="Arial" w:hAnsi="Arial" w:cs="Arial"/>
          <w:color w:val="000000"/>
          <w:sz w:val="20"/>
        </w:rPr>
        <w:t xml:space="preserve"> of the CYFA.  </w:t>
      </w:r>
      <w:r w:rsidR="0095573F">
        <w:rPr>
          <w:rFonts w:ascii="Arial" w:hAnsi="Arial" w:cs="Arial"/>
          <w:color w:val="000000"/>
          <w:sz w:val="20"/>
        </w:rPr>
        <w:t>That section provides</w:t>
      </w:r>
      <w:r w:rsidR="00C03241">
        <w:rPr>
          <w:rFonts w:ascii="Arial" w:hAnsi="Arial" w:cs="Arial"/>
          <w:color w:val="000000"/>
          <w:sz w:val="20"/>
        </w:rPr>
        <w:t xml:space="preserve"> [emphasis added]:</w:t>
      </w:r>
    </w:p>
    <w:p w14:paraId="0B98E4F7" w14:textId="77777777" w:rsidR="0095573F" w:rsidRPr="001C6E0E" w:rsidRDefault="004819F4" w:rsidP="00291F1C">
      <w:pPr>
        <w:spacing w:before="60" w:after="60"/>
        <w:ind w:left="510" w:right="510"/>
        <w:jc w:val="both"/>
        <w:rPr>
          <w:rFonts w:ascii="Arial" w:hAnsi="Arial" w:cs="Arial"/>
          <w:color w:val="000000"/>
          <w:sz w:val="20"/>
        </w:rPr>
      </w:pPr>
      <w:r>
        <w:rPr>
          <w:rFonts w:ascii="Arial" w:hAnsi="Arial" w:cs="Arial"/>
          <w:color w:val="000000"/>
          <w:sz w:val="20"/>
        </w:rPr>
        <w:t xml:space="preserve">“If under any Act other than this Act a court is authorised on a conviction for an offence to impose any disqualification or like disability on the person convicted, then the Court </w:t>
      </w:r>
      <w:r w:rsidRPr="00A76542">
        <w:rPr>
          <w:rFonts w:ascii="Arial" w:hAnsi="Arial" w:cs="Arial"/>
          <w:b/>
          <w:bCs/>
          <w:color w:val="000000"/>
          <w:sz w:val="20"/>
        </w:rPr>
        <w:t>may</w:t>
      </w:r>
      <w:r>
        <w:rPr>
          <w:rFonts w:ascii="Arial" w:hAnsi="Arial" w:cs="Arial"/>
          <w:color w:val="000000"/>
          <w:sz w:val="20"/>
        </w:rPr>
        <w:t>, if it finds the child guilty of that offence, make any such order or impose any such disqualification or disability despite the child not being convicted of the offence.”</w:t>
      </w:r>
    </w:p>
    <w:p w14:paraId="1EC10E1B" w14:textId="1950D7D5" w:rsidR="004819F4" w:rsidRDefault="004819F4" w:rsidP="004819F4">
      <w:pPr>
        <w:jc w:val="both"/>
        <w:rPr>
          <w:rFonts w:ascii="Arial" w:hAnsi="Arial" w:cs="Arial"/>
          <w:color w:val="000000"/>
          <w:sz w:val="20"/>
        </w:rPr>
      </w:pPr>
      <w:r>
        <w:rPr>
          <w:rFonts w:ascii="Arial" w:hAnsi="Arial" w:cs="Arial"/>
          <w:color w:val="000000"/>
          <w:sz w:val="20"/>
        </w:rPr>
        <w:t xml:space="preserve">On its plain reading s.360(5)(b) applies to remove conviction as a pre-requisite for disqualification for a child.  </w:t>
      </w:r>
      <w:r w:rsidR="009375CD">
        <w:rPr>
          <w:rFonts w:ascii="Arial" w:hAnsi="Arial" w:cs="Arial"/>
          <w:color w:val="000000"/>
          <w:sz w:val="20"/>
        </w:rPr>
        <w:t>On t</w:t>
      </w:r>
      <w:r>
        <w:rPr>
          <w:rFonts w:ascii="Arial" w:hAnsi="Arial" w:cs="Arial"/>
          <w:color w:val="000000"/>
          <w:sz w:val="20"/>
        </w:rPr>
        <w:t>his plain reading</w:t>
      </w:r>
      <w:r w:rsidR="009375CD">
        <w:rPr>
          <w:rFonts w:ascii="Arial" w:hAnsi="Arial" w:cs="Arial"/>
          <w:color w:val="000000"/>
          <w:sz w:val="20"/>
        </w:rPr>
        <w:t xml:space="preserve"> </w:t>
      </w:r>
      <w:r>
        <w:rPr>
          <w:rFonts w:ascii="Arial" w:hAnsi="Arial" w:cs="Arial"/>
          <w:color w:val="000000"/>
          <w:sz w:val="20"/>
        </w:rPr>
        <w:t xml:space="preserve">the disqualification provisions </w:t>
      </w:r>
      <w:r w:rsidR="009375CD">
        <w:rPr>
          <w:rFonts w:ascii="Arial" w:hAnsi="Arial" w:cs="Arial"/>
          <w:color w:val="000000"/>
          <w:sz w:val="20"/>
        </w:rPr>
        <w:t xml:space="preserve">can potentially </w:t>
      </w:r>
      <w:r>
        <w:rPr>
          <w:rFonts w:ascii="Arial" w:hAnsi="Arial" w:cs="Arial"/>
          <w:color w:val="000000"/>
          <w:sz w:val="20"/>
        </w:rPr>
        <w:t xml:space="preserve">operate more harshly for a child than for an adult.  </w:t>
      </w:r>
      <w:r w:rsidR="009375CD">
        <w:rPr>
          <w:rFonts w:ascii="Arial" w:hAnsi="Arial" w:cs="Arial"/>
          <w:color w:val="000000"/>
          <w:sz w:val="20"/>
        </w:rPr>
        <w:t>I</w:t>
      </w:r>
      <w:r>
        <w:rPr>
          <w:rFonts w:ascii="Arial" w:hAnsi="Arial" w:cs="Arial"/>
          <w:color w:val="000000"/>
          <w:sz w:val="20"/>
        </w:rPr>
        <w:t xml:space="preserve">t might </w:t>
      </w:r>
      <w:r w:rsidR="009375CD">
        <w:rPr>
          <w:rFonts w:ascii="Arial" w:hAnsi="Arial" w:cs="Arial"/>
          <w:color w:val="000000"/>
          <w:sz w:val="20"/>
        </w:rPr>
        <w:t xml:space="preserve">therefore </w:t>
      </w:r>
      <w:r>
        <w:rPr>
          <w:rFonts w:ascii="Arial" w:hAnsi="Arial" w:cs="Arial"/>
          <w:color w:val="000000"/>
          <w:sz w:val="20"/>
        </w:rPr>
        <w:t>be argued to be in conflict with the principles of sentencing generally as well as with the matters set out in s.362(1) of the CYFA</w:t>
      </w:r>
      <w:r w:rsidR="009375CD">
        <w:rPr>
          <w:rFonts w:ascii="Arial" w:hAnsi="Arial" w:cs="Arial"/>
          <w:color w:val="000000"/>
          <w:sz w:val="20"/>
        </w:rPr>
        <w:t xml:space="preserve">, including </w:t>
      </w:r>
      <w:r>
        <w:rPr>
          <w:rFonts w:ascii="Arial" w:hAnsi="Arial" w:cs="Arial"/>
          <w:color w:val="000000"/>
          <w:sz w:val="20"/>
        </w:rPr>
        <w:t>the requirement in s.362(1)(</w:t>
      </w:r>
      <w:r w:rsidR="00291F1C">
        <w:rPr>
          <w:rFonts w:ascii="Arial" w:hAnsi="Arial" w:cs="Arial"/>
          <w:color w:val="000000"/>
          <w:sz w:val="20"/>
        </w:rPr>
        <w:t>d</w:t>
      </w:r>
      <w:r>
        <w:rPr>
          <w:rFonts w:ascii="Arial" w:hAnsi="Arial" w:cs="Arial"/>
          <w:color w:val="000000"/>
          <w:sz w:val="20"/>
        </w:rPr>
        <w:t xml:space="preserve">) for the Court “as far as practicable [to] have regard to the </w:t>
      </w:r>
      <w:r w:rsidR="00291F1C">
        <w:rPr>
          <w:rFonts w:ascii="Arial" w:hAnsi="Arial" w:cs="Arial"/>
          <w:color w:val="000000"/>
          <w:sz w:val="20"/>
        </w:rPr>
        <w:t>need to mini</w:t>
      </w:r>
      <w:r w:rsidR="009375CD">
        <w:rPr>
          <w:rFonts w:ascii="Arial" w:hAnsi="Arial" w:cs="Arial"/>
          <w:color w:val="000000"/>
          <w:sz w:val="20"/>
        </w:rPr>
        <w:t>m</w:t>
      </w:r>
      <w:r w:rsidR="00291F1C">
        <w:rPr>
          <w:rFonts w:ascii="Arial" w:hAnsi="Arial" w:cs="Arial"/>
          <w:color w:val="000000"/>
          <w:sz w:val="20"/>
        </w:rPr>
        <w:t>ise the stigma to the child resulting from a court determination”.</w:t>
      </w:r>
    </w:p>
    <w:p w14:paraId="76CD5B32" w14:textId="77777777" w:rsidR="004819F4" w:rsidRDefault="004819F4" w:rsidP="004A10F5">
      <w:pPr>
        <w:jc w:val="both"/>
        <w:rPr>
          <w:rFonts w:ascii="Arial" w:hAnsi="Arial" w:cs="Arial"/>
          <w:color w:val="000000"/>
          <w:sz w:val="20"/>
        </w:rPr>
      </w:pPr>
    </w:p>
    <w:p w14:paraId="2ADA2F2E" w14:textId="2AD2DF4D" w:rsidR="004A10F5" w:rsidRDefault="004A10F5" w:rsidP="004A10F5">
      <w:pPr>
        <w:jc w:val="both"/>
        <w:rPr>
          <w:rFonts w:ascii="Arial" w:hAnsi="Arial" w:cs="Arial"/>
          <w:color w:val="000000"/>
          <w:sz w:val="20"/>
        </w:rPr>
      </w:pPr>
      <w:r>
        <w:rPr>
          <w:rFonts w:ascii="Arial" w:hAnsi="Arial" w:cs="Arial"/>
          <w:color w:val="000000"/>
          <w:sz w:val="20"/>
        </w:rPr>
        <w:t xml:space="preserve">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lastRenderedPageBreak/>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[Accordingly] the mandatory provisions of the RSA apply when children and young people are guilty of relevant RSA offence/s and are being sentenced in the Chidlren’s Court of Victoria.”</w:t>
      </w:r>
    </w:p>
    <w:p w14:paraId="5E921F44" w14:textId="77777777" w:rsidR="009375CD" w:rsidRDefault="009375CD" w:rsidP="009375CD">
      <w:pPr>
        <w:rPr>
          <w:rFonts w:ascii="Arial" w:hAnsi="Arial" w:cs="Arial"/>
          <w:sz w:val="20"/>
          <w:szCs w:val="20"/>
        </w:rPr>
      </w:pPr>
    </w:p>
    <w:p w14:paraId="26C65E7A" w14:textId="32911051" w:rsidR="009375CD" w:rsidRPr="00203573" w:rsidRDefault="009375CD" w:rsidP="009375C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Principles &amp; considerations surrounding licence disqualification</w:t>
      </w:r>
    </w:p>
    <w:p w14:paraId="35A06FAF" w14:textId="77777777" w:rsidR="00403814" w:rsidRPr="001C6E0E" w:rsidRDefault="00403814" w:rsidP="009375CD">
      <w:pPr>
        <w:spacing w:before="120"/>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Birnie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Williams AJA (with whom Dodds-Streeton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lastRenderedPageBreak/>
        <w:t xml:space="preserve">[70] “In </w:t>
      </w:r>
      <w:r w:rsidRPr="001C6E0E">
        <w:rPr>
          <w:rFonts w:ascii="Arial" w:hAnsi="Arial" w:cs="Arial"/>
          <w:i/>
          <w:color w:val="000000"/>
          <w:sz w:val="20"/>
        </w:rPr>
        <w:t>Lefebure</w:t>
      </w:r>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(Tadgell JA, Chernov and Hedigan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0A0F07D2"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r w:rsidR="00B115A7" w:rsidRPr="00B115A7">
        <w:rPr>
          <w:rFonts w:ascii="Arial" w:hAnsi="Arial" w:cs="Arial"/>
          <w:i/>
          <w:iCs/>
          <w:color w:val="000000"/>
          <w:sz w:val="20"/>
          <w:szCs w:val="20"/>
        </w:rPr>
        <w:t>Koukoulis v The Queen</w:t>
      </w:r>
      <w:r w:rsidR="00B115A7">
        <w:rPr>
          <w:rFonts w:ascii="Arial" w:hAnsi="Arial" w:cs="Arial"/>
          <w:color w:val="000000"/>
          <w:sz w:val="20"/>
          <w:szCs w:val="20"/>
        </w:rPr>
        <w:t xml:space="preserve"> [2020] VSCA 19 at [17]-[24] applying </w:t>
      </w:r>
      <w:r w:rsidR="00B115A7" w:rsidRPr="00B115A7">
        <w:rPr>
          <w:rFonts w:ascii="Arial" w:hAnsi="Arial" w:cs="Arial"/>
          <w:i/>
          <w:sz w:val="20"/>
          <w:szCs w:val="20"/>
        </w:rPr>
        <w:t xml:space="preserve">Lefebure v The Queen </w:t>
      </w:r>
      <w:r w:rsidR="00B115A7" w:rsidRPr="00B115A7">
        <w:rPr>
          <w:rFonts w:ascii="Arial" w:hAnsi="Arial" w:cs="Arial"/>
          <w:sz w:val="20"/>
          <w:szCs w:val="20"/>
        </w:rPr>
        <w:t xml:space="preserve">(2000) 112 A Crim R 41; [2000] VSCA 79, </w:t>
      </w:r>
      <w:r w:rsidR="00B115A7" w:rsidRPr="00B115A7">
        <w:rPr>
          <w:rFonts w:ascii="Arial" w:hAnsi="Arial" w:cs="Arial"/>
          <w:i/>
          <w:sz w:val="20"/>
          <w:szCs w:val="20"/>
        </w:rPr>
        <w:t xml:space="preserve">Rodi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r w:rsidR="00BD1BA2">
        <w:rPr>
          <w:rFonts w:ascii="Arial" w:hAnsi="Arial" w:cs="Arial"/>
          <w:sz w:val="20"/>
          <w:szCs w:val="20"/>
        </w:rPr>
        <w:t xml:space="preserve">; </w:t>
      </w:r>
      <w:r w:rsidR="00BD1BA2" w:rsidRPr="00BD1BA2">
        <w:rPr>
          <w:rFonts w:ascii="Arial" w:hAnsi="Arial" w:cs="Arial"/>
          <w:i/>
          <w:iCs/>
          <w:sz w:val="20"/>
          <w:szCs w:val="20"/>
        </w:rPr>
        <w:t>Parker v The King</w:t>
      </w:r>
      <w:r w:rsidR="00BD1BA2">
        <w:rPr>
          <w:rFonts w:ascii="Arial" w:hAnsi="Arial" w:cs="Arial"/>
          <w:sz w:val="20"/>
          <w:szCs w:val="20"/>
        </w:rPr>
        <w:t xml:space="preserve"> [2022] VSCA 207 at [41]-[49]</w:t>
      </w:r>
      <w:r w:rsidR="00CA5D82">
        <w:rPr>
          <w:rFonts w:ascii="Arial" w:hAnsi="Arial" w:cs="Arial"/>
          <w:sz w:val="20"/>
          <w:szCs w:val="20"/>
        </w:rPr>
        <w:t xml:space="preserve">; </w:t>
      </w:r>
      <w:r w:rsidR="00CA5D82" w:rsidRPr="00CA5D82">
        <w:rPr>
          <w:rFonts w:ascii="Arial" w:hAnsi="Arial" w:cs="Arial"/>
          <w:i/>
          <w:iCs/>
          <w:sz w:val="20"/>
          <w:szCs w:val="20"/>
        </w:rPr>
        <w:t>Gurbuz v The King</w:t>
      </w:r>
      <w:r w:rsidR="00CA5D82">
        <w:rPr>
          <w:rFonts w:ascii="Arial" w:hAnsi="Arial" w:cs="Arial"/>
          <w:sz w:val="20"/>
          <w:szCs w:val="20"/>
        </w:rPr>
        <w:t xml:space="preserve"> [2024] VSCA 189 at [53]-[66].</w:t>
      </w:r>
    </w:p>
    <w:bookmarkEnd w:id="251"/>
    <w:p w14:paraId="58873D94" w14:textId="77777777" w:rsidR="009E6D49" w:rsidRDefault="009E6D49" w:rsidP="009E6D49">
      <w:pPr>
        <w:jc w:val="both"/>
        <w:rPr>
          <w:rFonts w:ascii="Arial" w:hAnsi="Arial" w:cs="Arial"/>
          <w:color w:val="000000"/>
          <w:sz w:val="20"/>
        </w:rPr>
      </w:pPr>
    </w:p>
    <w:p w14:paraId="4AAF8CC6" w14:textId="693464A3" w:rsidR="00586133" w:rsidRPr="001C6E0E" w:rsidRDefault="00586133" w:rsidP="00586133">
      <w:pPr>
        <w:pStyle w:val="Heading3"/>
        <w:keepNext/>
        <w:spacing w:after="80" w:line="240" w:lineRule="auto"/>
        <w:rPr>
          <w:rFonts w:ascii="Arial" w:hAnsi="Arial" w:cs="Arial"/>
          <w:b/>
          <w:bCs/>
          <w:color w:val="000000"/>
          <w:sz w:val="20"/>
        </w:rPr>
      </w:pPr>
      <w:bookmarkStart w:id="253" w:name="_11.1.9.2__"/>
      <w:bookmarkEnd w:id="253"/>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54" w:name="_11.1.9.3__"/>
      <w:bookmarkEnd w:id="254"/>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R v Galek</w:t>
      </w:r>
      <w:r w:rsidRPr="001C6E0E">
        <w:rPr>
          <w:rFonts w:ascii="Arial" w:hAnsi="Arial" w:cs="Arial"/>
          <w:color w:val="000000"/>
          <w:sz w:val="20"/>
        </w:rPr>
        <w:t xml:space="preserve"> (1993) 70 A Crim R 252 at 258; </w:t>
      </w:r>
      <w:r w:rsidRPr="001C6E0E">
        <w:rPr>
          <w:rFonts w:ascii="Arial" w:hAnsi="Arial" w:cs="Arial"/>
          <w:i/>
          <w:iCs/>
          <w:color w:val="000000"/>
          <w:sz w:val="20"/>
        </w:rPr>
        <w:t>R v Wealand</w:t>
      </w:r>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Debelle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DPP v Phan Thi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r w:rsidRPr="001C6E0E">
        <w:rPr>
          <w:rFonts w:ascii="Arial" w:hAnsi="Arial" w:cs="Arial"/>
          <w:i/>
          <w:iCs/>
          <w:color w:val="000000"/>
          <w:sz w:val="20"/>
        </w:rPr>
        <w:t>Winand</w:t>
      </w:r>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DPP v Khoda Ali &amp; Dounia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Phan Thi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Rose v Hvric</w:t>
      </w:r>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Default="008D3780">
      <w:pPr>
        <w:jc w:val="both"/>
        <w:rPr>
          <w:rFonts w:ascii="Arial" w:hAnsi="Arial" w:cs="Arial"/>
          <w:color w:val="000000"/>
          <w:sz w:val="20"/>
        </w:rPr>
      </w:pPr>
    </w:p>
    <w:p w14:paraId="2E8E9DE5" w14:textId="0F388AA3" w:rsidR="00D52380" w:rsidRDefault="00D52380">
      <w:pPr>
        <w:jc w:val="both"/>
        <w:rPr>
          <w:rFonts w:ascii="Arial" w:hAnsi="Arial" w:cs="Arial"/>
          <w:color w:val="000000"/>
          <w:sz w:val="20"/>
        </w:rPr>
      </w:pPr>
      <w:r>
        <w:rPr>
          <w:rFonts w:ascii="Arial" w:hAnsi="Arial" w:cs="Arial"/>
          <w:color w:val="000000"/>
          <w:sz w:val="20"/>
        </w:rPr>
        <w:t xml:space="preserve">In </w:t>
      </w:r>
      <w:r w:rsidRPr="00D52380">
        <w:rPr>
          <w:rFonts w:ascii="Arial" w:hAnsi="Arial" w:cs="Arial"/>
          <w:i/>
          <w:iCs/>
          <w:color w:val="000000"/>
          <w:sz w:val="20"/>
        </w:rPr>
        <w:t>Commissioner of the Australian Federal Police v Kannan (Evidence Ruling) (No 2)</w:t>
      </w:r>
      <w:r w:rsidRPr="00D52380">
        <w:rPr>
          <w:rFonts w:ascii="Arial" w:hAnsi="Arial" w:cs="Arial"/>
          <w:color w:val="000000"/>
          <w:sz w:val="20"/>
        </w:rPr>
        <w:t xml:space="preserve"> [2024] VSC 814 </w:t>
      </w:r>
      <w:r>
        <w:rPr>
          <w:rFonts w:ascii="Arial" w:hAnsi="Arial" w:cs="Arial"/>
          <w:color w:val="000000"/>
          <w:sz w:val="20"/>
        </w:rPr>
        <w:t>the adult r</w:t>
      </w:r>
      <w:r w:rsidRPr="00D52380">
        <w:rPr>
          <w:rFonts w:ascii="Arial" w:hAnsi="Arial" w:cs="Arial"/>
          <w:color w:val="000000"/>
          <w:sz w:val="20"/>
        </w:rPr>
        <w:t xml:space="preserve">espondents </w:t>
      </w:r>
      <w:r>
        <w:rPr>
          <w:rFonts w:ascii="Arial" w:hAnsi="Arial" w:cs="Arial"/>
          <w:color w:val="000000"/>
          <w:sz w:val="20"/>
        </w:rPr>
        <w:t xml:space="preserve">had been </w:t>
      </w:r>
      <w:r w:rsidRPr="00D52380">
        <w:rPr>
          <w:rFonts w:ascii="Arial" w:hAnsi="Arial" w:cs="Arial"/>
          <w:color w:val="000000"/>
          <w:sz w:val="20"/>
        </w:rPr>
        <w:t>convicted of slavery offences</w:t>
      </w:r>
      <w:r>
        <w:rPr>
          <w:rFonts w:ascii="Arial" w:hAnsi="Arial" w:cs="Arial"/>
          <w:color w:val="000000"/>
          <w:sz w:val="20"/>
        </w:rPr>
        <w:t xml:space="preserve">.  The </w:t>
      </w:r>
      <w:r w:rsidRPr="00D52380">
        <w:rPr>
          <w:rFonts w:ascii="Arial" w:hAnsi="Arial" w:cs="Arial"/>
          <w:color w:val="000000"/>
          <w:sz w:val="20"/>
        </w:rPr>
        <w:t xml:space="preserve">Commissioner </w:t>
      </w:r>
      <w:r>
        <w:rPr>
          <w:rFonts w:ascii="Arial" w:hAnsi="Arial" w:cs="Arial"/>
          <w:color w:val="000000"/>
          <w:sz w:val="20"/>
        </w:rPr>
        <w:t xml:space="preserve">was </w:t>
      </w:r>
      <w:r w:rsidRPr="00D52380">
        <w:rPr>
          <w:rFonts w:ascii="Arial" w:hAnsi="Arial" w:cs="Arial"/>
          <w:color w:val="000000"/>
          <w:sz w:val="20"/>
        </w:rPr>
        <w:t xml:space="preserve">applying for pecuniary penalty orders against </w:t>
      </w:r>
      <w:r w:rsidR="00C00FEA">
        <w:rPr>
          <w:rFonts w:ascii="Arial" w:hAnsi="Arial" w:cs="Arial"/>
          <w:color w:val="000000"/>
          <w:sz w:val="20"/>
        </w:rPr>
        <w:t xml:space="preserve">the </w:t>
      </w:r>
      <w:r w:rsidRPr="00D52380">
        <w:rPr>
          <w:rFonts w:ascii="Arial" w:hAnsi="Arial" w:cs="Arial"/>
          <w:color w:val="000000"/>
          <w:sz w:val="20"/>
        </w:rPr>
        <w:t xml:space="preserve">respondents and </w:t>
      </w:r>
      <w:r>
        <w:rPr>
          <w:rFonts w:ascii="Arial" w:hAnsi="Arial" w:cs="Arial"/>
          <w:color w:val="000000"/>
          <w:sz w:val="20"/>
        </w:rPr>
        <w:t xml:space="preserve">the first respondent was applying for a compensation order in respect of an </w:t>
      </w:r>
      <w:r w:rsidRPr="00D52380">
        <w:rPr>
          <w:rFonts w:ascii="Arial" w:hAnsi="Arial" w:cs="Arial"/>
          <w:color w:val="000000"/>
          <w:sz w:val="20"/>
        </w:rPr>
        <w:t xml:space="preserve">interest in </w:t>
      </w:r>
      <w:r>
        <w:rPr>
          <w:rFonts w:ascii="Arial" w:hAnsi="Arial" w:cs="Arial"/>
          <w:color w:val="000000"/>
          <w:sz w:val="20"/>
        </w:rPr>
        <w:t xml:space="preserve">a </w:t>
      </w:r>
      <w:r w:rsidRPr="00D52380">
        <w:rPr>
          <w:rFonts w:ascii="Arial" w:hAnsi="Arial" w:cs="Arial"/>
          <w:color w:val="000000"/>
          <w:sz w:val="20"/>
        </w:rPr>
        <w:t>house forfeited under confiscations legislation</w:t>
      </w:r>
      <w:r>
        <w:rPr>
          <w:rFonts w:ascii="Arial" w:hAnsi="Arial" w:cs="Arial"/>
          <w:color w:val="000000"/>
          <w:sz w:val="20"/>
        </w:rPr>
        <w:t>.  At</w:t>
      </w:r>
      <w:r w:rsidR="00C00FEA">
        <w:rPr>
          <w:rFonts w:ascii="Arial" w:hAnsi="Arial" w:cs="Arial"/>
          <w:color w:val="000000"/>
          <w:sz w:val="20"/>
        </w:rPr>
        <w:t> </w:t>
      </w:r>
      <w:r>
        <w:rPr>
          <w:rFonts w:ascii="Arial" w:hAnsi="Arial" w:cs="Arial"/>
          <w:color w:val="000000"/>
          <w:sz w:val="20"/>
        </w:rPr>
        <w:t>[</w:t>
      </w:r>
      <w:r w:rsidR="00C00FEA">
        <w:rPr>
          <w:rFonts w:ascii="Arial" w:hAnsi="Arial" w:cs="Arial"/>
          <w:color w:val="000000"/>
          <w:sz w:val="20"/>
        </w:rPr>
        <w:t>55</w:t>
      </w:r>
      <w:r>
        <w:rPr>
          <w:rFonts w:ascii="Arial" w:hAnsi="Arial" w:cs="Arial"/>
          <w:color w:val="000000"/>
          <w:sz w:val="20"/>
        </w:rPr>
        <w:t xml:space="preserve">] Gorton J </w:t>
      </w:r>
      <w:r w:rsidR="00C00FEA">
        <w:rPr>
          <w:rFonts w:ascii="Arial" w:hAnsi="Arial" w:cs="Arial"/>
          <w:color w:val="000000"/>
          <w:sz w:val="20"/>
        </w:rPr>
        <w:t>rule</w:t>
      </w:r>
      <w:r>
        <w:rPr>
          <w:rFonts w:ascii="Arial" w:hAnsi="Arial" w:cs="Arial"/>
          <w:color w:val="000000"/>
          <w:sz w:val="20"/>
        </w:rPr>
        <w:t xml:space="preserve">d that </w:t>
      </w:r>
      <w:r w:rsidR="00C00FEA">
        <w:rPr>
          <w:rFonts w:ascii="Arial" w:hAnsi="Arial" w:cs="Arial"/>
          <w:color w:val="000000"/>
          <w:sz w:val="20"/>
        </w:rPr>
        <w:t xml:space="preserve">pursuant to s.192A of the </w:t>
      </w:r>
      <w:r w:rsidR="00C00FEA" w:rsidRPr="00C00FEA">
        <w:rPr>
          <w:rFonts w:ascii="Arial" w:hAnsi="Arial" w:cs="Arial"/>
          <w:i/>
          <w:iCs/>
          <w:color w:val="000000"/>
          <w:sz w:val="20"/>
        </w:rPr>
        <w:t>Evidence Act 2008</w:t>
      </w:r>
      <w:r w:rsidR="00C00FEA">
        <w:rPr>
          <w:rFonts w:ascii="Arial" w:hAnsi="Arial" w:cs="Arial"/>
          <w:color w:val="000000"/>
          <w:sz w:val="20"/>
        </w:rPr>
        <w:t xml:space="preserve">, </w:t>
      </w:r>
      <w:r>
        <w:rPr>
          <w:rFonts w:ascii="Arial" w:hAnsi="Arial" w:cs="Arial"/>
          <w:color w:val="000000"/>
          <w:sz w:val="20"/>
        </w:rPr>
        <w:t xml:space="preserve">the </w:t>
      </w:r>
      <w:r w:rsidR="00C00FEA">
        <w:rPr>
          <w:rFonts w:ascii="Arial" w:hAnsi="Arial" w:cs="Arial"/>
          <w:color w:val="000000"/>
          <w:sz w:val="20"/>
        </w:rPr>
        <w:t xml:space="preserve">transcript of the prior criminal proceedings (including the </w:t>
      </w:r>
      <w:r w:rsidRPr="00D52380">
        <w:rPr>
          <w:rFonts w:ascii="Arial" w:hAnsi="Arial" w:cs="Arial"/>
          <w:color w:val="000000"/>
          <w:sz w:val="20"/>
        </w:rPr>
        <w:t xml:space="preserve">sentencing </w:t>
      </w:r>
      <w:r w:rsidR="00C00FEA">
        <w:rPr>
          <w:rFonts w:ascii="Arial" w:hAnsi="Arial" w:cs="Arial"/>
          <w:color w:val="000000"/>
          <w:sz w:val="20"/>
        </w:rPr>
        <w:t>remarks)</w:t>
      </w:r>
      <w:r w:rsidRPr="00D52380">
        <w:rPr>
          <w:rFonts w:ascii="Arial" w:hAnsi="Arial" w:cs="Arial"/>
          <w:color w:val="000000"/>
          <w:sz w:val="20"/>
        </w:rPr>
        <w:t xml:space="preserve"> and </w:t>
      </w:r>
      <w:r>
        <w:rPr>
          <w:rFonts w:ascii="Arial" w:hAnsi="Arial" w:cs="Arial"/>
          <w:color w:val="000000"/>
          <w:sz w:val="20"/>
        </w:rPr>
        <w:t xml:space="preserve">the </w:t>
      </w:r>
      <w:r w:rsidR="00C00FEA">
        <w:rPr>
          <w:rFonts w:ascii="Arial" w:hAnsi="Arial" w:cs="Arial"/>
          <w:color w:val="000000"/>
          <w:sz w:val="20"/>
        </w:rPr>
        <w:t xml:space="preserve">transcript of the </w:t>
      </w:r>
      <w:r w:rsidRPr="00D52380">
        <w:rPr>
          <w:rFonts w:ascii="Arial" w:hAnsi="Arial" w:cs="Arial"/>
          <w:color w:val="000000"/>
          <w:sz w:val="20"/>
        </w:rPr>
        <w:t xml:space="preserve">appeal </w:t>
      </w:r>
      <w:r w:rsidR="00C00FEA">
        <w:rPr>
          <w:rFonts w:ascii="Arial" w:hAnsi="Arial" w:cs="Arial"/>
          <w:color w:val="000000"/>
          <w:sz w:val="20"/>
        </w:rPr>
        <w:t xml:space="preserve">proceeding (including the Court of Appeal’s reasons) are admissible </w:t>
      </w:r>
      <w:r w:rsidR="00C00FEA" w:rsidRPr="00C00FEA">
        <w:rPr>
          <w:rFonts w:ascii="Arial" w:hAnsi="Arial" w:cs="Arial"/>
          <w:color w:val="000000"/>
          <w:sz w:val="20"/>
        </w:rPr>
        <w:t>subject to any argument pursuant to ss</w:t>
      </w:r>
      <w:r w:rsidR="00C00FEA">
        <w:rPr>
          <w:rFonts w:ascii="Arial" w:hAnsi="Arial" w:cs="Arial"/>
          <w:color w:val="000000"/>
          <w:sz w:val="20"/>
        </w:rPr>
        <w:t>.</w:t>
      </w:r>
      <w:r w:rsidR="00C00FEA" w:rsidRPr="00C00FEA">
        <w:rPr>
          <w:rFonts w:ascii="Arial" w:hAnsi="Arial" w:cs="Arial"/>
          <w:color w:val="000000"/>
          <w:sz w:val="20"/>
        </w:rPr>
        <w:t xml:space="preserve">135 or 136 of the </w:t>
      </w:r>
      <w:r w:rsidR="00C00FEA" w:rsidRPr="00C00FEA">
        <w:rPr>
          <w:rFonts w:ascii="Arial" w:hAnsi="Arial" w:cs="Arial"/>
          <w:i/>
          <w:iCs/>
          <w:color w:val="000000"/>
          <w:sz w:val="20"/>
        </w:rPr>
        <w:t>Evidence Act 2008</w:t>
      </w:r>
      <w:r w:rsidR="00C00FEA">
        <w:rPr>
          <w:rFonts w:ascii="Arial" w:hAnsi="Arial" w:cs="Arial"/>
          <w:color w:val="000000"/>
          <w:sz w:val="20"/>
        </w:rPr>
        <w:t>.</w:t>
      </w:r>
    </w:p>
    <w:p w14:paraId="2C64C68F" w14:textId="7D2B4CBC" w:rsidR="00D52380" w:rsidRPr="001C6E0E" w:rsidRDefault="00D52380">
      <w:pPr>
        <w:jc w:val="both"/>
        <w:rPr>
          <w:rFonts w:ascii="Arial" w:hAnsi="Arial" w:cs="Arial"/>
          <w:color w:val="000000"/>
          <w:sz w:val="20"/>
        </w:rPr>
      </w:pPr>
    </w:p>
    <w:p w14:paraId="153194CD" w14:textId="163A26FA" w:rsidR="00BF52E5" w:rsidRPr="001C6E0E" w:rsidRDefault="00BF52E5">
      <w:pPr>
        <w:pStyle w:val="Heading3"/>
        <w:keepNext/>
        <w:spacing w:after="120" w:line="240" w:lineRule="auto"/>
        <w:rPr>
          <w:rFonts w:ascii="Arial" w:hAnsi="Arial" w:cs="Arial"/>
          <w:b/>
          <w:bCs/>
          <w:color w:val="000000"/>
          <w:sz w:val="20"/>
        </w:rPr>
      </w:pPr>
      <w:bookmarkStart w:id="255" w:name="_11.1.10_Struck_out"/>
      <w:bookmarkStart w:id="256" w:name="_Toc30671668"/>
      <w:bookmarkStart w:id="257" w:name="_Toc30674195"/>
      <w:bookmarkStart w:id="258" w:name="_Toc30691462"/>
      <w:bookmarkStart w:id="259" w:name="_Toc30691842"/>
      <w:bookmarkStart w:id="260" w:name="_Toc30692222"/>
      <w:bookmarkStart w:id="261" w:name="_Toc30692980"/>
      <w:bookmarkStart w:id="262" w:name="_Toc30693359"/>
      <w:bookmarkStart w:id="263" w:name="_Toc30693737"/>
      <w:bookmarkStart w:id="264" w:name="_Toc30694115"/>
      <w:bookmarkStart w:id="265" w:name="_Toc30694496"/>
      <w:bookmarkStart w:id="266" w:name="_Toc30699086"/>
      <w:bookmarkStart w:id="267" w:name="_Toc30699471"/>
      <w:bookmarkStart w:id="268" w:name="_Toc30699856"/>
      <w:bookmarkStart w:id="269" w:name="_Toc30701011"/>
      <w:bookmarkStart w:id="270" w:name="_Toc30701398"/>
      <w:bookmarkStart w:id="271" w:name="_Toc30744005"/>
      <w:bookmarkStart w:id="272" w:name="_Toc30754828"/>
      <w:bookmarkStart w:id="273" w:name="_Toc30757284"/>
      <w:bookmarkStart w:id="274" w:name="_Toc30757832"/>
      <w:bookmarkStart w:id="275" w:name="_Toc30758232"/>
      <w:bookmarkStart w:id="276" w:name="_Toc30762992"/>
      <w:bookmarkStart w:id="277" w:name="_Toc30767646"/>
      <w:bookmarkStart w:id="278" w:name="_Toc34823664"/>
      <w:bookmarkStart w:id="279" w:name="_Toc107101741"/>
      <w:bookmarkEnd w:id="255"/>
      <w:r w:rsidRPr="001C6E0E">
        <w:rPr>
          <w:rFonts w:ascii="Arial" w:hAnsi="Arial" w:cs="Arial"/>
          <w:b/>
          <w:bCs/>
          <w:color w:val="000000"/>
          <w:sz w:val="20"/>
        </w:rPr>
        <w:t>11.1.10</w:t>
      </w:r>
      <w:r w:rsidRPr="001C6E0E">
        <w:rPr>
          <w:rFonts w:ascii="Arial" w:hAnsi="Arial" w:cs="Arial"/>
          <w:b/>
          <w:bCs/>
          <w:color w:val="000000"/>
          <w:sz w:val="20"/>
        </w:rPr>
        <w:tab/>
      </w:r>
      <w:r w:rsidR="00A361DC">
        <w:rPr>
          <w:rFonts w:ascii="Arial" w:hAnsi="Arial" w:cs="Arial"/>
          <w:b/>
          <w:bCs/>
          <w:color w:val="000000"/>
          <w:sz w:val="20"/>
        </w:rPr>
        <w:t>Distinction between dismiss</w:t>
      </w:r>
      <w:r w:rsidR="002E6DE6">
        <w:rPr>
          <w:rFonts w:ascii="Arial" w:hAnsi="Arial" w:cs="Arial"/>
          <w:b/>
          <w:bCs/>
          <w:color w:val="000000"/>
          <w:sz w:val="20"/>
        </w:rPr>
        <w:t>ing</w:t>
      </w:r>
      <w:r w:rsidR="00A361DC">
        <w:rPr>
          <w:rFonts w:ascii="Arial" w:hAnsi="Arial" w:cs="Arial"/>
          <w:b/>
          <w:bCs/>
          <w:color w:val="000000"/>
          <w:sz w:val="20"/>
        </w:rPr>
        <w:t xml:space="preserve"> a charge and striking </w:t>
      </w:r>
      <w:r w:rsidR="002E6DE6">
        <w:rPr>
          <w:rFonts w:ascii="Arial" w:hAnsi="Arial" w:cs="Arial"/>
          <w:b/>
          <w:bCs/>
          <w:color w:val="000000"/>
          <w:sz w:val="20"/>
        </w:rPr>
        <w:t xml:space="preserve">out </w:t>
      </w:r>
      <w:r w:rsidR="00A361DC">
        <w:rPr>
          <w:rFonts w:ascii="Arial" w:hAnsi="Arial" w:cs="Arial"/>
          <w:b/>
          <w:bCs/>
          <w:color w:val="000000"/>
          <w:sz w:val="20"/>
        </w:rPr>
        <w:t>a charge</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77334532" w14:textId="4E8884DA" w:rsidR="00B62959" w:rsidRDefault="00B62959" w:rsidP="00B62959">
      <w:pPr>
        <w:jc w:val="both"/>
        <w:rPr>
          <w:rFonts w:ascii="Arial" w:hAnsi="Arial" w:cs="Arial"/>
          <w:color w:val="000000"/>
          <w:sz w:val="20"/>
        </w:rPr>
      </w:pPr>
      <w:r>
        <w:rPr>
          <w:rFonts w:ascii="Arial" w:hAnsi="Arial" w:cs="Arial"/>
          <w:color w:val="000000"/>
          <w:sz w:val="20"/>
        </w:rPr>
        <w:t>There are two quite distinct circumstances in which a charge may be dismissed.</w:t>
      </w:r>
      <w:r w:rsidR="00C32E68">
        <w:rPr>
          <w:rFonts w:ascii="Arial" w:hAnsi="Arial" w:cs="Arial"/>
          <w:color w:val="000000"/>
          <w:sz w:val="20"/>
        </w:rPr>
        <w:t xml:space="preserve">  The first is where the prosecution agency has not satisfied the court beyond reasonable doubt of the accused child’s guilt</w:t>
      </w:r>
      <w:r w:rsidR="002E6DE6">
        <w:rPr>
          <w:rFonts w:ascii="Arial" w:hAnsi="Arial" w:cs="Arial"/>
          <w:color w:val="000000"/>
          <w:sz w:val="20"/>
        </w:rPr>
        <w:t xml:space="preserve"> of the charged offence</w:t>
      </w:r>
      <w:r w:rsidR="00C32E68">
        <w:rPr>
          <w:rFonts w:ascii="Arial" w:hAnsi="Arial" w:cs="Arial"/>
          <w:color w:val="000000"/>
          <w:sz w:val="20"/>
        </w:rPr>
        <w:t xml:space="preserve">.  The second is where the court is satisfied of the child’s guilt but dismisses the charge without conviction pursuant to s.360(1)(a) of the CYFA. </w:t>
      </w:r>
      <w:r w:rsidR="002E6DE6">
        <w:rPr>
          <w:rFonts w:ascii="Arial" w:hAnsi="Arial" w:cs="Arial"/>
          <w:color w:val="000000"/>
          <w:sz w:val="20"/>
        </w:rPr>
        <w:t xml:space="preserve"> </w:t>
      </w:r>
      <w:r w:rsidR="00C32E68">
        <w:rPr>
          <w:rFonts w:ascii="Arial" w:hAnsi="Arial" w:cs="Arial"/>
          <w:color w:val="000000"/>
          <w:sz w:val="20"/>
        </w:rPr>
        <w:t>This latter is a sentencing order.</w:t>
      </w:r>
      <w:r w:rsidR="00E12A70">
        <w:rPr>
          <w:rFonts w:ascii="Arial" w:hAnsi="Arial" w:cs="Arial"/>
          <w:color w:val="000000"/>
          <w:sz w:val="20"/>
        </w:rPr>
        <w:t xml:space="preserve">  Both of the orders put an end to the charge.</w:t>
      </w:r>
    </w:p>
    <w:p w14:paraId="6944B161" w14:textId="77777777" w:rsidR="00B62959" w:rsidRDefault="00B62959" w:rsidP="00B62959">
      <w:pPr>
        <w:jc w:val="both"/>
        <w:rPr>
          <w:rFonts w:ascii="Arial" w:hAnsi="Arial" w:cs="Arial"/>
          <w:color w:val="000000"/>
          <w:sz w:val="20"/>
        </w:rPr>
      </w:pPr>
    </w:p>
    <w:p w14:paraId="72C5350E" w14:textId="084702DA" w:rsidR="00E12A70" w:rsidRDefault="007837CA" w:rsidP="00B62959">
      <w:pPr>
        <w:jc w:val="both"/>
        <w:rPr>
          <w:rFonts w:ascii="Arial" w:hAnsi="Arial" w:cs="Arial"/>
          <w:color w:val="000000"/>
          <w:sz w:val="20"/>
        </w:rPr>
      </w:pPr>
      <w:r>
        <w:rPr>
          <w:rFonts w:ascii="Arial" w:hAnsi="Arial" w:cs="Arial"/>
          <w:color w:val="000000"/>
          <w:sz w:val="20"/>
        </w:rPr>
        <w:t xml:space="preserve">By contrast, </w:t>
      </w:r>
      <w:r w:rsidRPr="001C6E0E">
        <w:rPr>
          <w:rFonts w:ascii="Arial" w:hAnsi="Arial" w:cs="Arial"/>
          <w:color w:val="000000"/>
          <w:sz w:val="20"/>
        </w:rPr>
        <w:t>an order striking out a</w:t>
      </w:r>
      <w:r w:rsidR="002E6DE6">
        <w:rPr>
          <w:rFonts w:ascii="Arial" w:hAnsi="Arial" w:cs="Arial"/>
          <w:color w:val="000000"/>
          <w:sz w:val="20"/>
        </w:rPr>
        <w:t xml:space="preserve"> charge</w:t>
      </w:r>
      <w:r w:rsidRPr="001C6E0E">
        <w:rPr>
          <w:rFonts w:ascii="Arial" w:hAnsi="Arial" w:cs="Arial"/>
          <w:color w:val="000000"/>
          <w:sz w:val="20"/>
        </w:rPr>
        <w:t xml:space="preserve"> </w:t>
      </w:r>
      <w:r>
        <w:rPr>
          <w:rFonts w:ascii="Arial" w:hAnsi="Arial" w:cs="Arial"/>
          <w:color w:val="000000"/>
          <w:sz w:val="20"/>
        </w:rPr>
        <w:t xml:space="preserve">– made upon application by a prosecuting agency to withdraw </w:t>
      </w:r>
      <w:r w:rsidR="002E6DE6">
        <w:rPr>
          <w:rFonts w:ascii="Arial" w:hAnsi="Arial" w:cs="Arial"/>
          <w:color w:val="000000"/>
          <w:sz w:val="20"/>
        </w:rPr>
        <w:t>the</w:t>
      </w:r>
      <w:r>
        <w:rPr>
          <w:rFonts w:ascii="Arial" w:hAnsi="Arial" w:cs="Arial"/>
          <w:color w:val="000000"/>
          <w:sz w:val="20"/>
        </w:rPr>
        <w:t xml:space="preserve"> charge – </w:t>
      </w:r>
      <w:r w:rsidRPr="001C6E0E">
        <w:rPr>
          <w:rFonts w:ascii="Arial" w:hAnsi="Arial" w:cs="Arial"/>
          <w:color w:val="000000"/>
          <w:sz w:val="20"/>
        </w:rPr>
        <w:t>is</w:t>
      </w:r>
      <w:r>
        <w:rPr>
          <w:rFonts w:ascii="Arial" w:hAnsi="Arial" w:cs="Arial"/>
          <w:color w:val="000000"/>
          <w:sz w:val="20"/>
        </w:rPr>
        <w:t xml:space="preserve"> </w:t>
      </w:r>
      <w:r w:rsidRPr="001C6E0E">
        <w:rPr>
          <w:rFonts w:ascii="Arial" w:hAnsi="Arial" w:cs="Arial"/>
          <w:color w:val="000000"/>
          <w:sz w:val="20"/>
        </w:rPr>
        <w:t>n</w:t>
      </w:r>
      <w:r>
        <w:rPr>
          <w:rFonts w:ascii="Arial" w:hAnsi="Arial" w:cs="Arial"/>
          <w:color w:val="000000"/>
          <w:sz w:val="20"/>
        </w:rPr>
        <w:t>either</w:t>
      </w:r>
      <w:r w:rsidRPr="001C6E0E">
        <w:rPr>
          <w:rFonts w:ascii="Arial" w:hAnsi="Arial" w:cs="Arial"/>
          <w:color w:val="000000"/>
          <w:sz w:val="20"/>
        </w:rPr>
        <w:t xml:space="preserve"> a sentencing order no</w:t>
      </w:r>
      <w:r>
        <w:rPr>
          <w:rFonts w:ascii="Arial" w:hAnsi="Arial" w:cs="Arial"/>
          <w:color w:val="000000"/>
          <w:sz w:val="20"/>
        </w:rPr>
        <w:t>r</w:t>
      </w:r>
      <w:r w:rsidRPr="001C6E0E">
        <w:rPr>
          <w:rFonts w:ascii="Arial" w:hAnsi="Arial" w:cs="Arial"/>
          <w:color w:val="000000"/>
          <w:sz w:val="20"/>
        </w:rPr>
        <w:t xml:space="preserve"> a curial determination of the merits of the c</w:t>
      </w:r>
      <w:r w:rsidR="002E6DE6">
        <w:rPr>
          <w:rFonts w:ascii="Arial" w:hAnsi="Arial" w:cs="Arial"/>
          <w:color w:val="000000"/>
          <w:sz w:val="20"/>
        </w:rPr>
        <w:t>harge</w:t>
      </w:r>
      <w:r>
        <w:rPr>
          <w:rFonts w:ascii="Arial" w:hAnsi="Arial" w:cs="Arial"/>
          <w:color w:val="000000"/>
          <w:sz w:val="20"/>
        </w:rPr>
        <w:t xml:space="preserve">. </w:t>
      </w:r>
      <w:r w:rsidR="002E6DE6">
        <w:rPr>
          <w:rFonts w:ascii="Arial" w:hAnsi="Arial" w:cs="Arial"/>
          <w:color w:val="000000"/>
          <w:sz w:val="20"/>
        </w:rPr>
        <w:t xml:space="preserve"> </w:t>
      </w:r>
      <w:r w:rsidR="00E12A70">
        <w:rPr>
          <w:rFonts w:ascii="Arial" w:hAnsi="Arial" w:cs="Arial"/>
          <w:color w:val="000000"/>
          <w:sz w:val="20"/>
        </w:rPr>
        <w:t xml:space="preserve">In strict law it does not put an end to the </w:t>
      </w:r>
      <w:r>
        <w:rPr>
          <w:rFonts w:ascii="Arial" w:hAnsi="Arial" w:cs="Arial"/>
          <w:color w:val="000000"/>
          <w:sz w:val="20"/>
        </w:rPr>
        <w:t>charge</w:t>
      </w:r>
      <w:r w:rsidR="00E12A70">
        <w:rPr>
          <w:rFonts w:ascii="Arial" w:hAnsi="Arial" w:cs="Arial"/>
          <w:color w:val="000000"/>
          <w:sz w:val="20"/>
        </w:rPr>
        <w:t xml:space="preserve"> although in practice in the vast majority of cases it does.  However, u</w:t>
      </w:r>
      <w:r w:rsidR="00BF52E5" w:rsidRPr="001C6E0E">
        <w:rPr>
          <w:rFonts w:ascii="Arial" w:hAnsi="Arial" w:cs="Arial"/>
          <w:color w:val="000000"/>
          <w:sz w:val="20"/>
        </w:rPr>
        <w:t>ntil such time as the court determines the c</w:t>
      </w:r>
      <w:r w:rsidR="002E6DE6">
        <w:rPr>
          <w:rFonts w:ascii="Arial" w:hAnsi="Arial" w:cs="Arial"/>
          <w:color w:val="000000"/>
          <w:sz w:val="20"/>
        </w:rPr>
        <w:t>harge</w:t>
      </w:r>
      <w:r w:rsidR="00BF52E5" w:rsidRPr="001C6E0E">
        <w:rPr>
          <w:rFonts w:ascii="Arial" w:hAnsi="Arial" w:cs="Arial"/>
          <w:color w:val="000000"/>
          <w:sz w:val="20"/>
        </w:rPr>
        <w:t xml:space="preserve"> on its merits and records an order finding the defendant guilty or dismissing the c</w:t>
      </w:r>
      <w:r w:rsidR="00E12A70">
        <w:rPr>
          <w:rFonts w:ascii="Arial" w:hAnsi="Arial" w:cs="Arial"/>
          <w:color w:val="000000"/>
          <w:sz w:val="20"/>
        </w:rPr>
        <w:t>harge</w:t>
      </w:r>
      <w:r w:rsidR="00BF52E5" w:rsidRPr="001C6E0E">
        <w:rPr>
          <w:rFonts w:ascii="Arial" w:hAnsi="Arial" w:cs="Arial"/>
          <w:color w:val="000000"/>
          <w:sz w:val="20"/>
        </w:rPr>
        <w:t>, a striking out order is no more than a direction to remove the c</w:t>
      </w:r>
      <w:r w:rsidR="00E12A70">
        <w:rPr>
          <w:rFonts w:ascii="Arial" w:hAnsi="Arial" w:cs="Arial"/>
          <w:color w:val="000000"/>
          <w:sz w:val="20"/>
        </w:rPr>
        <w:t>harge</w:t>
      </w:r>
      <w:r w:rsidR="00BF52E5" w:rsidRPr="001C6E0E">
        <w:rPr>
          <w:rFonts w:ascii="Arial" w:hAnsi="Arial" w:cs="Arial"/>
          <w:color w:val="000000"/>
          <w:sz w:val="20"/>
        </w:rPr>
        <w:t xml:space="preserve"> from the list of matters for hearing and determination by the Court</w:t>
      </w:r>
      <w:r w:rsidR="00E12A70">
        <w:rPr>
          <w:rFonts w:ascii="Arial" w:hAnsi="Arial" w:cs="Arial"/>
          <w:color w:val="000000"/>
          <w:sz w:val="20"/>
        </w:rPr>
        <w:t>.  In</w:t>
      </w:r>
      <w:r w:rsidR="00532A73">
        <w:rPr>
          <w:rFonts w:ascii="Arial" w:hAnsi="Arial" w:cs="Arial"/>
          <w:color w:val="000000"/>
          <w:sz w:val="20"/>
        </w:rPr>
        <w:t> </w:t>
      </w:r>
      <w:r w:rsidR="00E12A70" w:rsidRPr="001C6E0E">
        <w:rPr>
          <w:rFonts w:ascii="Arial" w:hAnsi="Arial" w:cs="Arial"/>
          <w:i/>
          <w:iCs/>
          <w:color w:val="000000"/>
          <w:sz w:val="20"/>
        </w:rPr>
        <w:t>R v McGowan &amp; Another; ex parte Macko &amp; Sanderson</w:t>
      </w:r>
      <w:r w:rsidR="00E12A70" w:rsidRPr="001C6E0E">
        <w:rPr>
          <w:rFonts w:ascii="Arial" w:hAnsi="Arial" w:cs="Arial"/>
          <w:color w:val="000000"/>
          <w:sz w:val="20"/>
        </w:rPr>
        <w:t xml:space="preserve"> [1984] VR 1000 </w:t>
      </w:r>
      <w:r w:rsidR="00E12A70">
        <w:rPr>
          <w:rFonts w:ascii="Arial" w:hAnsi="Arial" w:cs="Arial"/>
          <w:color w:val="000000"/>
          <w:sz w:val="20"/>
        </w:rPr>
        <w:t>Kaye J said at 1002:</w:t>
      </w:r>
    </w:p>
    <w:p w14:paraId="3456CAE3" w14:textId="68425D91"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“[A]n order striking out an information does not put an end to the proceedings.  It is not a curial determination of the charge alleged; it is no more than a direction to remove the information from the list of matters for hearing and determination by the Court.</w:t>
      </w:r>
    </w:p>
    <w:p w14:paraId="58FEA502" w14:textId="51A93E6D"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 xml:space="preserve">Notwithstanding that </w:t>
      </w:r>
      <w:r w:rsidR="007837CA">
        <w:rPr>
          <w:rFonts w:ascii="Arial" w:hAnsi="Arial" w:cs="Arial"/>
          <w:color w:val="000000"/>
          <w:sz w:val="20"/>
        </w:rPr>
        <w:t xml:space="preserve">reported authorities are mainly concerned with matters within civil jurisdiction of superior courts, it is clear that the nature of an order striking out an information by a Magistrates’ Court does not differ from a like order made by a court of unlimited jurisdiction.  The nature of such an order is demonstrated by the reported submission of counsel and orders made by Mann CJ in </w:t>
      </w:r>
      <w:r w:rsidR="007837CA" w:rsidRPr="007837CA">
        <w:rPr>
          <w:rFonts w:ascii="Arial" w:hAnsi="Arial" w:cs="Arial"/>
          <w:i/>
          <w:iCs/>
          <w:color w:val="000000"/>
          <w:sz w:val="20"/>
        </w:rPr>
        <w:t>Aiken v Aiken</w:t>
      </w:r>
      <w:r w:rsidR="007837CA">
        <w:rPr>
          <w:rFonts w:ascii="Arial" w:hAnsi="Arial" w:cs="Arial"/>
          <w:color w:val="000000"/>
          <w:sz w:val="20"/>
        </w:rPr>
        <w:t xml:space="preserve"> [1941] VLR 124…</w:t>
      </w:r>
    </w:p>
    <w:p w14:paraId="1C7BD9CF" w14:textId="3D68307A" w:rsidR="003A4960" w:rsidRPr="001C6E0E" w:rsidRDefault="003A4960" w:rsidP="00E12A70">
      <w:pPr>
        <w:spacing w:before="60"/>
        <w:ind w:left="510" w:right="510"/>
        <w:jc w:val="both"/>
        <w:rPr>
          <w:rFonts w:ascii="Arial" w:hAnsi="Arial" w:cs="Arial"/>
          <w:color w:val="000000"/>
          <w:sz w:val="20"/>
        </w:rPr>
      </w:pPr>
      <w:r>
        <w:rPr>
          <w:rFonts w:ascii="Arial" w:hAnsi="Arial" w:cs="Arial"/>
          <w:color w:val="000000"/>
          <w:sz w:val="20"/>
        </w:rPr>
        <w:t xml:space="preserve">The power to reinstate for trial an action which has been struck out was noted by Smith J in </w:t>
      </w:r>
      <w:r w:rsidRPr="00532A73">
        <w:rPr>
          <w:rFonts w:ascii="Arial" w:hAnsi="Arial" w:cs="Arial"/>
          <w:i/>
          <w:iCs/>
          <w:color w:val="000000"/>
          <w:sz w:val="20"/>
        </w:rPr>
        <w:t>Roberts v Gippsland Agricultural and Earthmoving Contracting Co Pty Ltd</w:t>
      </w:r>
      <w:r>
        <w:rPr>
          <w:rFonts w:ascii="Arial" w:hAnsi="Arial" w:cs="Arial"/>
          <w:color w:val="000000"/>
          <w:sz w:val="20"/>
        </w:rPr>
        <w:t xml:space="preserve"> [1956] VLR 555 at p.565.  In the absence of any statutory provision to the contrary, the power forms part of the inherent jurisdiction of the Court.”</w:t>
      </w:r>
    </w:p>
    <w:p w14:paraId="11668F22" w14:textId="77777777" w:rsidR="00E12A70" w:rsidRDefault="00E12A70" w:rsidP="00B62959">
      <w:pPr>
        <w:jc w:val="both"/>
        <w:rPr>
          <w:rFonts w:ascii="Arial" w:hAnsi="Arial" w:cs="Arial"/>
          <w:color w:val="000000"/>
          <w:sz w:val="20"/>
        </w:rPr>
      </w:pPr>
    </w:p>
    <w:p w14:paraId="2A2644A1" w14:textId="72E0C8C0" w:rsidR="00BF52E5" w:rsidRPr="001C6E0E" w:rsidRDefault="003A4960" w:rsidP="00B62959">
      <w:pPr>
        <w:jc w:val="both"/>
        <w:rPr>
          <w:rFonts w:ascii="Arial" w:hAnsi="Arial" w:cs="Arial"/>
          <w:color w:val="000000"/>
          <w:sz w:val="20"/>
        </w:rPr>
      </w:pPr>
      <w:r>
        <w:rPr>
          <w:rFonts w:ascii="Arial" w:hAnsi="Arial" w:cs="Arial"/>
          <w:color w:val="000000"/>
          <w:sz w:val="20"/>
        </w:rPr>
        <w:t>S</w:t>
      </w:r>
      <w:r w:rsidR="00BF52E5" w:rsidRPr="001C6E0E">
        <w:rPr>
          <w:rFonts w:ascii="Arial" w:hAnsi="Arial" w:cs="Arial"/>
          <w:color w:val="000000"/>
          <w:sz w:val="20"/>
        </w:rPr>
        <w:t xml:space="preserve">ee </w:t>
      </w:r>
      <w:r>
        <w:rPr>
          <w:rFonts w:ascii="Arial" w:hAnsi="Arial" w:cs="Arial"/>
          <w:color w:val="000000"/>
          <w:sz w:val="20"/>
        </w:rPr>
        <w:t>also</w:t>
      </w:r>
      <w:r w:rsidR="00BF52E5" w:rsidRPr="001C6E0E">
        <w:rPr>
          <w:rFonts w:ascii="Arial" w:hAnsi="Arial" w:cs="Arial"/>
          <w:color w:val="000000"/>
          <w:sz w:val="20"/>
        </w:rPr>
        <w:t xml:space="preserve"> </w:t>
      </w:r>
      <w:r w:rsidR="00BF52E5" w:rsidRPr="001C6E0E">
        <w:rPr>
          <w:rFonts w:ascii="Arial" w:hAnsi="Arial" w:cs="Arial"/>
          <w:i/>
          <w:iCs/>
          <w:color w:val="000000"/>
          <w:sz w:val="20"/>
        </w:rPr>
        <w:t xml:space="preserve">Willis v Magistrates' Ct Vic &amp; Buck </w:t>
      </w:r>
      <w:r w:rsidR="00BF52E5" w:rsidRPr="001C6E0E">
        <w:rPr>
          <w:rFonts w:ascii="Arial" w:hAnsi="Arial" w:cs="Arial"/>
          <w:color w:val="000000"/>
          <w:sz w:val="20"/>
        </w:rPr>
        <w:t xml:space="preserve">[Sup Ct Vic, {MC9/97}, 02/12/1996] per Smith J; </w:t>
      </w:r>
      <w:r w:rsidR="00BF52E5" w:rsidRPr="001C6E0E">
        <w:rPr>
          <w:rFonts w:ascii="Arial" w:hAnsi="Arial" w:cs="Arial"/>
          <w:i/>
          <w:iCs/>
          <w:color w:val="000000"/>
          <w:sz w:val="20"/>
        </w:rPr>
        <w:t>DPP v Sabransky</w:t>
      </w:r>
      <w:r w:rsidR="00BF52E5" w:rsidRPr="001C6E0E">
        <w:rPr>
          <w:rFonts w:ascii="Arial" w:hAnsi="Arial" w:cs="Arial"/>
          <w:color w:val="000000"/>
          <w:sz w:val="20"/>
        </w:rPr>
        <w:t xml:space="preserve"> [2002] VSC 143 at [33]-[37] per Kellam J; </w:t>
      </w:r>
      <w:r w:rsidR="00BF52E5" w:rsidRPr="001C6E0E">
        <w:rPr>
          <w:rFonts w:ascii="Arial" w:hAnsi="Arial" w:cs="Arial"/>
          <w:i/>
          <w:iCs/>
          <w:color w:val="000000"/>
          <w:sz w:val="20"/>
        </w:rPr>
        <w:t>DPP v Moore</w:t>
      </w:r>
      <w:r w:rsidR="00BF52E5" w:rsidRPr="001C6E0E">
        <w:rPr>
          <w:rFonts w:ascii="Arial" w:hAnsi="Arial" w:cs="Arial"/>
          <w:color w:val="000000"/>
          <w:sz w:val="20"/>
        </w:rPr>
        <w:t xml:space="preserve"> </w:t>
      </w:r>
      <w:r w:rsidR="00E62A78">
        <w:rPr>
          <w:rFonts w:ascii="Arial" w:hAnsi="Arial" w:cs="Arial"/>
          <w:color w:val="000000"/>
          <w:sz w:val="20"/>
        </w:rPr>
        <w:t xml:space="preserve">(2003) 6 VR 430; </w:t>
      </w:r>
      <w:r w:rsidR="00BF52E5"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w:t>
      </w:r>
      <w:r w:rsidR="004E0F71">
        <w:rPr>
          <w:rFonts w:ascii="Arial" w:hAnsi="Arial" w:cs="Arial"/>
          <w:color w:val="000000"/>
          <w:sz w:val="20"/>
        </w:rPr>
        <w:t xml:space="preserve"> </w:t>
      </w:r>
      <w:r w:rsidR="00E62A78">
        <w:rPr>
          <w:rFonts w:ascii="Arial" w:hAnsi="Arial" w:cs="Arial"/>
          <w:color w:val="000000"/>
          <w:sz w:val="20"/>
        </w:rPr>
        <w:t>JA.</w:t>
      </w:r>
      <w:r w:rsidR="003D58B2">
        <w:rPr>
          <w:rFonts w:ascii="Arial" w:hAnsi="Arial" w:cs="Arial"/>
          <w:color w:val="000000"/>
          <w:sz w:val="20"/>
        </w:rPr>
        <w:t xml:space="preserve">  See also the cases referred to in </w:t>
      </w:r>
      <w:r w:rsidR="00E94F6B" w:rsidRPr="00E94F6B">
        <w:rPr>
          <w:rFonts w:ascii="Arial" w:hAnsi="Arial" w:cs="Arial"/>
          <w:b/>
          <w:bCs/>
          <w:color w:val="000000"/>
          <w:sz w:val="20"/>
          <w:shd w:val="clear" w:color="auto" w:fill="C5E0B3" w:themeFill="accent6" w:themeFillTint="66"/>
        </w:rPr>
        <w:t>sub</w:t>
      </w:r>
      <w:r w:rsidR="003D58B2" w:rsidRPr="00E94F6B">
        <w:rPr>
          <w:rFonts w:ascii="Arial" w:hAnsi="Arial" w:cs="Arial"/>
          <w:b/>
          <w:bCs/>
          <w:color w:val="000000"/>
          <w:sz w:val="20"/>
          <w:shd w:val="clear" w:color="auto" w:fill="C5E0B3" w:themeFill="accent6" w:themeFillTint="66"/>
        </w:rPr>
        <w:t>section 3.3.4.4</w:t>
      </w:r>
      <w:r w:rsidR="003D58B2">
        <w:rPr>
          <w:rFonts w:ascii="Arial" w:hAnsi="Arial" w:cs="Arial"/>
          <w:color w:val="000000"/>
          <w:sz w:val="20"/>
        </w:rPr>
        <w:t>.</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E9059B">
      <w:pPr>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Birt</w:t>
      </w:r>
      <w:r w:rsidRPr="001C6E0E">
        <w:rPr>
          <w:rFonts w:ascii="Arial" w:hAnsi="Arial" w:cs="Arial"/>
          <w:color w:val="000000"/>
          <w:sz w:val="20"/>
        </w:rPr>
        <w:t xml:space="preserve"> [Supreme Court of Victoria, {MC1/93}, 01/10/1992] per Hedigan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80" w:name="_11.1.11_Children’s_Court"/>
      <w:bookmarkStart w:id="281" w:name="_Toc30674196"/>
      <w:bookmarkStart w:id="282" w:name="_Toc30691463"/>
      <w:bookmarkStart w:id="283" w:name="_Toc30691843"/>
      <w:bookmarkStart w:id="284" w:name="_Toc30692223"/>
      <w:bookmarkStart w:id="285" w:name="_Toc30692981"/>
      <w:bookmarkStart w:id="286" w:name="_Toc30693360"/>
      <w:bookmarkStart w:id="287" w:name="_Toc30693738"/>
      <w:bookmarkStart w:id="288" w:name="_Toc30694116"/>
      <w:bookmarkStart w:id="289" w:name="_Toc30694497"/>
      <w:bookmarkStart w:id="290" w:name="_Toc30699087"/>
      <w:bookmarkStart w:id="291" w:name="_Toc30699472"/>
      <w:bookmarkStart w:id="292" w:name="_Toc30699857"/>
      <w:bookmarkStart w:id="293" w:name="_Toc30701012"/>
      <w:bookmarkStart w:id="294" w:name="_Toc30701399"/>
      <w:bookmarkStart w:id="295" w:name="_Toc30744006"/>
      <w:bookmarkStart w:id="296" w:name="_Toc30754829"/>
      <w:bookmarkStart w:id="297" w:name="_Toc30757285"/>
      <w:bookmarkStart w:id="298" w:name="_Toc30757833"/>
      <w:bookmarkStart w:id="299" w:name="_Toc30758233"/>
      <w:bookmarkStart w:id="300" w:name="_Toc30762993"/>
      <w:bookmarkStart w:id="301" w:name="_Toc30767647"/>
      <w:bookmarkStart w:id="302" w:name="_Toc34823665"/>
      <w:bookmarkStart w:id="303" w:name="_Toc107101742"/>
      <w:bookmarkEnd w:id="280"/>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a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w:t>
      </w:r>
      <w:r w:rsidRPr="001C6E0E">
        <w:rPr>
          <w:rFonts w:ascii="Arial" w:hAnsi="Arial" w:cs="Arial"/>
          <w:color w:val="000000"/>
          <w:sz w:val="20"/>
        </w:rPr>
        <w:lastRenderedPageBreak/>
        <w:t xml:space="preserve">the mandatory conditions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304" w:name="_11.1.12_Order_for"/>
      <w:bookmarkStart w:id="305" w:name="_Toc30674197"/>
      <w:bookmarkStart w:id="306" w:name="_Toc30691464"/>
      <w:bookmarkStart w:id="307" w:name="_Toc30691844"/>
      <w:bookmarkStart w:id="308" w:name="_Toc30692224"/>
      <w:bookmarkStart w:id="309" w:name="_Toc30692982"/>
      <w:bookmarkStart w:id="310" w:name="_Toc30693361"/>
      <w:bookmarkStart w:id="311" w:name="_Toc30693739"/>
      <w:bookmarkStart w:id="312" w:name="_Toc30694117"/>
      <w:bookmarkStart w:id="313" w:name="_Toc30694498"/>
      <w:bookmarkStart w:id="314" w:name="_Toc30699088"/>
      <w:bookmarkStart w:id="315" w:name="_Toc30699473"/>
      <w:bookmarkStart w:id="316" w:name="_Toc30699858"/>
      <w:bookmarkStart w:id="317" w:name="_Toc30701013"/>
      <w:bookmarkStart w:id="318" w:name="_Toc30701400"/>
      <w:bookmarkStart w:id="319" w:name="_Toc30744007"/>
      <w:bookmarkStart w:id="320" w:name="_Toc30754830"/>
      <w:bookmarkStart w:id="321" w:name="_Toc30757286"/>
      <w:bookmarkStart w:id="322" w:name="_Toc30757834"/>
      <w:bookmarkStart w:id="323" w:name="_Toc30758234"/>
      <w:bookmarkStart w:id="324" w:name="_Toc30762994"/>
      <w:bookmarkStart w:id="325" w:name="_Toc30767648"/>
      <w:bookmarkStart w:id="326" w:name="_Toc34823666"/>
      <w:bookmarkStart w:id="327" w:name="_Toc107101743"/>
      <w:bookmarkEnd w:id="304"/>
      <w:r w:rsidRPr="001C6E0E">
        <w:rPr>
          <w:rFonts w:ascii="Arial" w:hAnsi="Arial" w:cs="Arial"/>
          <w:b/>
          <w:bCs/>
          <w:color w:val="000000"/>
          <w:sz w:val="20"/>
        </w:rPr>
        <w:t>11.1.12</w:t>
      </w:r>
      <w:r w:rsidRPr="001C6E0E">
        <w:rPr>
          <w:rFonts w:ascii="Arial" w:hAnsi="Arial" w:cs="Arial"/>
          <w:b/>
          <w:bCs/>
          <w:color w:val="000000"/>
          <w:sz w:val="20"/>
        </w:rPr>
        <w:tab/>
        <w:t>Order for forensic procedure on finding of guilt</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464ZF(2)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s.464ZF(4)  The most common order for a child is for an intimate sample by way of buccal swab.  Any such order must not be executed unless the appeal period has expired or an appeal (if any) has been finally determined and the conviction for the forensic sample offence upheld: s.464ZF(6).  If an appeal on conviction for the forensic sample offence is quashed, an order for forensic procedure ceases to have effect: s.464ZF(7).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D52380">
      <w:pPr>
        <w:jc w:val="both"/>
        <w:rPr>
          <w:rFonts w:ascii="Arial" w:hAnsi="Arial" w:cs="Arial"/>
          <w:color w:val="000000"/>
          <w:sz w:val="20"/>
        </w:rPr>
      </w:pPr>
      <w:r w:rsidRPr="001C6E0E">
        <w:rPr>
          <w:rFonts w:ascii="Arial" w:hAnsi="Arial" w:cs="Arial"/>
          <w:color w:val="000000"/>
          <w:sz w:val="20"/>
        </w:rPr>
        <w:t xml:space="preserve">There is a conflict of authority as to whether s.464ZF(3)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held that it did.  In </w:t>
      </w:r>
      <w:r w:rsidRPr="001C6E0E">
        <w:rPr>
          <w:rFonts w:ascii="Arial" w:hAnsi="Arial" w:cs="Arial"/>
          <w:i/>
          <w:iCs/>
          <w:color w:val="000000"/>
          <w:sz w:val="20"/>
        </w:rPr>
        <w:t>Pavic v Chief Commissioner of Police</w:t>
      </w:r>
      <w:r w:rsidRPr="001C6E0E">
        <w:rPr>
          <w:rFonts w:ascii="Arial" w:hAnsi="Arial" w:cs="Arial"/>
          <w:color w:val="000000"/>
          <w:sz w:val="20"/>
        </w:rPr>
        <w:t xml:space="preserve"> [2003] VSC 99 at [3]-[4] Nettle J took the opposite view, holding that s.464ZF(3)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s.464ZF(5)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464ZF(8)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lastRenderedPageBreak/>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Lagona</w:t>
      </w:r>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"It is important in my opinion to note that where there is a serious forensic sample offence committed in the past in the majority of cases the granting of an order will follow without much further consideration.  If the forensic sample offence is serious and there is evidence 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R v Heriban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r w:rsidRPr="001C6E0E">
        <w:rPr>
          <w:rFonts w:ascii="Arial" w:hAnsi="Arial" w:cs="Arial"/>
          <w:i/>
          <w:color w:val="000000"/>
          <w:sz w:val="20"/>
        </w:rPr>
        <w:t>Lagona</w:t>
      </w:r>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s.464ZF(9)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r w:rsidRPr="001C6E0E">
        <w:rPr>
          <w:rFonts w:ascii="Arial" w:hAnsi="Arial" w:cs="Arial"/>
          <w:i/>
          <w:iCs/>
          <w:color w:val="000000"/>
          <w:sz w:val="20"/>
        </w:rPr>
        <w:t>Lednar's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[107]-[108] Lasry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464ZFB(1)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464V(5);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R v Heriban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s.464ZFB(1)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747DFD29" w14:textId="11913F70" w:rsidR="002E10DE" w:rsidRDefault="002E10DE">
      <w:pPr>
        <w:rPr>
          <w:rFonts w:ascii="Arial" w:hAnsi="Arial" w:cs="Arial"/>
          <w:color w:val="000000"/>
          <w:sz w:val="20"/>
        </w:rPr>
      </w:pPr>
      <w:r>
        <w:rPr>
          <w:rFonts w:ascii="Arial" w:hAnsi="Arial" w:cs="Arial"/>
          <w:color w:val="000000"/>
          <w:sz w:val="20"/>
        </w:rPr>
        <w:br w:type="page"/>
      </w:r>
    </w:p>
    <w:p w14:paraId="0C3B65E9" w14:textId="77777777" w:rsidR="008222CD" w:rsidRPr="001C6E0E" w:rsidRDefault="008222CD" w:rsidP="008222CD">
      <w:pPr>
        <w:jc w:val="both"/>
        <w:rPr>
          <w:rFonts w:ascii="Arial" w:hAnsi="Arial" w:cs="Arial"/>
          <w:color w:val="000000"/>
          <w:sz w:val="20"/>
        </w:rPr>
      </w:pP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28" w:name="_11.1.13_Sentencing_of"/>
      <w:bookmarkEnd w:id="328"/>
      <w:r>
        <w:rPr>
          <w:rFonts w:ascii="Arial" w:hAnsi="Arial" w:cs="Arial"/>
          <w:b/>
          <w:bCs/>
          <w:color w:val="000000"/>
          <w:sz w:val="20"/>
        </w:rPr>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(Cth)</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VChC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(Cth)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(Cth)</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(Cth)</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(Cth)</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(Cth)</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(Cth)</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(Cth)</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(Cth)</w:t>
      </w:r>
      <w:r>
        <w:rPr>
          <w:rFonts w:ascii="Arial" w:hAnsi="Arial" w:cs="Arial"/>
          <w:color w:val="000000"/>
          <w:sz w:val="20"/>
        </w:rPr>
        <w:t xml:space="preserve"> provides that the laws of each state or territoty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(Cth),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Section 20C by its clear terms enables this Court to deal with TK as if the offences were offences againat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lastRenderedPageBreak/>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in 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(Cth)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t xml:space="preserve">[41] </w:t>
      </w:r>
      <w:r w:rsidRPr="00C07850">
        <w:rPr>
          <w:rFonts w:ascii="Arial" w:hAnsi="Arial" w:cs="Arial"/>
          <w:i/>
          <w:color w:val="000000"/>
          <w:sz w:val="20"/>
        </w:rPr>
        <w:t xml:space="preserve">DPP (Cth),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(Cth)</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(Cth)</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 xml:space="preserve">The offender was a child at the </w:t>
      </w:r>
      <w:r w:rsidRPr="00740B69">
        <w:rPr>
          <w:rFonts w:ascii="Arial" w:hAnsi="Arial" w:cs="Arial"/>
          <w:sz w:val="20"/>
          <w:szCs w:val="20"/>
        </w:rPr>
        <w:lastRenderedPageBreak/>
        <w:t>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Default="00740B69" w:rsidP="00740B69">
      <w:pPr>
        <w:spacing w:before="60"/>
        <w:ind w:left="794" w:right="794"/>
        <w:jc w:val="both"/>
        <w:rPr>
          <w:rFonts w:ascii="Arial" w:hAnsi="Arial" w:cs="Arial"/>
          <w:sz w:val="20"/>
          <w:szCs w:val="20"/>
        </w:rPr>
      </w:pPr>
      <w:r>
        <w:rPr>
          <w:rFonts w:ascii="Arial" w:hAnsi="Arial" w:cs="Arial"/>
          <w:sz w:val="20"/>
          <w:szCs w:val="20"/>
        </w:rPr>
        <w:t>‘</w:t>
      </w:r>
      <w:r w:rsidRPr="00740B69">
        <w:rPr>
          <w:rFonts w:ascii="Arial" w:hAnsi="Arial" w:cs="Arial"/>
          <w:sz w:val="20"/>
          <w:szCs w:val="22"/>
        </w:rPr>
        <w:t xml:space="preserve">…If the respondent’s offending had been detected at or about the time of its commission, he would have fallen to be sentenced under the provisions of the </w:t>
      </w:r>
      <w:r w:rsidRPr="00740B69">
        <w:rPr>
          <w:rFonts w:ascii="Arial" w:eastAsia="Book Antiqua" w:hAnsi="Arial" w:cs="Arial"/>
          <w:i/>
          <w:sz w:val="20"/>
          <w:szCs w:val="22"/>
        </w:rPr>
        <w:t>Children, Youth and Families Act 2005</w:t>
      </w:r>
      <w:r w:rsidRPr="00740B69">
        <w:rPr>
          <w:rFonts w:ascii="Arial" w:hAnsi="Arial" w:cs="Arial"/>
          <w:sz w:val="20"/>
          <w:szCs w:val="22"/>
        </w:rPr>
        <w:t>, where general deterrence would have played no part in the sentencing process.</w:t>
      </w:r>
      <w:r>
        <w:rPr>
          <w:rFonts w:ascii="Arial" w:hAnsi="Arial" w:cs="Arial"/>
          <w:sz w:val="20"/>
          <w:szCs w:val="22"/>
        </w:rPr>
        <w:t>’</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Pr="00740B69" w:rsidRDefault="00740B69"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29" w:name="_11.1.14_Sentencing_powers"/>
      <w:bookmarkStart w:id="330" w:name="_Toc30674198"/>
      <w:bookmarkStart w:id="331" w:name="_Toc30691465"/>
      <w:bookmarkStart w:id="332" w:name="_Toc30691845"/>
      <w:bookmarkStart w:id="333" w:name="_Toc30692225"/>
      <w:bookmarkStart w:id="334" w:name="_Toc30692983"/>
      <w:bookmarkStart w:id="335" w:name="_Toc30693362"/>
      <w:bookmarkStart w:id="336" w:name="_Toc30693740"/>
      <w:bookmarkStart w:id="337" w:name="_Toc30694118"/>
      <w:bookmarkStart w:id="338" w:name="_Toc30694499"/>
      <w:bookmarkStart w:id="339" w:name="_Toc30699089"/>
      <w:bookmarkStart w:id="340" w:name="_Toc30699474"/>
      <w:bookmarkStart w:id="341" w:name="_Toc30699859"/>
      <w:bookmarkStart w:id="342" w:name="_Toc30701014"/>
      <w:bookmarkStart w:id="343" w:name="_Toc30701401"/>
      <w:bookmarkStart w:id="344" w:name="_Toc30744008"/>
      <w:bookmarkStart w:id="345" w:name="_Toc30754831"/>
      <w:bookmarkStart w:id="346" w:name="_Toc30757287"/>
      <w:bookmarkStart w:id="347" w:name="_Toc30757835"/>
      <w:bookmarkStart w:id="348" w:name="_Toc30758235"/>
      <w:bookmarkStart w:id="349" w:name="_Toc30762995"/>
      <w:bookmarkStart w:id="350" w:name="_Toc30767649"/>
      <w:bookmarkStart w:id="351" w:name="_Toc34823667"/>
      <w:bookmarkStart w:id="352" w:name="_Toc107101744"/>
      <w:bookmarkEnd w:id="329"/>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3B7420DE" w14:textId="00B497E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 VR 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A authorises the Supreme Court or County Court, in sentencing a child for an indictable offence, to exercise the power to make any sentencing 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Pr="001C6E0E" w:rsidRDefault="00D17A56"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53" w:name="_11.1.15_Relevance_to"/>
      <w:bookmarkEnd w:id="353"/>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R v Ioannou</w:t>
      </w:r>
      <w:r w:rsidRPr="001C6E0E">
        <w:rPr>
          <w:rFonts w:ascii="Arial" w:hAnsi="Arial" w:cs="Arial"/>
          <w:color w:val="000000"/>
          <w:sz w:val="20"/>
          <w:szCs w:val="20"/>
        </w:rPr>
        <w:t xml:space="preserve"> [2007] VSCA 277 at [22]-[23]; </w:t>
      </w:r>
      <w:r w:rsidRPr="001C6E0E">
        <w:rPr>
          <w:rFonts w:ascii="Arial" w:hAnsi="Arial" w:cs="Arial"/>
          <w:i/>
          <w:color w:val="000000"/>
          <w:sz w:val="20"/>
          <w:szCs w:val="20"/>
        </w:rPr>
        <w:t>Malvaso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DPP v Waack</w:t>
      </w:r>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Coldrey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 xml:space="preserve">“The real question is whether the reasons of the sentencing judge demonstrate that she failed to have proper regard to the Crown’s concession.  When her Honour’s reasons are </w:t>
      </w:r>
      <w:r w:rsidRPr="001C6E0E">
        <w:rPr>
          <w:rFonts w:ascii="Arial" w:hAnsi="Arial" w:cs="Arial"/>
          <w:color w:val="000000"/>
          <w:sz w:val="20"/>
        </w:rPr>
        <w:lastRenderedPageBreak/>
        <w:t>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77777777" w:rsidR="00161F6C" w:rsidRDefault="00161F6C" w:rsidP="00B725AE">
      <w:pPr>
        <w:jc w:val="both"/>
        <w:rPr>
          <w:rFonts w:ascii="Arial" w:hAnsi="Arial" w:cs="Arial"/>
          <w:color w:val="000000"/>
          <w:sz w:val="20"/>
        </w:rPr>
      </w:pPr>
      <w:r>
        <w:rPr>
          <w:rFonts w:ascii="Arial" w:hAnsi="Arial" w:cs="Arial"/>
          <w:color w:val="000000"/>
          <w:sz w:val="20"/>
        </w:rPr>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R v Mielicki</w:t>
      </w:r>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r w:rsidRPr="00FD76EC">
        <w:rPr>
          <w:rFonts w:ascii="Arial" w:hAnsi="Arial" w:cs="Arial"/>
          <w:i/>
          <w:color w:val="000000"/>
          <w:sz w:val="20"/>
        </w:rPr>
        <w:t>Kapkidis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54" w:name="_11.1.16_Procedural_fairness"/>
      <w:bookmarkEnd w:id="354"/>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Alexandridis</w:t>
      </w:r>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r w:rsidRPr="000131F5">
        <w:rPr>
          <w:rFonts w:ascii="Arial" w:hAnsi="Arial" w:cs="Arial"/>
          <w:i/>
          <w:sz w:val="20"/>
          <w:szCs w:val="20"/>
        </w:rPr>
        <w:t>Barbaro v The Queen</w:t>
      </w:r>
      <w:r w:rsidRPr="000131F5">
        <w:rPr>
          <w:rFonts w:ascii="Arial" w:hAnsi="Arial" w:cs="Arial"/>
          <w:sz w:val="20"/>
          <w:szCs w:val="20"/>
        </w:rPr>
        <w:t xml:space="preserve"> (2014) 253 CLR 58 at 76 [47]-[49] per French CJ, Hayne, Kiefel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Tadrosse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r w:rsidRPr="000131F5">
        <w:rPr>
          <w:rFonts w:ascii="Arial" w:hAnsi="Arial" w:cs="Arial"/>
          <w:i/>
          <w:sz w:val="20"/>
          <w:szCs w:val="20"/>
        </w:rPr>
        <w:t>Govindaraju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lastRenderedPageBreak/>
        <w:t xml:space="preserve">In </w:t>
      </w:r>
      <w:r w:rsidRPr="00B472DD">
        <w:rPr>
          <w:rFonts w:ascii="Arial" w:hAnsi="Arial" w:cs="Arial"/>
          <w:i/>
          <w:color w:val="000000"/>
          <w:sz w:val="20"/>
        </w:rPr>
        <w:t xml:space="preserve">Mendelle v The Queen </w:t>
      </w:r>
      <w:r>
        <w:rPr>
          <w:rFonts w:ascii="Arial" w:hAnsi="Arial" w:cs="Arial"/>
          <w:color w:val="000000"/>
          <w:sz w:val="20"/>
        </w:rPr>
        <w:t>[2018] VSCA 204 the Court of Appeal accepted the respondent’s concession that the sentencing judge’s departure from his earlier tentatively expressed sentencing indication without giving counsel for the applicant an opportunity to be heard consititued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r w:rsidR="00202963" w:rsidRPr="00202963">
        <w:rPr>
          <w:rFonts w:ascii="Arial" w:hAnsi="Arial" w:cs="Arial"/>
          <w:sz w:val="20"/>
          <w:szCs w:val="20"/>
        </w:rPr>
        <w:t>efence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5" w:name="_11.1.17_Relevance_of"/>
      <w:bookmarkEnd w:id="355"/>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R v Togias</w:t>
      </w:r>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Tomasevic v Travaglini</w:t>
      </w:r>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56" w:name="_11.1.18_Sentencing_for"/>
      <w:bookmarkStart w:id="357" w:name="_Toc30674199"/>
      <w:bookmarkStart w:id="358" w:name="_Toc30691466"/>
      <w:bookmarkStart w:id="359" w:name="_Toc30691846"/>
      <w:bookmarkStart w:id="360" w:name="_Toc30692226"/>
      <w:bookmarkStart w:id="361" w:name="_Toc30692984"/>
      <w:bookmarkStart w:id="362" w:name="_Toc30693363"/>
      <w:bookmarkStart w:id="363" w:name="_Toc30693741"/>
      <w:bookmarkStart w:id="364" w:name="_Toc30694119"/>
      <w:bookmarkStart w:id="365" w:name="_Toc30694500"/>
      <w:bookmarkStart w:id="366" w:name="_Toc30699090"/>
      <w:bookmarkStart w:id="367" w:name="_Toc30699475"/>
      <w:bookmarkStart w:id="368" w:name="_Toc30699860"/>
      <w:bookmarkStart w:id="369" w:name="_Toc30701015"/>
      <w:bookmarkStart w:id="370" w:name="_Toc30701402"/>
      <w:bookmarkStart w:id="371" w:name="_Toc30744009"/>
      <w:bookmarkStart w:id="372" w:name="_Toc30754832"/>
      <w:bookmarkStart w:id="373" w:name="_Toc30757288"/>
      <w:bookmarkStart w:id="374" w:name="_Toc30757836"/>
      <w:bookmarkStart w:id="375" w:name="_Toc30758236"/>
      <w:bookmarkStart w:id="376" w:name="_Toc30762996"/>
      <w:bookmarkStart w:id="377" w:name="_Toc30767650"/>
      <w:bookmarkStart w:id="378" w:name="_Toc34823668"/>
      <w:bookmarkStart w:id="379" w:name="_Toc107101745"/>
      <w:bookmarkEnd w:id="356"/>
      <w:r>
        <w:rPr>
          <w:rFonts w:ascii="Arial" w:hAnsi="Arial" w:cs="Arial"/>
          <w:b/>
          <w:bCs/>
          <w:color w:val="000000"/>
          <w:sz w:val="20"/>
        </w:rPr>
        <w:lastRenderedPageBreak/>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Fabriczy</w:t>
      </w:r>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DPP v Bhagwan</w:t>
      </w:r>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Ongley </w:t>
      </w:r>
      <w:r w:rsidRPr="001C6E0E">
        <w:rPr>
          <w:rFonts w:ascii="Arial" w:hAnsi="Arial" w:cs="Arial"/>
          <w:color w:val="000000"/>
          <w:sz w:val="20"/>
          <w:lang w:val="en-US"/>
        </w:rPr>
        <w:t xml:space="preserve">(1940) 57 WN (NSW) 116, 117 (Jordan CJ);  </w:t>
      </w:r>
      <w:r w:rsidRPr="001C6E0E">
        <w:rPr>
          <w:rFonts w:ascii="Arial" w:hAnsi="Arial" w:cs="Arial"/>
          <w:i/>
          <w:color w:val="000000"/>
          <w:sz w:val="20"/>
          <w:lang w:val="en-US"/>
        </w:rPr>
        <w:t>Gerakiteys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Raptis, Lilimbakis &amp; Sinclair v R</w:t>
      </w:r>
      <w:r w:rsidRPr="001C6E0E">
        <w:rPr>
          <w:rFonts w:ascii="Arial" w:hAnsi="Arial" w:cs="Arial"/>
          <w:color w:val="000000"/>
          <w:sz w:val="20"/>
          <w:lang w:val="en-US"/>
        </w:rPr>
        <w:t xml:space="preserve"> (1988) 36 A Crim R 362, 364 (Young CJ, O’Bryan and Tadgell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Aickin and Brennan JJ); </w:t>
      </w:r>
      <w:r w:rsidR="009D0A19" w:rsidRPr="001C6E0E">
        <w:rPr>
          <w:rFonts w:ascii="Arial" w:hAnsi="Arial" w:cs="Arial"/>
          <w:i/>
          <w:color w:val="000000"/>
          <w:sz w:val="20"/>
          <w:lang w:val="en-US"/>
        </w:rPr>
        <w:t>Gerakiteys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DPP v Doot</w:t>
      </w:r>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DPP v Doot</w:t>
      </w:r>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r w:rsidR="0092208A" w:rsidRPr="001C6E0E">
        <w:rPr>
          <w:rFonts w:ascii="Arial" w:hAnsi="Arial" w:cs="Arial"/>
          <w:i/>
          <w:color w:val="000000"/>
          <w:sz w:val="20"/>
          <w:lang w:val="en-US"/>
        </w:rPr>
        <w:t>Raptis, Lilimbakis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(1988) 36 A Crim R 362, 364 (Young CJ, O’Bryan and Tadgell JJ)</w:t>
      </w:r>
      <w:r w:rsidRPr="001C6E0E">
        <w:rPr>
          <w:rFonts w:ascii="Arial" w:hAnsi="Arial" w:cs="Arial"/>
          <w:color w:val="000000"/>
          <w:sz w:val="20"/>
        </w:rPr>
        <w:t>.  It is this element which differentiates the offence of conspiracy to commit a 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80"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Marie, Chitrizza and Casagrande</w:t>
      </w:r>
      <w:r w:rsidR="003357E6" w:rsidRPr="001C6E0E">
        <w:rPr>
          <w:rFonts w:ascii="Arial" w:hAnsi="Arial" w:cs="Arial"/>
          <w:color w:val="000000"/>
          <w:sz w:val="20"/>
          <w:lang w:val="en-US"/>
        </w:rPr>
        <w:t xml:space="preserve"> (1983) 13 A Crim R 440;  </w:t>
      </w:r>
      <w:r w:rsidR="003357E6" w:rsidRPr="001C6E0E">
        <w:rPr>
          <w:rFonts w:ascii="Arial" w:hAnsi="Arial" w:cs="Arial"/>
          <w:i/>
          <w:color w:val="000000"/>
          <w:sz w:val="20"/>
          <w:lang w:val="en-US"/>
        </w:rPr>
        <w:t>Raptis, Lilimbakis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14"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and what is actually 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r w:rsidR="003357E6" w:rsidRPr="001C6E0E">
        <w:rPr>
          <w:rFonts w:ascii="Arial" w:hAnsi="Arial" w:cs="Arial"/>
          <w:bCs/>
          <w:i/>
          <w:iCs/>
          <w:color w:val="000000"/>
          <w:sz w:val="20"/>
          <w:lang w:val="en-US"/>
        </w:rPr>
        <w:t>Savvas v The Queen</w:t>
      </w:r>
      <w:r w:rsidR="003357E6" w:rsidRPr="001C6E0E">
        <w:rPr>
          <w:rFonts w:ascii="Arial" w:hAnsi="Arial" w:cs="Arial"/>
          <w:color w:val="000000"/>
          <w:sz w:val="20"/>
          <w:lang w:val="en-US"/>
        </w:rPr>
        <w:t xml:space="preserve"> (1995) </w:t>
      </w:r>
      <w:hyperlink r:id="rId15"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80"/>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81"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t>
      </w:r>
      <w:r w:rsidRPr="001C6E0E">
        <w:rPr>
          <w:rFonts w:ascii="Arial" w:hAnsi="Arial" w:cs="Arial"/>
          <w:color w:val="000000"/>
          <w:sz w:val="20"/>
        </w:rPr>
        <w:lastRenderedPageBreak/>
        <w:t xml:space="preserve">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81"/>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82" w:name="HIT_1"/>
      <w:bookmarkStart w:id="383" w:name="ORIGHIT_1"/>
      <w:bookmarkEnd w:id="382"/>
      <w:bookmarkEnd w:id="383"/>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84" w:name="_11.1.19_Offending_in"/>
      <w:bookmarkEnd w:id="384"/>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De Castres;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R v Berry &amp; Wenitong</w:t>
      </w:r>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5F7A6745" w14:textId="77777777" w:rsidR="0080390D" w:rsidRDefault="0080390D" w:rsidP="0080390D">
      <w:pPr>
        <w:jc w:val="both"/>
        <w:rPr>
          <w:rFonts w:ascii="Arial" w:hAnsi="Arial" w:cs="Arial"/>
          <w:color w:val="000000"/>
          <w:sz w:val="20"/>
        </w:rPr>
      </w:pPr>
    </w:p>
    <w:p w14:paraId="75D8B24E" w14:textId="77777777" w:rsidR="007B79F1" w:rsidRDefault="007B79F1" w:rsidP="0080390D">
      <w:pPr>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Hope v The Queen; Pua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R v Schneidas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DPP v Arvanitidis</w:t>
      </w:r>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R v Edigarov</w:t>
      </w:r>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Qd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bering served.”</w:t>
      </w:r>
    </w:p>
    <w:p w14:paraId="5A07E453" w14:textId="77777777" w:rsidR="00B71B13" w:rsidRPr="001C6E0E" w:rsidRDefault="00B71B13" w:rsidP="00B71B13">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5" w:name="_11.1.20_Vigiliantism"/>
      <w:bookmarkEnd w:id="385"/>
      <w:r>
        <w:rPr>
          <w:rFonts w:ascii="Arial" w:hAnsi="Arial" w:cs="Arial"/>
          <w:b/>
          <w:bCs/>
          <w:color w:val="000000"/>
          <w:sz w:val="20"/>
        </w:rPr>
        <w:t>11.1.20</w:t>
      </w:r>
      <w:r w:rsidRPr="001C6E0E">
        <w:rPr>
          <w:rFonts w:ascii="Arial" w:hAnsi="Arial" w:cs="Arial"/>
          <w:b/>
          <w:bCs/>
          <w:color w:val="000000"/>
          <w:sz w:val="20"/>
        </w:rPr>
        <w:tab/>
      </w:r>
      <w:r>
        <w:rPr>
          <w:rFonts w:ascii="Arial" w:hAnsi="Arial" w:cs="Arial"/>
          <w:b/>
          <w:bCs/>
          <w:color w:val="000000"/>
          <w:sz w:val="20"/>
        </w:rPr>
        <w:t>Vigiliantism</w:t>
      </w:r>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lastRenderedPageBreak/>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R v Sheekey</w:t>
      </w:r>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R v Demittis</w:t>
      </w:r>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2E9F940A" w:rsidR="00EB79C1" w:rsidRDefault="00EB79C1" w:rsidP="00EB79C1">
      <w:pPr>
        <w:jc w:val="both"/>
        <w:rPr>
          <w:rFonts w:ascii="Arial" w:hAnsi="Arial" w:cs="Arial"/>
          <w:color w:val="000000"/>
          <w:sz w:val="20"/>
        </w:rPr>
      </w:pPr>
    </w:p>
    <w:p w14:paraId="08B82649" w14:textId="222D1A2D" w:rsidR="00E54D27" w:rsidRDefault="00E54D27" w:rsidP="00EB79C1">
      <w:pPr>
        <w:jc w:val="both"/>
        <w:rPr>
          <w:rFonts w:ascii="Arial" w:hAnsi="Arial" w:cs="Arial"/>
          <w:sz w:val="20"/>
          <w:szCs w:val="20"/>
        </w:rPr>
      </w:pPr>
      <w:r>
        <w:rPr>
          <w:rFonts w:ascii="Arial" w:hAnsi="Arial" w:cs="Arial"/>
          <w:color w:val="000000"/>
          <w:sz w:val="20"/>
        </w:rPr>
        <w:t xml:space="preserve">In </w:t>
      </w:r>
      <w:r w:rsidRPr="00E54D27">
        <w:rPr>
          <w:rFonts w:ascii="Arial" w:hAnsi="Arial" w:cs="Arial"/>
          <w:i/>
          <w:iCs/>
          <w:color w:val="000000"/>
          <w:sz w:val="20"/>
        </w:rPr>
        <w:t>DPP v Thorn</w:t>
      </w:r>
      <w:r>
        <w:rPr>
          <w:rFonts w:ascii="Arial" w:hAnsi="Arial" w:cs="Arial"/>
          <w:color w:val="000000"/>
          <w:sz w:val="20"/>
        </w:rPr>
        <w:t xml:space="preserve"> [2023] VSC 702 the 58 year old accused [who was aged 53 at the time of the offending] had been found guilty of murder and common law assault of a 30 year old man BJ and had pleaded guilty to </w:t>
      </w:r>
      <w:r w:rsidRPr="00E54D27">
        <w:rPr>
          <w:rFonts w:ascii="Arial" w:hAnsi="Arial" w:cs="Arial"/>
          <w:sz w:val="20"/>
          <w:szCs w:val="20"/>
        </w:rPr>
        <w:t>intentionally causing injury, kidnapping and false imprisonment</w:t>
      </w:r>
      <w:r>
        <w:rPr>
          <w:rFonts w:ascii="Arial" w:hAnsi="Arial" w:cs="Arial"/>
          <w:sz w:val="20"/>
          <w:szCs w:val="20"/>
        </w:rPr>
        <w:t xml:space="preserve"> of BJ.  The accused had harboured a belief, based on rumours, that </w:t>
      </w:r>
      <w:r w:rsidR="00940C7B">
        <w:rPr>
          <w:rFonts w:ascii="Arial" w:hAnsi="Arial" w:cs="Arial"/>
          <w:sz w:val="20"/>
          <w:szCs w:val="20"/>
        </w:rPr>
        <w:t>BJ</w:t>
      </w:r>
      <w:r>
        <w:rPr>
          <w:rFonts w:ascii="Arial" w:hAnsi="Arial" w:cs="Arial"/>
          <w:sz w:val="20"/>
          <w:szCs w:val="20"/>
        </w:rPr>
        <w:t xml:space="preserve"> was a paedophile.  The accused and co-offenders attacked the unsuspecting victim in his own home, kidnapped </w:t>
      </w:r>
      <w:r w:rsidR="00940C7B">
        <w:rPr>
          <w:rFonts w:ascii="Arial" w:hAnsi="Arial" w:cs="Arial"/>
          <w:sz w:val="20"/>
          <w:szCs w:val="20"/>
        </w:rPr>
        <w:t>hi</w:t>
      </w:r>
      <w:r>
        <w:rPr>
          <w:rFonts w:ascii="Arial" w:hAnsi="Arial" w:cs="Arial"/>
          <w:sz w:val="20"/>
          <w:szCs w:val="20"/>
        </w:rPr>
        <w:t>m in the boot of the accused’s vehicle and took him to a rural property where he was tied to a massage table and further assaulted.  He was then returned to the boot of the vehicle and transported to an isolated bush location where he was shot in the back of the head and buried in a shallow grave.  The accused was motivated by vigilantism and had given no indication of remorse or regret.  Categorising the offending as “very serious with a high degree of moral culpability”, Tinney J sentenced the accused as follows:</w:t>
      </w:r>
    </w:p>
    <w:p w14:paraId="5A58B21F" w14:textId="271B730B"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Murder: Life imprisonment.</w:t>
      </w:r>
    </w:p>
    <w:p w14:paraId="63194722" w14:textId="1C7D9707"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Common law assault: IMP5y.</w:t>
      </w:r>
    </w:p>
    <w:p w14:paraId="1917B2B3" w14:textId="06076342"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Intentionally causing injury: IMP8y.</w:t>
      </w:r>
    </w:p>
    <w:p w14:paraId="647787B5" w14:textId="205D007C"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Kidnapping: IMP11y.</w:t>
      </w:r>
    </w:p>
    <w:p w14:paraId="2AE84F91" w14:textId="6F98443D" w:rsidR="00E54D27" w:rsidRP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False imprisonment: IMP9y.</w:t>
      </w:r>
    </w:p>
    <w:p w14:paraId="2BE791B1" w14:textId="72E92434" w:rsidR="00E54D27" w:rsidRDefault="00E54D27" w:rsidP="00940C7B">
      <w:pPr>
        <w:jc w:val="both"/>
        <w:rPr>
          <w:rFonts w:ascii="Arial" w:hAnsi="Arial" w:cs="Arial"/>
          <w:sz w:val="20"/>
          <w:szCs w:val="20"/>
        </w:rPr>
      </w:pPr>
      <w:r>
        <w:rPr>
          <w:rFonts w:ascii="Arial" w:hAnsi="Arial" w:cs="Arial"/>
          <w:sz w:val="20"/>
          <w:szCs w:val="20"/>
        </w:rPr>
        <w:t>The sentences were ordered to be served concurrently and a non-parole period of 32y was set.</w:t>
      </w:r>
      <w:r w:rsidR="00940C7B">
        <w:rPr>
          <w:rFonts w:ascii="Arial" w:hAnsi="Arial" w:cs="Arial"/>
          <w:sz w:val="20"/>
          <w:szCs w:val="20"/>
        </w:rPr>
        <w:t xml:space="preserve">  </w:t>
      </w:r>
      <w:r>
        <w:rPr>
          <w:rFonts w:ascii="Arial" w:hAnsi="Arial" w:cs="Arial"/>
          <w:sz w:val="20"/>
          <w:szCs w:val="20"/>
        </w:rPr>
        <w:t>In the course of sentencing Tinney J said:</w:t>
      </w:r>
    </w:p>
    <w:p w14:paraId="4647EF8B" w14:textId="0879B13D" w:rsidR="007E066B" w:rsidRDefault="007E066B" w:rsidP="00E54D27">
      <w:pPr>
        <w:spacing w:before="60"/>
        <w:ind w:left="567" w:right="567"/>
        <w:jc w:val="both"/>
        <w:rPr>
          <w:rFonts w:ascii="Arial" w:hAnsi="Arial" w:cs="Arial"/>
          <w:sz w:val="20"/>
          <w:szCs w:val="20"/>
        </w:rPr>
      </w:pPr>
      <w:bookmarkStart w:id="386" w:name="_11.2_Selected_cases"/>
      <w:bookmarkEnd w:id="386"/>
      <w:r w:rsidRPr="007E066B">
        <w:rPr>
          <w:rFonts w:ascii="Arial" w:hAnsi="Arial" w:cs="Arial"/>
          <w:color w:val="000000"/>
          <w:sz w:val="20"/>
          <w:szCs w:val="20"/>
        </w:rPr>
        <w:t xml:space="preserve">[2] </w:t>
      </w:r>
      <w:r>
        <w:rPr>
          <w:rFonts w:ascii="Arial" w:hAnsi="Arial" w:cs="Arial"/>
          <w:color w:val="000000"/>
          <w:sz w:val="20"/>
          <w:szCs w:val="20"/>
        </w:rPr>
        <w:t>“</w:t>
      </w:r>
      <w:r w:rsidRPr="007E066B">
        <w:rPr>
          <w:rFonts w:ascii="Arial" w:hAnsi="Arial" w:cs="Arial"/>
          <w:sz w:val="20"/>
          <w:szCs w:val="20"/>
        </w:rPr>
        <w:t>The crimes for which you fall to be sentenced are examples of vigilante justice inflicted by you in company with others upon a helpless and outnumbered man who, throughout the many hours of the terrifying ordeal leading up to his shocking death, was treated by you with violence and disdain, reflecting the hatred you felt for him because of your belief that he was a paedophile, and your strongly-held view that you should be entitled to deal with him as you wished.</w:t>
      </w:r>
      <w:r>
        <w:rPr>
          <w:rFonts w:ascii="Arial" w:hAnsi="Arial" w:cs="Arial"/>
          <w:sz w:val="20"/>
          <w:szCs w:val="20"/>
        </w:rPr>
        <w:t>”</w:t>
      </w:r>
    </w:p>
    <w:p w14:paraId="3F9138DE" w14:textId="722EDD16"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11F442B" w14:textId="356FFF1B" w:rsidR="00E54D27" w:rsidRDefault="00C91249" w:rsidP="00E54D27">
      <w:pPr>
        <w:spacing w:before="60"/>
        <w:ind w:left="567" w:right="567"/>
        <w:jc w:val="both"/>
        <w:rPr>
          <w:rFonts w:ascii="Arial" w:hAnsi="Arial" w:cs="Arial"/>
          <w:sz w:val="20"/>
          <w:szCs w:val="20"/>
        </w:rPr>
      </w:pPr>
      <w:r w:rsidRPr="007E066B">
        <w:rPr>
          <w:rFonts w:ascii="Arial" w:hAnsi="Arial" w:cs="Arial"/>
          <w:sz w:val="20"/>
          <w:szCs w:val="20"/>
        </w:rPr>
        <w:t xml:space="preserve">[4] </w:t>
      </w:r>
      <w:r>
        <w:rPr>
          <w:rFonts w:ascii="Arial" w:hAnsi="Arial" w:cs="Arial"/>
          <w:sz w:val="20"/>
          <w:szCs w:val="20"/>
        </w:rPr>
        <w:t>“</w:t>
      </w:r>
      <w:r w:rsidRPr="007E066B">
        <w:rPr>
          <w:rFonts w:ascii="Arial" w:hAnsi="Arial" w:cs="Arial"/>
          <w:sz w:val="20"/>
          <w:szCs w:val="20"/>
        </w:rPr>
        <w:t>When speaking most dishonestly to the police in the aftermath of your crimes, you portrayed yourself as a benevolent citizen coming to the assistance of young children in need, when in reality, yours was conduct which showed a want of common human decency, and, as Taylor JA stated when sentencing one of those with whom you acted during some of the period in question, was ‘imbued with the arrogant righteousness of vigilantism’</w:t>
      </w:r>
      <w:r>
        <w:rPr>
          <w:rFonts w:ascii="Arial" w:hAnsi="Arial" w:cs="Arial"/>
          <w:sz w:val="20"/>
          <w:szCs w:val="20"/>
        </w:rPr>
        <w:t>:</w:t>
      </w:r>
      <w:r w:rsidRPr="00C91249">
        <w:rPr>
          <w:rFonts w:ascii="Arial" w:hAnsi="Arial" w:cs="Arial"/>
          <w:sz w:val="20"/>
          <w:szCs w:val="20"/>
        </w:rPr>
        <w:t xml:space="preserve"> </w:t>
      </w:r>
      <w:r w:rsidRPr="00C91249">
        <w:rPr>
          <w:rFonts w:ascii="Arial" w:hAnsi="Arial" w:cs="Arial"/>
          <w:i/>
          <w:iCs/>
          <w:sz w:val="20"/>
          <w:szCs w:val="20"/>
        </w:rPr>
        <w:t>R v Harvey</w:t>
      </w:r>
      <w:r w:rsidRPr="00C91249">
        <w:rPr>
          <w:rFonts w:ascii="Arial" w:hAnsi="Arial" w:cs="Arial"/>
          <w:sz w:val="20"/>
          <w:szCs w:val="20"/>
        </w:rPr>
        <w:t xml:space="preserve"> [2020] VSC 496 [6].</w:t>
      </w:r>
      <w:r w:rsidRPr="007E066B">
        <w:rPr>
          <w:rFonts w:ascii="Arial" w:hAnsi="Arial" w:cs="Arial"/>
          <w:sz w:val="20"/>
          <w:szCs w:val="20"/>
        </w:rPr>
        <w:t xml:space="preserve"> Your behaviour was an affront to the rule of law</w:t>
      </w:r>
      <w:r>
        <w:rPr>
          <w:rFonts w:ascii="Arial" w:hAnsi="Arial" w:cs="Arial"/>
          <w:sz w:val="20"/>
          <w:szCs w:val="20"/>
        </w:rPr>
        <w:t>.”</w:t>
      </w:r>
    </w:p>
    <w:p w14:paraId="7E1712AA" w14:textId="27AF9E57"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FFEBDFF" w14:textId="16C40D63" w:rsidR="0034782B" w:rsidRDefault="00C91249" w:rsidP="00C91249">
      <w:pPr>
        <w:spacing w:before="60"/>
        <w:ind w:left="567" w:right="567"/>
        <w:jc w:val="both"/>
        <w:rPr>
          <w:rFonts w:ascii="Arial" w:hAnsi="Arial" w:cs="Arial"/>
          <w:sz w:val="20"/>
          <w:szCs w:val="20"/>
        </w:rPr>
      </w:pPr>
      <w:r>
        <w:rPr>
          <w:rFonts w:ascii="Arial" w:hAnsi="Arial" w:cs="Arial"/>
          <w:sz w:val="20"/>
          <w:szCs w:val="20"/>
        </w:rPr>
        <w:t xml:space="preserve">[91] </w:t>
      </w:r>
      <w:r w:rsidR="00D33C03">
        <w:rPr>
          <w:rFonts w:ascii="Arial" w:hAnsi="Arial" w:cs="Arial"/>
          <w:sz w:val="20"/>
          <w:szCs w:val="20"/>
        </w:rPr>
        <w:t>“</w:t>
      </w:r>
      <w:r w:rsidRPr="00E54D27">
        <w:rPr>
          <w:rFonts w:ascii="Arial" w:hAnsi="Arial" w:cs="Arial"/>
          <w:sz w:val="20"/>
          <w:szCs w:val="20"/>
        </w:rPr>
        <w:t>As I have already indicated, and has been conceded by your counsel, your crimes are exceedingly serious. All of the crimes you committed were serious examples of those crimes. The fact that they were committed in the context of organised vigilante action by a gang of violent and vindictive thugs is a substantial aggravating feature. In</w:t>
      </w:r>
      <w:r>
        <w:rPr>
          <w:rFonts w:ascii="Arial" w:hAnsi="Arial" w:cs="Arial"/>
          <w:sz w:val="20"/>
          <w:szCs w:val="20"/>
        </w:rPr>
        <w:t xml:space="preserve"> </w:t>
      </w:r>
      <w:r w:rsidR="00E54D27" w:rsidRPr="00E54D27">
        <w:rPr>
          <w:rFonts w:ascii="Arial" w:hAnsi="Arial" w:cs="Arial"/>
          <w:sz w:val="20"/>
          <w:szCs w:val="20"/>
        </w:rPr>
        <w:t xml:space="preserve">Director of </w:t>
      </w:r>
      <w:r w:rsidR="00E54D27" w:rsidRPr="00D33C03">
        <w:rPr>
          <w:rFonts w:ascii="Arial" w:hAnsi="Arial" w:cs="Arial"/>
          <w:i/>
          <w:iCs/>
          <w:sz w:val="20"/>
          <w:szCs w:val="20"/>
        </w:rPr>
        <w:t>Public Prosecution v Whiteside and Dieber</w:t>
      </w:r>
      <w:r w:rsidR="00E54D27" w:rsidRPr="00E54D27">
        <w:rPr>
          <w:rFonts w:ascii="Arial" w:hAnsi="Arial" w:cs="Arial"/>
          <w:sz w:val="20"/>
          <w:szCs w:val="20"/>
        </w:rPr>
        <w:t xml:space="preserve"> </w:t>
      </w:r>
      <w:r w:rsidR="004B4C27">
        <w:rPr>
          <w:rFonts w:ascii="Arial" w:hAnsi="Arial" w:cs="Arial"/>
          <w:sz w:val="20"/>
          <w:szCs w:val="20"/>
        </w:rPr>
        <w:t>(2001) 1 VR 331,</w:t>
      </w:r>
      <w:r w:rsidR="00E54D27" w:rsidRPr="00E54D27">
        <w:rPr>
          <w:rFonts w:ascii="Arial" w:hAnsi="Arial" w:cs="Arial"/>
          <w:sz w:val="20"/>
          <w:szCs w:val="20"/>
        </w:rPr>
        <w:t xml:space="preserve"> Brooking JA observed that </w:t>
      </w:r>
      <w:r w:rsidR="00E54D27" w:rsidRPr="00E54D27">
        <w:rPr>
          <w:rFonts w:ascii="Arial" w:hAnsi="Arial" w:cs="Arial"/>
          <w:sz w:val="20"/>
          <w:szCs w:val="20"/>
        </w:rPr>
        <w:lastRenderedPageBreak/>
        <w:t xml:space="preserve">appellate courts have made it clear that vigilante enterprises must be suppressed, referring to a series of cases in which appellate courts have stated, amongst other things, that such action calls for serious reaction from any court anxious to preserve the rule of law. In sentencing Harvey, as noted earlier, Taylor JA described his offending </w:t>
      </w:r>
      <w:r w:rsidR="0034782B">
        <w:rPr>
          <w:rFonts w:ascii="Arial" w:hAnsi="Arial" w:cs="Arial"/>
          <w:sz w:val="20"/>
          <w:szCs w:val="20"/>
        </w:rPr>
        <w:t>at [</w:t>
      </w:r>
      <w:r w:rsidR="009B7B52">
        <w:rPr>
          <w:rFonts w:ascii="Arial" w:hAnsi="Arial" w:cs="Arial"/>
          <w:sz w:val="20"/>
          <w:szCs w:val="20"/>
        </w:rPr>
        <w:t>6</w:t>
      </w:r>
      <w:r w:rsidR="0034782B">
        <w:rPr>
          <w:rFonts w:ascii="Arial" w:hAnsi="Arial" w:cs="Arial"/>
          <w:sz w:val="20"/>
          <w:szCs w:val="20"/>
        </w:rPr>
        <w:t xml:space="preserve">] </w:t>
      </w:r>
      <w:r w:rsidR="00E54D27" w:rsidRPr="00E54D27">
        <w:rPr>
          <w:rFonts w:ascii="Arial" w:hAnsi="Arial" w:cs="Arial"/>
          <w:sz w:val="20"/>
          <w:szCs w:val="20"/>
        </w:rPr>
        <w:t>as being ‘imbued with the arrogant righteousness of vigilantism’. She went on to say</w:t>
      </w:r>
      <w:r w:rsidR="0034782B">
        <w:rPr>
          <w:rFonts w:ascii="Arial" w:hAnsi="Arial" w:cs="Arial"/>
          <w:sz w:val="20"/>
          <w:szCs w:val="20"/>
        </w:rPr>
        <w:t xml:space="preserve"> at [</w:t>
      </w:r>
      <w:r w:rsidR="009B7B52">
        <w:rPr>
          <w:rFonts w:ascii="Arial" w:hAnsi="Arial" w:cs="Arial"/>
          <w:sz w:val="20"/>
          <w:szCs w:val="20"/>
        </w:rPr>
        <w:t>46</w:t>
      </w:r>
      <w:r w:rsidR="0034782B">
        <w:rPr>
          <w:rFonts w:ascii="Arial" w:hAnsi="Arial" w:cs="Arial"/>
          <w:sz w:val="20"/>
          <w:szCs w:val="20"/>
        </w:rPr>
        <w:t>]</w:t>
      </w:r>
      <w:r w:rsidR="00E54D27" w:rsidRPr="00E54D27">
        <w:rPr>
          <w:rFonts w:ascii="Arial" w:hAnsi="Arial" w:cs="Arial"/>
          <w:sz w:val="20"/>
          <w:szCs w:val="20"/>
        </w:rPr>
        <w:t>:</w:t>
      </w:r>
    </w:p>
    <w:p w14:paraId="0EA306FF" w14:textId="5A231801" w:rsidR="00C91249" w:rsidRPr="0034782B" w:rsidRDefault="0034782B" w:rsidP="0034782B">
      <w:pPr>
        <w:spacing w:before="60"/>
        <w:ind w:left="1021" w:right="1021"/>
        <w:jc w:val="both"/>
        <w:rPr>
          <w:rFonts w:ascii="Arial" w:hAnsi="Arial" w:cs="Arial"/>
          <w:sz w:val="18"/>
          <w:szCs w:val="18"/>
        </w:rPr>
      </w:pPr>
      <w:r w:rsidRPr="0034782B">
        <w:rPr>
          <w:rFonts w:ascii="Arial" w:hAnsi="Arial" w:cs="Arial"/>
          <w:sz w:val="18"/>
          <w:szCs w:val="18"/>
        </w:rPr>
        <w:t>‘</w:t>
      </w:r>
      <w:r w:rsidR="00E54D27" w:rsidRPr="0034782B">
        <w:rPr>
          <w:rFonts w:ascii="Arial" w:hAnsi="Arial" w:cs="Arial"/>
          <w:sz w:val="18"/>
          <w:szCs w:val="18"/>
        </w:rPr>
        <w:t>Your behaviour was deliberate, pre-meditated thuggery in pursuit of private vengeance and conducted in concert with others. As such it was an affront to the rule of law.</w:t>
      </w:r>
      <w:r w:rsidRPr="0034782B">
        <w:rPr>
          <w:rFonts w:ascii="Arial" w:hAnsi="Arial" w:cs="Arial"/>
          <w:sz w:val="18"/>
          <w:szCs w:val="18"/>
        </w:rPr>
        <w:t>’</w:t>
      </w:r>
    </w:p>
    <w:p w14:paraId="1C5BD944" w14:textId="0C80B0BE" w:rsidR="00D33C03" w:rsidRDefault="00C91249" w:rsidP="00C91249">
      <w:pPr>
        <w:spacing w:before="60"/>
        <w:ind w:left="567" w:right="567"/>
        <w:jc w:val="both"/>
        <w:rPr>
          <w:rFonts w:ascii="Arial" w:hAnsi="Arial" w:cs="Arial"/>
          <w:sz w:val="20"/>
          <w:szCs w:val="20"/>
        </w:rPr>
      </w:pPr>
      <w:r>
        <w:rPr>
          <w:rFonts w:ascii="Arial" w:hAnsi="Arial" w:cs="Arial"/>
          <w:sz w:val="20"/>
          <w:szCs w:val="20"/>
        </w:rPr>
        <w:t>[</w:t>
      </w:r>
      <w:r w:rsidR="00E54D27" w:rsidRPr="00E54D27">
        <w:rPr>
          <w:rFonts w:ascii="Arial" w:hAnsi="Arial" w:cs="Arial"/>
          <w:sz w:val="20"/>
          <w:szCs w:val="20"/>
        </w:rPr>
        <w:t>92</w:t>
      </w:r>
      <w:r>
        <w:rPr>
          <w:rFonts w:ascii="Arial" w:hAnsi="Arial" w:cs="Arial"/>
          <w:sz w:val="20"/>
          <w:szCs w:val="20"/>
        </w:rPr>
        <w:t>]</w:t>
      </w:r>
      <w:r w:rsidR="00E54D27" w:rsidRPr="00E54D27">
        <w:rPr>
          <w:rFonts w:ascii="Arial" w:hAnsi="Arial" w:cs="Arial"/>
          <w:sz w:val="20"/>
          <w:szCs w:val="20"/>
        </w:rPr>
        <w:t xml:space="preserve"> The Court of Appeal in accepting Taylor JA’s characterisation of Harvey’s offending as ‘pre-meditated thuggery’, noted</w:t>
      </w:r>
      <w:r w:rsidR="0034782B">
        <w:rPr>
          <w:rFonts w:ascii="Arial" w:hAnsi="Arial" w:cs="Arial"/>
          <w:sz w:val="20"/>
          <w:szCs w:val="20"/>
        </w:rPr>
        <w:t xml:space="preserve"> </w:t>
      </w:r>
      <w:r w:rsidR="009B7B52">
        <w:rPr>
          <w:rFonts w:ascii="Arial" w:hAnsi="Arial" w:cs="Arial"/>
          <w:sz w:val="20"/>
          <w:szCs w:val="20"/>
        </w:rPr>
        <w:t xml:space="preserve">in </w:t>
      </w:r>
      <w:r w:rsidR="009B7B52" w:rsidRPr="009B7B52">
        <w:rPr>
          <w:rFonts w:ascii="Arial" w:hAnsi="Arial" w:cs="Arial"/>
          <w:i/>
          <w:iCs/>
          <w:sz w:val="20"/>
          <w:szCs w:val="20"/>
        </w:rPr>
        <w:t>Harvey v The Queen</w:t>
      </w:r>
      <w:r w:rsidR="009B7B52">
        <w:rPr>
          <w:rFonts w:ascii="Arial" w:hAnsi="Arial" w:cs="Arial"/>
          <w:sz w:val="20"/>
          <w:szCs w:val="20"/>
        </w:rPr>
        <w:t xml:space="preserve"> [2021] VSCA 84 </w:t>
      </w:r>
      <w:r w:rsidR="0034782B">
        <w:rPr>
          <w:rFonts w:ascii="Arial" w:hAnsi="Arial" w:cs="Arial"/>
          <w:sz w:val="20"/>
          <w:szCs w:val="20"/>
        </w:rPr>
        <w:t>at [</w:t>
      </w:r>
      <w:r w:rsidR="009B7B52">
        <w:rPr>
          <w:rFonts w:ascii="Arial" w:hAnsi="Arial" w:cs="Arial"/>
          <w:sz w:val="20"/>
          <w:szCs w:val="20"/>
        </w:rPr>
        <w:t>52</w:t>
      </w:r>
      <w:r w:rsidR="0034782B">
        <w:rPr>
          <w:rFonts w:ascii="Arial" w:hAnsi="Arial" w:cs="Arial"/>
          <w:sz w:val="20"/>
          <w:szCs w:val="20"/>
        </w:rPr>
        <w:t>]</w:t>
      </w:r>
      <w:r w:rsidR="009B7B52">
        <w:rPr>
          <w:rFonts w:ascii="Arial" w:hAnsi="Arial" w:cs="Arial"/>
          <w:sz w:val="20"/>
          <w:szCs w:val="20"/>
        </w:rPr>
        <w:t>-[54]</w:t>
      </w:r>
      <w:r w:rsidR="00E54D27" w:rsidRPr="00E54D27">
        <w:rPr>
          <w:rFonts w:ascii="Arial" w:hAnsi="Arial" w:cs="Arial"/>
          <w:sz w:val="20"/>
          <w:szCs w:val="20"/>
        </w:rPr>
        <w:t>:</w:t>
      </w:r>
    </w:p>
    <w:p w14:paraId="6196B459" w14:textId="77777777" w:rsidR="004B4C27" w:rsidRDefault="0034782B" w:rsidP="00D33C03">
      <w:pPr>
        <w:spacing w:before="60"/>
        <w:ind w:left="1021" w:right="1021"/>
        <w:jc w:val="both"/>
        <w:rPr>
          <w:rFonts w:ascii="Arial" w:hAnsi="Arial" w:cs="Arial"/>
          <w:sz w:val="18"/>
          <w:szCs w:val="18"/>
        </w:rPr>
      </w:pPr>
      <w:r>
        <w:rPr>
          <w:rFonts w:ascii="Arial" w:hAnsi="Arial" w:cs="Arial"/>
          <w:sz w:val="18"/>
          <w:szCs w:val="18"/>
        </w:rPr>
        <w:t>‘</w:t>
      </w:r>
      <w:r w:rsidR="00E54D27" w:rsidRPr="00D33C03">
        <w:rPr>
          <w:rFonts w:ascii="Arial" w:hAnsi="Arial" w:cs="Arial"/>
          <w:sz w:val="18"/>
          <w:szCs w:val="18"/>
        </w:rPr>
        <w:t>It is clearly established that the law cannot countenance individuals taking the law into their own hands, meting out punishment for perceived wrongdoing…</w:t>
      </w:r>
    </w:p>
    <w:p w14:paraId="2A376FA7" w14:textId="77777777" w:rsidR="004B4C27" w:rsidRDefault="00E54D27" w:rsidP="00D33C03">
      <w:pPr>
        <w:spacing w:before="60"/>
        <w:ind w:left="1021" w:right="1021"/>
        <w:jc w:val="both"/>
        <w:rPr>
          <w:rFonts w:ascii="Arial" w:hAnsi="Arial" w:cs="Arial"/>
          <w:sz w:val="18"/>
          <w:szCs w:val="18"/>
        </w:rPr>
      </w:pPr>
      <w:r w:rsidRPr="00D33C03">
        <w:rPr>
          <w:rFonts w:ascii="Arial" w:hAnsi="Arial" w:cs="Arial"/>
          <w:sz w:val="18"/>
          <w:szCs w:val="18"/>
        </w:rPr>
        <w:t>There is no place for such behaviour…</w:t>
      </w:r>
    </w:p>
    <w:p w14:paraId="3F6F7BC8" w14:textId="2BC313F7" w:rsidR="00C91249" w:rsidRPr="00D33C03" w:rsidRDefault="00E54D27" w:rsidP="00D33C03">
      <w:pPr>
        <w:spacing w:before="60"/>
        <w:ind w:left="1021" w:right="1021"/>
        <w:jc w:val="both"/>
        <w:rPr>
          <w:rFonts w:ascii="Arial" w:hAnsi="Arial" w:cs="Arial"/>
          <w:sz w:val="18"/>
          <w:szCs w:val="18"/>
        </w:rPr>
      </w:pPr>
      <w:r w:rsidRPr="00D33C03">
        <w:rPr>
          <w:rFonts w:ascii="Arial" w:hAnsi="Arial" w:cs="Arial"/>
          <w:sz w:val="18"/>
          <w:szCs w:val="18"/>
        </w:rPr>
        <w:t>Because of the insidious nature of vigilante behaviour, and the risk that offenders, through some misguided notion of justice, might seek to justify their behaviour, general deterrence is very important. A sentencing judge is entitled to give it great weight</w:t>
      </w:r>
      <w:r w:rsidR="0034782B">
        <w:rPr>
          <w:rFonts w:ascii="Arial" w:hAnsi="Arial" w:cs="Arial"/>
          <w:sz w:val="18"/>
          <w:szCs w:val="18"/>
        </w:rPr>
        <w:t>.’</w:t>
      </w:r>
    </w:p>
    <w:p w14:paraId="35D8650D" w14:textId="33AFB3A6" w:rsidR="007E066B" w:rsidRPr="00C91249" w:rsidRDefault="00C91249" w:rsidP="00C91249">
      <w:pPr>
        <w:spacing w:before="60"/>
        <w:ind w:left="567" w:right="567"/>
        <w:jc w:val="both"/>
        <w:rPr>
          <w:rFonts w:ascii="Arial" w:hAnsi="Arial" w:cs="Arial"/>
          <w:color w:val="000000"/>
          <w:sz w:val="20"/>
          <w:szCs w:val="20"/>
        </w:rPr>
      </w:pPr>
      <w:r>
        <w:rPr>
          <w:rFonts w:ascii="Arial" w:hAnsi="Arial" w:cs="Arial"/>
          <w:sz w:val="20"/>
          <w:szCs w:val="20"/>
        </w:rPr>
        <w:t>[</w:t>
      </w:r>
      <w:r w:rsidR="00E54D27" w:rsidRPr="00E54D27">
        <w:rPr>
          <w:rFonts w:ascii="Arial" w:hAnsi="Arial" w:cs="Arial"/>
          <w:sz w:val="20"/>
          <w:szCs w:val="20"/>
        </w:rPr>
        <w:t>93</w:t>
      </w:r>
      <w:r>
        <w:rPr>
          <w:rFonts w:ascii="Arial" w:hAnsi="Arial" w:cs="Arial"/>
          <w:sz w:val="20"/>
          <w:szCs w:val="20"/>
        </w:rPr>
        <w:t>]</w:t>
      </w:r>
      <w:r w:rsidR="00E54D27" w:rsidRPr="00E54D27">
        <w:rPr>
          <w:rFonts w:ascii="Arial" w:hAnsi="Arial" w:cs="Arial"/>
          <w:sz w:val="20"/>
          <w:szCs w:val="20"/>
        </w:rPr>
        <w:t xml:space="preserve"> Yours were not spontaneous or impulsive criminal acts, committed in haste and without sufficient thought. These were well-planned, well-executed criminal offences, with the eventual murder of BJ carried out with truly chilling callousness and disregard for the sanctity of human life. You had ample time as you prepared to carry out this particular crime to reflect on what you were doing and to desist. You did not do so. Your crimes were an affront to normal, decent society</w:t>
      </w:r>
      <w:r w:rsidR="00E54D27">
        <w:rPr>
          <w:rFonts w:ascii="Arial" w:hAnsi="Arial" w:cs="Arial"/>
          <w:sz w:val="20"/>
          <w:szCs w:val="20"/>
        </w:rPr>
        <w:t>.”</w:t>
      </w:r>
    </w:p>
    <w:p w14:paraId="16DFC0B0" w14:textId="20EFCF4B" w:rsidR="00E54D27" w:rsidRDefault="00E54D27" w:rsidP="00E54D27">
      <w:pPr>
        <w:jc w:val="both"/>
        <w:rPr>
          <w:rFonts w:ascii="Arial" w:hAnsi="Arial" w:cs="Arial"/>
          <w:iCs/>
          <w:color w:val="000000"/>
          <w:sz w:val="20"/>
        </w:rPr>
      </w:pPr>
    </w:p>
    <w:p w14:paraId="5E2C0D1D" w14:textId="599D5424" w:rsidR="00E54D27" w:rsidRDefault="00E54D27" w:rsidP="00E54D27">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 </w:t>
      </w:r>
      <w:r w:rsidRPr="00732D50">
        <w:rPr>
          <w:rFonts w:ascii="Arial" w:hAnsi="Arial" w:cs="Arial"/>
          <w:i/>
          <w:iCs/>
          <w:color w:val="000000"/>
          <w:sz w:val="20"/>
        </w:rPr>
        <w:t>R v Harvey</w:t>
      </w:r>
      <w:r>
        <w:rPr>
          <w:rFonts w:ascii="Arial" w:hAnsi="Arial" w:cs="Arial"/>
          <w:color w:val="000000"/>
          <w:sz w:val="20"/>
        </w:rPr>
        <w:t xml:space="preserve"> [2020] VSC 496 {appeal dismissed: </w:t>
      </w:r>
      <w:r w:rsidRPr="000C7746">
        <w:rPr>
          <w:rFonts w:ascii="Arial" w:hAnsi="Arial" w:cs="Arial"/>
          <w:i/>
          <w:iCs/>
          <w:color w:val="000000"/>
          <w:sz w:val="20"/>
        </w:rPr>
        <w:t>Harvey v The Queen</w:t>
      </w:r>
      <w:r>
        <w:rPr>
          <w:rFonts w:ascii="Arial" w:hAnsi="Arial" w:cs="Arial"/>
          <w:color w:val="000000"/>
          <w:sz w:val="20"/>
        </w:rPr>
        <w:t xml:space="preserve"> [2021] VSCA 84 at [18] &amp; [52]-[54]}; </w:t>
      </w:r>
      <w:r w:rsidRPr="00DF50C1">
        <w:rPr>
          <w:rFonts w:ascii="Arial" w:hAnsi="Arial" w:cs="Arial"/>
          <w:i/>
          <w:iCs/>
          <w:color w:val="000000"/>
          <w:sz w:val="20"/>
        </w:rPr>
        <w:t>DPP v Hooper &amp; Stefani</w:t>
      </w:r>
      <w:r>
        <w:rPr>
          <w:rFonts w:ascii="Arial" w:hAnsi="Arial" w:cs="Arial"/>
          <w:color w:val="000000"/>
          <w:sz w:val="20"/>
        </w:rPr>
        <w:t xml:space="preserve"> [2022] VSC 821 at [82], [92], [99], [155] &amp; [159]</w:t>
      </w:r>
      <w:r w:rsidR="00177F45">
        <w:rPr>
          <w:rFonts w:ascii="Arial" w:hAnsi="Arial" w:cs="Arial"/>
          <w:color w:val="000000"/>
          <w:sz w:val="20"/>
        </w:rPr>
        <w:t xml:space="preserve">; </w:t>
      </w:r>
      <w:r w:rsidR="00177F45" w:rsidRPr="00177F45">
        <w:rPr>
          <w:rFonts w:ascii="Arial" w:hAnsi="Arial" w:cs="Arial"/>
          <w:i/>
          <w:iCs/>
          <w:color w:val="000000"/>
          <w:sz w:val="20"/>
        </w:rPr>
        <w:t>DPP v Bottom &amp; Smith</w:t>
      </w:r>
      <w:r w:rsidR="00177F45">
        <w:rPr>
          <w:rFonts w:ascii="Arial" w:hAnsi="Arial" w:cs="Arial"/>
          <w:color w:val="000000"/>
          <w:sz w:val="20"/>
        </w:rPr>
        <w:t xml:space="preserve"> [2023] VSC 717 at [103]-[107]</w:t>
      </w:r>
      <w:r>
        <w:rPr>
          <w:rFonts w:ascii="Arial" w:hAnsi="Arial" w:cs="Arial"/>
          <w:color w:val="000000"/>
          <w:sz w:val="20"/>
        </w:rPr>
        <w:t>.</w:t>
      </w:r>
    </w:p>
    <w:p w14:paraId="64D71863" w14:textId="77777777" w:rsidR="00A42676" w:rsidRPr="001C6E0E" w:rsidRDefault="00A42676" w:rsidP="00A42676">
      <w:pPr>
        <w:jc w:val="both"/>
        <w:rPr>
          <w:rFonts w:ascii="Arial" w:hAnsi="Arial" w:cs="Arial"/>
          <w:color w:val="000000"/>
          <w:sz w:val="20"/>
        </w:rPr>
      </w:pPr>
    </w:p>
    <w:p w14:paraId="2ACF67BB" w14:textId="03B91FB2" w:rsidR="00A42676" w:rsidRPr="001C6E0E" w:rsidRDefault="00A42676" w:rsidP="00A42676">
      <w:pPr>
        <w:pStyle w:val="Heading3"/>
        <w:keepNext/>
        <w:spacing w:after="120" w:line="240" w:lineRule="auto"/>
        <w:rPr>
          <w:rFonts w:ascii="Arial" w:hAnsi="Arial" w:cs="Arial"/>
          <w:b/>
          <w:bCs/>
          <w:color w:val="000000"/>
          <w:sz w:val="20"/>
        </w:rPr>
      </w:pPr>
      <w:bookmarkStart w:id="387" w:name="_11.1.21_Relevance_of"/>
      <w:bookmarkEnd w:id="387"/>
      <w:r>
        <w:rPr>
          <w:rFonts w:ascii="Arial" w:hAnsi="Arial" w:cs="Arial"/>
          <w:b/>
          <w:bCs/>
          <w:color w:val="000000"/>
          <w:sz w:val="20"/>
        </w:rPr>
        <w:t>11.1.21</w:t>
      </w:r>
      <w:r w:rsidRPr="001C6E0E">
        <w:rPr>
          <w:rFonts w:ascii="Arial" w:hAnsi="Arial" w:cs="Arial"/>
          <w:b/>
          <w:bCs/>
          <w:color w:val="000000"/>
          <w:sz w:val="20"/>
        </w:rPr>
        <w:tab/>
      </w:r>
      <w:r>
        <w:rPr>
          <w:rFonts w:ascii="Arial" w:hAnsi="Arial" w:cs="Arial"/>
          <w:b/>
          <w:bCs/>
          <w:color w:val="000000"/>
          <w:sz w:val="20"/>
        </w:rPr>
        <w:t>Relevance of cultural practice to sentencing for a Commonwealth offence</w:t>
      </w:r>
    </w:p>
    <w:p w14:paraId="43BFB30A" w14:textId="121D46A8" w:rsid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In </w:t>
      </w:r>
      <w:r w:rsidRPr="00242BC5">
        <w:rPr>
          <w:rFonts w:ascii="Arial" w:hAnsi="Arial" w:cs="Arial"/>
          <w:i/>
          <w:iCs/>
          <w:color w:val="000000"/>
          <w:sz w:val="20"/>
        </w:rPr>
        <w:t>Jan v DPP (Cth)</w:t>
      </w:r>
      <w:r w:rsidRPr="00242BC5">
        <w:rPr>
          <w:rFonts w:ascii="Arial" w:hAnsi="Arial" w:cs="Arial"/>
          <w:iCs/>
          <w:color w:val="000000"/>
          <w:sz w:val="20"/>
        </w:rPr>
        <w:t xml:space="preserve"> [2025] VSCA 43 the 47 year old Afghan-born applicant was convicted by a jury of causing her 17-year old daughter V to enter into a forced marriage contrary to s.270.7B(1) of the </w:t>
      </w:r>
      <w:r w:rsidRPr="00242BC5">
        <w:rPr>
          <w:rFonts w:ascii="Arial" w:hAnsi="Arial" w:cs="Arial"/>
          <w:i/>
          <w:iCs/>
          <w:color w:val="000000"/>
          <w:sz w:val="20"/>
        </w:rPr>
        <w:t>Criminal Code Act 1995</w:t>
      </w:r>
      <w:r w:rsidRPr="00242BC5">
        <w:rPr>
          <w:rFonts w:ascii="Arial" w:hAnsi="Arial" w:cs="Arial"/>
          <w:iCs/>
          <w:color w:val="000000"/>
          <w:sz w:val="20"/>
        </w:rPr>
        <w:t xml:space="preserve"> (Cth). In August 2019 V had participated in a permanent Nikah (cultural marriage) with a Mr Halimi. She had told police the day before at her school that she did not want to marry him and that she knew nothing about him, including his last name. In November 2019 V</w:t>
      </w:r>
      <w:r>
        <w:rPr>
          <w:rFonts w:ascii="Arial" w:hAnsi="Arial" w:cs="Arial"/>
          <w:iCs/>
          <w:color w:val="000000"/>
          <w:sz w:val="20"/>
        </w:rPr>
        <w:t> </w:t>
      </w:r>
      <w:r w:rsidRPr="00242BC5">
        <w:rPr>
          <w:rFonts w:ascii="Arial" w:hAnsi="Arial" w:cs="Arial"/>
          <w:iCs/>
          <w:color w:val="000000"/>
          <w:sz w:val="20"/>
        </w:rPr>
        <w:t>graduated from high school and the following day she moved to Perth with Mr Halimi. In January 2020 Mr Halimi killed V in a fit of rage by slitting her throat when she did not behave as he expected. It</w:t>
      </w:r>
      <w:r>
        <w:rPr>
          <w:rFonts w:ascii="Arial" w:hAnsi="Arial" w:cs="Arial"/>
          <w:iCs/>
          <w:color w:val="000000"/>
          <w:sz w:val="20"/>
        </w:rPr>
        <w:t> </w:t>
      </w:r>
      <w:r w:rsidRPr="00242BC5">
        <w:rPr>
          <w:rFonts w:ascii="Arial" w:hAnsi="Arial" w:cs="Arial"/>
          <w:iCs/>
          <w:color w:val="000000"/>
          <w:sz w:val="20"/>
        </w:rPr>
        <w:t>was common ground that the applicant believed that in forcing her daughter to marry she was acting in her daughter’s best interests and that she was grief-stricken at her daughter’s death. The applicant herself had been the subject of a forced marriage at the age of 12 or 13 years to a man she had never met and with whom she subsequently had 5 children of whom V was the youngest.</w:t>
      </w:r>
      <w:r w:rsidR="00BB59FC">
        <w:rPr>
          <w:rFonts w:ascii="Arial" w:hAnsi="Arial" w:cs="Arial"/>
          <w:iCs/>
          <w:color w:val="000000"/>
          <w:sz w:val="20"/>
        </w:rPr>
        <w:t xml:space="preserve"> The applicant’s husband had been killed by the Taliban about a month after V’s birth. Her father, brother and sister had also been killed by the Taliban. The applicant and her children – all of whom were married by the age of 18 or 19 in arranged marriages </w:t>
      </w:r>
      <w:r w:rsidR="0037612A">
        <w:rPr>
          <w:rFonts w:ascii="Arial" w:hAnsi="Arial" w:cs="Arial"/>
          <w:iCs/>
          <w:color w:val="000000"/>
          <w:sz w:val="20"/>
        </w:rPr>
        <w:t>–</w:t>
      </w:r>
      <w:r w:rsidR="00BB59FC">
        <w:rPr>
          <w:rFonts w:ascii="Arial" w:hAnsi="Arial" w:cs="Arial"/>
          <w:iCs/>
          <w:color w:val="000000"/>
          <w:sz w:val="20"/>
        </w:rPr>
        <w:t xml:space="preserve"> had</w:t>
      </w:r>
      <w:r w:rsidR="0037612A">
        <w:rPr>
          <w:rFonts w:ascii="Arial" w:hAnsi="Arial" w:cs="Arial"/>
          <w:iCs/>
          <w:color w:val="000000"/>
          <w:sz w:val="20"/>
        </w:rPr>
        <w:t xml:space="preserve"> </w:t>
      </w:r>
      <w:r w:rsidR="00BB59FC">
        <w:rPr>
          <w:rFonts w:ascii="Arial" w:hAnsi="Arial" w:cs="Arial"/>
          <w:iCs/>
          <w:color w:val="000000"/>
          <w:sz w:val="20"/>
        </w:rPr>
        <w:t>come to Australia as refugees and settled in Shepparton.</w:t>
      </w:r>
      <w:r w:rsidR="00394254">
        <w:rPr>
          <w:rFonts w:ascii="Arial" w:hAnsi="Arial" w:cs="Arial"/>
          <w:iCs/>
          <w:color w:val="000000"/>
          <w:sz w:val="20"/>
        </w:rPr>
        <w:t xml:space="preserve"> The applicant fell to be sentenced as a person of good character. She had been a member of the Goulburn Valley Afghanistan Association since 2013.</w:t>
      </w:r>
    </w:p>
    <w:p w14:paraId="3C2D9280" w14:textId="04890DAC" w:rsidR="00242BC5" w:rsidRP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The sentencing judge </w:t>
      </w:r>
      <w:r w:rsidR="00394254">
        <w:rPr>
          <w:rFonts w:ascii="Arial" w:hAnsi="Arial" w:cs="Arial"/>
          <w:iCs/>
          <w:color w:val="000000"/>
          <w:sz w:val="20"/>
        </w:rPr>
        <w:t xml:space="preserve">had </w:t>
      </w:r>
      <w:r w:rsidRPr="00242BC5">
        <w:rPr>
          <w:rFonts w:ascii="Arial" w:hAnsi="Arial" w:cs="Arial"/>
          <w:iCs/>
          <w:color w:val="000000"/>
          <w:sz w:val="20"/>
        </w:rPr>
        <w:t>imposed a sentence of IMP3y with the applicant mother to be released on her own recognisance after 12m.</w:t>
      </w:r>
    </w:p>
    <w:p w14:paraId="25BA7751" w14:textId="441C089F" w:rsidR="005E54A8" w:rsidRDefault="005E54A8" w:rsidP="005E54A8">
      <w:pPr>
        <w:spacing w:before="120"/>
        <w:jc w:val="both"/>
        <w:rPr>
          <w:rFonts w:ascii="Arial" w:hAnsi="Arial" w:cs="Arial"/>
          <w:iCs/>
          <w:color w:val="000000"/>
          <w:sz w:val="20"/>
        </w:rPr>
      </w:pPr>
      <w:r>
        <w:rPr>
          <w:rFonts w:ascii="Arial" w:hAnsi="Arial" w:cs="Arial"/>
          <w:iCs/>
          <w:color w:val="000000"/>
          <w:sz w:val="20"/>
        </w:rPr>
        <w:t>Emerton P &amp; Taylor JA refused leave to appeal</w:t>
      </w:r>
      <w:r w:rsidR="00394254">
        <w:rPr>
          <w:rFonts w:ascii="Arial" w:hAnsi="Arial" w:cs="Arial"/>
          <w:iCs/>
          <w:color w:val="000000"/>
          <w:sz w:val="20"/>
        </w:rPr>
        <w:t xml:space="preserve"> against sentence</w:t>
      </w:r>
      <w:r>
        <w:rPr>
          <w:rFonts w:ascii="Arial" w:hAnsi="Arial" w:cs="Arial"/>
          <w:iCs/>
          <w:color w:val="000000"/>
          <w:sz w:val="20"/>
        </w:rPr>
        <w:t>, categorising the applicant’s offending as a serious example of a serious offence. At [36]</w:t>
      </w:r>
      <w:r w:rsidR="007C1FAF">
        <w:rPr>
          <w:rFonts w:ascii="Arial" w:hAnsi="Arial" w:cs="Arial"/>
          <w:iCs/>
          <w:color w:val="000000"/>
          <w:sz w:val="20"/>
        </w:rPr>
        <w:t xml:space="preserve">, </w:t>
      </w:r>
      <w:r>
        <w:rPr>
          <w:rFonts w:ascii="Arial" w:hAnsi="Arial" w:cs="Arial"/>
          <w:iCs/>
          <w:color w:val="000000"/>
          <w:sz w:val="20"/>
        </w:rPr>
        <w:t xml:space="preserve">[38]-[39] </w:t>
      </w:r>
      <w:r w:rsidR="007C1FAF">
        <w:rPr>
          <w:rFonts w:ascii="Arial" w:hAnsi="Arial" w:cs="Arial"/>
          <w:iCs/>
          <w:color w:val="000000"/>
          <w:sz w:val="20"/>
        </w:rPr>
        <w:t xml:space="preserve">&amp; [43] </w:t>
      </w:r>
      <w:r>
        <w:rPr>
          <w:rFonts w:ascii="Arial" w:hAnsi="Arial" w:cs="Arial"/>
          <w:iCs/>
          <w:color w:val="000000"/>
          <w:sz w:val="20"/>
        </w:rPr>
        <w:t>their Honours said:</w:t>
      </w:r>
    </w:p>
    <w:p w14:paraId="3A82F188" w14:textId="30A4A385" w:rsidR="005E54A8" w:rsidRDefault="005E54A8" w:rsidP="005E54A8">
      <w:pPr>
        <w:spacing w:before="60"/>
        <w:ind w:left="567" w:right="567"/>
        <w:jc w:val="both"/>
        <w:rPr>
          <w:rFonts w:ascii="Arial" w:hAnsi="Arial" w:cs="Arial"/>
          <w:iCs/>
          <w:color w:val="000000"/>
          <w:sz w:val="20"/>
        </w:rPr>
      </w:pPr>
      <w:r>
        <w:rPr>
          <w:rFonts w:ascii="Arial" w:hAnsi="Arial" w:cs="Arial"/>
          <w:sz w:val="20"/>
          <w:szCs w:val="20"/>
        </w:rPr>
        <w:t xml:space="preserve">[36] “The judge was correct to hold that s.16A(2A) of the </w:t>
      </w:r>
      <w:r w:rsidRPr="005E54A8">
        <w:rPr>
          <w:rFonts w:ascii="Arial" w:hAnsi="Arial" w:cs="Arial"/>
          <w:i/>
          <w:color w:val="000000"/>
          <w:sz w:val="20"/>
        </w:rPr>
        <w:t xml:space="preserve">Crimes Act 1914 </w:t>
      </w:r>
      <w:r w:rsidRPr="005E54A8">
        <w:rPr>
          <w:rFonts w:ascii="Arial" w:hAnsi="Arial" w:cs="Arial"/>
          <w:iCs/>
          <w:color w:val="000000"/>
          <w:sz w:val="20"/>
        </w:rPr>
        <w:t>(Cth)</w:t>
      </w:r>
      <w:r>
        <w:rPr>
          <w:rFonts w:ascii="Arial" w:hAnsi="Arial" w:cs="Arial"/>
          <w:iCs/>
          <w:color w:val="000000"/>
          <w:sz w:val="20"/>
        </w:rPr>
        <w:t xml:space="preserve"> prevented consideration of the applicant’s belief that she was acting in the best interests of [her daughter] </w:t>
      </w:r>
      <w:r w:rsidR="00FF73A1">
        <w:rPr>
          <w:rFonts w:ascii="Arial" w:hAnsi="Arial" w:cs="Arial"/>
          <w:iCs/>
          <w:color w:val="000000"/>
          <w:sz w:val="20"/>
        </w:rPr>
        <w:t xml:space="preserve">in mitigation of her moral culpability </w:t>
      </w:r>
      <w:r w:rsidR="00FF73A1" w:rsidRPr="00FF73A1">
        <w:rPr>
          <w:rFonts w:ascii="Arial" w:hAnsi="Arial" w:cs="Arial"/>
          <w:i/>
          <w:color w:val="000000"/>
          <w:sz w:val="20"/>
        </w:rPr>
        <w:t>in so far</w:t>
      </w:r>
      <w:r w:rsidR="00FF73A1">
        <w:rPr>
          <w:rFonts w:ascii="Arial" w:hAnsi="Arial" w:cs="Arial"/>
          <w:iCs/>
          <w:color w:val="000000"/>
          <w:sz w:val="20"/>
        </w:rPr>
        <w:t xml:space="preserve"> as that belief arose from Hazara culture. That section did not – either theoretically or in fact – prevent the judge from considering the applicant’s background and lack of education as matters personal to her. It is clear that the judge gave what weight she could to the personal circumstances of the applicant in mitigation of penalty – short of acting contrary to s.16A(2A).”</w:t>
      </w:r>
    </w:p>
    <w:p w14:paraId="426F8E91" w14:textId="0DD1D329" w:rsidR="00FF73A1" w:rsidRDefault="00FF73A1" w:rsidP="005E54A8">
      <w:pPr>
        <w:spacing w:before="60"/>
        <w:ind w:left="567" w:right="567"/>
        <w:jc w:val="both"/>
        <w:rPr>
          <w:rFonts w:ascii="Arial" w:hAnsi="Arial" w:cs="Arial"/>
          <w:sz w:val="20"/>
          <w:szCs w:val="20"/>
        </w:rPr>
      </w:pPr>
      <w:r>
        <w:rPr>
          <w:rFonts w:ascii="Arial" w:hAnsi="Arial" w:cs="Arial"/>
          <w:sz w:val="20"/>
          <w:szCs w:val="20"/>
        </w:rPr>
        <w:t>[38] “Section 16A(1) of the Crimes Act requires a court to impose a sentence that is of a severity appropriate in all the circumstances of the offence. In addition to any other matters, s.16A(2) requires a court to take into account such of the delineated matters ‘as are relevant and known to the court’. Section 16A(2)(m) refers to the ‘character, antecedents, age, means and physical or mental condition of the person’.</w:t>
      </w:r>
    </w:p>
    <w:p w14:paraId="6B0242C5" w14:textId="6AF514F6" w:rsidR="00FF73A1" w:rsidRDefault="00FF73A1" w:rsidP="005E54A8">
      <w:pPr>
        <w:spacing w:before="60"/>
        <w:ind w:left="567" w:right="567"/>
        <w:jc w:val="both"/>
        <w:rPr>
          <w:rFonts w:ascii="Arial" w:hAnsi="Arial" w:cs="Arial"/>
          <w:sz w:val="20"/>
          <w:szCs w:val="20"/>
        </w:rPr>
      </w:pPr>
      <w:r>
        <w:rPr>
          <w:rFonts w:ascii="Arial" w:hAnsi="Arial" w:cs="Arial"/>
          <w:sz w:val="20"/>
          <w:szCs w:val="20"/>
        </w:rPr>
        <w:lastRenderedPageBreak/>
        <w:t>[39] Section 16A(2A) then provides as follows:</w:t>
      </w:r>
    </w:p>
    <w:p w14:paraId="358CFA69" w14:textId="2AD56631" w:rsidR="00FF73A1" w:rsidRDefault="00BB59FC" w:rsidP="00FF73A1">
      <w:pPr>
        <w:spacing w:before="60"/>
        <w:ind w:left="964" w:right="964"/>
        <w:jc w:val="both"/>
        <w:rPr>
          <w:rFonts w:ascii="Arial" w:hAnsi="Arial" w:cs="Arial"/>
          <w:sz w:val="18"/>
          <w:szCs w:val="18"/>
        </w:rPr>
      </w:pPr>
      <w:r>
        <w:rPr>
          <w:rFonts w:ascii="Arial" w:hAnsi="Arial" w:cs="Arial"/>
          <w:sz w:val="18"/>
          <w:szCs w:val="18"/>
        </w:rPr>
        <w:t>“</w:t>
      </w:r>
      <w:r w:rsidR="00FF73A1" w:rsidRPr="00FF73A1">
        <w:rPr>
          <w:rFonts w:ascii="Arial" w:hAnsi="Arial" w:cs="Arial"/>
          <w:sz w:val="18"/>
          <w:szCs w:val="18"/>
        </w:rPr>
        <w:t>However, the court must not take into account under subsection (1) or (2), other than paragraph (2)(ma) [which was not relevant in this case], any form of customary law or cultural practice as a reason for:</w:t>
      </w:r>
    </w:p>
    <w:p w14:paraId="1228DFC6" w14:textId="5E64CFBA" w:rsidR="00FF73A1" w:rsidRDefault="00FF73A1">
      <w:pPr>
        <w:pStyle w:val="ListParagraph"/>
        <w:numPr>
          <w:ilvl w:val="0"/>
          <w:numId w:val="147"/>
        </w:numPr>
        <w:spacing w:before="60"/>
        <w:ind w:right="964"/>
        <w:jc w:val="both"/>
        <w:rPr>
          <w:rFonts w:ascii="Arial" w:hAnsi="Arial" w:cs="Arial"/>
          <w:sz w:val="18"/>
          <w:szCs w:val="18"/>
        </w:rPr>
      </w:pPr>
      <w:r>
        <w:rPr>
          <w:rFonts w:ascii="Arial" w:hAnsi="Arial" w:cs="Arial"/>
          <w:sz w:val="18"/>
          <w:szCs w:val="18"/>
        </w:rPr>
        <w:t>excusing, justifying, authorising, requiring or lessening the seriousness of the criminal behaviour to which the offence relates; or</w:t>
      </w:r>
    </w:p>
    <w:p w14:paraId="39C91B5B" w14:textId="1880CA18" w:rsidR="00FF73A1" w:rsidRPr="00FF73A1" w:rsidRDefault="00FF73A1">
      <w:pPr>
        <w:pStyle w:val="ListParagraph"/>
        <w:numPr>
          <w:ilvl w:val="0"/>
          <w:numId w:val="147"/>
        </w:numPr>
        <w:spacing w:before="60"/>
        <w:ind w:right="964"/>
        <w:jc w:val="both"/>
        <w:rPr>
          <w:rFonts w:ascii="Arial" w:hAnsi="Arial" w:cs="Arial"/>
          <w:sz w:val="18"/>
          <w:szCs w:val="18"/>
        </w:rPr>
      </w:pPr>
      <w:r>
        <w:rPr>
          <w:rFonts w:ascii="Arial" w:hAnsi="Arial" w:cs="Arial"/>
          <w:sz w:val="18"/>
          <w:szCs w:val="18"/>
        </w:rPr>
        <w:t>aggravating the seriousness of the criminal behaviour to which the offence relates.”</w:t>
      </w:r>
    </w:p>
    <w:p w14:paraId="5349C2FD" w14:textId="49BD0A11" w:rsidR="007C1FAF" w:rsidRDefault="007C1FAF" w:rsidP="007C1FAF">
      <w:pPr>
        <w:spacing w:before="60"/>
        <w:ind w:left="567" w:right="567"/>
        <w:jc w:val="both"/>
        <w:rPr>
          <w:rFonts w:ascii="Arial" w:hAnsi="Arial" w:cs="Arial"/>
          <w:sz w:val="20"/>
          <w:szCs w:val="20"/>
        </w:rPr>
      </w:pPr>
      <w:r>
        <w:rPr>
          <w:rFonts w:ascii="Arial" w:hAnsi="Arial" w:cs="Arial"/>
          <w:sz w:val="20"/>
          <w:szCs w:val="20"/>
        </w:rPr>
        <w:t xml:space="preserve">[43] “It is to be remembered that s.16A(2A) qualifies the operation of s.16A(1) as well as s.16A(2). That is, customary law and cultural practice must not be considered when the court is determining what is ‘a sentence...that is of a severity appropriate in all the circumstances of the offence’. This determination involves consideration of the s.16A(2) factors that are relevant and known to the court, including those in s.16A(2)(a) – the nature and circumstances of the offence – and s.16A(2)(m) – the character, antecedents, age, means and physical or mental condition of the offender. The determination necessarily involves an assessment of the seriousness of the particular offending. And the task must be performed as part of the instinctive synthesis, taking into account both objective gravity and moral culpability: </w:t>
      </w:r>
      <w:r w:rsidRPr="007C1FAF">
        <w:rPr>
          <w:rFonts w:ascii="Arial" w:hAnsi="Arial" w:cs="Arial"/>
          <w:i/>
          <w:iCs/>
          <w:sz w:val="20"/>
          <w:szCs w:val="20"/>
        </w:rPr>
        <w:t>Brown v The Queen</w:t>
      </w:r>
      <w:r>
        <w:rPr>
          <w:rFonts w:ascii="Arial" w:hAnsi="Arial" w:cs="Arial"/>
          <w:sz w:val="20"/>
          <w:szCs w:val="20"/>
        </w:rPr>
        <w:t xml:space="preserve"> (2019) 59 VR 462 [55]; [2019] VSCA 286.</w:t>
      </w:r>
      <w:r w:rsidR="00A45015">
        <w:rPr>
          <w:rFonts w:ascii="Arial" w:hAnsi="Arial" w:cs="Arial"/>
          <w:sz w:val="20"/>
          <w:szCs w:val="20"/>
        </w:rPr>
        <w:t>”</w:t>
      </w:r>
    </w:p>
    <w:p w14:paraId="02913D43" w14:textId="3FBA78BD" w:rsidR="005E54A8" w:rsidRDefault="00142B57" w:rsidP="005E54A8">
      <w:pPr>
        <w:spacing w:before="120"/>
        <w:jc w:val="both"/>
        <w:rPr>
          <w:rFonts w:ascii="Arial" w:hAnsi="Arial" w:cs="Arial"/>
          <w:iCs/>
          <w:color w:val="000000"/>
          <w:sz w:val="20"/>
        </w:rPr>
      </w:pPr>
      <w:r>
        <w:rPr>
          <w:rFonts w:ascii="Arial" w:hAnsi="Arial" w:cs="Arial"/>
          <w:iCs/>
          <w:color w:val="000000"/>
          <w:sz w:val="20"/>
        </w:rPr>
        <w:t>Boyce JA dissented</w:t>
      </w:r>
      <w:r w:rsidR="00F857D1">
        <w:rPr>
          <w:rFonts w:ascii="Arial" w:hAnsi="Arial" w:cs="Arial"/>
          <w:iCs/>
          <w:color w:val="000000"/>
          <w:sz w:val="20"/>
        </w:rPr>
        <w:t>, concluding at [182] that the sentencing judge erred in construing s.16A(2A) as she did and that the error was material</w:t>
      </w:r>
      <w:r>
        <w:rPr>
          <w:rFonts w:ascii="Arial" w:hAnsi="Arial" w:cs="Arial"/>
          <w:iCs/>
          <w:color w:val="000000"/>
          <w:sz w:val="20"/>
        </w:rPr>
        <w:t>.</w:t>
      </w:r>
      <w:r w:rsidR="00F857D1">
        <w:rPr>
          <w:rFonts w:ascii="Arial" w:hAnsi="Arial" w:cs="Arial"/>
          <w:iCs/>
          <w:color w:val="000000"/>
          <w:sz w:val="20"/>
        </w:rPr>
        <w:t xml:space="preserve"> His Honour would have allowed the appeal and released the applicant from prison immediately.</w:t>
      </w:r>
    </w:p>
    <w:p w14:paraId="4B14BF6E" w14:textId="50665815" w:rsidR="005E54A8" w:rsidRDefault="005E54A8" w:rsidP="00F857D1">
      <w:pPr>
        <w:jc w:val="both"/>
        <w:rPr>
          <w:rFonts w:ascii="Arial" w:hAnsi="Arial" w:cs="Arial"/>
          <w:iCs/>
          <w:color w:val="000000"/>
          <w:sz w:val="20"/>
        </w:rPr>
      </w:pPr>
    </w:p>
    <w:p w14:paraId="133D337A" w14:textId="4C00C8E8" w:rsidR="005E54A8" w:rsidRDefault="00F857D1" w:rsidP="00F857D1">
      <w:pPr>
        <w:jc w:val="both"/>
        <w:rPr>
          <w:rFonts w:ascii="Arial" w:hAnsi="Arial" w:cs="Arial"/>
          <w:iCs/>
          <w:color w:val="000000"/>
          <w:sz w:val="20"/>
        </w:rPr>
      </w:pPr>
      <w:r>
        <w:rPr>
          <w:rFonts w:ascii="Arial" w:hAnsi="Arial" w:cs="Arial"/>
          <w:iCs/>
          <w:color w:val="000000"/>
          <w:sz w:val="20"/>
        </w:rPr>
        <w:t>Although not relevant to the above case, it should be noted that s.16A(2AA) provides that s.16A(2A) does not apply in relation to an offence against any of the following:</w:t>
      </w:r>
    </w:p>
    <w:p w14:paraId="19F8886C" w14:textId="022EA51B" w:rsidR="005E54A8"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s.22 of the </w:t>
      </w:r>
      <w:r w:rsidRPr="00F857D1">
        <w:rPr>
          <w:rFonts w:ascii="Arial" w:hAnsi="Arial" w:cs="Arial"/>
          <w:i/>
          <w:color w:val="000000"/>
          <w:sz w:val="20"/>
        </w:rPr>
        <w:t>Aboriginal and Torres Strait Islander Heritage Protection Act 1984</w:t>
      </w:r>
      <w:r>
        <w:rPr>
          <w:rFonts w:ascii="Arial" w:hAnsi="Arial" w:cs="Arial"/>
          <w:iCs/>
          <w:color w:val="000000"/>
          <w:sz w:val="20"/>
        </w:rPr>
        <w:t>;</w:t>
      </w:r>
    </w:p>
    <w:p w14:paraId="2AFDF477" w14:textId="6DF8C78F"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ss.15A, 15C, 17B, 22A, 27A, 74AA, 142A, 142B, 207B, 354A, 355A &amp; 470 of the </w:t>
      </w:r>
      <w:r w:rsidR="00A45015" w:rsidRPr="00A45015">
        <w:rPr>
          <w:rFonts w:ascii="Arial" w:hAnsi="Arial" w:cs="Arial"/>
          <w:i/>
          <w:color w:val="000000"/>
          <w:sz w:val="20"/>
        </w:rPr>
        <w:t>Environment Protection and Biodiversity Conservation Act 1999</w:t>
      </w:r>
      <w:r w:rsidR="00A45015">
        <w:rPr>
          <w:rFonts w:ascii="Arial" w:hAnsi="Arial" w:cs="Arial"/>
          <w:iCs/>
          <w:color w:val="000000"/>
          <w:sz w:val="20"/>
        </w:rPr>
        <w:t>;</w:t>
      </w:r>
    </w:p>
    <w:p w14:paraId="6FFDCC18" w14:textId="44D023B6"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s.48 of the </w:t>
      </w:r>
      <w:r w:rsidRPr="00F857D1">
        <w:rPr>
          <w:rFonts w:ascii="Arial" w:hAnsi="Arial" w:cs="Arial"/>
          <w:i/>
          <w:color w:val="000000"/>
          <w:sz w:val="20"/>
        </w:rPr>
        <w:t>Aboriginal Land and Waters (Jervis Bay Territory) Act 1986</w:t>
      </w:r>
      <w:r>
        <w:rPr>
          <w:rFonts w:ascii="Arial" w:hAnsi="Arial" w:cs="Arial"/>
          <w:iCs/>
          <w:color w:val="000000"/>
          <w:sz w:val="20"/>
        </w:rPr>
        <w:t>;</w:t>
      </w:r>
    </w:p>
    <w:p w14:paraId="3B4DEA6D" w14:textId="62E24E26"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ss.69 &amp; 70 of the </w:t>
      </w:r>
      <w:r w:rsidRPr="00F857D1">
        <w:rPr>
          <w:rFonts w:ascii="Arial" w:hAnsi="Arial" w:cs="Arial"/>
          <w:i/>
          <w:color w:val="000000"/>
          <w:sz w:val="20"/>
        </w:rPr>
        <w:t>Aboriginal Land Rights (Northern Territory) Act 1976</w:t>
      </w:r>
      <w:r>
        <w:rPr>
          <w:rFonts w:ascii="Arial" w:hAnsi="Arial" w:cs="Arial"/>
          <w:iCs/>
          <w:color w:val="000000"/>
          <w:sz w:val="20"/>
        </w:rPr>
        <w:t>;</w:t>
      </w:r>
    </w:p>
    <w:p w14:paraId="1F443504" w14:textId="77E69792"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s.30 of the </w:t>
      </w:r>
      <w:r w:rsidRPr="00F857D1">
        <w:rPr>
          <w:rFonts w:ascii="Arial" w:hAnsi="Arial" w:cs="Arial"/>
          <w:i/>
          <w:color w:val="000000"/>
          <w:sz w:val="20"/>
        </w:rPr>
        <w:t>Aboriginal Land (Lake Condah and Framlingham Forest) Act 1987</w:t>
      </w:r>
      <w:r>
        <w:rPr>
          <w:rFonts w:ascii="Arial" w:hAnsi="Arial" w:cs="Arial"/>
          <w:iCs/>
          <w:color w:val="000000"/>
          <w:sz w:val="20"/>
        </w:rPr>
        <w:t>;</w:t>
      </w:r>
    </w:p>
    <w:p w14:paraId="2B6DCDC7" w14:textId="787E0114" w:rsidR="00F857D1" w:rsidRP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any other law prescribed by the regulations that relates to:</w:t>
      </w:r>
    </w:p>
    <w:p w14:paraId="48E61575" w14:textId="3DD1FBED" w:rsidR="00F857D1" w:rsidRPr="00F857D1" w:rsidRDefault="00F857D1">
      <w:pPr>
        <w:pStyle w:val="ListParagraph"/>
        <w:numPr>
          <w:ilvl w:val="0"/>
          <w:numId w:val="149"/>
        </w:numPr>
        <w:ind w:left="714" w:hanging="357"/>
        <w:jc w:val="both"/>
        <w:rPr>
          <w:rFonts w:ascii="Arial" w:hAnsi="Arial" w:cs="Arial"/>
          <w:iCs/>
          <w:color w:val="000000"/>
          <w:sz w:val="20"/>
        </w:rPr>
      </w:pPr>
      <w:r w:rsidRPr="00F857D1">
        <w:rPr>
          <w:rFonts w:ascii="Arial" w:hAnsi="Arial" w:cs="Arial"/>
          <w:iCs/>
          <w:color w:val="000000"/>
          <w:sz w:val="20"/>
        </w:rPr>
        <w:t>entering, remaining on or damaging cultural heritage; or</w:t>
      </w:r>
    </w:p>
    <w:p w14:paraId="17219544" w14:textId="544E04DA" w:rsidR="005E54A8" w:rsidRPr="00F857D1" w:rsidRDefault="00F857D1">
      <w:pPr>
        <w:pStyle w:val="ListParagraph"/>
        <w:numPr>
          <w:ilvl w:val="0"/>
          <w:numId w:val="149"/>
        </w:numPr>
        <w:ind w:left="714" w:hanging="357"/>
        <w:jc w:val="both"/>
        <w:rPr>
          <w:rFonts w:ascii="Arial" w:hAnsi="Arial" w:cs="Arial"/>
          <w:iCs/>
          <w:color w:val="000000"/>
          <w:sz w:val="20"/>
        </w:rPr>
      </w:pPr>
      <w:r>
        <w:rPr>
          <w:rFonts w:ascii="Arial" w:hAnsi="Arial" w:cs="Arial"/>
          <w:iCs/>
          <w:color w:val="000000"/>
          <w:sz w:val="20"/>
        </w:rPr>
        <w:t>damaging or removing a cultural heritage object.</w:t>
      </w:r>
    </w:p>
    <w:p w14:paraId="0E742612" w14:textId="77777777" w:rsidR="00A45015" w:rsidRDefault="00A45015" w:rsidP="00A45015">
      <w:pPr>
        <w:pStyle w:val="Normal-Cover"/>
        <w:jc w:val="both"/>
        <w:rPr>
          <w:rFonts w:ascii="Arial" w:hAnsi="Arial" w:cs="Arial"/>
          <w:color w:val="000000"/>
          <w:sz w:val="20"/>
        </w:rPr>
      </w:pPr>
    </w:p>
    <w:p w14:paraId="18E52721" w14:textId="77777777" w:rsidR="00A45015" w:rsidRPr="00DD24BF" w:rsidRDefault="00A45015" w:rsidP="00A45015">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7DFDD8D4" w14:textId="77777777" w:rsidR="00A45015" w:rsidRDefault="00A45015" w:rsidP="007E066B">
      <w:pPr>
        <w:jc w:val="both"/>
        <w:rPr>
          <w:rFonts w:ascii="Arial" w:hAnsi="Arial" w:cs="Arial"/>
          <w:iCs/>
          <w:color w:val="000000"/>
          <w:sz w:val="20"/>
        </w:rPr>
      </w:pPr>
    </w:p>
    <w:p w14:paraId="26565237" w14:textId="77777777" w:rsidR="007755E0" w:rsidRDefault="007755E0">
      <w:pPr>
        <w:rPr>
          <w:rFonts w:ascii="Arial" w:hAnsi="Arial" w:cs="Arial"/>
          <w:b/>
          <w:bCs/>
          <w:color w:val="000000"/>
          <w:kern w:val="28"/>
          <w:szCs w:val="20"/>
          <w:lang w:val="en-GB"/>
        </w:rPr>
      </w:pPr>
      <w:r>
        <w:rPr>
          <w:rFonts w:ascii="Arial" w:hAnsi="Arial" w:cs="Arial"/>
          <w:b/>
          <w:bCs/>
          <w:color w:val="000000"/>
        </w:rPr>
        <w:br w:type="page"/>
      </w:r>
    </w:p>
    <w:p w14:paraId="48C9EDDD" w14:textId="1D1E169D" w:rsidR="00BF52E5" w:rsidRPr="001C6E0E" w:rsidRDefault="00BF52E5" w:rsidP="00F44A5D">
      <w:pPr>
        <w:pStyle w:val="Heading2"/>
        <w:keepNext/>
        <w:tabs>
          <w:tab w:val="left" w:pos="567"/>
        </w:tabs>
        <w:spacing w:line="240" w:lineRule="auto"/>
        <w:rPr>
          <w:rFonts w:ascii="Arial" w:hAnsi="Arial" w:cs="Arial"/>
          <w:b/>
          <w:bCs/>
          <w:color w:val="000000"/>
          <w:lang w:val="en-US"/>
        </w:rPr>
      </w:pPr>
      <w:r w:rsidRPr="001C6E0E">
        <w:rPr>
          <w:rFonts w:ascii="Arial" w:hAnsi="Arial" w:cs="Arial"/>
          <w:b/>
          <w:bCs/>
          <w:color w:val="000000"/>
        </w:rPr>
        <w:lastRenderedPageBreak/>
        <w:t>11.2</w:t>
      </w:r>
      <w:r w:rsidRPr="001C6E0E">
        <w:rPr>
          <w:rFonts w:ascii="Arial" w:hAnsi="Arial" w:cs="Arial"/>
          <w:b/>
          <w:bCs/>
          <w:color w:val="000000"/>
        </w:rPr>
        <w:tab/>
        <w:t>Selected cases on sentencing</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05B70776" w14:textId="77777777" w:rsidR="002C7F00" w:rsidRPr="001C6E0E" w:rsidRDefault="002C7F00" w:rsidP="003357E6">
      <w:pPr>
        <w:jc w:val="both"/>
        <w:rPr>
          <w:rFonts w:ascii="Arial" w:hAnsi="Arial" w:cs="Arial"/>
          <w:color w:val="000000"/>
          <w:sz w:val="20"/>
        </w:rPr>
      </w:pPr>
      <w:bookmarkStart w:id="388" w:name="_Toc30674200"/>
      <w:bookmarkStart w:id="389" w:name="_Toc30691467"/>
      <w:bookmarkStart w:id="390" w:name="_Toc30691847"/>
      <w:bookmarkStart w:id="391" w:name="_Toc30692227"/>
      <w:bookmarkStart w:id="392" w:name="_Toc30692985"/>
      <w:bookmarkStart w:id="393" w:name="_Toc30693364"/>
      <w:bookmarkStart w:id="394" w:name="_Toc30693742"/>
      <w:bookmarkStart w:id="395" w:name="_Toc30694120"/>
      <w:bookmarkStart w:id="396" w:name="_Toc30694501"/>
      <w:bookmarkStart w:id="397" w:name="_Toc30699091"/>
      <w:bookmarkStart w:id="398" w:name="_Toc30699476"/>
      <w:bookmarkStart w:id="399" w:name="_Toc30699861"/>
      <w:bookmarkStart w:id="400" w:name="_Toc30701016"/>
      <w:bookmarkStart w:id="401" w:name="_Toc30701403"/>
      <w:bookmarkStart w:id="402" w:name="_Toc30744010"/>
      <w:bookmarkStart w:id="403" w:name="_Toc30754833"/>
      <w:bookmarkStart w:id="404" w:name="_Toc30757289"/>
      <w:bookmarkStart w:id="405" w:name="_Toc30757837"/>
      <w:bookmarkStart w:id="406" w:name="_Toc30758237"/>
      <w:bookmarkStart w:id="407" w:name="_Toc30762997"/>
      <w:bookmarkStart w:id="408" w:name="_Toc30767651"/>
      <w:bookmarkStart w:id="409" w:name="_Toc34823669"/>
      <w:bookmarkStart w:id="410"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11" w:name="_11.2.1_Young_adults"/>
      <w:bookmarkEnd w:id="411"/>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offender;  and,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R v Misokka</w:t>
      </w:r>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r w:rsidRPr="000E6203">
        <w:rPr>
          <w:rFonts w:ascii="Arial" w:hAnsi="Arial" w:cs="Arial"/>
          <w:i/>
          <w:color w:val="000000"/>
          <w:sz w:val="20"/>
        </w:rPr>
        <w:t>Salapura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r w:rsidR="005C6922">
        <w:rPr>
          <w:rFonts w:ascii="Arial" w:hAnsi="Arial" w:cs="Arial"/>
          <w:i/>
          <w:iCs/>
          <w:color w:val="000000"/>
          <w:sz w:val="20"/>
        </w:rPr>
        <w:t>B</w:t>
      </w:r>
      <w:r w:rsidRPr="00617838">
        <w:rPr>
          <w:rFonts w:ascii="Arial" w:hAnsi="Arial" w:cs="Arial"/>
          <w:i/>
          <w:iCs/>
          <w:color w:val="000000"/>
          <w:sz w:val="20"/>
        </w:rPr>
        <w:t>alshaw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“Generally prison does not provide an atmosphere conducive to rehabilitation.  Prisoners’ lives are closely regulated.  They have no real ability to adapt to society for they are isolated from the general community.  Their neighbours are fellow criminals, some of </w:t>
      </w:r>
      <w:r w:rsidRPr="001C6E0E">
        <w:rPr>
          <w:rFonts w:ascii="Arial" w:hAnsi="Arial" w:cs="Arial"/>
          <w:color w:val="000000"/>
          <w:sz w:val="20"/>
        </w:rPr>
        <w:lastRenderedPageBreak/>
        <w:t>whom are malicious and violent.  Employment is limited.  In the present case, the sentencing judge 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significant weight on the respondent's plea of guilty, relative youth, remorse, that he had spent almost seven months in custody, his successful participation in Teen Challenge, that he had not thereafter relapsed into heroin use or re-offending, his interaction with Mr Winther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524B5FE3" w14:textId="77777777" w:rsidR="00534532" w:rsidRPr="001C6E0E" w:rsidRDefault="00894747" w:rsidP="004B24E3">
      <w:pPr>
        <w:jc w:val="both"/>
        <w:rPr>
          <w:rFonts w:ascii="Arial" w:hAnsi="Arial" w:cs="Arial"/>
          <w:color w:val="000000"/>
          <w:sz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DPP v Avci</w:t>
      </w:r>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30AA77EF" w14:textId="77777777" w:rsidR="00534532" w:rsidRDefault="00534532" w:rsidP="00DC479C">
      <w:pPr>
        <w:jc w:val="both"/>
        <w:rPr>
          <w:rFonts w:ascii="Arial" w:hAnsi="Arial" w:cs="Arial"/>
          <w:color w:val="000000"/>
          <w:sz w:val="20"/>
        </w:rPr>
      </w:pPr>
    </w:p>
    <w:p w14:paraId="45A977E4" w14:textId="6E08F9CF" w:rsidR="00F7577D" w:rsidRDefault="00F7577D" w:rsidP="00DC479C">
      <w:pPr>
        <w:jc w:val="both"/>
        <w:rPr>
          <w:rFonts w:ascii="Arial" w:hAnsi="Arial" w:cs="Arial"/>
          <w:color w:val="000000"/>
          <w:sz w:val="20"/>
        </w:rPr>
      </w:pPr>
      <w:r>
        <w:rPr>
          <w:rFonts w:ascii="Arial" w:hAnsi="Arial" w:cs="Arial"/>
          <w:color w:val="000000"/>
          <w:sz w:val="20"/>
        </w:rPr>
        <w:lastRenderedPageBreak/>
        <w:t xml:space="preserve">In </w:t>
      </w:r>
      <w:r w:rsidRPr="00F7577D">
        <w:rPr>
          <w:rFonts w:ascii="Arial" w:hAnsi="Arial" w:cs="Arial"/>
          <w:i/>
          <w:iCs/>
          <w:color w:val="000000"/>
          <w:sz w:val="20"/>
        </w:rPr>
        <w:t>Vassallo v The King</w:t>
      </w:r>
      <w:r>
        <w:rPr>
          <w:rFonts w:ascii="Arial" w:hAnsi="Arial" w:cs="Arial"/>
          <w:color w:val="000000"/>
          <w:sz w:val="20"/>
        </w:rPr>
        <w:t xml:space="preserve"> [2025] VSCA 7 the appellant was between 22 &amp; 24 years of age when he committed the offences of rape (x2), false imprisonment (x2), supply a drug of dependence to a child, kidnapping and conduct endangering persons. In discussing the relative youth of the appellant, the Court of Appeal (Priest &amp; Kaye JJA) said at [90]-[91]: </w:t>
      </w:r>
    </w:p>
    <w:p w14:paraId="2B535F49" w14:textId="77777777" w:rsidR="00F7577D"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[90] “…While </w:t>
      </w:r>
      <w:r w:rsidRPr="00F7577D">
        <w:rPr>
          <w:rFonts w:ascii="Arial" w:hAnsi="Arial" w:cs="Arial"/>
          <w:color w:val="000000"/>
          <w:sz w:val="20"/>
        </w:rPr>
        <w:t xml:space="preserve">the applicant was young, he was, nevertheless, significantly older and more mature than his two victims. As we have noted, the applicant was a young adult; by contrast, his two victims were young adolescents. There was a patent and significant age discrepancy between the applicant and his two vulnerable victims. </w:t>
      </w:r>
    </w:p>
    <w:p w14:paraId="67868019" w14:textId="6CE82D2C" w:rsidR="00F7577D" w:rsidRPr="001C6E0E"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w:t>
      </w:r>
      <w:r w:rsidRPr="00F7577D">
        <w:rPr>
          <w:rFonts w:ascii="Arial" w:hAnsi="Arial" w:cs="Arial"/>
          <w:color w:val="000000"/>
          <w:sz w:val="20"/>
        </w:rPr>
        <w:t>91</w:t>
      </w:r>
      <w:r>
        <w:rPr>
          <w:rFonts w:ascii="Arial" w:hAnsi="Arial" w:cs="Arial"/>
          <w:color w:val="000000"/>
          <w:sz w:val="20"/>
        </w:rPr>
        <w:t>]</w:t>
      </w:r>
      <w:r w:rsidRPr="00F7577D">
        <w:rPr>
          <w:rFonts w:ascii="Arial" w:hAnsi="Arial" w:cs="Arial"/>
          <w:color w:val="000000"/>
          <w:sz w:val="20"/>
        </w:rPr>
        <w:t xml:space="preserve"> Secondly, while, ordinarily, the youth of an offender may be a mitigating factor, it is recognised that, as the level of the seriousness of the criminality of the offender increases, there will be a corresponding reduction in the mitigating effects of the offender’s youth</w:t>
      </w:r>
      <w:r>
        <w:rPr>
          <w:rFonts w:ascii="Arial" w:hAnsi="Arial" w:cs="Arial"/>
          <w:color w:val="000000"/>
          <w:sz w:val="20"/>
        </w:rPr>
        <w:t xml:space="preserve">: </w:t>
      </w:r>
      <w:r w:rsidRPr="00F7577D">
        <w:rPr>
          <w:rFonts w:ascii="Arial" w:hAnsi="Arial" w:cs="Arial"/>
          <w:i/>
          <w:iCs/>
          <w:color w:val="000000"/>
          <w:sz w:val="20"/>
        </w:rPr>
        <w:t>Azzopardi v The Queen</w:t>
      </w:r>
      <w:r w:rsidRPr="00F7577D">
        <w:rPr>
          <w:rFonts w:ascii="Arial" w:hAnsi="Arial" w:cs="Arial"/>
          <w:color w:val="000000"/>
          <w:sz w:val="20"/>
        </w:rPr>
        <w:t xml:space="preserve"> (2011) 35 VR 43, 57 [44]; </w:t>
      </w:r>
      <w:r w:rsidRPr="00F7577D">
        <w:rPr>
          <w:rFonts w:ascii="Arial" w:hAnsi="Arial" w:cs="Arial"/>
          <w:i/>
          <w:iCs/>
          <w:color w:val="000000"/>
          <w:sz w:val="20"/>
        </w:rPr>
        <w:t>DPP (Cth) v MHK (a</w:t>
      </w:r>
      <w:r>
        <w:rPr>
          <w:rFonts w:ascii="Arial" w:hAnsi="Arial" w:cs="Arial"/>
          <w:i/>
          <w:iCs/>
          <w:color w:val="000000"/>
          <w:sz w:val="20"/>
        </w:rPr>
        <w:t xml:space="preserve"> </w:t>
      </w:r>
      <w:r w:rsidRPr="00F7577D">
        <w:rPr>
          <w:rFonts w:ascii="Arial" w:hAnsi="Arial" w:cs="Arial"/>
          <w:i/>
          <w:iCs/>
          <w:color w:val="000000"/>
          <w:sz w:val="20"/>
        </w:rPr>
        <w:t>pseudonym)</w:t>
      </w:r>
      <w:r w:rsidRPr="00F7577D">
        <w:rPr>
          <w:rFonts w:ascii="Arial" w:hAnsi="Arial" w:cs="Arial"/>
          <w:color w:val="000000"/>
          <w:sz w:val="20"/>
        </w:rPr>
        <w:t xml:space="preserve"> (2017) 52 VR 272, 289 [56]; [2017] VSCA 157. Similarly, where the offence is one which is commonly committed by young offenders, the youth of the offender in question may need to be accorded less weight as a mitigating factor, in order to ensure that the sentencing principles of general deterrence and specific deterrence are given appropriate weight</w:t>
      </w:r>
      <w:r>
        <w:rPr>
          <w:rFonts w:ascii="Arial" w:hAnsi="Arial" w:cs="Arial"/>
          <w:color w:val="000000"/>
          <w:sz w:val="20"/>
        </w:rPr>
        <w:t xml:space="preserve">: </w:t>
      </w:r>
      <w:r w:rsidRPr="00F7577D">
        <w:rPr>
          <w:rFonts w:ascii="Arial" w:hAnsi="Arial" w:cs="Arial"/>
          <w:i/>
          <w:iCs/>
          <w:color w:val="000000"/>
          <w:sz w:val="20"/>
        </w:rPr>
        <w:t>DPP v Lawrence</w:t>
      </w:r>
      <w:r w:rsidRPr="00F7577D">
        <w:rPr>
          <w:rFonts w:ascii="Arial" w:hAnsi="Arial" w:cs="Arial"/>
          <w:color w:val="000000"/>
          <w:sz w:val="20"/>
        </w:rPr>
        <w:t xml:space="preserve"> (2004) 10 VR 125, 132</w:t>
      </w:r>
      <w:r>
        <w:rPr>
          <w:rFonts w:ascii="Arial" w:hAnsi="Arial" w:cs="Arial"/>
          <w:color w:val="000000"/>
          <w:sz w:val="20"/>
        </w:rPr>
        <w:t>-133</w:t>
      </w:r>
      <w:r w:rsidRPr="00F7577D">
        <w:rPr>
          <w:rFonts w:ascii="Arial" w:hAnsi="Arial" w:cs="Arial"/>
          <w:color w:val="000000"/>
          <w:sz w:val="20"/>
        </w:rPr>
        <w:t>; [2004] VSCA 154.</w:t>
      </w:r>
      <w:r>
        <w:rPr>
          <w:rFonts w:ascii="Arial" w:hAnsi="Arial" w:cs="Arial"/>
          <w:color w:val="000000"/>
          <w:sz w:val="20"/>
        </w:rPr>
        <w:t>”</w:t>
      </w:r>
    </w:p>
    <w:p w14:paraId="108534B9" w14:textId="77777777" w:rsidR="00F7577D" w:rsidRDefault="00F7577D"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Chernov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overriden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Chernov &amp; Vincent JJA.  And in </w:t>
      </w:r>
      <w:r w:rsidRPr="001C6E0E">
        <w:rPr>
          <w:rFonts w:ascii="Arial" w:hAnsi="Arial" w:cs="Arial"/>
          <w:i/>
          <w:color w:val="000000"/>
          <w:sz w:val="20"/>
        </w:rPr>
        <w:t>R v Teichelman</w:t>
      </w:r>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“In the case of a youthful offender like you, rehabilitation is usually said to be more important than general deterrence because punishment may in fact lead to further 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Misokka</w:t>
      </w:r>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cf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R v Athuai</w:t>
      </w:r>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Chernov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Kitto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DPP v Tokava</w:t>
      </w:r>
      <w:r w:rsidRPr="001C6E0E">
        <w:rPr>
          <w:rFonts w:ascii="Arial" w:hAnsi="Arial" w:cs="Arial"/>
          <w:color w:val="000000"/>
          <w:sz w:val="20"/>
        </w:rPr>
        <w:t xml:space="preserve"> [2006] VSCA 156 at [21]-[24]; </w:t>
      </w:r>
      <w:r w:rsidRPr="001C6E0E">
        <w:rPr>
          <w:rFonts w:ascii="Arial" w:hAnsi="Arial" w:cs="Arial"/>
          <w:i/>
          <w:color w:val="000000"/>
          <w:sz w:val="20"/>
        </w:rPr>
        <w:t>R v Detenamo</w:t>
      </w:r>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w:t>
      </w:r>
      <w:r w:rsidR="003C7592" w:rsidRPr="001C6E0E">
        <w:rPr>
          <w:rFonts w:ascii="Arial" w:hAnsi="Arial" w:cs="Arial"/>
          <w:color w:val="000000"/>
          <w:sz w:val="20"/>
        </w:rPr>
        <w:lastRenderedPageBreak/>
        <w:t>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Misokka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Tokava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or, if a sentence of imprisonment is positively called for, one of shorter length than 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R v Perera</w:t>
      </w:r>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Tipas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Ors</w:t>
      </w:r>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Athuai</w:t>
      </w:r>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R v 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Tipas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Karipis</w:t>
      </w:r>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R v Teichelman</w:t>
      </w:r>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Dodds-Streeton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[A]uthority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R v Misokka</w:t>
      </w:r>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DPP v Tokava</w:t>
      </w:r>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Mourkakos</w:t>
      </w:r>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 xml:space="preserve">imprisonment for 6 months &amp; 2 weeks on a 7 count presentment including charges of intentionally </w:t>
      </w:r>
      <w:r w:rsidR="00AF20DD" w:rsidRPr="001C6E0E">
        <w:rPr>
          <w:rFonts w:ascii="Arial" w:hAnsi="Arial" w:cs="Arial"/>
          <w:color w:val="000000"/>
          <w:sz w:val="20"/>
        </w:rPr>
        <w:lastRenderedPageBreak/>
        <w:t>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presentment to imprisonment for 3 years but suspended for 2 years all but the 201 days which he had already served.  However, the judgments of Maxwell P &amp; Dodds-Streeton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can be no doubt that the community has a strong interest in seeking to ensure that young people learn from their mistakes, even bad ones, and are given the opportunity to put them behind them and become law abiding and contributing members of the 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7755E0">
      <w:pPr>
        <w:jc w:val="both"/>
        <w:rPr>
          <w:rFonts w:ascii="Arial" w:hAnsi="Arial" w:cs="Arial"/>
          <w:color w:val="000000"/>
          <w:sz w:val="20"/>
        </w:rPr>
      </w:pPr>
      <w:r w:rsidRPr="001C6E0E">
        <w:rPr>
          <w:rFonts w:ascii="Arial" w:hAnsi="Arial" w:cs="Arial"/>
          <w:color w:val="000000"/>
          <w:sz w:val="20"/>
        </w:rPr>
        <w:t xml:space="preserve">At [41] Dodds-Streeton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Tokava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DPP v Tokava</w:t>
      </w:r>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Bongiorno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Habersberger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Lasry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R v Clappers &amp; Teap</w:t>
      </w:r>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 xml:space="preserve">"[C]ounsel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"Binh Pham had no relevant prior convictions and as a youthful first offender, and having pleaded guilty, the encouragement of rehabilitation was a factor of particular importance."  See also [50] where </w:t>
      </w:r>
      <w:r w:rsidRPr="001C6E0E">
        <w:rPr>
          <w:rFonts w:ascii="Arial" w:hAnsi="Arial" w:cs="Arial"/>
          <w:color w:val="000000"/>
          <w:sz w:val="20"/>
        </w:rPr>
        <w:lastRenderedPageBreak/>
        <w:t xml:space="preserve">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R v Harkness and Ors</w:t>
      </w:r>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Coldrey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64FB1063" w14:textId="6F99C6B4" w:rsidR="00B2351E"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Staveren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Tooms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Madiera</w:t>
      </w:r>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R v Athuai</w:t>
      </w:r>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DPP v Samu</w:t>
      </w:r>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R v Rosenow</w:t>
      </w:r>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R v Awad</w:t>
      </w:r>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R v Ozbec</w:t>
      </w:r>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Honkeong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R v Bidmade</w:t>
      </w:r>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R v O’Blein</w:t>
      </w:r>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r w:rsidR="000C7762" w:rsidRPr="00B2351E">
        <w:rPr>
          <w:rFonts w:ascii="Arial" w:hAnsi="Arial" w:cs="Arial"/>
          <w:i/>
          <w:color w:val="000000"/>
          <w:sz w:val="20"/>
          <w:szCs w:val="20"/>
        </w:rPr>
        <w:t>Malikovski</w:t>
      </w:r>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R v Taskiran; R v Nabalarua</w:t>
      </w:r>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12" w:name="mncYear"/>
      <w:bookmarkEnd w:id="412"/>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r w:rsidR="00247ADD" w:rsidRPr="00B233F7">
        <w:rPr>
          <w:rFonts w:ascii="Arial" w:hAnsi="Arial" w:cs="Arial"/>
          <w:i/>
          <w:iCs/>
          <w:color w:val="000000"/>
          <w:sz w:val="20"/>
        </w:rPr>
        <w:t>Jawahiri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r w:rsidR="008A55B7" w:rsidRPr="004F0C26">
        <w:rPr>
          <w:rFonts w:ascii="Arial" w:hAnsi="Arial" w:cs="Arial"/>
          <w:i/>
          <w:iCs/>
          <w:sz w:val="20"/>
          <w:szCs w:val="20"/>
        </w:rPr>
        <w:t>Frecker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B2351E" w:rsidRPr="00B2351E">
        <w:rPr>
          <w:rFonts w:ascii="Arial" w:hAnsi="Arial" w:cs="Arial"/>
          <w:color w:val="000000"/>
          <w:sz w:val="20"/>
          <w:szCs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Bongiorno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R v Nguyen &amp; Deing</w:t>
      </w:r>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r w:rsidR="00730449" w:rsidRPr="00FD76EC">
        <w:rPr>
          <w:rFonts w:ascii="Arial" w:hAnsi="Arial" w:cs="Arial"/>
          <w:color w:val="000000"/>
          <w:sz w:val="20"/>
          <w:szCs w:val="20"/>
        </w:rPr>
        <w:t>Crocuher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252D85">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Coldrey AJA - with whom Winneke P &amp; Bongiorno AJA agreed - made a similar point:</w:t>
      </w:r>
    </w:p>
    <w:p w14:paraId="3CE940AE" w14:textId="77777777" w:rsidR="00BF52E5" w:rsidRPr="001C6E0E" w:rsidRDefault="00BF52E5" w:rsidP="002E2D6E">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Missoka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R v Rongonui-Chase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355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(Chernov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[61]  When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Simpas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R v Teichelman</w:t>
      </w:r>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r w:rsidRPr="001C6E0E">
        <w:rPr>
          <w:rFonts w:ascii="Arial" w:hAnsi="Arial" w:cs="Arial"/>
          <w:i/>
          <w:color w:val="000000"/>
          <w:sz w:val="20"/>
        </w:rPr>
        <w:t>Misokka</w:t>
      </w:r>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R. v.Thompson</w:t>
      </w:r>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 xml:space="preserve">furnish worse examples of the offence of intentionally causing serious injury than does this case, those cases do show that the offence is a very serious one in the sentencing for which general deterrence, sometimes coupled with just punishment or denunciation, will normally </w:t>
      </w:r>
      <w:r w:rsidRPr="001C6E0E">
        <w:rPr>
          <w:rFonts w:ascii="Arial" w:hAnsi="Arial" w:cs="Arial"/>
          <w:color w:val="000000"/>
          <w:sz w:val="20"/>
        </w:rPr>
        <w:lastRenderedPageBreak/>
        <w:t>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Feretzanis</w:t>
      </w:r>
      <w:r w:rsidRPr="001C6E0E">
        <w:rPr>
          <w:rFonts w:ascii="Arial" w:hAnsi="Arial" w:cs="Arial"/>
          <w:color w:val="000000"/>
          <w:sz w:val="20"/>
        </w:rPr>
        <w:t xml:space="preserve"> [2002] VSC 582 at [43] Nettle J noted that in keeping with the approach adopted in </w:t>
      </w:r>
      <w:r w:rsidRPr="001C6E0E">
        <w:rPr>
          <w:rFonts w:ascii="Arial" w:hAnsi="Arial" w:cs="Arial"/>
          <w:i/>
          <w:iCs/>
          <w:color w:val="000000"/>
          <w:sz w:val="20"/>
        </w:rPr>
        <w:t xml:space="preserve">Oldaker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R v Teichelman</w:t>
      </w:r>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r w:rsidRPr="001C6E0E">
        <w:rPr>
          <w:rFonts w:ascii="Arial" w:hAnsi="Arial" w:cs="Arial"/>
          <w:i/>
          <w:iCs/>
          <w:color w:val="000000"/>
          <w:sz w:val="20"/>
        </w:rPr>
        <w:t>Feretzanis'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Nancarrow</w:t>
      </w:r>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r w:rsidR="00324DE2" w:rsidRPr="001C6E0E">
        <w:rPr>
          <w:rFonts w:ascii="Arial" w:hAnsi="Arial" w:cs="Arial"/>
          <w:color w:val="000000"/>
          <w:sz w:val="20"/>
        </w:rPr>
        <w:t xml:space="preserve">P in </w:t>
      </w:r>
      <w:r w:rsidR="00324DE2" w:rsidRPr="001C6E0E">
        <w:rPr>
          <w:rFonts w:ascii="Arial" w:hAnsi="Arial" w:cs="Arial"/>
          <w:i/>
          <w:color w:val="000000"/>
          <w:sz w:val="20"/>
        </w:rPr>
        <w:t>R v Wyley</w:t>
      </w:r>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r w:rsidRPr="001C6E0E">
        <w:rPr>
          <w:rFonts w:ascii="Arial" w:hAnsi="Arial" w:cs="Arial"/>
          <w:i/>
          <w:color w:val="000000"/>
          <w:sz w:val="20"/>
        </w:rPr>
        <w:t>Wyley</w:t>
      </w:r>
      <w:r w:rsidRPr="001C6E0E">
        <w:rPr>
          <w:rFonts w:ascii="Arial" w:hAnsi="Arial" w:cs="Arial"/>
          <w:color w:val="000000"/>
          <w:sz w:val="20"/>
        </w:rPr>
        <w:t xml:space="preserve"> at [19]-[20]:</w:t>
      </w:r>
    </w:p>
    <w:p w14:paraId="6EE8DD67" w14:textId="77777777" w:rsidR="00324DE2" w:rsidRPr="001C6E0E" w:rsidRDefault="00324DE2" w:rsidP="00CE6BE3">
      <w:pPr>
        <w:pStyle w:val="Quote1"/>
        <w:widowControl/>
        <w:spacing w:before="120"/>
        <w:ind w:left="1145" w:right="567" w:firstLine="0"/>
        <w:rPr>
          <w:rFonts w:ascii="Arial" w:hAnsi="Arial" w:cs="Arial"/>
          <w:color w:val="000000"/>
          <w:sz w:val="20"/>
          <w:szCs w:val="22"/>
        </w:rPr>
      </w:pPr>
      <w:r w:rsidRPr="001C6E0E">
        <w:rPr>
          <w:rFonts w:ascii="Arial" w:hAnsi="Arial" w:cs="Arial"/>
          <w:color w:val="000000"/>
          <w:sz w:val="20"/>
          <w:szCs w:val="22"/>
        </w:rPr>
        <w:t xml:space="preserve">‘… what </w:t>
      </w:r>
      <w:r w:rsidRPr="001C6E0E">
        <w:rPr>
          <w:rFonts w:ascii="Arial" w:hAnsi="Arial" w:cs="Arial"/>
          <w:i/>
          <w:color w:val="000000"/>
          <w:sz w:val="20"/>
          <w:szCs w:val="22"/>
        </w:rPr>
        <w:t xml:space="preserve">Mills </w:t>
      </w:r>
      <w:r w:rsidRPr="001C6E0E">
        <w:rPr>
          <w:rFonts w:ascii="Arial" w:hAnsi="Arial" w:cs="Arial"/>
          <w:color w:val="000000"/>
          <w:sz w:val="20"/>
          <w:szCs w:val="22"/>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1C6E0E" w:rsidRDefault="00324DE2" w:rsidP="00324DE2">
      <w:pPr>
        <w:pStyle w:val="Quote1"/>
        <w:spacing w:before="120"/>
        <w:ind w:left="1145" w:right="567" w:firstLine="0"/>
        <w:rPr>
          <w:rFonts w:ascii="Arial" w:hAnsi="Arial" w:cs="Arial"/>
          <w:color w:val="000000"/>
          <w:sz w:val="20"/>
          <w:szCs w:val="22"/>
        </w:rPr>
      </w:pPr>
      <w:r w:rsidRPr="001C6E0E">
        <w:rPr>
          <w:rFonts w:ascii="Arial" w:hAnsi="Arial" w:cs="Arial"/>
          <w:i/>
          <w:color w:val="000000"/>
          <w:sz w:val="20"/>
          <w:szCs w:val="22"/>
        </w:rPr>
        <w:t xml:space="preserve">Mills </w:t>
      </w:r>
      <w:r w:rsidRPr="001C6E0E">
        <w:rPr>
          <w:rFonts w:ascii="Arial" w:hAnsi="Arial" w:cs="Arial"/>
          <w:color w:val="000000"/>
          <w:sz w:val="20"/>
          <w:szCs w:val="22"/>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Athuai</w:t>
      </w:r>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lastRenderedPageBreak/>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Toombs</w:t>
      </w:r>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Kosmidis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Dudas</w:t>
      </w:r>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tae-kwondo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[33]  "I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w:t>
      </w:r>
      <w:r w:rsidRPr="001C6E0E">
        <w:rPr>
          <w:rFonts w:ascii="Arial" w:hAnsi="Arial" w:cs="Arial"/>
          <w:color w:val="000000"/>
          <w:sz w:val="20"/>
        </w:rPr>
        <w:lastRenderedPageBreak/>
        <w:t xml:space="preserve">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  But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  In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r w:rsidRPr="001C6E0E">
        <w:rPr>
          <w:rFonts w:ascii="Arial" w:hAnsi="Arial" w:cs="Arial"/>
          <w:i/>
          <w:color w:val="000000"/>
          <w:sz w:val="20"/>
        </w:rPr>
        <w:t>MacKenzie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Muliaina</w:t>
      </w:r>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Chernov JA (with whom Winneke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Chernov and Vincent JJA, and </w:t>
      </w:r>
      <w:r w:rsidRPr="001C6E0E">
        <w:rPr>
          <w:rFonts w:ascii="Arial" w:hAnsi="Arial" w:cs="Arial"/>
          <w:i/>
          <w:color w:val="000000"/>
          <w:sz w:val="20"/>
        </w:rPr>
        <w:lastRenderedPageBreak/>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R v Teichelman</w:t>
      </w:r>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Chernov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1F1A3314" w14:textId="77777777" w:rsidR="00C06A96" w:rsidRPr="001C6E0E" w:rsidRDefault="008A7A93" w:rsidP="00C06A96">
      <w:pPr>
        <w:jc w:val="both"/>
        <w:rPr>
          <w:rFonts w:ascii="Arial" w:hAnsi="Arial" w:cs="Arial"/>
          <w:color w:val="000000"/>
          <w:sz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52 the 18 year old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of less serious offending.  Youth and rehabilitation must be subjugated to other considerations. Indeed, they must take a ‘back seat’ to specific and general deterrence in cases of violent offending</w:t>
      </w:r>
      <w:bookmarkStart w:id="413"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(Winneke P)],</w:t>
      </w:r>
      <w:bookmarkEnd w:id="413"/>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0F57FB9" w:rsidR="008A7A93" w:rsidRDefault="008A7A93">
      <w:pPr>
        <w:jc w:val="both"/>
        <w:rPr>
          <w:rFonts w:ascii="Arial" w:hAnsi="Arial" w:cs="Arial"/>
          <w:color w:val="000000"/>
          <w:sz w:val="20"/>
        </w:rPr>
      </w:pPr>
    </w:p>
    <w:p w14:paraId="21742F1B" w14:textId="26C1E1A3" w:rsidR="007D256A" w:rsidRDefault="00001891">
      <w:pPr>
        <w:jc w:val="both"/>
        <w:rPr>
          <w:rFonts w:ascii="Arial" w:hAnsi="Arial" w:cs="Arial"/>
          <w:color w:val="000000"/>
          <w:sz w:val="20"/>
        </w:rPr>
      </w:pPr>
      <w:r>
        <w:rPr>
          <w:rFonts w:ascii="Arial" w:hAnsi="Arial" w:cs="Arial"/>
          <w:color w:val="000000"/>
          <w:sz w:val="20"/>
        </w:rPr>
        <w:t xml:space="preserve">In </w:t>
      </w:r>
      <w:r w:rsidRPr="00001891">
        <w:rPr>
          <w:rFonts w:ascii="Arial" w:hAnsi="Arial" w:cs="Arial"/>
          <w:i/>
          <w:iCs/>
          <w:color w:val="000000"/>
          <w:sz w:val="20"/>
        </w:rPr>
        <w:t>Siilata v The Queen</w:t>
      </w:r>
      <w:r>
        <w:rPr>
          <w:rFonts w:ascii="Arial" w:hAnsi="Arial" w:cs="Arial"/>
          <w:color w:val="000000"/>
          <w:sz w:val="20"/>
        </w:rPr>
        <w:t xml:space="preserve"> [2019] VSCA the young offender was 18 years old at the time of the offence and 19 at the time of being sentenced to IMP 7y on a charge of aggravated carjacking.  In refusing leave to appeal, the Court of Appeal said at [</w:t>
      </w:r>
      <w:r w:rsidR="007D256A">
        <w:rPr>
          <w:rFonts w:ascii="Arial" w:hAnsi="Arial" w:cs="Arial"/>
          <w:color w:val="000000"/>
          <w:sz w:val="20"/>
        </w:rPr>
        <w:t>31</w:t>
      </w:r>
      <w:r>
        <w:rPr>
          <w:rFonts w:ascii="Arial" w:hAnsi="Arial" w:cs="Arial"/>
          <w:color w:val="000000"/>
          <w:sz w:val="20"/>
        </w:rPr>
        <w:t>]:</w:t>
      </w:r>
    </w:p>
    <w:p w14:paraId="586262C8" w14:textId="6F298435" w:rsidR="007D256A" w:rsidRPr="007D256A" w:rsidRDefault="007D256A" w:rsidP="007D256A">
      <w:pPr>
        <w:pStyle w:val="Quote1Char"/>
        <w:widowControl/>
        <w:spacing w:before="60"/>
        <w:ind w:left="567" w:right="567" w:firstLine="0"/>
        <w:rPr>
          <w:rFonts w:ascii="Arial" w:hAnsi="Arial" w:cs="Arial"/>
          <w:color w:val="000000"/>
          <w:sz w:val="20"/>
        </w:rPr>
      </w:pPr>
      <w:r w:rsidRPr="007D256A">
        <w:rPr>
          <w:rFonts w:ascii="Arial" w:hAnsi="Arial" w:cs="Arial"/>
          <w:color w:val="000000"/>
          <w:sz w:val="20"/>
        </w:rPr>
        <w:t>“</w:t>
      </w:r>
      <w:r w:rsidRPr="007D256A">
        <w:rPr>
          <w:rFonts w:ascii="Arial" w:hAnsi="Arial" w:cs="Arial"/>
          <w:sz w:val="20"/>
        </w:rPr>
        <w:t xml:space="preserve">True it is that the applicant was young but, as the cases make plain, the more serious the offending, the more the mitigating effect of youth diminishes: </w:t>
      </w:r>
      <w:r w:rsidRPr="007D256A">
        <w:rPr>
          <w:rFonts w:ascii="Arial" w:eastAsia="Book Antiqua" w:hAnsi="Arial" w:cs="Arial"/>
          <w:i/>
          <w:sz w:val="20"/>
        </w:rPr>
        <w:t xml:space="preserve">Azzopardi v The Queen </w:t>
      </w:r>
      <w:r w:rsidRPr="007D256A">
        <w:rPr>
          <w:rFonts w:ascii="Arial" w:hAnsi="Arial" w:cs="Arial"/>
          <w:sz w:val="20"/>
        </w:rPr>
        <w:t>(2011) 35 VR 43,</w:t>
      </w:r>
      <w:r w:rsidRPr="007D256A">
        <w:rPr>
          <w:rFonts w:ascii="Arial" w:eastAsia="Book Antiqua" w:hAnsi="Arial" w:cs="Arial"/>
          <w:i/>
          <w:sz w:val="20"/>
        </w:rPr>
        <w:t xml:space="preserve"> </w:t>
      </w:r>
      <w:r w:rsidRPr="007D256A">
        <w:rPr>
          <w:rFonts w:ascii="Arial" w:hAnsi="Arial" w:cs="Arial"/>
          <w:sz w:val="20"/>
        </w:rPr>
        <w:t>55-56 [37]-[40];</w:t>
      </w:r>
      <w:r w:rsidRPr="007D256A">
        <w:rPr>
          <w:rFonts w:ascii="Arial" w:eastAsia="Book Antiqua" w:hAnsi="Arial" w:cs="Arial"/>
          <w:i/>
          <w:sz w:val="20"/>
        </w:rPr>
        <w:t xml:space="preserve"> DPP v Lawrence </w:t>
      </w:r>
      <w:r w:rsidRPr="007D256A">
        <w:rPr>
          <w:rFonts w:ascii="Arial" w:hAnsi="Arial" w:cs="Arial"/>
          <w:sz w:val="20"/>
        </w:rPr>
        <w:t xml:space="preserve">(2004) 10 VR 125, 132 [22]. Denunciation, general and specific deterrence must have greater emphasis as the seriousness of the offence increases: </w:t>
      </w:r>
      <w:r w:rsidRPr="007D256A">
        <w:rPr>
          <w:rFonts w:ascii="Arial" w:eastAsia="Book Antiqua" w:hAnsi="Arial" w:cs="Arial"/>
          <w:i/>
          <w:sz w:val="20"/>
        </w:rPr>
        <w:t>Azzopardi</w:t>
      </w:r>
      <w:r w:rsidRPr="007D256A">
        <w:rPr>
          <w:rFonts w:ascii="Arial" w:hAnsi="Arial" w:cs="Arial"/>
          <w:sz w:val="20"/>
        </w:rPr>
        <w:t xml:space="preserve"> (2011) 35 VR 43, 55-56 [37]-[40];</w:t>
      </w:r>
      <w:r w:rsidRPr="007D256A">
        <w:rPr>
          <w:rFonts w:ascii="Arial" w:eastAsia="Book Antiqua" w:hAnsi="Arial" w:cs="Arial"/>
          <w:i/>
          <w:sz w:val="20"/>
        </w:rPr>
        <w:t xml:space="preserve"> Lawrence </w:t>
      </w:r>
      <w:r w:rsidRPr="007D256A">
        <w:rPr>
          <w:rFonts w:ascii="Arial" w:hAnsi="Arial" w:cs="Arial"/>
          <w:sz w:val="20"/>
        </w:rPr>
        <w:t>(2004) 10 VR 125, 132 [22]. That must be so in this case.</w:t>
      </w:r>
      <w:r>
        <w:rPr>
          <w:rFonts w:ascii="Arial" w:hAnsi="Arial" w:cs="Arial"/>
          <w:sz w:val="20"/>
        </w:rPr>
        <w:t>”</w:t>
      </w:r>
    </w:p>
    <w:p w14:paraId="1A262718" w14:textId="77777777" w:rsidR="00001891" w:rsidRDefault="00001891">
      <w:pPr>
        <w:jc w:val="both"/>
        <w:rPr>
          <w:rFonts w:ascii="Arial" w:hAnsi="Arial" w:cs="Arial"/>
          <w:color w:val="000000"/>
          <w:sz w:val="20"/>
        </w:rPr>
      </w:pPr>
    </w:p>
    <w:p w14:paraId="3CBBC517" w14:textId="04F3CEAA" w:rsidR="00FE16CE" w:rsidRDefault="00355136" w:rsidP="00355136">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DPP v Elliott &amp; Fares (Sentence)</w:t>
      </w:r>
      <w:r w:rsidRPr="00632E8C">
        <w:rPr>
          <w:rFonts w:ascii="Arial" w:hAnsi="Arial" w:cs="Arial"/>
          <w:color w:val="000000"/>
          <w:sz w:val="20"/>
        </w:rPr>
        <w:t xml:space="preserve"> [2022] VSC 554 E</w:t>
      </w:r>
      <w:r>
        <w:rPr>
          <w:rFonts w:ascii="Arial" w:hAnsi="Arial" w:cs="Arial"/>
          <w:color w:val="000000"/>
          <w:sz w:val="20"/>
        </w:rPr>
        <w:t xml:space="preserve"> [</w:t>
      </w:r>
      <w:r w:rsidR="00681689">
        <w:rPr>
          <w:rFonts w:ascii="Arial" w:hAnsi="Arial" w:cs="Arial"/>
          <w:color w:val="000000"/>
          <w:sz w:val="20"/>
        </w:rPr>
        <w:t>18¼</w:t>
      </w:r>
      <w:r w:rsidRPr="00632E8C">
        <w:rPr>
          <w:rFonts w:ascii="Arial" w:hAnsi="Arial" w:cs="Arial"/>
          <w:color w:val="000000"/>
          <w:sz w:val="20"/>
        </w:rPr>
        <w:t>YO at time of offence</w:t>
      </w:r>
      <w:r>
        <w:rPr>
          <w:rFonts w:ascii="Arial" w:hAnsi="Arial" w:cs="Arial"/>
          <w:color w:val="000000"/>
          <w:sz w:val="20"/>
        </w:rPr>
        <w:t>] &amp; F [</w:t>
      </w:r>
      <w:r w:rsidR="00681689">
        <w:rPr>
          <w:rFonts w:ascii="Arial" w:hAnsi="Arial" w:cs="Arial"/>
          <w:color w:val="000000"/>
          <w:sz w:val="20"/>
        </w:rPr>
        <w:t>21¾</w:t>
      </w:r>
      <w:r w:rsidR="00681689" w:rsidRPr="00632E8C">
        <w:rPr>
          <w:rFonts w:ascii="Arial" w:hAnsi="Arial" w:cs="Arial"/>
          <w:color w:val="000000"/>
          <w:sz w:val="20"/>
        </w:rPr>
        <w:t>YO</w:t>
      </w:r>
      <w:r w:rsidRPr="00632E8C">
        <w:rPr>
          <w:rFonts w:ascii="Arial" w:hAnsi="Arial" w:cs="Arial"/>
          <w:color w:val="000000"/>
          <w:sz w:val="20"/>
        </w:rPr>
        <w:t xml:space="preserve"> at time of offence</w:t>
      </w:r>
      <w:r>
        <w:rPr>
          <w:rFonts w:ascii="Arial" w:hAnsi="Arial" w:cs="Arial"/>
          <w:color w:val="000000"/>
          <w:sz w:val="20"/>
        </w:rPr>
        <w:t>] were</w:t>
      </w:r>
      <w:r w:rsidRPr="00632E8C">
        <w:rPr>
          <w:rFonts w:ascii="Arial" w:hAnsi="Arial" w:cs="Arial"/>
          <w:color w:val="000000"/>
          <w:sz w:val="20"/>
        </w:rPr>
        <w:t xml:space="preserve"> </w:t>
      </w:r>
      <w:r>
        <w:rPr>
          <w:rFonts w:ascii="Arial" w:hAnsi="Arial" w:cs="Arial"/>
          <w:color w:val="000000"/>
          <w:sz w:val="20"/>
        </w:rPr>
        <w:t xml:space="preserve">found guilty of a ‘drive by’ shooting at the ‘Love Machine’ night club in Prahran in which 4 shots were fired with intention to kill.  </w:t>
      </w:r>
      <w:r w:rsidR="00273D2E">
        <w:rPr>
          <w:rFonts w:ascii="Arial" w:hAnsi="Arial" w:cs="Arial"/>
          <w:color w:val="000000"/>
          <w:sz w:val="20"/>
        </w:rPr>
        <w:t xml:space="preserve">F was the driver and E was the shooter.  </w:t>
      </w:r>
      <w:r>
        <w:rPr>
          <w:rFonts w:ascii="Arial" w:hAnsi="Arial" w:cs="Arial"/>
          <w:color w:val="000000"/>
          <w:sz w:val="20"/>
        </w:rPr>
        <w:t xml:space="preserve">Two persons were killed and three suffered serious injury.  In sentencing E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ife/29y &amp; F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ife/27y, Tinney J </w:t>
      </w:r>
      <w:r w:rsidR="007D256A">
        <w:rPr>
          <w:rFonts w:ascii="Arial" w:hAnsi="Arial" w:cs="Arial"/>
          <w:color w:val="000000"/>
          <w:sz w:val="20"/>
        </w:rPr>
        <w:t>said at [84] &amp; [89]:</w:t>
      </w:r>
    </w:p>
    <w:p w14:paraId="5797C54F" w14:textId="768F00B8" w:rsidR="007D256A" w:rsidRDefault="007D256A" w:rsidP="007D256A">
      <w:pPr>
        <w:pStyle w:val="Quote1Char"/>
        <w:widowControl/>
        <w:spacing w:before="60"/>
        <w:ind w:left="567" w:right="567" w:firstLine="0"/>
        <w:rPr>
          <w:rFonts w:ascii="Arial" w:hAnsi="Arial" w:cs="Arial"/>
          <w:sz w:val="20"/>
        </w:rPr>
      </w:pPr>
      <w:r>
        <w:rPr>
          <w:rFonts w:ascii="Arial" w:hAnsi="Arial" w:cs="Arial"/>
          <w:sz w:val="20"/>
        </w:rPr>
        <w:t>[84] “</w:t>
      </w:r>
      <w:r w:rsidR="00FE16CE" w:rsidRPr="00FE16CE">
        <w:rPr>
          <w:rFonts w:ascii="Arial" w:hAnsi="Arial" w:cs="Arial"/>
          <w:sz w:val="20"/>
        </w:rPr>
        <w:t xml:space="preserve">A long line of authority dictates that the youthfulness of an offender may be a primary consideration in sentencing, and that in such a case, rehabilitation is usually far more important than general deterrence: </w:t>
      </w:r>
      <w:r w:rsidR="00FE16CE" w:rsidRPr="00FE16CE">
        <w:rPr>
          <w:rFonts w:ascii="Arial" w:hAnsi="Arial" w:cs="Arial"/>
          <w:i/>
          <w:iCs/>
          <w:sz w:val="20"/>
        </w:rPr>
        <w:t>R v Mills</w:t>
      </w:r>
      <w:r w:rsidR="00FE16CE" w:rsidRPr="00FE16CE">
        <w:rPr>
          <w:rFonts w:ascii="Arial" w:hAnsi="Arial" w:cs="Arial"/>
          <w:sz w:val="20"/>
        </w:rPr>
        <w:t xml:space="preserve"> [1998] 4 VR 235. That is not always the case, however, and the law has recognised that there will be cases in which factors such as youth and rehabilitation would take a ‘back seat’ to other sentencing </w:t>
      </w:r>
      <w:r w:rsidR="00FE16CE" w:rsidRPr="007D256A">
        <w:rPr>
          <w:rFonts w:ascii="Arial" w:hAnsi="Arial" w:cs="Arial"/>
          <w:sz w:val="20"/>
        </w:rPr>
        <w:lastRenderedPageBreak/>
        <w:t>considerations</w:t>
      </w:r>
      <w:r w:rsidRPr="007D256A">
        <w:rPr>
          <w:rFonts w:ascii="Arial" w:hAnsi="Arial" w:cs="Arial"/>
          <w:sz w:val="20"/>
        </w:rPr>
        <w:t xml:space="preserve">: </w:t>
      </w:r>
      <w:r w:rsidRPr="007D256A">
        <w:rPr>
          <w:rFonts w:ascii="Arial" w:hAnsi="Arial" w:cs="Arial"/>
          <w:i/>
          <w:iCs/>
          <w:sz w:val="20"/>
        </w:rPr>
        <w:t>R v Wright</w:t>
      </w:r>
      <w:r w:rsidRPr="007D256A">
        <w:rPr>
          <w:rFonts w:ascii="Arial" w:hAnsi="Arial" w:cs="Arial"/>
          <w:sz w:val="20"/>
        </w:rPr>
        <w:t xml:space="preserve"> [1998] VSCA 84 [6]; </w:t>
      </w:r>
      <w:r w:rsidRPr="007D256A">
        <w:rPr>
          <w:rFonts w:ascii="Arial" w:hAnsi="Arial" w:cs="Arial"/>
          <w:i/>
          <w:iCs/>
          <w:sz w:val="20"/>
        </w:rPr>
        <w:t>Director of Public Prosecutions v Lawrence</w:t>
      </w:r>
      <w:r w:rsidRPr="007D256A">
        <w:rPr>
          <w:rFonts w:ascii="Arial" w:hAnsi="Arial" w:cs="Arial"/>
          <w:sz w:val="20"/>
        </w:rPr>
        <w:t xml:space="preserve"> (2004) 10 VR 125 [60].</w:t>
      </w:r>
      <w:r>
        <w:rPr>
          <w:rFonts w:ascii="Arial" w:hAnsi="Arial" w:cs="Arial"/>
          <w:sz w:val="20"/>
        </w:rPr>
        <w:t>”</w:t>
      </w:r>
    </w:p>
    <w:p w14:paraId="1F031BAD" w14:textId="5860AF50" w:rsidR="00355136" w:rsidRPr="00355136" w:rsidRDefault="007D256A" w:rsidP="007D256A">
      <w:pPr>
        <w:pStyle w:val="Quote1Char"/>
        <w:widowControl/>
        <w:spacing w:before="60"/>
        <w:ind w:left="567" w:right="567" w:firstLine="0"/>
        <w:rPr>
          <w:rFonts w:ascii="Arial" w:hAnsi="Arial" w:cs="Arial"/>
          <w:color w:val="000000"/>
          <w:sz w:val="20"/>
        </w:rPr>
      </w:pPr>
      <w:r>
        <w:rPr>
          <w:rFonts w:ascii="Arial" w:hAnsi="Arial" w:cs="Arial"/>
          <w:sz w:val="20"/>
        </w:rPr>
        <w:t>[89] “</w:t>
      </w:r>
      <w:r w:rsidR="00355136" w:rsidRPr="00355136">
        <w:rPr>
          <w:rFonts w:ascii="Arial" w:hAnsi="Arial" w:cs="Arial"/>
          <w:sz w:val="20"/>
        </w:rPr>
        <w:t>In the case of each of you, whilst the mitigatory significance of your youth at the time of your crimes and now is not entirely extinguished, the extreme gravity of your offending – conceded by your counsel – means that your youth has much less of a part to play in sentence than would usually be the case. It is clear that the sentencing objectives of deterrence, denunciation, just punishment and protection of the community must be very prominent in the sentencing calculus in each of your cases, and that the weight to be attached to your youth is correspondingly reduced. That is not to say that I disregard your youth. I still have regard to it. Indeed, as will become apparent when I turn to consider the question whether sentences of life imprisonment should be imposed, and how long any non-parole periods should be, it remains an important consideration in this case.</w:t>
      </w:r>
      <w:r>
        <w:rPr>
          <w:rFonts w:ascii="Arial" w:hAnsi="Arial" w:cs="Arial"/>
          <w:sz w:val="20"/>
        </w:rPr>
        <w:t>”</w:t>
      </w:r>
    </w:p>
    <w:p w14:paraId="7D0157AA" w14:textId="523A6150" w:rsidR="00355136" w:rsidRDefault="008A410E" w:rsidP="008A410E">
      <w:pPr>
        <w:spacing w:before="60"/>
        <w:jc w:val="both"/>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w:t>
      </w:r>
    </w:p>
    <w:p w14:paraId="35015812" w14:textId="77777777" w:rsidR="008A410E" w:rsidRPr="001C6E0E" w:rsidRDefault="008A410E">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1C6E0E" w:rsidRDefault="00BF52E5"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general propositions in </w:t>
      </w:r>
      <w:r w:rsidRPr="001C6E0E">
        <w:rPr>
          <w:rFonts w:ascii="Arial" w:hAnsi="Arial" w:cs="Arial"/>
          <w:i/>
          <w:color w:val="000000"/>
          <w:sz w:val="20"/>
        </w:rPr>
        <w:t>R v Mills</w:t>
      </w:r>
      <w:r w:rsidRPr="001C6E0E">
        <w:rPr>
          <w:rFonts w:ascii="Arial" w:hAnsi="Arial" w:cs="Arial"/>
          <w:color w:val="000000"/>
          <w:sz w:val="20"/>
        </w:rPr>
        <w:t xml:space="preserve"> were just that, general propositions, not of usual or automatic application. Each case depended on its own circumstances, including the circumstances of the offence as well as of the offender: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Bell</w:t>
          </w:r>
        </w:smartTag>
      </w:smartTag>
      <w:bookmarkStart w:id="414" w:name="JD_BC200405631fntxt2ref"/>
      <w:bookmarkEnd w:id="414"/>
      <w:r w:rsidRPr="001C6E0E">
        <w:rPr>
          <w:rFonts w:ascii="Arial" w:hAnsi="Arial" w:cs="Arial"/>
          <w:color w:val="000000"/>
          <w:sz w:val="20"/>
        </w:rPr>
        <w:t xml:space="preserve"> [1999] VSCA 223 at [14] and </w:t>
      </w:r>
      <w:r w:rsidRPr="001C6E0E">
        <w:rPr>
          <w:rFonts w:ascii="Arial" w:hAnsi="Arial" w:cs="Arial"/>
          <w:i/>
          <w:color w:val="000000"/>
          <w:sz w:val="20"/>
        </w:rPr>
        <w:t>R v Henne</w:t>
      </w:r>
      <w:bookmarkStart w:id="415" w:name="JD_BC200405631fntxt3ref"/>
      <w:bookmarkEnd w:id="415"/>
      <w:r w:rsidRPr="001C6E0E">
        <w:rPr>
          <w:rFonts w:ascii="Arial" w:hAnsi="Arial" w:cs="Arial"/>
          <w:i/>
          <w:color w:val="000000"/>
          <w:sz w:val="20"/>
        </w:rPr>
        <w:t xml:space="preserve">n </w:t>
      </w:r>
      <w:r w:rsidRPr="001C6E0E">
        <w:rPr>
          <w:rFonts w:ascii="Arial" w:hAnsi="Arial" w:cs="Arial"/>
          <w:color w:val="000000"/>
          <w:sz w:val="20"/>
          <w:lang w:eastAsia="en-AU"/>
        </w:rPr>
        <w:t>[2004] VSCA 42 at [24]</w:t>
      </w:r>
      <w:r w:rsidRPr="001C6E0E">
        <w:rPr>
          <w:rFonts w:ascii="Arial" w:hAnsi="Arial" w:cs="Arial"/>
          <w:color w:val="000000"/>
          <w:sz w:val="20"/>
        </w:rPr>
        <w:t xml:space="preserve"> …’ ”</w:t>
      </w:r>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 xml:space="preserve">[59]  In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[60]  In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Toombs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R v Cuong Quoc Lam &amp; Ors</w:t>
      </w:r>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Misokka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r w:rsidR="004B796D" w:rsidRPr="00FD76EC">
        <w:rPr>
          <w:rFonts w:ascii="Arial" w:hAnsi="Arial" w:cs="Arial"/>
          <w:i/>
          <w:color w:val="000000"/>
          <w:sz w:val="20"/>
        </w:rPr>
        <w:t>Mogoai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C14EABF"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w:t>
      </w:r>
      <w:r w:rsidR="00843B1F">
        <w:rPr>
          <w:rFonts w:ascii="Arial" w:hAnsi="Arial" w:cs="Arial"/>
          <w:color w:val="000000"/>
          <w:sz w:val="20"/>
          <w:szCs w:val="20"/>
        </w:rPr>
        <w:t xml:space="preserve">(2011) 35 VR 43; </w:t>
      </w:r>
      <w:r w:rsidRPr="001C6E0E">
        <w:rPr>
          <w:rFonts w:ascii="Arial" w:hAnsi="Arial" w:cs="Arial"/>
          <w:bCs/>
          <w:color w:val="000000"/>
          <w:sz w:val="20"/>
        </w:rPr>
        <w:t>[2011]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Baltatzis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R v McGaffin</w:t>
      </w:r>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1C6E0E" w:rsidRDefault="00834B23" w:rsidP="00834B2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003326B9" w:rsidRPr="001C6E0E">
        <w:rPr>
          <w:rFonts w:ascii="Arial" w:hAnsi="Arial" w:cs="Arial"/>
          <w:color w:val="000000"/>
          <w:sz w:val="20"/>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R v Lam &amp; Ors</w:t>
      </w:r>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1C6E0E" w:rsidRDefault="003326B9" w:rsidP="003326B9">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Lam &amp; Ors</w:t>
      </w:r>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(Chernov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1C6E0E" w:rsidRDefault="0034359D"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1C6E0E" w:rsidRDefault="0034359D" w:rsidP="0034359D">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1C6E0E">
        <w:rPr>
          <w:rFonts w:ascii="Arial" w:hAnsi="Arial" w:cs="Arial"/>
          <w:color w:val="000000"/>
          <w:sz w:val="20"/>
        </w:rPr>
        <w:t> </w:t>
      </w:r>
      <w:r w:rsidRPr="001C6E0E">
        <w:rPr>
          <w:rFonts w:ascii="Arial" w:hAnsi="Arial" w:cs="Arial"/>
          <w:color w:val="000000"/>
          <w:sz w:val="20"/>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16" w:name="TAACAAG"/>
      <w:bookmarkStart w:id="417" w:name="PAGE_20"/>
      <w:bookmarkEnd w:id="416"/>
      <w:bookmarkEnd w:id="417"/>
      <w:r w:rsidRPr="001C6E0E">
        <w:rPr>
          <w:rFonts w:ascii="Arial" w:hAnsi="Arial" w:cs="Arial"/>
          <w:bCs/>
          <w:color w:val="000000"/>
          <w:sz w:val="20"/>
        </w:rPr>
        <w:lastRenderedPageBreak/>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Spigelman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DPP v Terrick</w:t>
      </w:r>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68F0AE4D" w:rsidR="009C4CAC" w:rsidRDefault="009C4CAC" w:rsidP="009C4CAC">
      <w:pPr>
        <w:jc w:val="both"/>
        <w:rPr>
          <w:rFonts w:ascii="Arial" w:hAnsi="Arial" w:cs="Arial"/>
          <w:color w:val="000000"/>
          <w:sz w:val="20"/>
          <w:szCs w:val="20"/>
        </w:rPr>
      </w:pPr>
    </w:p>
    <w:p w14:paraId="745BAC17" w14:textId="314A6E8E" w:rsidR="00843B1F" w:rsidRDefault="00843B1F" w:rsidP="009C4CA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w:t>
      </w:r>
      <w:r w:rsidR="00B00D5C">
        <w:rPr>
          <w:rFonts w:ascii="Arial" w:hAnsi="Arial" w:cs="Arial"/>
          <w:color w:val="000000"/>
          <w:sz w:val="20"/>
          <w:szCs w:val="20"/>
        </w:rPr>
        <w:t>the app</w:t>
      </w:r>
      <w:r w:rsidR="00194C57">
        <w:rPr>
          <w:rFonts w:ascii="Arial" w:hAnsi="Arial" w:cs="Arial"/>
          <w:color w:val="000000"/>
          <w:sz w:val="20"/>
          <w:szCs w:val="20"/>
        </w:rPr>
        <w:t>lic</w:t>
      </w:r>
      <w:r w:rsidR="00B00D5C">
        <w:rPr>
          <w:rFonts w:ascii="Arial" w:hAnsi="Arial" w:cs="Arial"/>
          <w:color w:val="000000"/>
          <w:sz w:val="20"/>
          <w:szCs w:val="20"/>
        </w:rPr>
        <w:t xml:space="preserve">ant – aged 22 at the time of the appeal – had been sentenced to a TES IMP6y6m/4y on a plea of guilty to recklessly causing serious injury in 2019 </w:t>
      </w:r>
      <w:r w:rsidR="005C431E">
        <w:rPr>
          <w:rFonts w:ascii="Arial" w:hAnsi="Arial" w:cs="Arial"/>
          <w:color w:val="000000"/>
          <w:sz w:val="20"/>
          <w:szCs w:val="20"/>
        </w:rPr>
        <w:t xml:space="preserve">[IMP5y] </w:t>
      </w:r>
      <w:r w:rsidR="00B00D5C">
        <w:rPr>
          <w:rFonts w:ascii="Arial" w:hAnsi="Arial" w:cs="Arial"/>
          <w:color w:val="000000"/>
          <w:sz w:val="20"/>
          <w:szCs w:val="20"/>
        </w:rPr>
        <w:t xml:space="preserve">and to offences including amed robbery </w:t>
      </w:r>
      <w:r w:rsidR="005C431E">
        <w:rPr>
          <w:rFonts w:ascii="Arial" w:hAnsi="Arial" w:cs="Arial"/>
          <w:color w:val="000000"/>
          <w:sz w:val="20"/>
          <w:szCs w:val="20"/>
        </w:rPr>
        <w:t xml:space="preserve">[IMP3y CUM6m] </w:t>
      </w:r>
      <w:r w:rsidR="00B00D5C">
        <w:rPr>
          <w:rFonts w:ascii="Arial" w:hAnsi="Arial" w:cs="Arial"/>
          <w:color w:val="000000"/>
          <w:sz w:val="20"/>
          <w:szCs w:val="20"/>
        </w:rPr>
        <w:t xml:space="preserve">and intentionally causing injury </w:t>
      </w:r>
      <w:r w:rsidR="005C431E">
        <w:rPr>
          <w:rFonts w:ascii="Arial" w:hAnsi="Arial" w:cs="Arial"/>
          <w:color w:val="000000"/>
          <w:sz w:val="20"/>
          <w:szCs w:val="20"/>
        </w:rPr>
        <w:t xml:space="preserve">[IMP3y CUM9m] </w:t>
      </w:r>
      <w:r w:rsidR="00B00D5C">
        <w:rPr>
          <w:rFonts w:ascii="Arial" w:hAnsi="Arial" w:cs="Arial"/>
          <w:color w:val="000000"/>
          <w:sz w:val="20"/>
          <w:szCs w:val="20"/>
        </w:rPr>
        <w:t xml:space="preserve">in 2021.  </w:t>
      </w:r>
      <w:r w:rsidR="00194C57">
        <w:rPr>
          <w:rFonts w:ascii="Arial" w:hAnsi="Arial" w:cs="Arial"/>
          <w:color w:val="000000"/>
          <w:sz w:val="20"/>
          <w:szCs w:val="20"/>
        </w:rPr>
        <w:t xml:space="preserve">The </w:t>
      </w:r>
      <w:r w:rsidR="00711BA6">
        <w:rPr>
          <w:rFonts w:ascii="Arial" w:hAnsi="Arial" w:cs="Arial"/>
          <w:color w:val="000000"/>
          <w:sz w:val="20"/>
          <w:szCs w:val="20"/>
        </w:rPr>
        <w:t xml:space="preserve">circumstances of the </w:t>
      </w:r>
      <w:r w:rsidR="00194C57">
        <w:rPr>
          <w:rFonts w:ascii="Arial" w:hAnsi="Arial" w:cs="Arial"/>
          <w:color w:val="000000"/>
          <w:sz w:val="20"/>
          <w:szCs w:val="20"/>
        </w:rPr>
        <w:t>“serious injury” w</w:t>
      </w:r>
      <w:r w:rsidR="00711BA6">
        <w:rPr>
          <w:rFonts w:ascii="Arial" w:hAnsi="Arial" w:cs="Arial"/>
          <w:color w:val="000000"/>
          <w:sz w:val="20"/>
          <w:szCs w:val="20"/>
        </w:rPr>
        <w:t>ere</w:t>
      </w:r>
      <w:r w:rsidR="00194C57">
        <w:rPr>
          <w:rFonts w:ascii="Arial" w:hAnsi="Arial" w:cs="Arial"/>
          <w:color w:val="000000"/>
          <w:sz w:val="20"/>
          <w:szCs w:val="20"/>
        </w:rPr>
        <w:t xml:space="preserve"> that the applicant punched the victim with a full force blow to the right side of his jaw causing the victim to fall backwards, striking the top of his head on the concrete footpath and resulting in the victim being unconscious for 8-9 minutes, suffering</w:t>
      </w:r>
      <w:r w:rsidR="00711BA6">
        <w:rPr>
          <w:rFonts w:ascii="Arial" w:hAnsi="Arial" w:cs="Arial"/>
          <w:color w:val="000000"/>
          <w:sz w:val="20"/>
          <w:szCs w:val="20"/>
        </w:rPr>
        <w:t xml:space="preserve"> </w:t>
      </w:r>
      <w:r w:rsidR="00194C57">
        <w:rPr>
          <w:rFonts w:ascii="Arial" w:hAnsi="Arial" w:cs="Arial"/>
          <w:color w:val="000000"/>
          <w:sz w:val="20"/>
          <w:szCs w:val="20"/>
        </w:rPr>
        <w:t>broken teeth</w:t>
      </w:r>
      <w:r w:rsidR="00711BA6">
        <w:rPr>
          <w:rFonts w:ascii="Arial" w:hAnsi="Arial" w:cs="Arial"/>
          <w:color w:val="000000"/>
          <w:sz w:val="20"/>
          <w:szCs w:val="20"/>
        </w:rPr>
        <w:t xml:space="preserve">, </w:t>
      </w:r>
      <w:r w:rsidR="00194C57">
        <w:rPr>
          <w:rFonts w:ascii="Arial" w:hAnsi="Arial" w:cs="Arial"/>
          <w:color w:val="000000"/>
          <w:sz w:val="20"/>
          <w:szCs w:val="20"/>
        </w:rPr>
        <w:t>damage to his nose</w:t>
      </w:r>
      <w:r w:rsidR="00711BA6">
        <w:rPr>
          <w:rFonts w:ascii="Arial" w:hAnsi="Arial" w:cs="Arial"/>
          <w:color w:val="000000"/>
          <w:sz w:val="20"/>
          <w:szCs w:val="20"/>
        </w:rPr>
        <w:t>, pain, headaches and some ongoing consequences</w:t>
      </w:r>
      <w:r w:rsidR="00194C57">
        <w:rPr>
          <w:rFonts w:ascii="Arial" w:hAnsi="Arial" w:cs="Arial"/>
          <w:color w:val="000000"/>
          <w:sz w:val="20"/>
          <w:szCs w:val="20"/>
        </w:rPr>
        <w:t>.</w:t>
      </w:r>
      <w:r w:rsidR="00711BA6">
        <w:rPr>
          <w:rFonts w:ascii="Arial" w:hAnsi="Arial" w:cs="Arial"/>
          <w:color w:val="000000"/>
          <w:sz w:val="20"/>
          <w:szCs w:val="20"/>
        </w:rPr>
        <w:t xml:space="preserve">  </w:t>
      </w:r>
      <w:r w:rsidR="005C431E">
        <w:rPr>
          <w:rFonts w:ascii="Arial" w:hAnsi="Arial" w:cs="Arial"/>
          <w:color w:val="000000"/>
          <w:sz w:val="20"/>
          <w:szCs w:val="20"/>
        </w:rPr>
        <w:t>Although describing the IMP5y sentence for the 2019 offence as “very stern”, the Court of Appeal (Niall &amp; T Forrest JJA) refused leave to appeal.  C</w:t>
      </w:r>
      <w:r>
        <w:rPr>
          <w:rFonts w:ascii="Arial" w:hAnsi="Arial" w:cs="Arial"/>
          <w:color w:val="000000"/>
          <w:sz w:val="20"/>
          <w:szCs w:val="20"/>
        </w:rPr>
        <w:t xml:space="preserve">iting the above dicta from </w:t>
      </w:r>
      <w:r w:rsidRPr="00843B1F">
        <w:rPr>
          <w:rFonts w:ascii="Arial" w:hAnsi="Arial" w:cs="Arial"/>
          <w:i/>
          <w:iCs/>
          <w:color w:val="000000"/>
          <w:sz w:val="20"/>
          <w:szCs w:val="20"/>
        </w:rPr>
        <w:t>Azzopardi v The Queen</w:t>
      </w:r>
      <w:r>
        <w:rPr>
          <w:rFonts w:ascii="Arial" w:hAnsi="Arial" w:cs="Arial"/>
          <w:color w:val="000000"/>
          <w:sz w:val="20"/>
          <w:szCs w:val="20"/>
        </w:rPr>
        <w:t xml:space="preserve"> (2011) 35 VR 43 – Niall &amp; T Forrest JJA said at [42]-[46]</w:t>
      </w:r>
      <w:r w:rsidR="005C431E">
        <w:rPr>
          <w:rFonts w:ascii="Arial" w:hAnsi="Arial" w:cs="Arial"/>
          <w:color w:val="000000"/>
          <w:sz w:val="20"/>
          <w:szCs w:val="20"/>
        </w:rPr>
        <w:t xml:space="preserve"> [emphasis added]</w:t>
      </w:r>
      <w:r>
        <w:rPr>
          <w:rFonts w:ascii="Arial" w:hAnsi="Arial" w:cs="Arial"/>
          <w:color w:val="000000"/>
          <w:sz w:val="20"/>
          <w:szCs w:val="20"/>
        </w:rPr>
        <w:t xml:space="preserve">: </w:t>
      </w:r>
    </w:p>
    <w:p w14:paraId="25902174" w14:textId="523FD8A1"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[42] “</w:t>
      </w:r>
      <w:r w:rsidRPr="00843B1F">
        <w:rPr>
          <w:rFonts w:ascii="Arial" w:hAnsi="Arial" w:cs="Arial"/>
          <w:color w:val="000000"/>
          <w:sz w:val="20"/>
        </w:rPr>
        <w:t>It is plain that the applicant’s age was a highly relevant matter. His youth was relevant because the law generally recognises that young persons are more prone to rash behaviour lacking the self-control that comes with maturity, rehabilitation of young offenders is of central importance and incarceration in an adult prison is likely to impair rather than assist in rehabilitation.</w:t>
      </w:r>
    </w:p>
    <w:p w14:paraId="76666FC7" w14:textId="1228936D"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[43] </w:t>
      </w:r>
      <w:r w:rsidRPr="00843B1F">
        <w:rPr>
          <w:rFonts w:ascii="Arial" w:hAnsi="Arial" w:cs="Arial"/>
          <w:color w:val="000000"/>
          <w:sz w:val="20"/>
        </w:rPr>
        <w:t>Not only was the applicant’s age important but it also made the sentencing exercise a very difficult one. Although the applicant’s age and immaturity went some way to explaining the offending they also meant that there was very little if any restraint on the applicant’s behaviour. In some cases, to give any significant weight to the age of the respondent, and thus diminish the gravity of the offending, the importance of general deterrence and the protection of the community, carries the risk of producing an entirely inadequate sentence.</w:t>
      </w:r>
    </w:p>
    <w:p w14:paraId="39AC67D5" w14:textId="0207D935" w:rsidR="00843B1F" w:rsidRDefault="00843B1F" w:rsidP="00843B1F">
      <w:pPr>
        <w:pStyle w:val="Quote1Char"/>
        <w:widowControl/>
        <w:spacing w:before="60"/>
        <w:ind w:left="567" w:right="567" w:firstLine="0"/>
        <w:rPr>
          <w:rFonts w:ascii="Arial" w:hAnsi="Arial" w:cs="Arial"/>
          <w:b/>
          <w:bCs/>
          <w:color w:val="000000"/>
          <w:sz w:val="20"/>
        </w:rPr>
      </w:pPr>
      <w:r>
        <w:rPr>
          <w:rFonts w:ascii="Arial" w:hAnsi="Arial" w:cs="Arial"/>
          <w:color w:val="000000"/>
          <w:sz w:val="20"/>
        </w:rPr>
        <w:t xml:space="preserve">[44] </w:t>
      </w:r>
      <w:r w:rsidRPr="00843B1F">
        <w:rPr>
          <w:rFonts w:ascii="Arial" w:hAnsi="Arial" w:cs="Arial"/>
          <w:color w:val="000000"/>
          <w:sz w:val="20"/>
        </w:rPr>
        <w:t xml:space="preserve">Given the gravity of the offending, the applicant’s significant criminal history and behaviour and the fact that the 2021 offending, which was serous in its own right, occurred when the applicant was on bail, it was open to the judge to moderate the mitigatory force of the applicant’s age. That said, we do not accept the applicant’s submission that the judge ‘substantially eliminated’ youth as a relevant factor. </w:t>
      </w:r>
      <w:r w:rsidRPr="005C431E">
        <w:rPr>
          <w:rFonts w:ascii="Arial" w:hAnsi="Arial" w:cs="Arial"/>
          <w:b/>
          <w:bCs/>
          <w:color w:val="000000"/>
          <w:sz w:val="20"/>
        </w:rPr>
        <w:t>The judge said that youth carries less weight than if the applicant were a first time offender or if the offending were less serious. In the circumstances of this case, there was no error in that approach.</w:t>
      </w:r>
    </w:p>
    <w:p w14:paraId="022469D9" w14:textId="2A7FF8C1" w:rsidR="005C431E" w:rsidRDefault="005C431E" w:rsidP="00843B1F">
      <w:pPr>
        <w:pStyle w:val="Quote1Char"/>
        <w:widowControl/>
        <w:spacing w:before="60"/>
        <w:ind w:left="567" w:right="567" w:firstLine="0"/>
        <w:rPr>
          <w:rFonts w:ascii="Arial" w:hAnsi="Arial" w:cs="Arial"/>
          <w:b/>
          <w:bCs/>
          <w:color w:val="000000"/>
          <w:sz w:val="20"/>
        </w:rPr>
      </w:pPr>
      <w:r w:rsidRPr="005C431E">
        <w:rPr>
          <w:rFonts w:ascii="Arial" w:hAnsi="Arial" w:cs="Arial"/>
          <w:color w:val="000000"/>
          <w:sz w:val="20"/>
        </w:rPr>
        <w:t xml:space="preserve">[45] </w:t>
      </w:r>
      <w:r w:rsidRPr="00843B1F">
        <w:rPr>
          <w:rFonts w:ascii="Arial" w:hAnsi="Arial" w:cs="Arial"/>
          <w:color w:val="000000"/>
          <w:sz w:val="20"/>
        </w:rPr>
        <w:t xml:space="preserve">The applicant has a bad criminal record. At the time of the 2019 assault, he had prior findings of guilt for recklessly causing serious injury and armed robbery. He had the opportunity for less punitive dispositions that did not involve incarceration but these did not prevent either the 2019 or 2021 offending. It is also of concern that, when on bail for a very serious assault, he committed a significant armed robbery and caused a terrible knife wound to the face of the victim. The applicant was not to be punished again for his prior offences, however the pattern of offending reveals a high level of immaturity and lack of self-control. </w:t>
      </w:r>
      <w:r w:rsidRPr="005C431E">
        <w:rPr>
          <w:rFonts w:ascii="Arial" w:hAnsi="Arial" w:cs="Arial"/>
          <w:b/>
          <w:bCs/>
          <w:color w:val="000000"/>
          <w:sz w:val="20"/>
        </w:rPr>
        <w:t>The resorting to high level violence, including with a weapon, makes the offending grave and counterbalances to some extent the mitigatory effects of youth.</w:t>
      </w:r>
    </w:p>
    <w:p w14:paraId="0A76D963" w14:textId="14B7CFF8" w:rsidR="005C431E" w:rsidRPr="005C431E" w:rsidRDefault="005C431E" w:rsidP="00843B1F">
      <w:pPr>
        <w:pStyle w:val="Quote1Char"/>
        <w:widowControl/>
        <w:spacing w:before="60"/>
        <w:ind w:left="567" w:right="567" w:firstLine="0"/>
        <w:rPr>
          <w:rFonts w:ascii="Arial" w:hAnsi="Arial" w:cs="Arial"/>
          <w:color w:val="000000"/>
          <w:sz w:val="20"/>
        </w:rPr>
      </w:pPr>
      <w:r w:rsidRPr="005C431E">
        <w:rPr>
          <w:rFonts w:ascii="Arial" w:hAnsi="Arial" w:cs="Arial"/>
          <w:color w:val="000000"/>
          <w:sz w:val="20"/>
        </w:rPr>
        <w:t xml:space="preserve">[46] </w:t>
      </w:r>
      <w:r w:rsidRPr="00843B1F">
        <w:rPr>
          <w:rFonts w:ascii="Arial" w:hAnsi="Arial" w:cs="Arial"/>
          <w:color w:val="000000"/>
          <w:sz w:val="20"/>
        </w:rPr>
        <w:t>In our opinion, the sentence for the 2019 offence was very stern but we are not persuaded that it was manifestly excessive so as to permit intervention by this Court. The sentences on the 2021 charges and in particular the armed robbery and intentionally casing injury charges were by no means severe and well within range. The knife wound to the victim’s face was particularly nasty. The orders for cumulation were moderate and took into account the undoubtedly high base.</w:t>
      </w:r>
      <w:r>
        <w:rPr>
          <w:rFonts w:ascii="Arial" w:hAnsi="Arial" w:cs="Arial"/>
          <w:color w:val="000000"/>
          <w:sz w:val="20"/>
        </w:rPr>
        <w:t>”</w:t>
      </w:r>
    </w:p>
    <w:p w14:paraId="71491923" w14:textId="5EC83B9F" w:rsidR="00843B1F" w:rsidRDefault="00843B1F" w:rsidP="009C4CAC">
      <w:pPr>
        <w:jc w:val="both"/>
        <w:rPr>
          <w:rFonts w:ascii="Arial" w:hAnsi="Arial" w:cs="Arial"/>
          <w:color w:val="000000"/>
          <w:sz w:val="20"/>
          <w:szCs w:val="20"/>
        </w:rPr>
      </w:pPr>
    </w:p>
    <w:p w14:paraId="42A42691" w14:textId="1D03F59D" w:rsidR="00834256" w:rsidRDefault="00834256" w:rsidP="009C4CAC">
      <w:pPr>
        <w:jc w:val="both"/>
        <w:rPr>
          <w:rFonts w:ascii="Arial" w:hAnsi="Arial" w:cs="Arial"/>
          <w:color w:val="000000"/>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He had no prior criminal history and very good prospects of rehabilitation.  In imposing a sentence of </w:t>
      </w:r>
      <w:r>
        <w:rPr>
          <w:rFonts w:ascii="Arial" w:hAnsi="Arial" w:cs="Arial"/>
          <w:color w:val="000000"/>
          <w:sz w:val="20"/>
          <w:szCs w:val="20"/>
        </w:rPr>
        <w:t>2y YJC detention, Fox J said at</w:t>
      </w:r>
      <w:r w:rsidR="00385969">
        <w:rPr>
          <w:rFonts w:ascii="Arial" w:hAnsi="Arial" w:cs="Arial"/>
          <w:color w:val="000000"/>
          <w:sz w:val="20"/>
          <w:szCs w:val="20"/>
        </w:rPr>
        <w:t xml:space="preserve"> [35] &amp; [43]:</w:t>
      </w:r>
    </w:p>
    <w:p w14:paraId="40FAEEF6" w14:textId="67B72618"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[35] “</w:t>
      </w:r>
      <w:r w:rsidRPr="00891DE4">
        <w:rPr>
          <w:rFonts w:ascii="Arial" w:hAnsi="Arial" w:cs="Arial"/>
          <w:sz w:val="20"/>
        </w:rPr>
        <w:t>You were a child at the time of your offending, and you are now a young offender</w:t>
      </w:r>
      <w:r>
        <w:rPr>
          <w:rFonts w:ascii="Arial" w:hAnsi="Arial" w:cs="Arial"/>
          <w:sz w:val="20"/>
        </w:rPr>
        <w:t xml:space="preserve"> [</w:t>
      </w:r>
      <w:r w:rsidRPr="00891DE4">
        <w:rPr>
          <w:rFonts w:ascii="Arial" w:hAnsi="Arial" w:cs="Arial"/>
          <w:sz w:val="20"/>
        </w:rPr>
        <w:t>Sentencing Act 1991 (Vic) s 3(1)</w:t>
      </w:r>
      <w:r>
        <w:rPr>
          <w:rFonts w:ascii="Arial" w:hAnsi="Arial" w:cs="Arial"/>
          <w:sz w:val="20"/>
        </w:rPr>
        <w:t>]</w:t>
      </w:r>
      <w:r w:rsidRPr="00891DE4">
        <w:rPr>
          <w:rFonts w:ascii="Arial" w:hAnsi="Arial" w:cs="Arial"/>
          <w:sz w:val="20"/>
        </w:rPr>
        <w:t xml:space="preserve"> and only 18 years old. Your youth is a very important sentencing consideration. In particular, given your age, your rehabilitation is a more important aim than general deterrence. General deterrence is not irrelevant, but punishment that focuses on rehabilitation is to be preferred in your case, as it will benefit both you and the community. The courts have long recognised that there is great public benefit in rehabilitating a young offender, and maximising the prospect that they will go on to live a peaceful, productive and law-abiding life</w:t>
      </w:r>
      <w:r>
        <w:rPr>
          <w:rFonts w:ascii="Arial" w:hAnsi="Arial" w:cs="Arial"/>
          <w:sz w:val="20"/>
        </w:rPr>
        <w:t xml:space="preserve">: </w:t>
      </w:r>
      <w:r w:rsidRPr="00385969">
        <w:rPr>
          <w:rFonts w:ascii="Arial" w:hAnsi="Arial" w:cs="Arial"/>
          <w:i/>
          <w:iCs/>
          <w:sz w:val="20"/>
        </w:rPr>
        <w:t>R v Mills</w:t>
      </w:r>
      <w:r w:rsidRPr="00891DE4">
        <w:rPr>
          <w:rFonts w:ascii="Arial" w:hAnsi="Arial" w:cs="Arial"/>
          <w:sz w:val="20"/>
        </w:rPr>
        <w:t xml:space="preserve"> [1998] 4 VR 235, 235-236.</w:t>
      </w:r>
      <w:r>
        <w:rPr>
          <w:rFonts w:ascii="Arial" w:hAnsi="Arial" w:cs="Arial"/>
          <w:sz w:val="20"/>
        </w:rPr>
        <w:t xml:space="preserve"> </w:t>
      </w:r>
      <w:r w:rsidRPr="00891DE4">
        <w:rPr>
          <w:rFonts w:ascii="Arial" w:hAnsi="Arial" w:cs="Arial"/>
          <w:sz w:val="20"/>
        </w:rPr>
        <w:t xml:space="preserve"> Further, the law recognises that children may lack the foresight, insight, judgement and self-control that comes with adulthood, particularly where the crime is committed spontaneously. Young people are prone to ill-considered or rash decisions, and may not fully appreciate the nature, seriousness and consequences of their acts</w:t>
      </w:r>
      <w:r>
        <w:rPr>
          <w:rFonts w:ascii="Arial" w:hAnsi="Arial" w:cs="Arial"/>
          <w:sz w:val="20"/>
        </w:rPr>
        <w:t xml:space="preserve">: </w:t>
      </w:r>
      <w:r w:rsidRPr="00385969">
        <w:rPr>
          <w:rFonts w:ascii="Arial" w:hAnsi="Arial" w:cs="Arial"/>
          <w:i/>
          <w:iCs/>
          <w:sz w:val="20"/>
        </w:rPr>
        <w:t>R v McGaffin</w:t>
      </w:r>
      <w:r w:rsidRPr="00891DE4">
        <w:rPr>
          <w:rFonts w:ascii="Arial" w:hAnsi="Arial" w:cs="Arial"/>
          <w:sz w:val="20"/>
        </w:rPr>
        <w:t xml:space="preserve"> (2010) 206 A Crim R 188, 210 [69].</w:t>
      </w:r>
      <w:r>
        <w:rPr>
          <w:rFonts w:ascii="Arial" w:hAnsi="Arial" w:cs="Arial"/>
          <w:sz w:val="20"/>
        </w:rPr>
        <w:t xml:space="preserve">  </w:t>
      </w:r>
      <w:r w:rsidRPr="00891DE4">
        <w:rPr>
          <w:rFonts w:ascii="Arial" w:hAnsi="Arial" w:cs="Arial"/>
          <w:sz w:val="20"/>
        </w:rPr>
        <w:t>That said, the weight to be attached to youth correspondingly reduces as the level of seriousness of the criminality increases</w:t>
      </w:r>
      <w:r>
        <w:rPr>
          <w:rFonts w:ascii="Arial" w:hAnsi="Arial" w:cs="Arial"/>
          <w:sz w:val="20"/>
        </w:rPr>
        <w:t xml:space="preserve">: </w:t>
      </w:r>
      <w:r w:rsidRPr="00385969">
        <w:rPr>
          <w:rFonts w:ascii="Arial" w:hAnsi="Arial" w:cs="Arial"/>
          <w:i/>
          <w:iCs/>
          <w:sz w:val="20"/>
        </w:rPr>
        <w:t>Azzopardi v The Queen</w:t>
      </w:r>
      <w:r w:rsidRPr="00891DE4">
        <w:rPr>
          <w:rFonts w:ascii="Arial" w:hAnsi="Arial" w:cs="Arial"/>
          <w:sz w:val="20"/>
        </w:rPr>
        <w:t xml:space="preserve"> (2011) 35 VR 43, 57, [44].</w:t>
      </w:r>
      <w:r>
        <w:rPr>
          <w:rFonts w:ascii="Arial" w:hAnsi="Arial" w:cs="Arial"/>
          <w:sz w:val="20"/>
        </w:rPr>
        <w:t>”</w:t>
      </w:r>
    </w:p>
    <w:p w14:paraId="042B5599" w14:textId="1332C032"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[43] “</w:t>
      </w:r>
      <w:r w:rsidRPr="00891DE4">
        <w:rPr>
          <w:rFonts w:ascii="Arial" w:hAnsi="Arial" w:cs="Arial"/>
          <w:sz w:val="20"/>
        </w:rPr>
        <w:t>Your age at the time of the offending is relevant when assessing your moral culpability. Youth Justice found your offending occurred in the context of negative peer associations and a ‘lack of consequential thinking’. They also noted your young age at the time, and the ‘associated level of impressionability that likely would have been present’. Your young age reduces your moral culpability, not simply because you were 15 years old, but because, as I have stated, the courts recognise that young offenders, particularly children, are immature, impressionable and less likely to appreciate the gravity and consequences of their conduct. The Youth Justice report satisfies me that you were likely influenced by others, and you did not consider or appreciate the possible consequences of your actions on this afternoon.</w:t>
      </w:r>
      <w:r w:rsidR="00025736">
        <w:rPr>
          <w:rFonts w:ascii="Arial" w:hAnsi="Arial" w:cs="Arial"/>
          <w:sz w:val="20"/>
        </w:rPr>
        <w:t>”</w:t>
      </w:r>
    </w:p>
    <w:p w14:paraId="23D5B83B" w14:textId="77777777" w:rsidR="00834256" w:rsidRDefault="00834256" w:rsidP="009C4CAC">
      <w:pPr>
        <w:jc w:val="both"/>
        <w:rPr>
          <w:rFonts w:ascii="Arial" w:hAnsi="Arial" w:cs="Arial"/>
          <w:color w:val="000000"/>
          <w:sz w:val="20"/>
          <w:szCs w:val="20"/>
        </w:rPr>
      </w:pPr>
    </w:p>
    <w:p w14:paraId="7CA12D82" w14:textId="2873611B" w:rsidR="009C4CAC" w:rsidRPr="004F158F" w:rsidRDefault="009C4CAC" w:rsidP="009C4CAC">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Filippi, Kosterman and Vergados</w:t>
      </w:r>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w:t>
      </w:r>
      <w:r w:rsidR="00957C55" w:rsidRPr="00E94F6B">
        <w:rPr>
          <w:rFonts w:ascii="Arial" w:hAnsi="Arial" w:cs="Arial"/>
          <w:b/>
          <w:bCs/>
          <w:sz w:val="20"/>
          <w:szCs w:val="20"/>
          <w:shd w:val="clear" w:color="auto" w:fill="C5E0B3" w:themeFill="accent6" w:themeFillTint="66"/>
        </w:rPr>
        <w:t xml:space="preserve">Part </w:t>
      </w:r>
      <w:r w:rsidR="00957C55" w:rsidRPr="004F158F">
        <w:rPr>
          <w:rFonts w:ascii="Arial" w:hAnsi="Arial" w:cs="Arial"/>
          <w:b/>
          <w:bCs/>
          <w:sz w:val="20"/>
          <w:szCs w:val="20"/>
          <w:shd w:val="clear" w:color="auto" w:fill="C5E0B3" w:themeFill="accent6" w:themeFillTint="66"/>
        </w:rPr>
        <w:t>11.21</w:t>
      </w:r>
      <w:r w:rsidR="00957C55" w:rsidRPr="004F158F">
        <w:rPr>
          <w:rFonts w:ascii="Arial" w:hAnsi="Arial" w:cs="Arial"/>
          <w:sz w:val="20"/>
          <w:szCs w:val="20"/>
        </w:rPr>
        <w:t>}</w:t>
      </w:r>
      <w:r w:rsidR="004F158F" w:rsidRPr="004F158F">
        <w:rPr>
          <w:rFonts w:ascii="Arial" w:hAnsi="Arial" w:cs="Arial"/>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[52]-[60]</w:t>
      </w:r>
      <w:r w:rsidRPr="004F158F">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McGaffin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r w:rsidRPr="00C245F0">
        <w:rPr>
          <w:rFonts w:ascii="Arial" w:hAnsi="Arial" w:cs="Arial"/>
          <w:i/>
          <w:iCs/>
          <w:color w:val="000000"/>
          <w:sz w:val="20"/>
          <w:szCs w:val="20"/>
        </w:rPr>
        <w:t>Gommers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lastRenderedPageBreak/>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Winneke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2EFC4FC9" w14:textId="77777777" w:rsidR="00834256" w:rsidRPr="001C6E0E" w:rsidRDefault="00834256" w:rsidP="00834256">
      <w:pPr>
        <w:jc w:val="both"/>
        <w:rPr>
          <w:rFonts w:ascii="Arial" w:hAnsi="Arial" w:cs="Arial"/>
          <w:color w:val="000000"/>
          <w:sz w:val="20"/>
          <w:szCs w:val="20"/>
        </w:rPr>
      </w:pPr>
    </w:p>
    <w:p w14:paraId="208DA1AC" w14:textId="77777777" w:rsidR="00834256" w:rsidRPr="001C6E0E" w:rsidRDefault="00834256" w:rsidP="008342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24-29 years ago at times when the appellant was aged 14-19.  At [16] Nettle JA, with whom Ashley &amp; Dodds-Streeton JJA agreed, said:</w:t>
      </w:r>
    </w:p>
    <w:p w14:paraId="747FFA2E" w14:textId="77777777" w:rsidR="00834256" w:rsidRPr="001C6E0E" w:rsidRDefault="00834256" w:rsidP="0083425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R v Nutter</w:t>
      </w:r>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Vinccent JJA) 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6CADA77A" w14:textId="77777777" w:rsidR="00834256" w:rsidRPr="004B24E3" w:rsidRDefault="00834256" w:rsidP="00834256">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Pr="004B24E3">
        <w:rPr>
          <w:rFonts w:ascii="Arial" w:hAnsi="Arial" w:cs="Arial"/>
          <w:color w:val="000000"/>
          <w:sz w:val="20"/>
          <w:szCs w:val="20"/>
        </w:rPr>
        <w:t xml:space="preserve"> [2011] VSCA 143 at [67] and in </w:t>
      </w:r>
      <w:r w:rsidRPr="004B24E3">
        <w:rPr>
          <w:rFonts w:ascii="Arial" w:hAnsi="Arial" w:cs="Arial"/>
          <w:i/>
          <w:color w:val="000000"/>
          <w:sz w:val="20"/>
          <w:szCs w:val="20"/>
        </w:rPr>
        <w:t xml:space="preserve">DPP (Cth) &amp; DPP v Dylan Hutchison (a pseudonym) </w:t>
      </w:r>
      <w:r w:rsidRPr="004B24E3">
        <w:rPr>
          <w:rFonts w:ascii="Arial" w:hAnsi="Arial" w:cs="Arial"/>
          <w:color w:val="000000"/>
          <w:sz w:val="20"/>
          <w:szCs w:val="20"/>
        </w:rPr>
        <w:t>[2018] VSCA 153 at [</w:t>
      </w:r>
      <w:r>
        <w:rPr>
          <w:rFonts w:ascii="Arial" w:hAnsi="Arial" w:cs="Arial"/>
          <w:color w:val="000000"/>
          <w:sz w:val="20"/>
          <w:szCs w:val="20"/>
        </w:rPr>
        <w:t>67</w:t>
      </w:r>
      <w:r w:rsidRPr="004B24E3">
        <w:rPr>
          <w:rFonts w:ascii="Arial" w:hAnsi="Arial" w:cs="Arial"/>
          <w:color w:val="000000"/>
          <w:sz w:val="20"/>
          <w:szCs w:val="20"/>
        </w:rPr>
        <w:t>].</w:t>
      </w:r>
    </w:p>
    <w:p w14:paraId="70EF7F87" w14:textId="77777777" w:rsidR="00834256" w:rsidRDefault="00834256">
      <w:pPr>
        <w:jc w:val="both"/>
        <w:rPr>
          <w:rFonts w:ascii="Arial" w:hAnsi="Arial" w:cs="Arial"/>
          <w:color w:val="000000"/>
          <w:sz w:val="20"/>
          <w:szCs w:val="20"/>
        </w:rPr>
      </w:pP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18" w:name="_11.2.2_Children_and"/>
      <w:bookmarkStart w:id="419" w:name="_Toc30674201"/>
      <w:bookmarkStart w:id="420" w:name="_Toc30691468"/>
      <w:bookmarkStart w:id="421" w:name="_Toc30691848"/>
      <w:bookmarkStart w:id="422" w:name="_Toc30692228"/>
      <w:bookmarkStart w:id="423" w:name="_Toc30692986"/>
      <w:bookmarkStart w:id="424" w:name="_Toc30693365"/>
      <w:bookmarkStart w:id="425" w:name="_Toc30693743"/>
      <w:bookmarkStart w:id="426" w:name="_Toc30694121"/>
      <w:bookmarkStart w:id="427" w:name="_Toc30694502"/>
      <w:bookmarkStart w:id="428" w:name="_Toc30699092"/>
      <w:bookmarkStart w:id="429" w:name="_Toc30699477"/>
      <w:bookmarkStart w:id="430" w:name="_Toc30699862"/>
      <w:bookmarkStart w:id="431" w:name="_Toc30701017"/>
      <w:bookmarkStart w:id="432" w:name="_Toc30701404"/>
      <w:bookmarkStart w:id="433" w:name="_Toc30744011"/>
      <w:bookmarkStart w:id="434" w:name="_Toc30754834"/>
      <w:bookmarkStart w:id="435" w:name="_Toc30757290"/>
      <w:bookmarkStart w:id="436" w:name="_Toc30757838"/>
      <w:bookmarkStart w:id="437" w:name="_Toc30758238"/>
      <w:bookmarkStart w:id="438" w:name="_Toc30762998"/>
      <w:bookmarkStart w:id="439" w:name="_Toc30767652"/>
      <w:bookmarkStart w:id="440" w:name="_Toc34823670"/>
      <w:bookmarkStart w:id="441" w:name="_Toc107101747"/>
      <w:bookmarkEnd w:id="418"/>
      <w:r w:rsidRPr="001C6E0E">
        <w:rPr>
          <w:rFonts w:ascii="Arial" w:hAnsi="Arial" w:cs="Arial"/>
          <w:b/>
          <w:bCs/>
          <w:color w:val="000000"/>
          <w:sz w:val="20"/>
        </w:rPr>
        <w:t>11.2.2</w:t>
      </w:r>
      <w:r w:rsidRPr="001C6E0E">
        <w:rPr>
          <w:rFonts w:ascii="Arial" w:hAnsi="Arial" w:cs="Arial"/>
          <w:b/>
          <w:bCs/>
          <w:color w:val="000000"/>
          <w:sz w:val="20"/>
        </w:rPr>
        <w:tab/>
        <w:t>Children and young persons sentenced under the CYPA</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H v R &amp; Ors</w:t>
      </w:r>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w:t>
      </w:r>
      <w:r w:rsidRPr="001C6E0E">
        <w:rPr>
          <w:rFonts w:ascii="Arial" w:hAnsi="Arial" w:cs="Arial"/>
          <w:color w:val="000000"/>
          <w:sz w:val="20"/>
        </w:rPr>
        <w:lastRenderedPageBreak/>
        <w:t xml:space="preserve">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In the unusual circumstances of the case the Court disagreed with the Crown submission that the Children’s Court might have decided that the charges were unsuitable to be determined summarily 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lastRenderedPageBreak/>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42" w:name="_11.2.3_Sentencing_hierarchy"/>
      <w:bookmarkStart w:id="443" w:name="_Toc30674202"/>
      <w:bookmarkStart w:id="444" w:name="_Toc30691469"/>
      <w:bookmarkStart w:id="445" w:name="_Toc30691849"/>
      <w:bookmarkStart w:id="446" w:name="_Toc30692229"/>
      <w:bookmarkStart w:id="447" w:name="_Toc30692987"/>
      <w:bookmarkStart w:id="448" w:name="_Toc30693366"/>
      <w:bookmarkStart w:id="449" w:name="_Toc30693744"/>
      <w:bookmarkStart w:id="450" w:name="_Toc30694122"/>
      <w:bookmarkStart w:id="451" w:name="_Toc30694503"/>
      <w:bookmarkStart w:id="452" w:name="_Toc30699093"/>
      <w:bookmarkStart w:id="453" w:name="_Toc30699478"/>
      <w:bookmarkStart w:id="454" w:name="_Toc30699863"/>
      <w:bookmarkStart w:id="455" w:name="_Toc30701018"/>
      <w:bookmarkStart w:id="456" w:name="_Toc30701405"/>
      <w:bookmarkStart w:id="457" w:name="_Toc30744012"/>
      <w:bookmarkStart w:id="458" w:name="_Toc30754835"/>
      <w:bookmarkStart w:id="459" w:name="_Toc30757291"/>
      <w:bookmarkStart w:id="460" w:name="_Toc30757839"/>
      <w:bookmarkStart w:id="461" w:name="_Toc30758239"/>
      <w:bookmarkStart w:id="462" w:name="_Toc30762999"/>
      <w:bookmarkStart w:id="463" w:name="_Toc30767653"/>
      <w:bookmarkStart w:id="464" w:name="_Toc34823671"/>
      <w:bookmarkStart w:id="465" w:name="_Toc107101748"/>
      <w:bookmarkEnd w:id="442"/>
      <w:r w:rsidRPr="001C6E0E">
        <w:rPr>
          <w:rFonts w:ascii="Arial" w:hAnsi="Arial" w:cs="Arial"/>
          <w:b/>
          <w:bCs/>
          <w:color w:val="000000"/>
          <w:sz w:val="20"/>
        </w:rPr>
        <w:t>11.2.3</w:t>
      </w:r>
      <w:r w:rsidRPr="001C6E0E">
        <w:rPr>
          <w:rFonts w:ascii="Arial" w:hAnsi="Arial" w:cs="Arial"/>
          <w:b/>
          <w:bCs/>
          <w:color w:val="000000"/>
          <w:sz w:val="20"/>
        </w:rPr>
        <w:tab/>
        <w:t>Sentencing hierarchy</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66" w:name="_11.2.4_Factual_basis"/>
      <w:bookmarkStart w:id="467" w:name="_Toc30674203"/>
      <w:bookmarkStart w:id="468" w:name="_Toc30691470"/>
      <w:bookmarkStart w:id="469" w:name="_Toc30691850"/>
      <w:bookmarkStart w:id="470" w:name="_Toc30692230"/>
      <w:bookmarkStart w:id="471" w:name="_Toc30692988"/>
      <w:bookmarkStart w:id="472" w:name="_Toc30693367"/>
      <w:bookmarkStart w:id="473" w:name="_Toc30693745"/>
      <w:bookmarkStart w:id="474" w:name="_Toc30694123"/>
      <w:bookmarkStart w:id="475" w:name="_Toc30694504"/>
      <w:bookmarkStart w:id="476" w:name="_Toc30699094"/>
      <w:bookmarkStart w:id="477" w:name="_Toc30699479"/>
      <w:bookmarkStart w:id="478" w:name="_Toc30699864"/>
      <w:bookmarkStart w:id="479" w:name="_Toc30701019"/>
      <w:bookmarkStart w:id="480" w:name="_Toc30701406"/>
      <w:bookmarkStart w:id="481" w:name="_Toc30744013"/>
      <w:bookmarkStart w:id="482" w:name="_Toc30754836"/>
      <w:bookmarkStart w:id="483" w:name="_Toc30757292"/>
      <w:bookmarkStart w:id="484" w:name="_Toc30757840"/>
      <w:bookmarkStart w:id="485" w:name="_Toc30758240"/>
      <w:bookmarkStart w:id="486" w:name="_Toc30763000"/>
      <w:bookmarkStart w:id="487" w:name="_Toc30767654"/>
      <w:bookmarkStart w:id="488" w:name="_Toc34823672"/>
      <w:bookmarkStart w:id="489" w:name="_Toc107101749"/>
      <w:bookmarkEnd w:id="466"/>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lastRenderedPageBreak/>
        <w:t>R v Storey</w:t>
      </w:r>
      <w:r w:rsidRPr="001C6E0E">
        <w:rPr>
          <w:rFonts w:ascii="Arial" w:hAnsi="Arial" w:cs="Arial"/>
          <w:color w:val="000000"/>
          <w:sz w:val="20"/>
        </w:rPr>
        <w:t xml:space="preserve"> [1998] 1 VR 359 was a decision of a Court of Appeal consisting of 5 judges.  The majority (Winneke P, Brooking JA, Hayne JA &amp; Southwell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R v Rumpf</w:t>
      </w:r>
      <w:r w:rsidRPr="001C6E0E">
        <w:rPr>
          <w:rFonts w:ascii="Arial" w:hAnsi="Arial" w:cs="Arial"/>
          <w:color w:val="000000"/>
          <w:sz w:val="20"/>
        </w:rPr>
        <w:t xml:space="preserve"> [1988] VR 466, </w:t>
      </w:r>
      <w:r w:rsidRPr="001C6E0E">
        <w:rPr>
          <w:rFonts w:ascii="Arial" w:hAnsi="Arial" w:cs="Arial"/>
          <w:i/>
          <w:iCs/>
          <w:color w:val="000000"/>
          <w:sz w:val="20"/>
        </w:rPr>
        <w:t>R v Olbrich</w:t>
      </w:r>
      <w:r w:rsidRPr="001C6E0E">
        <w:rPr>
          <w:rFonts w:ascii="Arial" w:hAnsi="Arial" w:cs="Arial"/>
          <w:color w:val="000000"/>
          <w:sz w:val="20"/>
        </w:rPr>
        <w:t xml:space="preserve"> (1999) 199 CLR 270; </w:t>
      </w:r>
      <w:r w:rsidRPr="001C6E0E">
        <w:rPr>
          <w:rFonts w:ascii="Arial" w:hAnsi="Arial" w:cs="Arial"/>
          <w:i/>
          <w:iCs/>
          <w:color w:val="000000"/>
          <w:sz w:val="20"/>
        </w:rPr>
        <w:t>Banda v DPP (Cth)</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R v Lanteri</w:t>
      </w:r>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Devey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DPP v Ackerley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r w:rsidR="00A812B8" w:rsidRPr="00C12988">
        <w:rPr>
          <w:rFonts w:ascii="Arial" w:hAnsi="Arial" w:cs="Arial"/>
          <w:i/>
          <w:iCs/>
          <w:color w:val="000000"/>
          <w:sz w:val="20"/>
          <w:szCs w:val="20"/>
        </w:rPr>
        <w:t>Panourakis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[4] Ashley JA [who formed the majority with Lasry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r w:rsidRPr="00BC5745">
        <w:rPr>
          <w:rFonts w:ascii="Arial" w:hAnsi="Arial" w:cs="Arial"/>
          <w:i/>
          <w:iCs/>
          <w:color w:val="000000"/>
          <w:sz w:val="20"/>
        </w:rPr>
        <w:t>Strbak v The Queen</w:t>
      </w:r>
      <w:r>
        <w:rPr>
          <w:rFonts w:ascii="Arial" w:hAnsi="Arial" w:cs="Arial"/>
          <w:color w:val="000000"/>
          <w:sz w:val="20"/>
        </w:rPr>
        <w:t xml:space="preserve"> [2020] HCA 10 at [1] the High Court (Kiefel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Gaudron A-CJ, Gummow,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Gaudron, Gummow,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Gaudron and Hayne JJ, 305-306 [52] per Kirby J, 327-328 [120]-[121] per Callinan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lastRenderedPageBreak/>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(2001) 205 CLR 50 at 70 [52], 73 [61]-[62], 74 [64], 75 [68] per Gaudron, Gummow, Kirby and Hayne JJ; see also at 123 [210] per Callinan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Notwithstanding his Honour's meticulous review of a large body of evidence, the determination of at least some contested facts adversely to the appellant took into account her failure to give sworn evidence at the sentence hearing. It is not suggested 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Gaudron, Gummow,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[27] per Gleeson CJ, Gaudron, Hayne and Callinan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Winneke P, Brooking and Hayne JJA and Southwell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an adverse factor is likely to be taken into account: see </w:t>
      </w:r>
      <w:r w:rsidRPr="001C6E0E">
        <w:rPr>
          <w:rFonts w:ascii="Arial" w:hAnsi="Arial" w:cs="Arial"/>
          <w:i/>
          <w:color w:val="000000"/>
          <w:sz w:val="20"/>
        </w:rPr>
        <w:t xml:space="preserve">R v Downie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 xml:space="preserve">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w:t>
      </w:r>
      <w:r w:rsidRPr="001C6E0E">
        <w:rPr>
          <w:rFonts w:ascii="Arial" w:hAnsi="Arial" w:cs="Arial"/>
          <w:color w:val="000000"/>
          <w:sz w:val="20"/>
        </w:rPr>
        <w:lastRenderedPageBreak/>
        <w:t>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r w:rsidRPr="00F60228">
        <w:rPr>
          <w:rFonts w:ascii="Arial" w:hAnsi="Arial" w:cs="Arial"/>
          <w:i/>
          <w:iCs/>
          <w:color w:val="000000"/>
          <w:sz w:val="20"/>
        </w:rPr>
        <w:t>Elsayed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3BE3D1E"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R v Teremoana</w:t>
      </w:r>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R v Birnie</w:t>
      </w:r>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r w:rsidR="009A531B" w:rsidRPr="000B797B">
        <w:rPr>
          <w:rFonts w:ascii="Arial" w:hAnsi="Arial" w:cs="Arial"/>
          <w:i/>
          <w:iCs/>
          <w:color w:val="000000"/>
          <w:sz w:val="20"/>
        </w:rPr>
        <w:t>Semaan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R v Heblos</w:t>
      </w:r>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Chey Tenenboim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23765A">
        <w:rPr>
          <w:rFonts w:ascii="Arial" w:hAnsi="Arial" w:cs="Arial"/>
          <w:color w:val="000000"/>
          <w:sz w:val="20"/>
        </w:rPr>
        <w:t xml:space="preserve">; </w:t>
      </w:r>
      <w:r w:rsidR="0023765A" w:rsidRPr="0023765A">
        <w:rPr>
          <w:rFonts w:ascii="Arial" w:hAnsi="Arial" w:cs="Arial"/>
          <w:i/>
          <w:iCs/>
          <w:color w:val="000000"/>
          <w:sz w:val="20"/>
        </w:rPr>
        <w:t>Dalais v The King</w:t>
      </w:r>
      <w:r w:rsidR="0023765A">
        <w:rPr>
          <w:rFonts w:ascii="Arial" w:hAnsi="Arial" w:cs="Arial"/>
          <w:color w:val="000000"/>
          <w:sz w:val="20"/>
        </w:rPr>
        <w:t xml:space="preserve"> [2023] VSCA 195 at [60]-[68]</w:t>
      </w:r>
      <w:r w:rsidR="00F421E3">
        <w:rPr>
          <w:rFonts w:ascii="Arial" w:hAnsi="Arial" w:cs="Arial"/>
          <w:color w:val="000000"/>
          <w:sz w:val="20"/>
        </w:rPr>
        <w:t>.</w:t>
      </w:r>
    </w:p>
    <w:p w14:paraId="54329D9B" w14:textId="56BCBBAF"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A531B">
        <w:rPr>
          <w:rFonts w:ascii="Arial" w:hAnsi="Arial" w:cs="Arial"/>
          <w:i/>
          <w:iCs/>
          <w:color w:val="000000"/>
          <w:sz w:val="20"/>
        </w:rPr>
        <w:t>Elsayed’s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Winneke P said:</w:t>
      </w:r>
    </w:p>
    <w:p w14:paraId="713610AB" w14:textId="77777777" w:rsidR="00BB0127" w:rsidRDefault="00BB0127" w:rsidP="006318D8">
      <w:pPr>
        <w:keepNext/>
        <w:keepLines/>
        <w:spacing w:before="60"/>
        <w:ind w:left="567" w:right="567"/>
        <w:jc w:val="both"/>
        <w:rPr>
          <w:rFonts w:ascii="Arial" w:hAnsi="Arial" w:cs="Arial"/>
          <w:color w:val="000000"/>
          <w:sz w:val="20"/>
        </w:rPr>
      </w:pPr>
      <w:r>
        <w:rPr>
          <w:rFonts w:ascii="Arial" w:hAnsi="Arial" w:cs="Arial"/>
          <w:color w:val="000000"/>
          <w:sz w:val="20"/>
        </w:rPr>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lastRenderedPageBreak/>
        <w:t xml:space="preserve">In </w:t>
      </w:r>
      <w:r w:rsidRPr="00EE0B24">
        <w:rPr>
          <w:rFonts w:ascii="Arial" w:hAnsi="Arial" w:cs="Arial"/>
          <w:i/>
          <w:iCs/>
          <w:color w:val="000000"/>
          <w:sz w:val="20"/>
        </w:rPr>
        <w:t>Giri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De Kruiff v Smith</w:t>
      </w:r>
      <w:r w:rsidRPr="00A15D3D">
        <w:rPr>
          <w:rFonts w:ascii="Arial" w:hAnsi="Arial" w:cs="Arial"/>
          <w:sz w:val="20"/>
          <w:szCs w:val="20"/>
        </w:rPr>
        <w:t xml:space="preserve"> [1971] VR 761, 765 (McInerney J); </w:t>
      </w:r>
      <w:r w:rsidRPr="00A15D3D">
        <w:rPr>
          <w:rFonts w:ascii="Arial" w:hAnsi="Arial" w:cs="Arial"/>
          <w:i/>
          <w:iCs/>
          <w:sz w:val="20"/>
          <w:szCs w:val="20"/>
        </w:rPr>
        <w:t>R v D’Orta-Ekenaike</w:t>
      </w:r>
      <w:r w:rsidRPr="00A15D3D">
        <w:rPr>
          <w:rFonts w:ascii="Arial" w:hAnsi="Arial" w:cs="Arial"/>
          <w:sz w:val="20"/>
          <w:szCs w:val="20"/>
        </w:rPr>
        <w:t xml:space="preserve"> [1998] 2 VR 140, 146–7 (Winneke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R v Traiconi</w:t>
      </w:r>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In the present case, however, whilst it is clear that the majority of what was alleged 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after an extensive review of authority, Winneke P, Brooking and Hayne JJA and Southwell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Having regard to the matters of principle we have mentioned and to the numerous authorities both in this country and elsewhere to which we were 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r w:rsidRPr="00D43A11">
        <w:rPr>
          <w:rFonts w:ascii="Arial" w:hAnsi="Arial" w:cs="Arial"/>
          <w:i/>
          <w:iCs/>
          <w:sz w:val="20"/>
          <w:szCs w:val="20"/>
        </w:rPr>
        <w:t>Olbrich</w:t>
      </w:r>
      <w:r w:rsidR="00D43A11">
        <w:rPr>
          <w:rFonts w:ascii="Arial" w:hAnsi="Arial" w:cs="Arial"/>
          <w:sz w:val="20"/>
          <w:szCs w:val="20"/>
        </w:rPr>
        <w:t xml:space="preserve"> (1999) 199 CLR 270, 281</w:t>
      </w:r>
      <w:r w:rsidRPr="00A15D3D">
        <w:rPr>
          <w:rFonts w:ascii="Arial" w:hAnsi="Arial" w:cs="Arial"/>
          <w:sz w:val="20"/>
          <w:szCs w:val="20"/>
        </w:rPr>
        <w:t xml:space="preserve">. Furthermore, in </w:t>
      </w:r>
      <w:r w:rsidRPr="00D43A11">
        <w:rPr>
          <w:rFonts w:ascii="Arial" w:hAnsi="Arial" w:cs="Arial"/>
          <w:i/>
          <w:iCs/>
          <w:sz w:val="20"/>
          <w:szCs w:val="20"/>
        </w:rPr>
        <w:t>Strbak</w:t>
      </w:r>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R v Olbrich</w:t>
      </w:r>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w:t>
      </w:r>
      <w:r w:rsidR="004B5517" w:rsidRPr="00A15D3D">
        <w:rPr>
          <w:rFonts w:ascii="Arial" w:hAnsi="Arial" w:cs="Arial"/>
          <w:sz w:val="20"/>
          <w:szCs w:val="20"/>
        </w:rPr>
        <w:lastRenderedPageBreak/>
        <w:t>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90" w:name="_11.2.5_Purpose_of"/>
      <w:bookmarkStart w:id="491" w:name="_Toc30674204"/>
      <w:bookmarkStart w:id="492" w:name="_Toc30691471"/>
      <w:bookmarkStart w:id="493" w:name="_Toc30691851"/>
      <w:bookmarkStart w:id="494" w:name="_Toc30692231"/>
      <w:bookmarkStart w:id="495" w:name="_Toc30692989"/>
      <w:bookmarkStart w:id="496" w:name="_Toc30693368"/>
      <w:bookmarkStart w:id="497" w:name="_Toc30693746"/>
      <w:bookmarkStart w:id="498" w:name="_Toc30694124"/>
      <w:bookmarkStart w:id="499" w:name="_Toc30694505"/>
      <w:bookmarkStart w:id="500" w:name="_Toc30699095"/>
      <w:bookmarkStart w:id="501" w:name="_Toc30699480"/>
      <w:bookmarkStart w:id="502" w:name="_Toc30699865"/>
      <w:bookmarkStart w:id="503" w:name="_Toc30701020"/>
      <w:bookmarkStart w:id="504" w:name="_Toc30701407"/>
      <w:bookmarkStart w:id="505" w:name="_Toc30744014"/>
      <w:bookmarkStart w:id="506" w:name="_Toc30754837"/>
      <w:bookmarkStart w:id="507" w:name="_Toc30757293"/>
      <w:bookmarkStart w:id="508" w:name="_Toc30757841"/>
      <w:bookmarkStart w:id="509" w:name="_Toc30758241"/>
      <w:bookmarkStart w:id="510" w:name="_Toc30763001"/>
      <w:bookmarkStart w:id="511" w:name="_Toc30767655"/>
      <w:bookmarkStart w:id="512" w:name="_Toc34823673"/>
      <w:bookmarkStart w:id="513" w:name="_Toc107101750"/>
      <w:bookmarkEnd w:id="490"/>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Vassalo &amp; Tasioulas</w:t>
      </w:r>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Default="00BF52E5">
      <w:pPr>
        <w:jc w:val="both"/>
        <w:rPr>
          <w:rFonts w:ascii="Arial" w:hAnsi="Arial" w:cs="Arial"/>
          <w:color w:val="000000"/>
          <w:sz w:val="20"/>
        </w:rPr>
      </w:pPr>
    </w:p>
    <w:p w14:paraId="280E9A8D" w14:textId="6FE9A9D2" w:rsidR="00B1063D" w:rsidRDefault="00245B15" w:rsidP="0081231F">
      <w:pPr>
        <w:jc w:val="both"/>
        <w:rPr>
          <w:rFonts w:ascii="Arial" w:hAnsi="Arial" w:cs="Arial"/>
          <w:color w:val="000000"/>
          <w:sz w:val="20"/>
        </w:rPr>
      </w:pPr>
      <w:r>
        <w:rPr>
          <w:rFonts w:ascii="Arial" w:hAnsi="Arial" w:cs="Arial"/>
          <w:color w:val="000000"/>
          <w:sz w:val="20"/>
        </w:rPr>
        <w:t xml:space="preserve">The Children’s Court has no power to sentence a child or young person to a term of imprisonment. The most intrusive sentence that can be imposed under the CYFA is detention in a youth justice centre or a youth residential centre pursuant to ss.360(1)(i) / 360(1)(j). However, a child or young person sentenced by the County Court or the Supreme Court under the </w:t>
      </w:r>
      <w:r w:rsidRPr="00245B15">
        <w:rPr>
          <w:rFonts w:ascii="Arial" w:hAnsi="Arial" w:cs="Arial"/>
          <w:i/>
          <w:iCs/>
          <w:color w:val="000000"/>
          <w:sz w:val="20"/>
        </w:rPr>
        <w:t>Sentencing Act 1991</w:t>
      </w:r>
      <w:r>
        <w:rPr>
          <w:rFonts w:ascii="Arial" w:hAnsi="Arial" w:cs="Arial"/>
          <w:color w:val="000000"/>
          <w:sz w:val="20"/>
        </w:rPr>
        <w:t xml:space="preserve"> can be sentenced to a term of imprisonment or to detention in a youth justice centre. In </w:t>
      </w:r>
      <w:r w:rsidRPr="00245B15">
        <w:rPr>
          <w:rFonts w:ascii="Arial" w:hAnsi="Arial" w:cs="Arial"/>
          <w:i/>
          <w:iCs/>
          <w:color w:val="000000"/>
          <w:sz w:val="20"/>
        </w:rPr>
        <w:t>Bower v The King</w:t>
      </w:r>
      <w:r>
        <w:rPr>
          <w:rFonts w:ascii="Arial" w:hAnsi="Arial" w:cs="Arial"/>
          <w:color w:val="000000"/>
          <w:sz w:val="20"/>
        </w:rPr>
        <w:t xml:space="preserve"> [2024] VSCA </w:t>
      </w:r>
      <w:r w:rsidR="0081231F">
        <w:rPr>
          <w:rFonts w:ascii="Arial" w:hAnsi="Arial" w:cs="Arial"/>
          <w:color w:val="000000"/>
          <w:sz w:val="20"/>
        </w:rPr>
        <w:t>317</w:t>
      </w:r>
      <w:r>
        <w:rPr>
          <w:rFonts w:ascii="Arial" w:hAnsi="Arial" w:cs="Arial"/>
          <w:color w:val="000000"/>
          <w:sz w:val="20"/>
        </w:rPr>
        <w:t xml:space="preserve"> the 1</w:t>
      </w:r>
      <w:r w:rsidR="0081231F">
        <w:rPr>
          <w:rFonts w:ascii="Arial" w:hAnsi="Arial" w:cs="Arial"/>
          <w:color w:val="000000"/>
          <w:sz w:val="20"/>
        </w:rPr>
        <w:t>9</w:t>
      </w:r>
      <w:r>
        <w:rPr>
          <w:rFonts w:ascii="Arial" w:hAnsi="Arial" w:cs="Arial"/>
          <w:color w:val="000000"/>
          <w:sz w:val="20"/>
        </w:rPr>
        <w:t xml:space="preserve"> year old applicant </w:t>
      </w:r>
      <w:r w:rsidR="0081231F">
        <w:rPr>
          <w:rFonts w:ascii="Arial" w:hAnsi="Arial" w:cs="Arial"/>
          <w:color w:val="000000"/>
          <w:sz w:val="20"/>
        </w:rPr>
        <w:t>(who was 18 at the time of offending</w:t>
      </w:r>
      <w:r w:rsidR="00202220">
        <w:rPr>
          <w:rFonts w:ascii="Arial" w:hAnsi="Arial" w:cs="Arial"/>
          <w:color w:val="000000"/>
          <w:sz w:val="20"/>
        </w:rPr>
        <w:t xml:space="preserve">, </w:t>
      </w:r>
      <w:r w:rsidR="00541387">
        <w:rPr>
          <w:rFonts w:ascii="Arial" w:hAnsi="Arial" w:cs="Arial"/>
          <w:color w:val="000000"/>
          <w:sz w:val="20"/>
        </w:rPr>
        <w:t xml:space="preserve">had a </w:t>
      </w:r>
      <w:r w:rsidR="00541387" w:rsidRPr="00541387">
        <w:rPr>
          <w:rFonts w:ascii="Arial" w:hAnsi="Arial" w:cs="Arial"/>
          <w:color w:val="000000"/>
          <w:sz w:val="20"/>
        </w:rPr>
        <w:t>relevant history of offending</w:t>
      </w:r>
      <w:r w:rsidR="00202220">
        <w:rPr>
          <w:rFonts w:ascii="Arial" w:hAnsi="Arial" w:cs="Arial"/>
          <w:color w:val="000000"/>
          <w:sz w:val="20"/>
        </w:rPr>
        <w:t xml:space="preserve"> and</w:t>
      </w:r>
      <w:r w:rsidR="00541387">
        <w:rPr>
          <w:rFonts w:ascii="Arial" w:hAnsi="Arial" w:cs="Arial"/>
          <w:color w:val="000000"/>
          <w:sz w:val="20"/>
        </w:rPr>
        <w:t xml:space="preserve"> </w:t>
      </w:r>
      <w:r w:rsidR="00541387" w:rsidRPr="00541387">
        <w:rPr>
          <w:rFonts w:ascii="Arial" w:hAnsi="Arial" w:cs="Arial"/>
          <w:color w:val="000000"/>
          <w:sz w:val="20"/>
        </w:rPr>
        <w:t>guarded prospects of rehabilitation</w:t>
      </w:r>
      <w:r w:rsidR="00202220">
        <w:rPr>
          <w:rFonts w:ascii="Arial" w:hAnsi="Arial" w:cs="Arial"/>
          <w:color w:val="000000"/>
          <w:sz w:val="20"/>
        </w:rPr>
        <w:t xml:space="preserve"> and had been </w:t>
      </w:r>
      <w:r w:rsidR="00202220" w:rsidRPr="00202220">
        <w:rPr>
          <w:rFonts w:ascii="Arial" w:hAnsi="Arial" w:cs="Arial"/>
          <w:color w:val="000000"/>
          <w:sz w:val="20"/>
        </w:rPr>
        <w:t xml:space="preserve">assessed as unsuitable for </w:t>
      </w:r>
      <w:r w:rsidR="00202220">
        <w:rPr>
          <w:rFonts w:ascii="Arial" w:hAnsi="Arial" w:cs="Arial"/>
          <w:color w:val="000000"/>
          <w:sz w:val="20"/>
        </w:rPr>
        <w:t>a YJC</w:t>
      </w:r>
      <w:r w:rsidR="00202220" w:rsidRPr="00202220">
        <w:rPr>
          <w:rFonts w:ascii="Arial" w:hAnsi="Arial" w:cs="Arial"/>
          <w:color w:val="000000"/>
          <w:sz w:val="20"/>
        </w:rPr>
        <w:t xml:space="preserve"> order</w:t>
      </w:r>
      <w:r w:rsidR="0081231F">
        <w:rPr>
          <w:rFonts w:ascii="Arial" w:hAnsi="Arial" w:cs="Arial"/>
          <w:color w:val="000000"/>
          <w:sz w:val="20"/>
        </w:rPr>
        <w:t>) had been sentenced in the County Court to IMP</w:t>
      </w:r>
      <w:r w:rsidR="00303CCD">
        <w:rPr>
          <w:rFonts w:ascii="Arial" w:hAnsi="Arial" w:cs="Arial"/>
          <w:color w:val="000000"/>
          <w:sz w:val="20"/>
        </w:rPr>
        <w:t>3</w:t>
      </w:r>
      <w:r w:rsidR="0081231F">
        <w:rPr>
          <w:rFonts w:ascii="Arial" w:hAnsi="Arial" w:cs="Arial"/>
          <w:color w:val="000000"/>
          <w:sz w:val="20"/>
        </w:rPr>
        <w:t>y on a charge of armed robbery. In</w:t>
      </w:r>
      <w:r w:rsidR="00202220">
        <w:rPr>
          <w:rFonts w:ascii="Arial" w:hAnsi="Arial" w:cs="Arial"/>
          <w:color w:val="000000"/>
          <w:sz w:val="20"/>
        </w:rPr>
        <w:t> </w:t>
      </w:r>
      <w:r w:rsidR="0081231F">
        <w:rPr>
          <w:rFonts w:ascii="Arial" w:hAnsi="Arial" w:cs="Arial"/>
          <w:color w:val="000000"/>
          <w:sz w:val="20"/>
        </w:rPr>
        <w:t xml:space="preserve">refusing leave to appeal Macaulay JA </w:t>
      </w:r>
      <w:r w:rsidR="00303CCD">
        <w:rPr>
          <w:rFonts w:ascii="Arial" w:hAnsi="Arial" w:cs="Arial"/>
          <w:color w:val="000000"/>
          <w:sz w:val="20"/>
        </w:rPr>
        <w:t xml:space="preserve">discussed the purpose of a YJC order </w:t>
      </w:r>
      <w:r w:rsidR="0081231F">
        <w:rPr>
          <w:rFonts w:ascii="Arial" w:hAnsi="Arial" w:cs="Arial"/>
          <w:color w:val="000000"/>
          <w:sz w:val="20"/>
        </w:rPr>
        <w:t>at [41]-[46]:</w:t>
      </w:r>
    </w:p>
    <w:p w14:paraId="773EAC16" w14:textId="77777777" w:rsidR="0081231F" w:rsidRDefault="0081231F" w:rsidP="00303CCD">
      <w:pPr>
        <w:spacing w:before="60"/>
        <w:ind w:left="567" w:right="567"/>
        <w:jc w:val="both"/>
        <w:rPr>
          <w:rFonts w:ascii="Arial" w:hAnsi="Arial" w:cs="Arial"/>
          <w:color w:val="000000"/>
          <w:sz w:val="20"/>
        </w:rPr>
      </w:pPr>
      <w:r>
        <w:rPr>
          <w:rFonts w:ascii="Arial" w:hAnsi="Arial" w:cs="Arial"/>
          <w:color w:val="000000"/>
          <w:sz w:val="20"/>
        </w:rPr>
        <w:lastRenderedPageBreak/>
        <w:t xml:space="preserve">[41] “Under the [Sentencing] Act, a court can only make a YJC order for an offender who is, at the time of offending, at least </w:t>
      </w:r>
      <w:r w:rsidRPr="00B1063D">
        <w:rPr>
          <w:rFonts w:ascii="Arial" w:hAnsi="Arial" w:cs="Arial"/>
          <w:color w:val="000000"/>
          <w:sz w:val="20"/>
        </w:rPr>
        <w:t>15 years old and no more than 21 years old</w:t>
      </w:r>
      <w:r>
        <w:rPr>
          <w:rFonts w:ascii="Arial" w:hAnsi="Arial" w:cs="Arial"/>
          <w:color w:val="000000"/>
          <w:sz w:val="20"/>
        </w:rPr>
        <w:t xml:space="preserve">: ss.3 &amp; 32(2A). </w:t>
      </w:r>
      <w:r w:rsidRPr="00B1063D">
        <w:rPr>
          <w:rFonts w:ascii="Arial" w:hAnsi="Arial" w:cs="Arial"/>
          <w:color w:val="000000"/>
          <w:sz w:val="20"/>
        </w:rPr>
        <w:t>A YJC order is described in the Act as ‘confinement’ and ‘detention’; it is not a term of imprisonment</w:t>
      </w:r>
      <w:r>
        <w:rPr>
          <w:rFonts w:ascii="Arial" w:hAnsi="Arial" w:cs="Arial"/>
          <w:color w:val="000000"/>
          <w:sz w:val="20"/>
        </w:rPr>
        <w:t xml:space="preserve">: </w:t>
      </w:r>
      <w:r w:rsidRPr="0081231F">
        <w:rPr>
          <w:rFonts w:ascii="Arial" w:hAnsi="Arial" w:cs="Arial"/>
          <w:i/>
          <w:iCs/>
          <w:color w:val="000000"/>
          <w:sz w:val="20"/>
        </w:rPr>
        <w:t>Bradshaw v The Queen</w:t>
      </w:r>
      <w:r>
        <w:rPr>
          <w:rFonts w:ascii="Arial" w:hAnsi="Arial" w:cs="Arial"/>
          <w:color w:val="000000"/>
          <w:sz w:val="20"/>
        </w:rPr>
        <w:t xml:space="preserve"> [2017] VSCA 273, [54]</w:t>
      </w:r>
      <w:r w:rsidRPr="00B1063D">
        <w:rPr>
          <w:rFonts w:ascii="Arial" w:hAnsi="Arial" w:cs="Arial"/>
          <w:color w:val="000000"/>
          <w:sz w:val="20"/>
        </w:rPr>
        <w:t>. There is no minimum term under a YJC order, and all Youth Justice Centre inmates are immediately eligible for parole.</w:t>
      </w:r>
    </w:p>
    <w:p w14:paraId="350F6457" w14:textId="77777777" w:rsidR="00F93540" w:rsidRDefault="0081231F" w:rsidP="00F93540">
      <w:pPr>
        <w:spacing w:before="60"/>
        <w:ind w:left="567" w:right="567"/>
        <w:jc w:val="both"/>
        <w:rPr>
          <w:rFonts w:ascii="Arial" w:hAnsi="Arial" w:cs="Arial"/>
          <w:color w:val="000000"/>
          <w:sz w:val="20"/>
        </w:rPr>
      </w:pPr>
      <w:r>
        <w:rPr>
          <w:rFonts w:ascii="Arial" w:hAnsi="Arial" w:cs="Arial"/>
          <w:color w:val="000000"/>
          <w:sz w:val="20"/>
        </w:rPr>
        <w:t>[42]</w:t>
      </w:r>
      <w:r w:rsidRPr="00B1063D">
        <w:rPr>
          <w:rFonts w:ascii="Arial" w:hAnsi="Arial" w:cs="Arial"/>
          <w:color w:val="000000"/>
          <w:sz w:val="20"/>
        </w:rPr>
        <w:t xml:space="preserve"> </w:t>
      </w:r>
      <w:r>
        <w:rPr>
          <w:rFonts w:ascii="Arial" w:hAnsi="Arial" w:cs="Arial"/>
          <w:color w:val="000000"/>
          <w:sz w:val="20"/>
        </w:rPr>
        <w:t xml:space="preserve">It has been said </w:t>
      </w:r>
      <w:r w:rsidR="00B1063D" w:rsidRPr="00B1063D">
        <w:rPr>
          <w:rFonts w:ascii="Arial" w:hAnsi="Arial" w:cs="Arial"/>
          <w:color w:val="000000"/>
          <w:sz w:val="20"/>
        </w:rPr>
        <w:t>that a YJC order is an ‘inherently less onerous sentence than a sentence of imprisonment to be served in an adult prison and it reflects the premium which the judge placed on rehabilitation’</w:t>
      </w:r>
      <w:r w:rsidR="00F93540">
        <w:rPr>
          <w:rFonts w:ascii="Arial" w:hAnsi="Arial" w:cs="Arial"/>
          <w:color w:val="000000"/>
          <w:sz w:val="20"/>
        </w:rPr>
        <w:t xml:space="preserve">: </w:t>
      </w:r>
      <w:r w:rsidR="00F93540" w:rsidRPr="00F93540">
        <w:rPr>
          <w:rFonts w:ascii="Arial" w:hAnsi="Arial" w:cs="Arial"/>
          <w:i/>
          <w:iCs/>
          <w:color w:val="000000"/>
          <w:sz w:val="20"/>
        </w:rPr>
        <w:t>Gosland v The Queen</w:t>
      </w:r>
      <w:r w:rsidR="00F93540">
        <w:rPr>
          <w:rFonts w:ascii="Arial" w:hAnsi="Arial" w:cs="Arial"/>
          <w:color w:val="000000"/>
          <w:sz w:val="20"/>
        </w:rPr>
        <w:t xml:space="preserve"> [2013] VSCA 269, [30]</w:t>
      </w:r>
      <w:r w:rsidR="00B1063D" w:rsidRPr="00B1063D">
        <w:rPr>
          <w:rFonts w:ascii="Arial" w:hAnsi="Arial" w:cs="Arial"/>
          <w:color w:val="000000"/>
          <w:sz w:val="20"/>
        </w:rPr>
        <w:t>.</w:t>
      </w:r>
      <w:r w:rsidR="00F93540">
        <w:rPr>
          <w:rFonts w:ascii="Arial" w:hAnsi="Arial" w:cs="Arial"/>
          <w:color w:val="000000"/>
          <w:sz w:val="20"/>
        </w:rPr>
        <w:t xml:space="preserve"> </w:t>
      </w:r>
      <w:r w:rsidR="00B1063D" w:rsidRPr="00B1063D">
        <w:rPr>
          <w:rFonts w:ascii="Arial" w:hAnsi="Arial" w:cs="Arial"/>
          <w:color w:val="000000"/>
          <w:sz w:val="20"/>
        </w:rPr>
        <w:t xml:space="preserve">In </w:t>
      </w:r>
      <w:r w:rsidR="00B1063D" w:rsidRPr="00F93540">
        <w:rPr>
          <w:rFonts w:ascii="Arial" w:hAnsi="Arial" w:cs="Arial"/>
          <w:i/>
          <w:iCs/>
          <w:color w:val="000000"/>
          <w:sz w:val="20"/>
        </w:rPr>
        <w:t>Moresco v The Queen</w:t>
      </w:r>
      <w:r w:rsidR="00F93540">
        <w:rPr>
          <w:rFonts w:ascii="Arial" w:hAnsi="Arial" w:cs="Arial"/>
          <w:color w:val="000000"/>
          <w:sz w:val="20"/>
        </w:rPr>
        <w:t xml:space="preserve"> [2018] VSCA 336 at [51]</w:t>
      </w:r>
      <w:r w:rsidR="00B1063D" w:rsidRPr="00B1063D">
        <w:rPr>
          <w:rFonts w:ascii="Arial" w:hAnsi="Arial" w:cs="Arial"/>
          <w:color w:val="000000"/>
          <w:sz w:val="20"/>
        </w:rPr>
        <w:t xml:space="preserve"> this Court said:</w:t>
      </w:r>
    </w:p>
    <w:p w14:paraId="6D771E34" w14:textId="14C2B90E" w:rsidR="00F93540" w:rsidRPr="00F93540" w:rsidRDefault="00F93540" w:rsidP="00F93540">
      <w:pPr>
        <w:spacing w:before="60"/>
        <w:ind w:left="1021" w:right="1021"/>
        <w:jc w:val="both"/>
        <w:rPr>
          <w:rFonts w:ascii="Arial" w:hAnsi="Arial" w:cs="Arial"/>
          <w:color w:val="000000"/>
          <w:sz w:val="18"/>
          <w:szCs w:val="22"/>
        </w:rPr>
      </w:pPr>
      <w:r w:rsidRPr="00F93540">
        <w:rPr>
          <w:rFonts w:ascii="Arial" w:hAnsi="Arial" w:cs="Arial"/>
          <w:color w:val="000000"/>
          <w:sz w:val="18"/>
          <w:szCs w:val="22"/>
        </w:rPr>
        <w:t xml:space="preserve">'[T]he applicant will serve his sentence, with other young inmates, in a Youth Justice Centre. Such an institution is, by its nature, also punitive, but its focus is on the development and rehabilitation of its detainees. Specifically, s 478(c)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for the establishment of youth justice centres “for the care and welfare of persons” who are ordered to be detained under the </w:t>
      </w:r>
      <w:r w:rsidRPr="00F93540">
        <w:rPr>
          <w:rFonts w:ascii="Arial" w:hAnsi="Arial" w:cs="Arial"/>
          <w:i/>
          <w:iCs/>
          <w:color w:val="000000"/>
          <w:sz w:val="18"/>
          <w:szCs w:val="22"/>
        </w:rPr>
        <w:t>Sentencing Act 1991</w:t>
      </w:r>
      <w:r w:rsidRPr="00F93540">
        <w:rPr>
          <w:rFonts w:ascii="Arial" w:hAnsi="Arial" w:cs="Arial"/>
          <w:color w:val="000000"/>
          <w:sz w:val="18"/>
          <w:szCs w:val="22"/>
        </w:rPr>
        <w:t xml:space="preserve"> or the </w:t>
      </w:r>
      <w:r w:rsidRPr="00F93540">
        <w:rPr>
          <w:rFonts w:ascii="Arial" w:hAnsi="Arial" w:cs="Arial"/>
          <w:i/>
          <w:iCs/>
          <w:color w:val="000000"/>
          <w:sz w:val="18"/>
          <w:szCs w:val="22"/>
        </w:rPr>
        <w:t>Crimes (Mental Impairment and Unfitness to be Tried) Act 1997</w:t>
      </w:r>
      <w:r w:rsidRPr="00F93540">
        <w:rPr>
          <w:rFonts w:ascii="Arial" w:hAnsi="Arial" w:cs="Arial"/>
          <w:color w:val="000000"/>
          <w:sz w:val="18"/>
          <w:szCs w:val="22"/>
        </w:rPr>
        <w:t xml:space="preserve">. Likewise, section 482(2)(a)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that persons, who are detained in such a centre, “are entitled to have their developmental needs catered for”.</w:t>
      </w:r>
    </w:p>
    <w:p w14:paraId="79966BCE" w14:textId="5C2CD807" w:rsidR="00F93540" w:rsidRDefault="00F93540" w:rsidP="00F93540">
      <w:pPr>
        <w:spacing w:before="60"/>
        <w:ind w:left="567" w:right="567"/>
        <w:jc w:val="both"/>
        <w:rPr>
          <w:rFonts w:ascii="Arial" w:hAnsi="Arial" w:cs="Arial"/>
          <w:color w:val="000000"/>
          <w:sz w:val="20"/>
        </w:rPr>
      </w:pPr>
      <w:r>
        <w:rPr>
          <w:rFonts w:ascii="Arial" w:hAnsi="Arial" w:cs="Arial"/>
          <w:color w:val="000000"/>
          <w:sz w:val="20"/>
        </w:rPr>
        <w:t>[43] Sections 32(1)-(2) of the [Sentencing] Act provide:</w:t>
      </w:r>
    </w:p>
    <w:p w14:paraId="659C6F35" w14:textId="6C861300" w:rsidR="00F93540" w:rsidRPr="00F93540" w:rsidRDefault="00B1063D" w:rsidP="00F93540">
      <w:pPr>
        <w:pStyle w:val="ListParagraph"/>
        <w:numPr>
          <w:ilvl w:val="0"/>
          <w:numId w:val="139"/>
        </w:numPr>
        <w:spacing w:before="60"/>
        <w:ind w:left="1378" w:right="1021" w:hanging="357"/>
        <w:jc w:val="both"/>
        <w:rPr>
          <w:rFonts w:ascii="Arial" w:hAnsi="Arial" w:cs="Arial"/>
          <w:color w:val="000000"/>
          <w:sz w:val="20"/>
        </w:rPr>
      </w:pPr>
      <w:r w:rsidRPr="00F93540">
        <w:rPr>
          <w:rFonts w:ascii="Arial" w:hAnsi="Arial" w:cs="Arial"/>
          <w:color w:val="000000"/>
          <w:sz w:val="18"/>
          <w:szCs w:val="22"/>
        </w:rPr>
        <w:t>Subject to subsections (2A), (2B), (2C) and (2D), if a sentence involving confinement is justified in respect of a young offender a court may make a youth justice centre order or a youth residential centre order if it has received a pre-sentence report and—</w:t>
      </w:r>
    </w:p>
    <w:p w14:paraId="17045841" w14:textId="49EDE8DE" w:rsidR="00303CCD" w:rsidRDefault="00B1063D" w:rsidP="00303CCD">
      <w:pPr>
        <w:pStyle w:val="ListParagraph"/>
        <w:numPr>
          <w:ilvl w:val="0"/>
          <w:numId w:val="140"/>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there are reasonable prospects for the rehabilitation of the young offender; or</w:t>
      </w:r>
    </w:p>
    <w:p w14:paraId="489CA806" w14:textId="59DD1F59" w:rsidR="00303CCD" w:rsidRDefault="00303CCD" w:rsidP="00303CCD">
      <w:pPr>
        <w:pStyle w:val="ListParagraph"/>
        <w:numPr>
          <w:ilvl w:val="0"/>
          <w:numId w:val="140"/>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 young offender is particularly impressionable, immature or likely to be subjected to undesirable influences in an adult prison.</w:t>
      </w:r>
    </w:p>
    <w:p w14:paraId="45CBBC01" w14:textId="4A3649D9" w:rsidR="00303CCD" w:rsidRPr="00303CCD" w:rsidRDefault="00303CCD" w:rsidP="00303CCD">
      <w:pPr>
        <w:pStyle w:val="ListParagraph"/>
        <w:numPr>
          <w:ilvl w:val="0"/>
          <w:numId w:val="139"/>
        </w:numPr>
        <w:spacing w:before="60"/>
        <w:ind w:left="1378" w:right="1021" w:hanging="357"/>
        <w:jc w:val="both"/>
        <w:rPr>
          <w:rFonts w:ascii="Arial" w:hAnsi="Arial" w:cs="Arial"/>
          <w:color w:val="000000"/>
          <w:sz w:val="18"/>
          <w:szCs w:val="22"/>
        </w:rPr>
      </w:pPr>
      <w:r w:rsidRPr="00303CCD">
        <w:rPr>
          <w:rFonts w:ascii="Arial" w:hAnsi="Arial" w:cs="Arial"/>
          <w:color w:val="000000"/>
          <w:sz w:val="18"/>
          <w:szCs w:val="22"/>
        </w:rPr>
        <w:t>In determining whether to make a youth justice centre order or a youth residential centre order, a court must have regard to—</w:t>
      </w:r>
    </w:p>
    <w:p w14:paraId="51DF3129" w14:textId="77777777" w:rsidR="00303CCD" w:rsidRPr="00303CCD" w:rsidRDefault="00303CCD" w:rsidP="00303CCD">
      <w:pPr>
        <w:pStyle w:val="ListParagraph"/>
        <w:numPr>
          <w:ilvl w:val="0"/>
          <w:numId w:val="141"/>
        </w:numPr>
        <w:spacing w:before="60"/>
        <w:ind w:right="1021"/>
        <w:jc w:val="both"/>
        <w:rPr>
          <w:rFonts w:ascii="Arial" w:hAnsi="Arial" w:cs="Arial"/>
          <w:color w:val="000000"/>
          <w:sz w:val="16"/>
          <w:szCs w:val="20"/>
        </w:rPr>
      </w:pPr>
      <w:r w:rsidRPr="00303CCD">
        <w:rPr>
          <w:rFonts w:ascii="Arial" w:hAnsi="Arial" w:cs="Arial"/>
          <w:color w:val="000000"/>
          <w:sz w:val="18"/>
          <w:szCs w:val="22"/>
        </w:rPr>
        <w:t>the nature of the offence; and</w:t>
      </w:r>
    </w:p>
    <w:p w14:paraId="344AF83B" w14:textId="5D53BC97" w:rsidR="00303CCD" w:rsidRPr="00303CCD" w:rsidRDefault="00303CCD" w:rsidP="00303CCD">
      <w:pPr>
        <w:pStyle w:val="ListParagraph"/>
        <w:numPr>
          <w:ilvl w:val="0"/>
          <w:numId w:val="141"/>
        </w:numPr>
        <w:spacing w:before="60"/>
        <w:ind w:right="1021"/>
        <w:jc w:val="both"/>
        <w:rPr>
          <w:rFonts w:ascii="Arial" w:hAnsi="Arial" w:cs="Arial"/>
          <w:color w:val="000000"/>
          <w:sz w:val="16"/>
          <w:szCs w:val="20"/>
        </w:rPr>
      </w:pPr>
      <w:r w:rsidRPr="00303CCD">
        <w:rPr>
          <w:rFonts w:ascii="Arial" w:hAnsi="Arial" w:cs="Arial"/>
          <w:color w:val="000000"/>
          <w:sz w:val="18"/>
          <w:szCs w:val="22"/>
        </w:rPr>
        <w:t>the age, character and past history of the young offender.</w:t>
      </w:r>
    </w:p>
    <w:p w14:paraId="3BFF69EE"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 xml:space="preserve">[44] Thus, </w:t>
      </w:r>
      <w:r w:rsidR="00B1063D" w:rsidRPr="00303CCD">
        <w:rPr>
          <w:rFonts w:ascii="Arial" w:hAnsi="Arial" w:cs="Arial"/>
          <w:color w:val="000000"/>
          <w:sz w:val="20"/>
        </w:rPr>
        <w:t xml:space="preserve">s 32 permits, but does not require, a court to make a YJC order if the conditions enlivening the power to make one are met. But the conditions themselves point to the </w:t>
      </w:r>
      <w:r w:rsidR="00B1063D" w:rsidRPr="00303CCD">
        <w:rPr>
          <w:rFonts w:ascii="Arial" w:hAnsi="Arial" w:cs="Arial"/>
          <w:i/>
          <w:iCs/>
          <w:color w:val="000000"/>
          <w:sz w:val="20"/>
        </w:rPr>
        <w:t>purpose</w:t>
      </w:r>
      <w:r w:rsidR="00B1063D" w:rsidRPr="00303CCD">
        <w:rPr>
          <w:rFonts w:ascii="Arial" w:hAnsi="Arial" w:cs="Arial"/>
          <w:color w:val="000000"/>
          <w:sz w:val="20"/>
        </w:rPr>
        <w:t xml:space="preserve"> of the exercise of the discretion.</w:t>
      </w:r>
    </w:p>
    <w:p w14:paraId="1802B4F2"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45</w:t>
      </w:r>
      <w:r>
        <w:rPr>
          <w:rFonts w:ascii="Arial" w:hAnsi="Arial" w:cs="Arial"/>
          <w:color w:val="000000"/>
          <w:sz w:val="20"/>
        </w:rPr>
        <w:t>]</w:t>
      </w:r>
      <w:r w:rsidR="00B1063D" w:rsidRPr="00303CCD">
        <w:rPr>
          <w:rFonts w:ascii="Arial" w:hAnsi="Arial" w:cs="Arial"/>
          <w:color w:val="000000"/>
          <w:sz w:val="20"/>
        </w:rPr>
        <w:t xml:space="preserve"> That purpose is apparent because such an order is appropriate (not mandatory) if an offender has reasonable prospects of rehabilitation or if, due to his or her impressionable nature, is likely to be subject to undesirable influences in adult prison. These criteria reflect both positive and negative factors relevant to achieving the goal of rehabilitation. On the positive side, there may be favourable prospects of rehabilitation (for example, a willingness to be rehabilitated, or the offender’s criminality is not entrenched). On the negative side, there may be the risk that, if imprisoned in an adult prison, the young offender will be exposed to experienced adult offenders who might increase the young offender’s criminal knowledge and so their possibility of re-offending.</w:t>
      </w:r>
    </w:p>
    <w:p w14:paraId="2D48784A" w14:textId="2FDFEC84" w:rsidR="00B1063D" w:rsidRPr="00303CCD" w:rsidRDefault="00303CCD" w:rsidP="00541387">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46</w:t>
      </w:r>
      <w:r>
        <w:rPr>
          <w:rFonts w:ascii="Arial" w:hAnsi="Arial" w:cs="Arial"/>
          <w:color w:val="000000"/>
          <w:sz w:val="20"/>
        </w:rPr>
        <w:t>]</w:t>
      </w:r>
      <w:r w:rsidR="00B1063D" w:rsidRPr="00303CCD">
        <w:rPr>
          <w:rFonts w:ascii="Arial" w:hAnsi="Arial" w:cs="Arial"/>
          <w:color w:val="000000"/>
          <w:sz w:val="20"/>
        </w:rPr>
        <w:t xml:space="preserve"> Thus, the choice of a YJC order over adult prison is to be influenced by the relative priority to be given to rehabilitation for those who are at a particularly strategic time in their lives, when influences especially matter. That level of priority is to be assessed on a scale that takes into account the individual offender’s need and suitability for rehabilitation in a specifically youth-focused and less-onerous environment.</w:t>
      </w:r>
      <w:r>
        <w:rPr>
          <w:rFonts w:ascii="Arial" w:hAnsi="Arial" w:cs="Arial"/>
          <w:color w:val="000000"/>
          <w:sz w:val="20"/>
        </w:rPr>
        <w:t>”</w:t>
      </w:r>
    </w:p>
    <w:p w14:paraId="03536771" w14:textId="77777777" w:rsidR="00B1063D" w:rsidRPr="001C6E0E" w:rsidRDefault="00B1063D" w:rsidP="00541387">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14" w:name="_11.2.6_Parity_of"/>
      <w:bookmarkStart w:id="515" w:name="_Toc30674205"/>
      <w:bookmarkStart w:id="516" w:name="_Toc30691472"/>
      <w:bookmarkStart w:id="517" w:name="_Toc30691852"/>
      <w:bookmarkStart w:id="518" w:name="_Toc30692232"/>
      <w:bookmarkStart w:id="519" w:name="_Toc30692990"/>
      <w:bookmarkStart w:id="520" w:name="_Toc30693369"/>
      <w:bookmarkStart w:id="521" w:name="_Toc30693747"/>
      <w:bookmarkStart w:id="522" w:name="_Toc30694125"/>
      <w:bookmarkStart w:id="523" w:name="_Toc30694506"/>
      <w:bookmarkStart w:id="524" w:name="_Toc30699096"/>
      <w:bookmarkStart w:id="525" w:name="_Toc30699481"/>
      <w:bookmarkStart w:id="526" w:name="_Toc30699866"/>
      <w:bookmarkStart w:id="527" w:name="_Toc30701021"/>
      <w:bookmarkStart w:id="528" w:name="_Toc30701408"/>
      <w:bookmarkStart w:id="529" w:name="_Toc30744015"/>
      <w:bookmarkStart w:id="530" w:name="_Toc30754838"/>
      <w:bookmarkStart w:id="531" w:name="_Toc30757294"/>
      <w:bookmarkStart w:id="532" w:name="_Toc30757842"/>
      <w:bookmarkStart w:id="533" w:name="_Toc30758242"/>
      <w:bookmarkStart w:id="534" w:name="_Toc30763002"/>
      <w:bookmarkStart w:id="535" w:name="_Toc30767656"/>
      <w:bookmarkStart w:id="536" w:name="_Toc34823674"/>
      <w:bookmarkStart w:id="537" w:name="_Toc107101751"/>
      <w:bookmarkEnd w:id="514"/>
      <w:r w:rsidRPr="001C6E0E">
        <w:rPr>
          <w:rFonts w:ascii="Arial" w:hAnsi="Arial" w:cs="Arial"/>
          <w:b/>
          <w:bCs/>
          <w:color w:val="000000"/>
          <w:sz w:val="20"/>
        </w:rPr>
        <w:t>11.2.6</w:t>
      </w:r>
      <w:r w:rsidRPr="001C6E0E">
        <w:rPr>
          <w:rFonts w:ascii="Arial" w:hAnsi="Arial" w:cs="Arial"/>
          <w:b/>
          <w:bCs/>
          <w:color w:val="000000"/>
          <w:sz w:val="20"/>
        </w:rPr>
        <w:tab/>
        <w:t>Parity of sentencing</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CJ, Crennan &amp; Kiefel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(1938), vol X at 649.  .  It was characterised by Kelsen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Kelsen,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Sadurski,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Lauterpacht,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 xml:space="preserve">exercise of statutory powers.  It requires, so far as the law </w:t>
      </w:r>
      <w:r w:rsidRPr="003972EF">
        <w:rPr>
          <w:rFonts w:ascii="Arial" w:hAnsi="Arial" w:cs="Arial"/>
          <w:color w:val="000000"/>
          <w:sz w:val="20"/>
          <w:szCs w:val="20"/>
        </w:rPr>
        <w:lastRenderedPageBreak/>
        <w:t>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Leeth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Postiglione v The Queen</w:t>
      </w:r>
      <w:r w:rsidRPr="003972EF">
        <w:rPr>
          <w:rFonts w:ascii="Arial" w:hAnsi="Arial" w:cs="Arial"/>
          <w:color w:val="000000"/>
          <w:sz w:val="20"/>
          <w:szCs w:val="20"/>
        </w:rPr>
        <w:t xml:space="preserve"> (1997) 189 CLR 295 at 301 per Dawson and Gaudron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R v Tien &amp; Ors</w:t>
      </w:r>
      <w:r w:rsidRPr="001C6E0E">
        <w:rPr>
          <w:rFonts w:ascii="Arial" w:hAnsi="Arial" w:cs="Arial"/>
          <w:color w:val="000000"/>
          <w:sz w:val="20"/>
          <w:szCs w:val="20"/>
        </w:rPr>
        <w:t xml:space="preserve"> [1998] VSCA 6, [39] (Tadgell JA)</w:t>
      </w:r>
      <w:r w:rsidRPr="001C6E0E">
        <w:rPr>
          <w:rFonts w:ascii="Arial" w:hAnsi="Arial" w:cs="Arial"/>
          <w:color w:val="000000"/>
          <w:sz w:val="20"/>
        </w:rPr>
        <w:t xml:space="preserve">.  As Vincent JA stated in </w:t>
      </w:r>
      <w:r w:rsidRPr="001C6E0E">
        <w:rPr>
          <w:rFonts w:ascii="Arial" w:hAnsi="Arial" w:cs="Arial"/>
          <w:i/>
          <w:color w:val="000000"/>
          <w:sz w:val="20"/>
        </w:rPr>
        <w:t>R v Jovica Djukic</w:t>
      </w:r>
      <w:r w:rsidRPr="001C6E0E">
        <w:rPr>
          <w:rFonts w:ascii="Arial" w:hAnsi="Arial" w:cs="Arial"/>
          <w:color w:val="000000"/>
          <w:sz w:val="16"/>
        </w:rPr>
        <w:t xml:space="preserve"> </w:t>
      </w:r>
      <w:r w:rsidRPr="001C6E0E">
        <w:rPr>
          <w:rFonts w:ascii="Arial" w:hAnsi="Arial" w:cs="Arial"/>
          <w:color w:val="000000"/>
          <w:sz w:val="20"/>
        </w:rPr>
        <w:t>[2001] VSCA 226, [25]–[26]: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(Gaudron, Gummow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cooffenders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5263B9" w:rsidRDefault="00075155" w:rsidP="00075155">
      <w:pPr>
        <w:spacing w:before="60"/>
        <w:ind w:left="1021" w:right="1021"/>
        <w:jc w:val="both"/>
        <w:rPr>
          <w:rFonts w:ascii="Arial" w:hAnsi="Arial" w:cs="Arial"/>
          <w:color w:val="000000"/>
          <w:sz w:val="20"/>
          <w:szCs w:val="20"/>
        </w:rPr>
      </w:pPr>
      <w:r w:rsidRPr="005263B9">
        <w:rPr>
          <w:rFonts w:ascii="Arial" w:hAnsi="Arial" w:cs="Arial"/>
          <w:color w:val="000000"/>
          <w:sz w:val="20"/>
          <w:szCs w:val="20"/>
        </w:rPr>
        <w:t xml:space="preserve">‘The principles governing parity are well-established: </w:t>
      </w:r>
      <w:r>
        <w:rPr>
          <w:rFonts w:ascii="Arial" w:hAnsi="Arial" w:cs="Arial"/>
          <w:color w:val="000000"/>
          <w:sz w:val="20"/>
          <w:szCs w:val="20"/>
        </w:rPr>
        <w:t>s</w:t>
      </w:r>
      <w:r w:rsidRPr="005263B9">
        <w:rPr>
          <w:rFonts w:ascii="Arial" w:hAnsi="Arial" w:cs="Arial"/>
          <w:color w:val="000000"/>
          <w:sz w:val="20"/>
          <w:szCs w:val="20"/>
        </w:rPr>
        <w:t xml:space="preserve">ee </w:t>
      </w:r>
      <w:r w:rsidRPr="005263B9">
        <w:rPr>
          <w:rFonts w:ascii="Arial" w:hAnsi="Arial" w:cs="Arial"/>
          <w:i/>
          <w:iCs/>
          <w:color w:val="000000"/>
          <w:sz w:val="20"/>
          <w:szCs w:val="20"/>
        </w:rPr>
        <w:t>Khoa v The Queen</w:t>
      </w:r>
      <w:r w:rsidRPr="005263B9">
        <w:rPr>
          <w:rFonts w:ascii="Arial" w:hAnsi="Arial" w:cs="Arial"/>
          <w:color w:val="000000"/>
          <w:sz w:val="20"/>
          <w:szCs w:val="20"/>
        </w:rPr>
        <w:t xml:space="preserve"> [2015] VSCA 80; </w:t>
      </w:r>
      <w:r w:rsidRPr="005263B9">
        <w:rPr>
          <w:rFonts w:ascii="Arial" w:hAnsi="Arial" w:cs="Arial"/>
          <w:i/>
          <w:iCs/>
          <w:color w:val="000000"/>
          <w:sz w:val="20"/>
          <w:szCs w:val="20"/>
        </w:rPr>
        <w:t>McCloskey-Sharp v The Queen</w:t>
      </w:r>
      <w:r w:rsidRPr="005263B9">
        <w:rPr>
          <w:rFonts w:ascii="Arial" w:hAnsi="Arial" w:cs="Arial"/>
          <w:color w:val="000000"/>
          <w:sz w:val="20"/>
          <w:szCs w:val="20"/>
        </w:rPr>
        <w:t xml:space="preserve"> [2015] VSCA 87; </w:t>
      </w:r>
      <w:r w:rsidRPr="005263B9">
        <w:rPr>
          <w:rFonts w:ascii="Arial" w:hAnsi="Arial" w:cs="Arial"/>
          <w:i/>
          <w:iCs/>
          <w:color w:val="000000"/>
          <w:sz w:val="20"/>
          <w:szCs w:val="20"/>
        </w:rPr>
        <w:t>Roujnikov v The Queen</w:t>
      </w:r>
      <w:r w:rsidRPr="005263B9">
        <w:rPr>
          <w:rFonts w:ascii="Arial" w:hAnsi="Arial" w:cs="Arial"/>
          <w:color w:val="000000"/>
          <w:sz w:val="20"/>
          <w:szCs w:val="20"/>
        </w:rPr>
        <w:t xml:space="preserve"> [2015] VSCA 97 [24]–[25]</w:t>
      </w:r>
      <w:r>
        <w:rPr>
          <w:rFonts w:ascii="Arial" w:hAnsi="Arial" w:cs="Arial"/>
          <w:color w:val="000000"/>
          <w:sz w:val="20"/>
          <w:szCs w:val="20"/>
        </w:rPr>
        <w:t>.</w:t>
      </w:r>
      <w:r w:rsidRPr="005263B9">
        <w:rPr>
          <w:rFonts w:ascii="Arial" w:hAnsi="Arial" w:cs="Arial"/>
          <w:color w:val="000000"/>
          <w:sz w:val="20"/>
          <w:szCs w:val="20"/>
        </w:rPr>
        <w:t xml:space="preserve">  Equal justice requires that like offences be treated alike, but also that relevant differences between offenders be capable of being treated as justifying different outcomes.  If there is a </w:t>
      </w:r>
      <w:r>
        <w:rPr>
          <w:rFonts w:ascii="Arial" w:hAnsi="Arial" w:cs="Arial"/>
          <w:color w:val="000000"/>
          <w:sz w:val="20"/>
          <w:szCs w:val="20"/>
        </w:rPr>
        <w:t>“</w:t>
      </w:r>
      <w:r w:rsidRPr="005263B9">
        <w:rPr>
          <w:rFonts w:ascii="Arial" w:hAnsi="Arial" w:cs="Arial"/>
          <w:color w:val="000000"/>
          <w:sz w:val="20"/>
          <w:szCs w:val="20"/>
        </w:rPr>
        <w:t>marked</w:t>
      </w:r>
      <w:r>
        <w:rPr>
          <w:rFonts w:ascii="Arial" w:hAnsi="Arial" w:cs="Arial"/>
          <w:color w:val="000000"/>
          <w:sz w:val="20"/>
          <w:szCs w:val="20"/>
        </w:rPr>
        <w:t>”</w:t>
      </w:r>
      <w:r w:rsidRPr="005263B9">
        <w:rPr>
          <w:rFonts w:ascii="Arial" w:hAnsi="Arial" w:cs="Arial"/>
          <w:color w:val="000000"/>
          <w:sz w:val="20"/>
          <w:szCs w:val="20"/>
        </w:rPr>
        <w:t xml:space="preserve"> or ‘manifest’ disparity between sentences which gives rise to a justifiable sense of grievance on an appellant’s part, then the principle of parity may be said to have been infringed</w:t>
      </w:r>
      <w:r>
        <w:rPr>
          <w:rFonts w:ascii="Arial" w:hAnsi="Arial" w:cs="Arial"/>
          <w:color w:val="000000"/>
          <w:sz w:val="20"/>
          <w:szCs w:val="20"/>
        </w:rPr>
        <w:t xml:space="preserve">: </w:t>
      </w:r>
      <w:r w:rsidRPr="005263B9">
        <w:rPr>
          <w:rFonts w:ascii="Arial" w:hAnsi="Arial" w:cs="Arial"/>
          <w:i/>
          <w:iCs/>
          <w:color w:val="000000"/>
          <w:sz w:val="20"/>
          <w:szCs w:val="20"/>
        </w:rPr>
        <w:t>Lowe v The Queen</w:t>
      </w:r>
      <w:r w:rsidRPr="005263B9">
        <w:rPr>
          <w:rFonts w:ascii="Arial" w:hAnsi="Arial" w:cs="Arial"/>
          <w:color w:val="000000"/>
          <w:sz w:val="20"/>
          <w:szCs w:val="20"/>
        </w:rPr>
        <w:t xml:space="preserve"> (1984) 154 CLR 606;  </w:t>
      </w:r>
      <w:r w:rsidRPr="005263B9">
        <w:rPr>
          <w:rFonts w:ascii="Arial" w:hAnsi="Arial" w:cs="Arial"/>
          <w:i/>
          <w:iCs/>
          <w:color w:val="000000"/>
          <w:sz w:val="20"/>
          <w:szCs w:val="20"/>
        </w:rPr>
        <w:t>R v Postiglione</w:t>
      </w:r>
      <w:r w:rsidRPr="005263B9">
        <w:rPr>
          <w:rFonts w:ascii="Arial" w:hAnsi="Arial" w:cs="Arial"/>
          <w:color w:val="000000"/>
          <w:sz w:val="20"/>
          <w:szCs w:val="20"/>
        </w:rPr>
        <w:t xml:space="preserve"> (1997) 189 CLR 295;  </w:t>
      </w:r>
      <w:r w:rsidRPr="005263B9">
        <w:rPr>
          <w:rFonts w:ascii="Arial" w:hAnsi="Arial" w:cs="Arial"/>
          <w:i/>
          <w:iCs/>
          <w:color w:val="000000"/>
          <w:sz w:val="20"/>
          <w:szCs w:val="20"/>
        </w:rPr>
        <w:t>Green v The Queen</w:t>
      </w:r>
      <w:r w:rsidRPr="005263B9">
        <w:rPr>
          <w:rFonts w:ascii="Arial" w:hAnsi="Arial" w:cs="Arial"/>
          <w:color w:val="000000"/>
          <w:sz w:val="20"/>
          <w:szCs w:val="20"/>
        </w:rPr>
        <w:t xml:space="preserve"> (2011) 244 CLR 462.15  However, no justifiable sense of grievance can be said to arise where it was reasonably open to the sentencing judge to differentiate between co-offenders in the way in which he or she did</w:t>
      </w:r>
      <w:r>
        <w:rPr>
          <w:rFonts w:ascii="Arial" w:hAnsi="Arial" w:cs="Arial"/>
          <w:color w:val="000000"/>
          <w:sz w:val="20"/>
          <w:szCs w:val="20"/>
        </w:rPr>
        <w:t xml:space="preserve">: </w:t>
      </w:r>
      <w:r w:rsidRPr="005263B9">
        <w:rPr>
          <w:rFonts w:ascii="Arial" w:hAnsi="Arial" w:cs="Arial"/>
          <w:i/>
          <w:iCs/>
          <w:color w:val="000000"/>
          <w:sz w:val="20"/>
          <w:szCs w:val="20"/>
        </w:rPr>
        <w:t>Roujnikov</w:t>
      </w:r>
      <w:r w:rsidRPr="005263B9">
        <w:rPr>
          <w:rFonts w:ascii="Arial" w:hAnsi="Arial" w:cs="Arial"/>
          <w:color w:val="000000"/>
          <w:sz w:val="20"/>
          <w:szCs w:val="20"/>
        </w:rPr>
        <w:t xml:space="preserve"> [2015] VSCA 97, quoting </w:t>
      </w:r>
      <w:r w:rsidRPr="005263B9">
        <w:rPr>
          <w:rFonts w:ascii="Arial" w:hAnsi="Arial" w:cs="Arial"/>
          <w:i/>
          <w:iCs/>
          <w:color w:val="000000"/>
          <w:sz w:val="20"/>
          <w:szCs w:val="20"/>
        </w:rPr>
        <w:t>McCloskey-Sharp</w:t>
      </w:r>
      <w:r w:rsidRPr="005263B9">
        <w:rPr>
          <w:rFonts w:ascii="Arial" w:hAnsi="Arial" w:cs="Arial"/>
          <w:color w:val="000000"/>
          <w:sz w:val="20"/>
          <w:szCs w:val="20"/>
        </w:rPr>
        <w:t xml:space="preserve"> </w:t>
      </w:r>
      <w:r w:rsidRPr="005263B9">
        <w:rPr>
          <w:rFonts w:ascii="Arial" w:hAnsi="Arial" w:cs="Arial"/>
          <w:color w:val="000000"/>
          <w:sz w:val="20"/>
          <w:szCs w:val="20"/>
        </w:rPr>
        <w:lastRenderedPageBreak/>
        <w:t>[2015] VSCA 87 [17] (Osborn JA).  When an appellate court considers whether it was open to the sentencing judge to differentiate, or not differentiate, in the way he or she did, the approach is relevantly analogous to that which arises where it is said that a sentence is manifestly excessive</w:t>
      </w:r>
      <w:r>
        <w:rPr>
          <w:rFonts w:ascii="Arial" w:hAnsi="Arial" w:cs="Arial"/>
          <w:color w:val="000000"/>
          <w:sz w:val="20"/>
          <w:szCs w:val="20"/>
        </w:rPr>
        <w:t xml:space="preserve">: </w:t>
      </w:r>
      <w:r w:rsidRPr="00494C2B">
        <w:rPr>
          <w:rFonts w:ascii="Arial" w:hAnsi="Arial" w:cs="Arial"/>
          <w:i/>
          <w:iCs/>
          <w:color w:val="000000"/>
          <w:sz w:val="20"/>
          <w:szCs w:val="20"/>
        </w:rPr>
        <w:t>Hilder v The Queen</w:t>
      </w:r>
      <w:r w:rsidRPr="00494C2B">
        <w:rPr>
          <w:rFonts w:ascii="Arial" w:hAnsi="Arial" w:cs="Arial"/>
          <w:color w:val="000000"/>
          <w:sz w:val="20"/>
          <w:szCs w:val="20"/>
        </w:rPr>
        <w:t xml:space="preserve"> [2011] VSCA 192 [38]–[39] (Maxwell P).</w:t>
      </w:r>
      <w:r>
        <w:rPr>
          <w:rFonts w:ascii="Arial" w:hAnsi="Arial" w:cs="Arial"/>
          <w:color w:val="000000"/>
          <w:sz w:val="20"/>
          <w:szCs w:val="20"/>
        </w:rPr>
        <w:t>’”</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Dodds-Streeton JA (with whom Ashley JA &amp; Lasry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r w:rsidRPr="003026DD">
        <w:rPr>
          <w:rFonts w:ascii="Arial" w:hAnsi="Arial" w:cs="Arial"/>
          <w:i/>
          <w:iCs/>
          <w:color w:val="000000"/>
          <w:sz w:val="20"/>
        </w:rPr>
        <w:t>Nipoe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Crennan and Kiefel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(Gaudron, Gummow and Hayne JJ) (emphasis in original), and </w:t>
      </w:r>
      <w:r w:rsidRPr="006034BB">
        <w:rPr>
          <w:rFonts w:ascii="Arial" w:eastAsia="Book Antiqua" w:hAnsi="Arial" w:cs="Arial"/>
          <w:i/>
          <w:sz w:val="20"/>
          <w:szCs w:val="20"/>
        </w:rPr>
        <w:t xml:space="preserve">R v Djukic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6034BB" w:rsidRDefault="00075155" w:rsidP="00075155">
      <w:pPr>
        <w:spacing w:before="60"/>
        <w:ind w:left="1021" w:right="1021"/>
        <w:jc w:val="both"/>
        <w:rPr>
          <w:rFonts w:ascii="Arial" w:hAnsi="Arial" w:cs="Arial"/>
          <w:sz w:val="20"/>
          <w:szCs w:val="20"/>
        </w:rPr>
      </w:pPr>
      <w:r>
        <w:rPr>
          <w:rFonts w:ascii="Arial" w:hAnsi="Arial" w:cs="Arial"/>
          <w:sz w:val="20"/>
          <w:szCs w:val="20"/>
        </w:rPr>
        <w:t>‘</w:t>
      </w:r>
      <w:r w:rsidRPr="006034BB">
        <w:rPr>
          <w:rFonts w:ascii="Arial" w:hAnsi="Arial" w:cs="Arial"/>
          <w:sz w:val="20"/>
          <w:szCs w:val="20"/>
        </w:rPr>
        <w:t>Consistency in the application of the law is a fundamental aspect of the rule of law.  In a very different context, but in terms that are relevant to discretions generally, Brennan J said that:  ‘[i]nconsistency is not merely inelegant:  it brings the process of deciding into disrepute, suggesting an arbitrariness which is incompatible with ordinary notions of justice’.  The High Court has observed that:</w:t>
      </w:r>
    </w:p>
    <w:p w14:paraId="2CA8ED85"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Consistency in the punishment of offences against the criminal law is ‘a reflection of the notion of equal justice’ and ‘is a fundamental element in any rational and fair system of justice’.</w:t>
      </w:r>
    </w:p>
    <w:p w14:paraId="67ACD7DD" w14:textId="77777777" w:rsidR="00075155" w:rsidRPr="006034BB" w:rsidRDefault="00075155" w:rsidP="00075155">
      <w:pPr>
        <w:spacing w:before="60"/>
        <w:ind w:left="1021" w:right="1021"/>
        <w:jc w:val="both"/>
        <w:rPr>
          <w:rFonts w:ascii="Arial" w:hAnsi="Arial" w:cs="Arial"/>
          <w:sz w:val="20"/>
          <w:szCs w:val="20"/>
        </w:rPr>
      </w:pPr>
      <w:r w:rsidRPr="006034BB">
        <w:rPr>
          <w:rFonts w:ascii="Arial" w:hAnsi="Arial" w:cs="Arial"/>
          <w:sz w:val="20"/>
          <w:szCs w:val="20"/>
        </w:rPr>
        <w:t>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judgments required of the primary judge in drawing distinctions between cooffenders and to recognise that:</w:t>
      </w:r>
    </w:p>
    <w:p w14:paraId="6CE21D3D"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 xml:space="preserve">Equal justice requires identity of outcome in cases that are </w:t>
      </w:r>
      <w:r w:rsidRPr="006034BB">
        <w:rPr>
          <w:rFonts w:ascii="Arial" w:eastAsia="Book Antiqua" w:hAnsi="Arial" w:cs="Arial"/>
          <w:i/>
          <w:sz w:val="20"/>
          <w:szCs w:val="20"/>
        </w:rPr>
        <w:t>relevantly</w:t>
      </w:r>
      <w:r w:rsidRPr="006034BB">
        <w:rPr>
          <w:rFonts w:ascii="Arial" w:hAnsi="Arial" w:cs="Arial"/>
          <w:sz w:val="20"/>
          <w:szCs w:val="20"/>
        </w:rPr>
        <w:t xml:space="preserve"> identical.  It requires different outcomes in cases that are different in some relevant aspect.</w:t>
      </w:r>
    </w:p>
    <w:p w14:paraId="398892D7" w14:textId="77777777" w:rsidR="00075155" w:rsidRPr="006034BB" w:rsidRDefault="00075155" w:rsidP="00075155">
      <w:pPr>
        <w:spacing w:before="60"/>
        <w:ind w:left="1021" w:right="1021"/>
        <w:jc w:val="both"/>
        <w:rPr>
          <w:rFonts w:ascii="Arial" w:hAnsi="Arial" w:cs="Arial"/>
          <w:sz w:val="20"/>
          <w:szCs w:val="20"/>
        </w:rPr>
      </w:pPr>
      <w:r w:rsidRPr="006034BB">
        <w:rPr>
          <w:rFonts w:ascii="Arial" w:hAnsi="Arial" w:cs="Arial"/>
          <w:sz w:val="20"/>
          <w:szCs w:val="20"/>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6034BB">
        <w:rPr>
          <w:rFonts w:ascii="Arial" w:eastAsia="Book Antiqua" w:hAnsi="Arial" w:cs="Arial"/>
          <w:i/>
          <w:sz w:val="20"/>
          <w:szCs w:val="20"/>
        </w:rPr>
        <w:t>R v Djukic</w:t>
      </w:r>
      <w:r w:rsidRPr="006034BB">
        <w:rPr>
          <w:rFonts w:ascii="Arial" w:hAnsi="Arial" w:cs="Arial"/>
          <w:sz w:val="20"/>
          <w:szCs w:val="20"/>
        </w:rPr>
        <w:t>:</w:t>
      </w:r>
    </w:p>
    <w:p w14:paraId="47760850"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6034BB" w:rsidRDefault="00C0005B" w:rsidP="00075155">
      <w:pPr>
        <w:spacing w:before="60"/>
        <w:ind w:left="1021" w:right="1021"/>
        <w:jc w:val="both"/>
        <w:rPr>
          <w:rFonts w:ascii="Arial" w:hAnsi="Arial" w:cs="Arial"/>
          <w:sz w:val="20"/>
          <w:szCs w:val="20"/>
        </w:rPr>
      </w:pPr>
      <w:r>
        <w:rPr>
          <w:rFonts w:ascii="Arial" w:hAnsi="Arial" w:cs="Arial"/>
          <w:sz w:val="20"/>
          <w:szCs w:val="20"/>
        </w:rPr>
        <w:t>“</w:t>
      </w:r>
      <w:r w:rsidR="00075155" w:rsidRPr="006034BB">
        <w:rPr>
          <w:rFonts w:ascii="Arial" w:hAnsi="Arial" w:cs="Arial"/>
          <w:sz w:val="20"/>
          <w:szCs w:val="20"/>
        </w:rPr>
        <w:t xml:space="preserve">Parity is an aspect of equal justice that requires like to be alike.  What will constitute ‘like’ as between co-offenders will ultimately require an evaluation </w:t>
      </w:r>
      <w:r w:rsidR="00075155" w:rsidRPr="006034BB">
        <w:rPr>
          <w:rFonts w:ascii="Arial" w:hAnsi="Arial" w:cs="Arial"/>
          <w:sz w:val="20"/>
          <w:szCs w:val="20"/>
        </w:rPr>
        <w:lastRenderedPageBreak/>
        <w:t>based on impression.  What will constitute a departure from like and the extent of that departure will require a similarly impressionistic evaluation.  Reasonable minds will inevitable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r w:rsidR="00075155">
        <w:rPr>
          <w:rFonts w:ascii="Arial" w:hAnsi="Arial" w:cs="Arial"/>
          <w:sz w:val="20"/>
          <w:szCs w:val="20"/>
        </w:rPr>
        <w:t>”</w:t>
      </w:r>
    </w:p>
    <w:p w14:paraId="5C86A637" w14:textId="77777777" w:rsidR="00075155" w:rsidRDefault="00075155">
      <w:pPr>
        <w:jc w:val="both"/>
        <w:rPr>
          <w:rFonts w:ascii="Arial" w:hAnsi="Arial" w:cs="Arial"/>
          <w:color w:val="000000"/>
          <w:sz w:val="20"/>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coaccused </w:t>
      </w:r>
      <w:r w:rsidR="00981485" w:rsidRPr="00820276">
        <w:rPr>
          <w:rFonts w:ascii="Arial" w:hAnsi="Arial" w:cs="Arial"/>
          <w:color w:val="000000"/>
          <w:sz w:val="20"/>
          <w:szCs w:val="20"/>
        </w:rPr>
        <w:t xml:space="preserve">Saptura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1C6E0E" w:rsidRDefault="00820276" w:rsidP="00820276">
      <w:pPr>
        <w:spacing w:before="60"/>
        <w:ind w:left="567" w:right="567"/>
        <w:jc w:val="both"/>
        <w:rPr>
          <w:rFonts w:ascii="Arial" w:hAnsi="Arial" w:cs="Arial"/>
          <w:color w:val="000000"/>
          <w:sz w:val="20"/>
        </w:rPr>
      </w:pPr>
      <w:r>
        <w:rPr>
          <w:rFonts w:ascii="Arial" w:hAnsi="Arial" w:cs="Arial"/>
          <w:sz w:val="20"/>
          <w:szCs w:val="20"/>
        </w:rPr>
        <w:t xml:space="preserve">[14] </w:t>
      </w:r>
      <w:r w:rsidR="002B4E29">
        <w:rPr>
          <w:rFonts w:ascii="Arial" w:hAnsi="Arial" w:cs="Arial"/>
          <w:sz w:val="20"/>
          <w:szCs w:val="20"/>
        </w:rPr>
        <w:t>“[C]</w:t>
      </w:r>
      <w:r w:rsidR="002B4E29" w:rsidRPr="002B4E29">
        <w:rPr>
          <w:rFonts w:ascii="Arial" w:hAnsi="Arial" w:cs="Arial"/>
          <w:sz w:val="20"/>
          <w:szCs w:val="20"/>
        </w:rPr>
        <w:t>omplaints of unjustifiable disparity are not the exclusive preserve of co-offenders.  On</w:t>
      </w:r>
      <w:r>
        <w:rPr>
          <w:rFonts w:ascii="Arial" w:hAnsi="Arial" w:cs="Arial"/>
          <w:sz w:val="20"/>
          <w:szCs w:val="20"/>
        </w:rPr>
        <w:t> </w:t>
      </w:r>
      <w:r w:rsidR="002B4E29" w:rsidRPr="002B4E29">
        <w:rPr>
          <w:rFonts w:ascii="Arial" w:hAnsi="Arial" w:cs="Arial"/>
          <w:sz w:val="20"/>
          <w:szCs w:val="20"/>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2B4E29">
        <w:rPr>
          <w:rFonts w:ascii="Arial" w:eastAsia="Book Antiqua" w:hAnsi="Arial" w:cs="Arial"/>
          <w:sz w:val="20"/>
          <w:szCs w:val="20"/>
        </w:rPr>
        <w:t xml:space="preserve">‘relevantly identical’ </w:t>
      </w:r>
      <w:r w:rsidR="002B4E29" w:rsidRPr="002B4E29">
        <w:rPr>
          <w:rFonts w:ascii="Arial" w:hAnsi="Arial" w:cs="Arial"/>
          <w:sz w:val="20"/>
          <w:szCs w:val="20"/>
        </w:rPr>
        <w:t xml:space="preserve">offending, then </w:t>
      </w:r>
      <w:r w:rsidR="002B4E29" w:rsidRPr="002B4E29">
        <w:rPr>
          <w:rFonts w:ascii="Arial" w:eastAsia="Book Antiqua" w:hAnsi="Arial" w:cs="Arial"/>
          <w:sz w:val="20"/>
          <w:szCs w:val="20"/>
        </w:rPr>
        <w:t>—</w:t>
      </w:r>
      <w:r w:rsidR="002B4E29" w:rsidRPr="002B4E29">
        <w:rPr>
          <w:rFonts w:ascii="Arial" w:hAnsi="Arial" w:cs="Arial"/>
          <w:sz w:val="20"/>
          <w:szCs w:val="20"/>
        </w:rPr>
        <w:t xml:space="preserve"> unless the disparity can be justified by material differences in their criminal records or other personal circumstances </w:t>
      </w:r>
      <w:r w:rsidR="002B4E29" w:rsidRPr="002B4E29">
        <w:rPr>
          <w:rFonts w:ascii="Arial" w:eastAsia="Book Antiqua" w:hAnsi="Arial" w:cs="Arial"/>
          <w:sz w:val="20"/>
          <w:szCs w:val="20"/>
        </w:rPr>
        <w:t>—</w:t>
      </w:r>
      <w:r w:rsidR="002B4E29" w:rsidRPr="002B4E29">
        <w:rPr>
          <w:rFonts w:ascii="Arial" w:hAnsi="Arial" w:cs="Arial"/>
          <w:sz w:val="20"/>
          <w:szCs w:val="20"/>
        </w:rPr>
        <w:t xml:space="preserve"> equal justice requires that the disparity be corrected: </w:t>
      </w:r>
      <w:r w:rsidR="002B4E29">
        <w:rPr>
          <w:rFonts w:ascii="Arial" w:hAnsi="Arial" w:cs="Arial"/>
          <w:sz w:val="20"/>
          <w:szCs w:val="20"/>
        </w:rPr>
        <w:t>s</w:t>
      </w:r>
      <w:r w:rsidR="002B4E29" w:rsidRPr="002B4E29">
        <w:rPr>
          <w:rFonts w:ascii="Arial" w:hAnsi="Arial" w:cs="Arial"/>
          <w:sz w:val="20"/>
          <w:szCs w:val="20"/>
        </w:rPr>
        <w:t xml:space="preserve">ee </w:t>
      </w:r>
      <w:r w:rsidR="002B4E29" w:rsidRPr="002B4E29">
        <w:rPr>
          <w:rFonts w:ascii="Arial" w:eastAsia="Book Antiqua" w:hAnsi="Arial" w:cs="Arial"/>
          <w:i/>
          <w:sz w:val="20"/>
          <w:szCs w:val="20"/>
        </w:rPr>
        <w:t>Winch v The Queen</w:t>
      </w:r>
      <w:r w:rsidR="002B4E29" w:rsidRPr="002B4E29">
        <w:rPr>
          <w:rFonts w:ascii="Arial" w:hAnsi="Arial" w:cs="Arial"/>
          <w:sz w:val="20"/>
          <w:szCs w:val="20"/>
        </w:rPr>
        <w:t xml:space="preserve"> (2010) 27 VR 658, 663 [24] (Maxwell P and Redlich JA).</w:t>
      </w:r>
    </w:p>
    <w:p w14:paraId="5DDFCAB4" w14:textId="21C77924" w:rsidR="00981485" w:rsidRDefault="00820276" w:rsidP="00981485">
      <w:pPr>
        <w:spacing w:before="60" w:after="60"/>
        <w:ind w:left="567" w:right="567"/>
        <w:jc w:val="both"/>
        <w:rPr>
          <w:rFonts w:ascii="Arial" w:hAnsi="Arial" w:cs="Arial"/>
          <w:sz w:val="20"/>
          <w:szCs w:val="18"/>
        </w:rPr>
      </w:pPr>
      <w:r>
        <w:rPr>
          <w:rFonts w:ascii="Arial" w:hAnsi="Arial" w:cs="Arial"/>
          <w:sz w:val="20"/>
          <w:szCs w:val="20"/>
        </w:rPr>
        <w:t xml:space="preserve">[15] </w:t>
      </w:r>
      <w:r w:rsidRPr="00820276">
        <w:rPr>
          <w:rFonts w:ascii="Arial" w:hAnsi="Arial" w:cs="Arial"/>
          <w:sz w:val="20"/>
          <w:szCs w:val="20"/>
        </w:rPr>
        <w:t xml:space="preserve">In the present case, there is an unjustifiable disparity in outcome between the sentence imposed on Tawfik and those imposed in </w:t>
      </w: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 xml:space="preserve">[2017] VSCA 162 and </w:t>
      </w:r>
      <w:r w:rsidRPr="00820276">
        <w:rPr>
          <w:rFonts w:ascii="Arial" w:eastAsia="Book Antiqua" w:hAnsi="Arial" w:cs="Arial"/>
          <w:i/>
          <w:sz w:val="20"/>
          <w:szCs w:val="20"/>
        </w:rPr>
        <w:t xml:space="preserve">R v Yuan </w:t>
      </w:r>
      <w:r w:rsidRPr="00820276">
        <w:rPr>
          <w:rFonts w:ascii="Arial" w:hAnsi="Arial" w:cs="Arial"/>
          <w:sz w:val="20"/>
          <w:szCs w:val="20"/>
        </w:rPr>
        <w:t>[2015] NSWCCA 198 respectively for drug importation offences of comparable scale and seriousness.  As the analysis in the joint judgment reveals, the</w:t>
      </w:r>
      <w:r>
        <w:rPr>
          <w:rFonts w:ascii="Arial" w:hAnsi="Arial" w:cs="Arial"/>
          <w:sz w:val="20"/>
          <w:szCs w:val="20"/>
        </w:rPr>
        <w:t xml:space="preserve"> </w:t>
      </w:r>
      <w:r w:rsidRPr="000A1488">
        <w:rPr>
          <w:rFonts w:ascii="Arial" w:hAnsi="Arial" w:cs="Arial"/>
          <w:sz w:val="20"/>
          <w:szCs w:val="18"/>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16123D" w:rsidRDefault="00820276" w:rsidP="0016123D">
      <w:pPr>
        <w:spacing w:before="60"/>
        <w:ind w:left="567" w:right="567"/>
        <w:jc w:val="both"/>
        <w:rPr>
          <w:rFonts w:ascii="Arial" w:hAnsi="Arial" w:cs="Arial"/>
          <w:color w:val="000000"/>
          <w:sz w:val="20"/>
          <w:szCs w:val="20"/>
        </w:rPr>
      </w:pPr>
      <w:r w:rsidRPr="0016123D">
        <w:rPr>
          <w:rFonts w:ascii="Arial" w:hAnsi="Arial" w:cs="Arial"/>
          <w:color w:val="000000"/>
          <w:sz w:val="20"/>
          <w:szCs w:val="20"/>
        </w:rPr>
        <w:t xml:space="preserve">[16] </w:t>
      </w:r>
      <w:r w:rsidR="0016123D" w:rsidRPr="0016123D">
        <w:rPr>
          <w:rFonts w:ascii="Arial" w:hAnsi="Arial" w:cs="Arial"/>
          <w:sz w:val="20"/>
          <w:szCs w:val="20"/>
        </w:rPr>
        <w:t xml:space="preserve">In my view, it is the engagement of the equal justice norm which both justifies </w:t>
      </w:r>
      <w:r w:rsidR="0016123D" w:rsidRPr="0016123D">
        <w:rPr>
          <w:rFonts w:ascii="Arial" w:eastAsia="Book Antiqua" w:hAnsi="Arial" w:cs="Arial"/>
          <w:sz w:val="20"/>
          <w:szCs w:val="20"/>
        </w:rPr>
        <w:t xml:space="preserve">and requires this Court’s intervention, rather than some inferred error of principle on </w:t>
      </w:r>
      <w:r w:rsidR="0016123D" w:rsidRPr="0016123D">
        <w:rPr>
          <w:rFonts w:ascii="Arial" w:hAnsi="Arial" w:cs="Arial"/>
          <w:sz w:val="20"/>
          <w:szCs w:val="20"/>
        </w:rPr>
        <w:t xml:space="preserve">the part of the sentencing judge.  For the reasons given by Mason J in </w:t>
      </w:r>
      <w:r w:rsidR="0016123D" w:rsidRPr="0016123D">
        <w:rPr>
          <w:rFonts w:ascii="Arial" w:eastAsia="Book Antiqua" w:hAnsi="Arial" w:cs="Arial"/>
          <w:i/>
          <w:sz w:val="20"/>
          <w:szCs w:val="20"/>
        </w:rPr>
        <w:t>Lowe,</w:t>
      </w:r>
      <w:r w:rsidR="0016123D" w:rsidRPr="0016123D">
        <w:rPr>
          <w:rFonts w:ascii="Arial" w:hAnsi="Arial" w:cs="Arial"/>
          <w:sz w:val="20"/>
          <w:szCs w:val="20"/>
        </w:rPr>
        <w:t xml:space="preserve"> public confidence in the administration of justice is likely to be enhanced if appellate </w:t>
      </w:r>
      <w:r w:rsidR="0016123D" w:rsidRPr="0016123D">
        <w:rPr>
          <w:rFonts w:ascii="Arial" w:eastAsia="Book Antiqua" w:hAnsi="Arial" w:cs="Arial"/>
          <w:sz w:val="20"/>
          <w:szCs w:val="20"/>
        </w:rPr>
        <w:t xml:space="preserve">intervention is understood as being necessary to prevent ‘unfairness and unequal treatment’: </w:t>
      </w:r>
      <w:r w:rsidR="0016123D" w:rsidRPr="0016123D">
        <w:rPr>
          <w:rFonts w:ascii="Arial" w:hAnsi="Arial" w:cs="Arial"/>
          <w:sz w:val="20"/>
        </w:rPr>
        <w:t>(1984) 154 CLR 606, 610</w:t>
      </w:r>
      <w:r w:rsidR="0016123D" w:rsidRPr="0016123D">
        <w:rPr>
          <w:rFonts w:ascii="Arial" w:eastAsia="Book Antiqua" w:hAnsi="Arial" w:cs="Arial"/>
          <w:sz w:val="20"/>
        </w:rPr>
        <w:noBreakHyphen/>
      </w:r>
      <w:r w:rsidR="0016123D" w:rsidRPr="0016123D">
        <w:rPr>
          <w:rFonts w:ascii="Arial" w:hAnsi="Arial" w:cs="Arial"/>
          <w:sz w:val="20"/>
        </w:rPr>
        <w:t>11</w:t>
      </w:r>
      <w:r w:rsidR="0016123D" w:rsidRPr="0016123D">
        <w:rPr>
          <w:rFonts w:ascii="Arial" w:hAnsi="Arial" w:cs="Arial"/>
          <w:sz w:val="20"/>
          <w:szCs w:val="20"/>
        </w:rPr>
        <w:t xml:space="preserve">  As Lor</w:t>
      </w:r>
      <w:r w:rsidR="0016123D" w:rsidRPr="0016123D">
        <w:rPr>
          <w:rFonts w:ascii="Arial" w:eastAsia="Book Antiqua" w:hAnsi="Arial" w:cs="Arial"/>
          <w:sz w:val="20"/>
          <w:szCs w:val="20"/>
        </w:rPr>
        <w:t xml:space="preserve">d Devlin said more than 40 years ago, ‘a sense of injustice is </w:t>
      </w:r>
      <w:r w:rsidR="0016123D" w:rsidRPr="0016123D">
        <w:rPr>
          <w:rFonts w:ascii="Arial" w:hAnsi="Arial" w:cs="Arial"/>
          <w:sz w:val="20"/>
          <w:szCs w:val="20"/>
        </w:rPr>
        <w:t xml:space="preserve">more easily aroused by the apprehension of unequal treatment than by anything </w:t>
      </w:r>
      <w:r w:rsidR="0016123D" w:rsidRPr="0016123D">
        <w:rPr>
          <w:rFonts w:ascii="Arial" w:eastAsia="Book Antiqua" w:hAnsi="Arial" w:cs="Arial"/>
          <w:sz w:val="20"/>
          <w:szCs w:val="20"/>
        </w:rPr>
        <w:t xml:space="preserve">else’: </w:t>
      </w:r>
      <w:r w:rsidR="0016123D" w:rsidRPr="0016123D">
        <w:rPr>
          <w:rFonts w:ascii="Arial" w:hAnsi="Arial" w:cs="Arial"/>
          <w:sz w:val="20"/>
        </w:rPr>
        <w:t xml:space="preserve">Patrick Devlin, </w:t>
      </w:r>
      <w:r w:rsidR="0016123D" w:rsidRPr="0016123D">
        <w:rPr>
          <w:rFonts w:ascii="Arial" w:eastAsia="Book Antiqua" w:hAnsi="Arial" w:cs="Arial"/>
          <w:i/>
          <w:sz w:val="20"/>
        </w:rPr>
        <w:t>The Judge</w:t>
      </w:r>
      <w:r w:rsidR="0016123D" w:rsidRPr="0016123D">
        <w:rPr>
          <w:rFonts w:ascii="Arial" w:hAnsi="Arial" w:cs="Arial"/>
          <w:sz w:val="20"/>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accessible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Balshaw,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resentenced Mr Balshaw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Balshaw</w:t>
      </w:r>
      <w:r w:rsidR="00AE463E" w:rsidRPr="00AE463E">
        <w:rPr>
          <w:rFonts w:ascii="Arial" w:hAnsi="Arial" w:cs="Arial"/>
          <w:color w:val="000000"/>
          <w:sz w:val="20"/>
        </w:rPr>
        <w:t>’s</w:t>
      </w:r>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w:t>
      </w:r>
      <w:r w:rsidR="00AE463E">
        <w:rPr>
          <w:rFonts w:ascii="Arial" w:hAnsi="Arial" w:cs="Arial"/>
          <w:color w:val="000000"/>
          <w:sz w:val="20"/>
        </w:rPr>
        <w:lastRenderedPageBreak/>
        <w:t xml:space="preserve">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Default="00075155" w:rsidP="00AE463E">
      <w:pPr>
        <w:spacing w:before="60"/>
        <w:ind w:left="567" w:right="567"/>
        <w:jc w:val="both"/>
        <w:rPr>
          <w:rFonts w:ascii="Arial" w:hAnsi="Arial" w:cs="Arial"/>
          <w:color w:val="000000"/>
          <w:sz w:val="20"/>
        </w:rPr>
      </w:pPr>
      <w:r>
        <w:rPr>
          <w:rFonts w:ascii="Arial" w:hAnsi="Arial" w:cs="Arial"/>
          <w:color w:val="000000"/>
          <w:sz w:val="20"/>
        </w:rPr>
        <w:t xml:space="preserve">[15] “The rationale underpinning the parity principle is the need for consistency in the application of the law, which is a fundamental aspect of the rule of law: </w:t>
      </w:r>
      <w:r w:rsidRPr="00FA412E">
        <w:rPr>
          <w:rFonts w:ascii="Arial" w:hAnsi="Arial" w:cs="Arial"/>
          <w:i/>
          <w:iCs/>
          <w:color w:val="000000"/>
          <w:sz w:val="20"/>
        </w:rPr>
        <w:t>Nipoe v The Queen</w:t>
      </w:r>
      <w:r>
        <w:rPr>
          <w:rFonts w:ascii="Arial" w:hAnsi="Arial" w:cs="Arial"/>
          <w:color w:val="000000"/>
          <w:sz w:val="20"/>
        </w:rPr>
        <w:t xml:space="preserve"> </w:t>
      </w:r>
      <w:r w:rsidR="00FA412E">
        <w:rPr>
          <w:rFonts w:ascii="Arial" w:hAnsi="Arial" w:cs="Arial"/>
          <w:color w:val="000000"/>
          <w:sz w:val="20"/>
        </w:rPr>
        <w:t xml:space="preserve">[2020] VSCA 137 at [38] per Maxwell P, Niall &amp; Emerton JJA.  While disparity in the sentences of co-offenders for which 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FA412E">
        <w:rPr>
          <w:rFonts w:ascii="Arial" w:hAnsi="Arial" w:cs="Arial"/>
          <w:i/>
          <w:iCs/>
          <w:color w:val="000000"/>
          <w:sz w:val="20"/>
        </w:rPr>
        <w:t>relevantly</w:t>
      </w:r>
      <w:r w:rsidR="00FA412E">
        <w:rPr>
          <w:rFonts w:ascii="Arial" w:hAnsi="Arial" w:cs="Arial"/>
          <w:color w:val="000000"/>
          <w:sz w:val="20"/>
        </w:rPr>
        <w:t xml:space="preserve"> identical.  It requires </w:t>
      </w:r>
      <w:r w:rsidR="00FA412E" w:rsidRPr="00FA412E">
        <w:rPr>
          <w:rFonts w:ascii="Arial" w:hAnsi="Arial" w:cs="Arial"/>
          <w:i/>
          <w:iCs/>
          <w:color w:val="000000"/>
          <w:sz w:val="20"/>
        </w:rPr>
        <w:t>different</w:t>
      </w:r>
      <w:r w:rsidR="00FA412E">
        <w:rPr>
          <w:rFonts w:ascii="Arial" w:hAnsi="Arial" w:cs="Arial"/>
          <w:color w:val="000000"/>
          <w:sz w:val="20"/>
        </w:rPr>
        <w:t xml:space="preserve"> outcomes in cases that are different in some relevant respect.’: </w:t>
      </w:r>
      <w:r w:rsidR="00FA412E" w:rsidRPr="00FA412E">
        <w:rPr>
          <w:rFonts w:ascii="Arial" w:hAnsi="Arial" w:cs="Arial"/>
          <w:i/>
          <w:iCs/>
          <w:color w:val="000000"/>
          <w:sz w:val="20"/>
        </w:rPr>
        <w:t>Wong v The Queen</w:t>
      </w:r>
      <w:r w:rsidR="00FA412E">
        <w:rPr>
          <w:rFonts w:ascii="Arial" w:hAnsi="Arial" w:cs="Arial"/>
          <w:color w:val="000000"/>
          <w:sz w:val="20"/>
        </w:rPr>
        <w:t xml:space="preserve"> (2001) 207 CLR 584, 608 [65] per Gaudron, Gummow &amp; Hayne JJA.</w:t>
      </w:r>
    </w:p>
    <w:p w14:paraId="1CC5D702" w14:textId="68087DE2" w:rsidR="00FA412E" w:rsidRDefault="00FA412E" w:rsidP="00AE463E">
      <w:pPr>
        <w:spacing w:before="60"/>
        <w:ind w:left="567" w:right="567"/>
        <w:jc w:val="both"/>
        <w:rPr>
          <w:rFonts w:ascii="Arial" w:hAnsi="Arial" w:cs="Arial"/>
          <w:color w:val="000000"/>
          <w:sz w:val="20"/>
        </w:rPr>
      </w:pPr>
      <w:r>
        <w:rPr>
          <w:rFonts w:ascii="Arial" w:hAnsi="Arial" w:cs="Arial"/>
          <w:color w:val="000000"/>
          <w:sz w:val="20"/>
        </w:rPr>
        <w:t xml:space="preserve">[16] In considering a parity argument this Court must recognise the ‘qualitaive and discretionary judgments’ involved in the primary judge’s task in discerning these relevant differences and similarities between co-offenders: </w:t>
      </w:r>
      <w:r w:rsidR="00C0005B" w:rsidRPr="00C0005B">
        <w:rPr>
          <w:rFonts w:ascii="Arial" w:hAnsi="Arial" w:cs="Arial"/>
          <w:i/>
          <w:iCs/>
          <w:color w:val="000000"/>
          <w:sz w:val="20"/>
        </w:rPr>
        <w:t>Nipoe</w:t>
      </w:r>
      <w:r w:rsidR="00C0005B">
        <w:rPr>
          <w:rFonts w:ascii="Arial" w:hAnsi="Arial" w:cs="Arial"/>
          <w:color w:val="000000"/>
          <w:sz w:val="20"/>
        </w:rPr>
        <w:t xml:space="preserve"> at [39].  As was said in </w:t>
      </w:r>
      <w:r w:rsidR="00C0005B" w:rsidRPr="00C0005B">
        <w:rPr>
          <w:rFonts w:ascii="Arial" w:hAnsi="Arial" w:cs="Arial"/>
          <w:i/>
          <w:iCs/>
          <w:color w:val="000000"/>
          <w:sz w:val="20"/>
        </w:rPr>
        <w:t>Nipoe</w:t>
      </w:r>
      <w:r w:rsidR="00C0005B">
        <w:rPr>
          <w:rFonts w:ascii="Arial" w:hAnsi="Arial" w:cs="Arial"/>
          <w:color w:val="000000"/>
          <w:sz w:val="20"/>
        </w:rPr>
        <w:t xml:space="preserve"> at [40]: ‘The real issue is whether it was reasonably open to the sentencing judge to differentiate…between the co-offenders, having regard to the “qualitative and discretionary judgments required” to arrive at the sentence imposed.’  This Court has explained in </w:t>
      </w:r>
      <w:r w:rsidR="00C0005B" w:rsidRPr="004D0F9C">
        <w:rPr>
          <w:rFonts w:ascii="Arial" w:hAnsi="Arial" w:cs="Arial"/>
          <w:i/>
          <w:iCs/>
          <w:color w:val="000000"/>
          <w:sz w:val="20"/>
        </w:rPr>
        <w:t>Chamma v The Queen</w:t>
      </w:r>
      <w:r w:rsidR="00C0005B">
        <w:rPr>
          <w:rFonts w:ascii="Arial" w:hAnsi="Arial" w:cs="Arial"/>
          <w:color w:val="000000"/>
          <w:sz w:val="20"/>
        </w:rPr>
        <w:t xml:space="preserve"> [2020] VSCA 232 at [60] the task presented to appellate courts in </w:t>
      </w:r>
      <w:r w:rsidR="004D0F9C">
        <w:rPr>
          <w:rFonts w:ascii="Arial" w:hAnsi="Arial" w:cs="Arial"/>
          <w:color w:val="000000"/>
          <w:sz w:val="20"/>
        </w:rPr>
        <w:t>determining grounds of appeal that complain of unjustified disparity: [see quote on previous page].</w:t>
      </w:r>
    </w:p>
    <w:p w14:paraId="30F876E6" w14:textId="2582A1F6" w:rsidR="004D0F9C" w:rsidRPr="001C6E0E" w:rsidRDefault="004D0F9C" w:rsidP="00AE463E">
      <w:pPr>
        <w:spacing w:before="60"/>
        <w:ind w:left="567" w:right="567"/>
        <w:jc w:val="both"/>
        <w:rPr>
          <w:rFonts w:ascii="Arial" w:hAnsi="Arial" w:cs="Arial"/>
          <w:color w:val="000000"/>
          <w:sz w:val="20"/>
        </w:rPr>
      </w:pPr>
      <w:r>
        <w:rPr>
          <w:rFonts w:ascii="Arial" w:hAnsi="Arial" w:cs="Arial"/>
          <w:color w:val="000000"/>
          <w:sz w:val="20"/>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Balshaw by the Court: </w:t>
      </w:r>
      <w:r w:rsidRPr="004D0F9C">
        <w:rPr>
          <w:rFonts w:ascii="Arial" w:hAnsi="Arial" w:cs="Arial"/>
          <w:i/>
          <w:iCs/>
          <w:color w:val="000000"/>
          <w:sz w:val="20"/>
        </w:rPr>
        <w:t>R v Simmons</w:t>
      </w:r>
      <w:r>
        <w:rPr>
          <w:rFonts w:ascii="Arial" w:hAnsi="Arial" w:cs="Arial"/>
          <w:color w:val="000000"/>
          <w:sz w:val="20"/>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Taudevin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[23] (Neave JA with whom Chernov &amp;</w:t>
      </w:r>
      <w:r w:rsidR="00AF21B2" w:rsidRPr="001C6E0E">
        <w:rPr>
          <w:rFonts w:ascii="Arial" w:hAnsi="Arial" w:cs="Arial"/>
          <w:iCs/>
          <w:color w:val="000000"/>
          <w:sz w:val="20"/>
        </w:rPr>
        <w:t xml:space="preserve"> Vincent JJA agreed); </w:t>
      </w:r>
      <w:r w:rsidR="00AF21B2" w:rsidRPr="001C6E0E">
        <w:rPr>
          <w:rFonts w:ascii="Arial" w:hAnsi="Arial" w:cs="Arial"/>
          <w:i/>
          <w:iCs/>
          <w:color w:val="000000"/>
          <w:sz w:val="20"/>
        </w:rPr>
        <w:t>Hili v The Queen; Jones v The Queen</w:t>
      </w:r>
      <w:r w:rsidR="00AF21B2" w:rsidRPr="001C6E0E">
        <w:rPr>
          <w:rFonts w:ascii="Arial" w:hAnsi="Arial" w:cs="Arial"/>
          <w:iCs/>
          <w:color w:val="000000"/>
          <w:sz w:val="20"/>
        </w:rPr>
        <w:t xml:space="preserve"> [2010] HCA 45 especially at [46]-[50] per French CJ, Gummow, H</w:t>
      </w:r>
      <w:r w:rsidR="00F85DB8" w:rsidRPr="001C6E0E">
        <w:rPr>
          <w:rFonts w:ascii="Arial" w:hAnsi="Arial" w:cs="Arial"/>
          <w:iCs/>
          <w:color w:val="000000"/>
          <w:sz w:val="20"/>
        </w:rPr>
        <w:t xml:space="preserve">ayne, Crennan, Kiefel &amp; Bell JJ; </w:t>
      </w:r>
      <w:r w:rsidR="00E92E6C" w:rsidRPr="001C6E0E">
        <w:rPr>
          <w:rFonts w:ascii="Arial" w:hAnsi="Arial" w:cs="Arial"/>
          <w:i/>
          <w:color w:val="000000"/>
          <w:sz w:val="20"/>
          <w:szCs w:val="20"/>
        </w:rPr>
        <w:t>R v L.T.Lam</w:t>
      </w:r>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r w:rsidR="00E1205E" w:rsidRPr="001C6E0E">
        <w:rPr>
          <w:rFonts w:ascii="Arial" w:hAnsi="Arial" w:cs="Arial"/>
          <w:i/>
          <w:color w:val="000000"/>
          <w:sz w:val="20"/>
          <w:szCs w:val="20"/>
        </w:rPr>
        <w:t>Ciavarella &amp; Ors</w:t>
      </w:r>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Hilder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r w:rsidR="00DF7E3D" w:rsidRPr="00FA2A7A">
        <w:rPr>
          <w:rFonts w:ascii="Arial" w:hAnsi="Arial" w:cs="Arial"/>
          <w:i/>
          <w:iCs/>
          <w:color w:val="000000"/>
          <w:sz w:val="20"/>
        </w:rPr>
        <w:t>Roujnikov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r w:rsidR="003469E4" w:rsidRPr="003469E4">
        <w:rPr>
          <w:rFonts w:ascii="Arial" w:hAnsi="Arial" w:cs="Arial"/>
          <w:i/>
          <w:iCs/>
          <w:color w:val="000000"/>
          <w:sz w:val="20"/>
        </w:rPr>
        <w:t>Maele &amp; Ors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 xml:space="preserve">[33]  </w:t>
      </w:r>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r w:rsidRPr="001C6E0E">
        <w:rPr>
          <w:rFonts w:ascii="Arial" w:hAnsi="Arial" w:cs="Arial"/>
          <w:i/>
          <w:color w:val="000000"/>
          <w:sz w:val="20"/>
        </w:rPr>
        <w:t xml:space="preserve">Postiglione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r w:rsidRPr="001C6E0E">
        <w:rPr>
          <w:rFonts w:ascii="Arial" w:hAnsi="Arial" w:cs="Arial"/>
          <w:i/>
          <w:color w:val="000000"/>
          <w:sz w:val="20"/>
        </w:rPr>
        <w:t>Postiglione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R v Mielicki</w:t>
      </w:r>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lastRenderedPageBreak/>
        <w:t>[36]  I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R v Tisalandis</w:t>
      </w:r>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Southwell,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Winneke P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R v Taudevin</w:t>
      </w:r>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R v Bernath</w:t>
      </w:r>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[31]  In </w:t>
      </w:r>
      <w:r w:rsidRPr="001C6E0E">
        <w:rPr>
          <w:rFonts w:ascii="Arial" w:hAnsi="Arial" w:cs="Arial"/>
          <w:i/>
          <w:iCs/>
          <w:color w:val="000000"/>
          <w:sz w:val="20"/>
        </w:rPr>
        <w:t>Postiglione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  A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DPP v Buhagiar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7777777"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Sammy Taleb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sentencve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Crennan &amp; Kiefel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lastRenderedPageBreak/>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(non violence)</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(non violence)</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(non violence)</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 xml:space="preserve">"[41]  The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1C6E0E" w:rsidRDefault="006A4778" w:rsidP="00200CF6">
      <w:pPr>
        <w:spacing w:before="60"/>
        <w:ind w:left="1134" w:right="1077"/>
        <w:jc w:val="both"/>
        <w:rPr>
          <w:rFonts w:ascii="Arial" w:hAnsi="Arial" w:cs="Arial"/>
          <w:color w:val="000000"/>
          <w:sz w:val="20"/>
        </w:rPr>
      </w:pPr>
      <w:r w:rsidRPr="001C6E0E">
        <w:rPr>
          <w:rFonts w:ascii="Arial" w:hAnsi="Arial" w:cs="Arial"/>
          <w:color w:val="000000"/>
          <w:sz w:val="20"/>
        </w:rPr>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Mapolar</w:t>
      </w:r>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Kraja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22 year old Wilson had complained unsuccessfully of disparity between his 8 year sentence and a 2½ year sentence imposed on his 16 year old co-accused, E], Lush J. stated:</w:t>
      </w:r>
    </w:p>
    <w:p w14:paraId="640E1D29"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t xml:space="preserve">'The age difference between the two men is a little over five years.  The sentence which was received by E came as a result of the provisions of the </w:t>
      </w:r>
      <w:r w:rsidRPr="001C6E0E">
        <w:rPr>
          <w:rFonts w:ascii="Arial" w:hAnsi="Arial" w:cs="Arial"/>
          <w:i/>
          <w:color w:val="000000"/>
          <w:sz w:val="20"/>
        </w:rPr>
        <w:t>Children’s Court Act</w:t>
      </w:r>
      <w:r w:rsidRPr="001C6E0E">
        <w:rPr>
          <w:rFonts w:ascii="Arial" w:hAnsi="Arial" w:cs="Arial"/>
          <w:color w:val="000000"/>
          <w:sz w:val="20"/>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Southwell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Winneke P. in </w:t>
      </w:r>
      <w:r w:rsidRPr="001C6E0E">
        <w:rPr>
          <w:rFonts w:ascii="Arial" w:hAnsi="Arial" w:cs="Arial"/>
          <w:i/>
          <w:iCs/>
          <w:color w:val="000000"/>
          <w:sz w:val="20"/>
        </w:rPr>
        <w:t>Neket</w:t>
      </w:r>
      <w:r w:rsidRPr="001C6E0E">
        <w:rPr>
          <w:rFonts w:ascii="Arial" w:hAnsi="Arial" w:cs="Arial"/>
          <w:color w:val="000000"/>
          <w:sz w:val="20"/>
        </w:rPr>
        <w:t xml:space="preserve"> [unreported, Court of Criminal Appeal, 28/05/1997] also considered this issue: (at pp.6-7):</w:t>
      </w:r>
    </w:p>
    <w:p w14:paraId="68DE7015"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1C6E0E">
        <w:rPr>
          <w:rFonts w:ascii="Arial" w:hAnsi="Arial" w:cs="Arial"/>
          <w:i/>
          <w:color w:val="000000"/>
          <w:sz w:val="20"/>
        </w:rPr>
        <w:t>Lowe v. The Queen</w:t>
      </w:r>
      <w:r w:rsidRPr="001C6E0E">
        <w:rPr>
          <w:rFonts w:ascii="Arial" w:hAnsi="Arial" w:cs="Arial"/>
          <w:color w:val="000000"/>
          <w:sz w:val="20"/>
        </w:rPr>
        <w:t xml:space="preserve"> and by this Court in </w:t>
      </w:r>
      <w:r w:rsidRPr="001C6E0E">
        <w:rPr>
          <w:rFonts w:ascii="Arial" w:hAnsi="Arial" w:cs="Arial"/>
          <w:i/>
          <w:color w:val="000000"/>
          <w:sz w:val="20"/>
        </w:rPr>
        <w:t>R. v. Taudevin</w:t>
      </w:r>
      <w:r w:rsidRPr="001C6E0E">
        <w:rPr>
          <w:rFonts w:ascii="Arial" w:hAnsi="Arial" w:cs="Arial"/>
          <w:color w:val="000000"/>
          <w:sz w:val="20"/>
        </w:rPr>
        <w:t xml:space="preserve">, particularly at p.404, </w:t>
      </w:r>
      <w:r w:rsidRPr="001C6E0E">
        <w:rPr>
          <w:rFonts w:ascii="Arial" w:hAnsi="Arial" w:cs="Arial"/>
          <w:color w:val="000000"/>
          <w:sz w:val="20"/>
        </w:rPr>
        <w:lastRenderedPageBreak/>
        <w:t xml:space="preserve">per Callaway, J.A.  I refer also to the decision of this Court in </w:t>
      </w:r>
      <w:r w:rsidRPr="001C6E0E">
        <w:rPr>
          <w:rFonts w:ascii="Arial" w:hAnsi="Arial" w:cs="Arial"/>
          <w:i/>
          <w:color w:val="000000"/>
          <w:sz w:val="20"/>
        </w:rPr>
        <w:t>R. v. Angus</w:t>
      </w:r>
      <w:r w:rsidRPr="001C6E0E">
        <w:rPr>
          <w:rFonts w:ascii="Arial" w:hAnsi="Arial" w:cs="Arial"/>
          <w:color w:val="000000"/>
          <w:sz w:val="20"/>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[47]  In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1C6E0E" w:rsidRDefault="006A4778" w:rsidP="006A4778">
      <w:pPr>
        <w:ind w:left="1134" w:right="1134"/>
        <w:jc w:val="both"/>
        <w:rPr>
          <w:rFonts w:ascii="Arial" w:hAnsi="Arial" w:cs="Arial"/>
          <w:color w:val="000000"/>
          <w:sz w:val="20"/>
        </w:rPr>
      </w:pPr>
      <w:r w:rsidRPr="001C6E0E">
        <w:rPr>
          <w:rFonts w:ascii="Arial" w:hAnsi="Arial" w:cs="Arial"/>
          <w:color w:val="000000"/>
          <w:sz w:val="20"/>
        </w:rPr>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lastRenderedPageBreak/>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Neket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[11]  "Whilst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R v Neket</w:t>
      </w:r>
      <w:r w:rsidRPr="001C6E0E">
        <w:rPr>
          <w:rFonts w:ascii="Arial" w:hAnsi="Arial" w:cs="Arial"/>
          <w:color w:val="000000"/>
          <w:sz w:val="20"/>
        </w:rPr>
        <w:t xml:space="preserve"> (unreported, Supreme Court of Victoria Court of Appeal, Winneke P, Brooking JA and Ashley AJA, 28/05/1997) at 6], such that </w:t>
      </w:r>
      <w:r w:rsidRPr="001C6E0E">
        <w:rPr>
          <w:rFonts w:ascii="Arial" w:hAnsi="Arial" w:cs="Arial"/>
          <w:color w:val="000000"/>
          <w:sz w:val="20"/>
        </w:rPr>
        <w:lastRenderedPageBreak/>
        <w:t>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r w:rsidR="003544A9" w:rsidRPr="003972EF">
        <w:rPr>
          <w:rFonts w:ascii="Arial" w:hAnsi="Arial" w:cs="Arial"/>
          <w:i/>
          <w:color w:val="000000"/>
          <w:sz w:val="20"/>
        </w:rPr>
        <w:t>Poutai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C for a period of 8 months.  The co-accused, O, who was 17 at the date of the offence and 18 at the date of sentencing, also had an extensive criminal history for offences of violence and dishonesty.  The contributions of D &amp; O to the armed robbery were not identical but were said by Balmford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"[O] was one of two people who threatened the service station attendant with knives and yelled at him to lie on the ground;  [D]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O was sentenced in the County Court as an adult on 2 counts of armed robbery, one being in the company of D and the other committed 9 days earlier in similar circumstances and on 2 counts of theft 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Balmford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Bernath</w:t>
      </w:r>
      <w:r w:rsidRPr="001C6E0E">
        <w:rPr>
          <w:rFonts w:ascii="Arial" w:hAnsi="Arial" w:cs="Arial"/>
          <w:color w:val="000000"/>
          <w:sz w:val="20"/>
        </w:rPr>
        <w:t xml:space="preserve"> [1997] 1 VR 271 at 276-77 Callaway JA expanded on that statement of principle as follows:</w:t>
      </w:r>
    </w:p>
    <w:p w14:paraId="4BE278B5" w14:textId="77777777" w:rsidR="00BF52E5" w:rsidRPr="001C6E0E" w:rsidRDefault="00BF52E5">
      <w:pPr>
        <w:spacing w:before="60"/>
        <w:ind w:left="851" w:right="851"/>
        <w:jc w:val="both"/>
        <w:rPr>
          <w:rFonts w:ascii="Arial" w:hAnsi="Arial" w:cs="Arial"/>
          <w:color w:val="000000"/>
          <w:sz w:val="20"/>
        </w:rPr>
      </w:pPr>
      <w:r w:rsidRPr="001C6E0E">
        <w:rPr>
          <w:rFonts w:ascii="Arial" w:hAnsi="Arial" w:cs="Arial"/>
          <w:color w:val="000000"/>
          <w:sz w:val="20"/>
        </w:rPr>
        <w:t xml:space="preserve">'An appellate court intervenes on that ground only where the difference between the relevant sentences is manifestly excessive and such as to engender a justifiable sense of grievance or to give the appearance in the mind of an objective </w:t>
      </w:r>
      <w:r w:rsidRPr="001C6E0E">
        <w:rPr>
          <w:rFonts w:ascii="Arial" w:hAnsi="Arial" w:cs="Arial"/>
          <w:color w:val="000000"/>
          <w:sz w:val="20"/>
        </w:rPr>
        <w:lastRenderedPageBreak/>
        <w:t>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77777777"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 [7]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Winneke P, with whom the other members of the Court agreed, said:</w:t>
      </w:r>
    </w:p>
    <w:p w14:paraId="679934FE"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[2] </w:t>
      </w:r>
      <w:r w:rsidR="002549CA" w:rsidRPr="001C6E0E">
        <w:rPr>
          <w:rFonts w:ascii="Arial" w:hAnsi="Arial" w:cs="Arial"/>
          <w:color w:val="000000"/>
          <w:sz w:val="20"/>
          <w:szCs w:val="20"/>
        </w:rPr>
        <w:t>‘</w:t>
      </w:r>
      <w:r w:rsidR="00F13A0B" w:rsidRPr="001C6E0E">
        <w:rPr>
          <w:rFonts w:ascii="Arial" w:hAnsi="Arial" w:cs="Arial"/>
          <w:color w:val="000000"/>
          <w:sz w:val="20"/>
          <w:szCs w:val="20"/>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1C6E0E">
        <w:rPr>
          <w:rFonts w:ascii="Arial" w:hAnsi="Arial" w:cs="Arial"/>
          <w:color w:val="000000"/>
          <w:sz w:val="20"/>
          <w:szCs w:val="20"/>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[5] </w:t>
      </w:r>
      <w:r w:rsidR="002549CA" w:rsidRPr="001C6E0E">
        <w:rPr>
          <w:rFonts w:ascii="Arial" w:hAnsi="Arial" w:cs="Arial"/>
          <w:color w:val="000000"/>
          <w:sz w:val="20"/>
          <w:szCs w:val="20"/>
        </w:rPr>
        <w:t>‘</w:t>
      </w:r>
      <w:r w:rsidRPr="001C6E0E">
        <w:rPr>
          <w:rFonts w:ascii="Arial" w:hAnsi="Arial" w:cs="Arial"/>
          <w:color w:val="000000"/>
          <w:sz w:val="20"/>
          <w:szCs w:val="20"/>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R. v. Harkness and Ors</w:t>
      </w:r>
      <w:r w:rsidR="00162D9E" w:rsidRPr="001C6E0E">
        <w:rPr>
          <w:rFonts w:ascii="Arial" w:hAnsi="Arial" w:cs="Arial"/>
          <w:color w:val="000000"/>
          <w:sz w:val="20"/>
          <w:szCs w:val="20"/>
        </w:rPr>
        <w:t xml:space="preserve"> [2001] VSCA 87 two young women, Densley and </w:t>
      </w:r>
      <w:smartTag w:uri="urn:schemas-microsoft-com:office:smarttags" w:element="place">
        <w:smartTag w:uri="urn:schemas-microsoft-com:office:smarttags" w:element="City">
          <w:r w:rsidR="00162D9E" w:rsidRPr="001C6E0E">
            <w:rPr>
              <w:rFonts w:ascii="Arial" w:hAnsi="Arial" w:cs="Arial"/>
              <w:color w:val="000000"/>
              <w:sz w:val="20"/>
              <w:szCs w:val="20"/>
            </w:rPr>
            <w:t>Rye</w:t>
          </w:r>
        </w:smartTag>
      </w:smartTag>
      <w:r w:rsidR="00162D9E" w:rsidRPr="001C6E0E">
        <w:rPr>
          <w:rFonts w:ascii="Arial" w:hAnsi="Arial" w:cs="Arial"/>
          <w:color w:val="000000"/>
          <w:sz w:val="20"/>
          <w:szCs w:val="20"/>
        </w:rPr>
        <w:t>,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I said with the concurrence of Winneke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Densley and Rye and there are other differences between male and female offenders that can legitimately 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lastRenderedPageBreak/>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Saenchai</w:t>
      </w:r>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Ziday</w:t>
      </w:r>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Coldrey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Kolokythas</w:t>
      </w:r>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Vestic</w:t>
      </w:r>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r w:rsidRPr="004977B5">
        <w:rPr>
          <w:rFonts w:ascii="Arial" w:hAnsi="Arial" w:cs="Arial"/>
          <w:i/>
          <w:color w:val="000000"/>
          <w:sz w:val="20"/>
        </w:rPr>
        <w:t>Hilder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r w:rsidRPr="00380230">
        <w:rPr>
          <w:rFonts w:ascii="Arial" w:hAnsi="Arial" w:cs="Arial"/>
          <w:i/>
          <w:color w:val="000000"/>
          <w:sz w:val="20"/>
        </w:rPr>
        <w:t>Salapura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cf 22] at the time of the offending was not material in the circumstances of this case.  </w:t>
      </w:r>
      <w:r w:rsidRPr="00380230">
        <w:rPr>
          <w:rFonts w:ascii="Arial" w:hAnsi="Arial" w:cs="Arial"/>
          <w:sz w:val="20"/>
          <w:szCs w:val="20"/>
        </w:rPr>
        <w:t xml:space="preserve">Ordinarily, the more </w:t>
      </w:r>
      <w:r w:rsidRPr="00380230">
        <w:rPr>
          <w:rFonts w:ascii="Arial" w:hAnsi="Arial" w:cs="Arial"/>
          <w:sz w:val="20"/>
          <w:szCs w:val="20"/>
        </w:rPr>
        <w:lastRenderedPageBreak/>
        <w:t>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r w:rsidR="00380230" w:rsidRPr="00380230">
        <w:rPr>
          <w:rFonts w:ascii="Arial" w:hAnsi="Arial" w:cs="Arial"/>
          <w:i/>
          <w:sz w:val="20"/>
          <w:szCs w:val="20"/>
        </w:rPr>
        <w:t xml:space="preserve">Mongrag v The Queen </w:t>
      </w:r>
      <w:r w:rsidR="00380230" w:rsidRPr="00380230">
        <w:rPr>
          <w:rFonts w:ascii="Arial" w:hAnsi="Arial" w:cs="Arial"/>
          <w:sz w:val="20"/>
          <w:szCs w:val="20"/>
        </w:rPr>
        <w:t>[2018] VSCA 105 [37]–[39].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r w:rsidRPr="003D4F6D">
        <w:rPr>
          <w:rFonts w:ascii="Arial" w:hAnsi="Arial" w:cs="Arial"/>
          <w:i/>
          <w:iCs/>
          <w:color w:val="000000"/>
          <w:sz w:val="20"/>
        </w:rPr>
        <w:t>Tsun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coaccused’s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‘on the basis that the distinction drawn by [the judge] between the cooffenders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58B3A3C3" w:rsidR="003D4F6D" w:rsidRDefault="003D4F6D" w:rsidP="003D4F6D">
      <w:pPr>
        <w:jc w:val="both"/>
        <w:rPr>
          <w:rFonts w:ascii="Arial" w:hAnsi="Arial" w:cs="Arial"/>
          <w:color w:val="000000"/>
          <w:sz w:val="20"/>
        </w:rPr>
      </w:pPr>
    </w:p>
    <w:p w14:paraId="7E9E5B95" w14:textId="24075D21" w:rsidR="00F06F21" w:rsidRDefault="00F06F21" w:rsidP="003D4F6D">
      <w:pPr>
        <w:jc w:val="both"/>
        <w:rPr>
          <w:rFonts w:ascii="Arial" w:hAnsi="Arial" w:cs="Arial"/>
          <w:color w:val="000000"/>
          <w:sz w:val="20"/>
        </w:rPr>
      </w:pPr>
      <w:r>
        <w:rPr>
          <w:rFonts w:ascii="Arial" w:hAnsi="Arial" w:cs="Arial"/>
          <w:color w:val="000000"/>
          <w:sz w:val="20"/>
        </w:rPr>
        <w:t xml:space="preserve">In </w:t>
      </w:r>
      <w:r w:rsidRPr="00F06F21">
        <w:rPr>
          <w:rFonts w:ascii="Arial" w:hAnsi="Arial" w:cs="Arial"/>
          <w:i/>
          <w:iCs/>
          <w:color w:val="000000"/>
          <w:sz w:val="20"/>
        </w:rPr>
        <w:t>DPP v Rider &amp; Ong</w:t>
      </w:r>
      <w:r>
        <w:rPr>
          <w:rFonts w:ascii="Arial" w:hAnsi="Arial" w:cs="Arial"/>
          <w:color w:val="000000"/>
          <w:sz w:val="20"/>
        </w:rPr>
        <w:t xml:space="preserve"> [2023] VSC 466 </w:t>
      </w:r>
      <w:r w:rsidR="007476B2">
        <w:rPr>
          <w:rFonts w:ascii="Arial" w:hAnsi="Arial" w:cs="Arial"/>
          <w:color w:val="000000"/>
          <w:sz w:val="20"/>
        </w:rPr>
        <w:t>the two offenders, members of the Mongols OMCG, carried out a carefully planned drive-by shooting on the Eastern Freeway in which multiple shots were fired into the deceased driver’s side door for an undetermined reason.  D1 pleaded guilty to reckless murder a couple of days before the commencement of a joint jury trial.  D2 ran his trial and was convicted of intentional murder.  In relation to their respective roles Beale J said at [2] that he thought it likely that D1 was the shooter and D2 the driver but added: “[I]n my view it doesn’t make any difference in terms of your respective culpability because you wer</w:t>
      </w:r>
      <w:r w:rsidR="005F491C">
        <w:rPr>
          <w:rFonts w:ascii="Arial" w:hAnsi="Arial" w:cs="Arial"/>
          <w:color w:val="000000"/>
          <w:sz w:val="20"/>
        </w:rPr>
        <w:t>e</w:t>
      </w:r>
      <w:r w:rsidR="007476B2">
        <w:rPr>
          <w:rFonts w:ascii="Arial" w:hAnsi="Arial" w:cs="Arial"/>
          <w:color w:val="000000"/>
          <w:sz w:val="20"/>
        </w:rPr>
        <w:t xml:space="preserve"> working as a team.”  Ultimately D1 was sentenced to IMP30y/21y and D2 to IMP35y/24y6m.  </w:t>
      </w:r>
      <w:r w:rsidR="00E51574">
        <w:rPr>
          <w:rFonts w:ascii="Arial" w:hAnsi="Arial" w:cs="Arial"/>
          <w:color w:val="000000"/>
          <w:sz w:val="20"/>
        </w:rPr>
        <w:t xml:space="preserve">In </w:t>
      </w:r>
      <w:r w:rsidR="005F491C">
        <w:rPr>
          <w:rFonts w:ascii="Arial" w:hAnsi="Arial" w:cs="Arial"/>
          <w:color w:val="000000"/>
          <w:sz w:val="20"/>
        </w:rPr>
        <w:t>explaining the dis</w:t>
      </w:r>
      <w:r w:rsidR="00E51574">
        <w:rPr>
          <w:rFonts w:ascii="Arial" w:hAnsi="Arial" w:cs="Arial"/>
          <w:color w:val="000000"/>
          <w:sz w:val="20"/>
        </w:rPr>
        <w:t xml:space="preserve">parity </w:t>
      </w:r>
      <w:r w:rsidR="005F491C">
        <w:rPr>
          <w:rFonts w:ascii="Arial" w:hAnsi="Arial" w:cs="Arial"/>
          <w:color w:val="000000"/>
          <w:sz w:val="20"/>
        </w:rPr>
        <w:t xml:space="preserve">between the sentences </w:t>
      </w:r>
      <w:r w:rsidR="00E51574">
        <w:rPr>
          <w:rFonts w:ascii="Arial" w:hAnsi="Arial" w:cs="Arial"/>
          <w:color w:val="000000"/>
          <w:sz w:val="20"/>
        </w:rPr>
        <w:t>Beale J said at [110]-[113]:</w:t>
      </w:r>
    </w:p>
    <w:p w14:paraId="1C998B8C" w14:textId="233358B9" w:rsidR="00E51574" w:rsidRDefault="00E51574" w:rsidP="00E51574">
      <w:pPr>
        <w:spacing w:before="60"/>
        <w:ind w:left="567" w:right="567"/>
        <w:jc w:val="both"/>
        <w:rPr>
          <w:rFonts w:ascii="Arial" w:hAnsi="Arial" w:cs="Arial"/>
          <w:color w:val="000000"/>
          <w:sz w:val="20"/>
          <w:szCs w:val="20"/>
        </w:rPr>
      </w:pPr>
      <w:r>
        <w:rPr>
          <w:rFonts w:ascii="Arial" w:hAnsi="Arial" w:cs="Arial"/>
          <w:color w:val="000000"/>
          <w:sz w:val="20"/>
          <w:szCs w:val="20"/>
        </w:rPr>
        <w:t>[110] “There will be significant disparity between the sentences I impose on the two of you.</w:t>
      </w:r>
    </w:p>
    <w:p w14:paraId="03DF7EC3" w14:textId="796B8A9F" w:rsidR="00E51574" w:rsidRDefault="00E51574" w:rsidP="00E51574">
      <w:pPr>
        <w:spacing w:before="60"/>
        <w:ind w:left="567" w:right="567"/>
        <w:jc w:val="both"/>
        <w:rPr>
          <w:rFonts w:ascii="Arial" w:hAnsi="Arial" w:cs="Arial"/>
          <w:sz w:val="20"/>
          <w:szCs w:val="20"/>
        </w:rPr>
      </w:pPr>
      <w:r>
        <w:rPr>
          <w:rFonts w:ascii="Arial" w:hAnsi="Arial" w:cs="Arial"/>
          <w:color w:val="000000"/>
          <w:sz w:val="20"/>
          <w:szCs w:val="20"/>
        </w:rPr>
        <w:t xml:space="preserve">[111] </w:t>
      </w:r>
      <w:r w:rsidRPr="00E51574">
        <w:rPr>
          <w:rFonts w:ascii="Arial" w:hAnsi="Arial" w:cs="Arial"/>
          <w:sz w:val="20"/>
          <w:szCs w:val="20"/>
        </w:rPr>
        <w:t xml:space="preserve">I accept your counsel’s submission, Rider, that your head sentence and non-parole period should be significantly less than that to be imposed upon Ong. The prosecution acknowledged that your plea of guilty is a ‘material distinguishing factor’ between you and Ong. Other distinguishing factors that work in your favour, Rider, are the principles in </w:t>
      </w:r>
      <w:r w:rsidRPr="00E51574">
        <w:rPr>
          <w:rFonts w:ascii="Arial" w:hAnsi="Arial" w:cs="Arial"/>
          <w:i/>
          <w:iCs/>
          <w:sz w:val="20"/>
          <w:szCs w:val="20"/>
        </w:rPr>
        <w:t>Bugmy</w:t>
      </w:r>
      <w:r w:rsidRPr="00E51574">
        <w:rPr>
          <w:rFonts w:ascii="Arial" w:hAnsi="Arial" w:cs="Arial"/>
          <w:sz w:val="20"/>
          <w:szCs w:val="20"/>
        </w:rPr>
        <w:t xml:space="preserve"> and principles 5 and 6 in </w:t>
      </w:r>
      <w:r w:rsidRPr="00E51574">
        <w:rPr>
          <w:rFonts w:ascii="Arial" w:hAnsi="Arial" w:cs="Arial"/>
          <w:i/>
          <w:iCs/>
          <w:sz w:val="20"/>
          <w:szCs w:val="20"/>
        </w:rPr>
        <w:t>Verdins</w:t>
      </w:r>
      <w:r w:rsidRPr="00E51574">
        <w:rPr>
          <w:rFonts w:ascii="Arial" w:hAnsi="Arial" w:cs="Arial"/>
          <w:sz w:val="20"/>
          <w:szCs w:val="20"/>
        </w:rPr>
        <w:t>.</w:t>
      </w:r>
    </w:p>
    <w:p w14:paraId="2DB1E003" w14:textId="31E733B6" w:rsidR="00E51574" w:rsidRDefault="00E51574" w:rsidP="00E51574">
      <w:pPr>
        <w:spacing w:before="60"/>
        <w:ind w:left="567" w:right="567"/>
        <w:jc w:val="both"/>
        <w:rPr>
          <w:rFonts w:ascii="Arial" w:hAnsi="Arial" w:cs="Arial"/>
          <w:sz w:val="20"/>
          <w:szCs w:val="20"/>
        </w:rPr>
      </w:pPr>
      <w:r>
        <w:rPr>
          <w:rFonts w:ascii="Arial" w:hAnsi="Arial" w:cs="Arial"/>
          <w:sz w:val="20"/>
          <w:szCs w:val="20"/>
        </w:rPr>
        <w:t xml:space="preserve">[112] </w:t>
      </w:r>
      <w:r w:rsidRPr="00E51574">
        <w:rPr>
          <w:rFonts w:ascii="Arial" w:hAnsi="Arial" w:cs="Arial"/>
          <w:sz w:val="20"/>
          <w:szCs w:val="20"/>
        </w:rPr>
        <w:t>On the other hand, you have a more extensive criminal history than Ong and were on a CCO at the time of the murder. Further, I am guarded about your prospects of rehabilitation, whereas I accept that Ong’s prospects are reasonable.</w:t>
      </w:r>
    </w:p>
    <w:p w14:paraId="0DB7A9A8" w14:textId="402D6AC1" w:rsidR="00E51574" w:rsidRPr="00380230" w:rsidRDefault="00E51574" w:rsidP="00E51574">
      <w:pPr>
        <w:spacing w:before="60"/>
        <w:ind w:left="567" w:right="567"/>
        <w:jc w:val="both"/>
        <w:rPr>
          <w:rFonts w:ascii="Arial" w:hAnsi="Arial" w:cs="Arial"/>
          <w:color w:val="000000"/>
          <w:sz w:val="20"/>
          <w:szCs w:val="20"/>
        </w:rPr>
      </w:pPr>
      <w:r>
        <w:rPr>
          <w:rFonts w:ascii="Arial" w:hAnsi="Arial" w:cs="Arial"/>
          <w:sz w:val="20"/>
          <w:szCs w:val="20"/>
        </w:rPr>
        <w:t xml:space="preserve">[113] </w:t>
      </w:r>
      <w:r w:rsidRPr="00E51574">
        <w:rPr>
          <w:rFonts w:ascii="Arial" w:hAnsi="Arial" w:cs="Arial"/>
          <w:sz w:val="20"/>
          <w:szCs w:val="20"/>
        </w:rPr>
        <w:t>I have taken all these matters into account as best I can.</w:t>
      </w:r>
      <w:r>
        <w:rPr>
          <w:rFonts w:ascii="Arial" w:hAnsi="Arial" w:cs="Arial"/>
          <w:sz w:val="20"/>
          <w:szCs w:val="20"/>
        </w:rPr>
        <w:t>”</w:t>
      </w:r>
    </w:p>
    <w:p w14:paraId="6F10B86F" w14:textId="79A4C580" w:rsidR="00F06F21" w:rsidRDefault="00F06F21" w:rsidP="003D4F6D">
      <w:pPr>
        <w:jc w:val="both"/>
        <w:rPr>
          <w:rFonts w:ascii="Arial" w:hAnsi="Arial" w:cs="Arial"/>
          <w:color w:val="000000"/>
          <w:sz w:val="20"/>
        </w:rPr>
      </w:pPr>
    </w:p>
    <w:p w14:paraId="7BC8CC28" w14:textId="47941C4A" w:rsidR="00AA1C29" w:rsidRDefault="00AA1C29" w:rsidP="003D4F6D">
      <w:pPr>
        <w:jc w:val="both"/>
        <w:rPr>
          <w:rFonts w:ascii="Arial" w:hAnsi="Arial" w:cs="Arial"/>
          <w:color w:val="000000"/>
          <w:sz w:val="20"/>
        </w:rPr>
      </w:pPr>
      <w:r>
        <w:rPr>
          <w:rFonts w:ascii="Arial" w:hAnsi="Arial" w:cs="Arial"/>
          <w:color w:val="000000"/>
          <w:sz w:val="20"/>
        </w:rPr>
        <w:t xml:space="preserve">In holding that the ‘parity principle’ had been infringed in </w:t>
      </w:r>
      <w:r w:rsidRPr="00AA1C29">
        <w:rPr>
          <w:rFonts w:ascii="Arial" w:hAnsi="Arial" w:cs="Arial"/>
          <w:i/>
          <w:iCs/>
          <w:color w:val="000000"/>
          <w:sz w:val="20"/>
        </w:rPr>
        <w:t>Moussa v The King</w:t>
      </w:r>
      <w:r>
        <w:rPr>
          <w:rFonts w:ascii="Arial" w:hAnsi="Arial" w:cs="Arial"/>
          <w:color w:val="000000"/>
          <w:sz w:val="20"/>
        </w:rPr>
        <w:t xml:space="preserve"> [2024] VSCA 113 the Court of Appeal (Kennedy &amp; T Forrest JJA) said at [56]-[59]:</w:t>
      </w:r>
    </w:p>
    <w:p w14:paraId="7153CCA9" w14:textId="01BACCD4" w:rsidR="00AA1C29" w:rsidRDefault="00AA1C29" w:rsidP="00AA1C29">
      <w:pPr>
        <w:spacing w:before="60"/>
        <w:ind w:left="567" w:right="567"/>
        <w:jc w:val="both"/>
        <w:rPr>
          <w:rFonts w:ascii="Arial" w:hAnsi="Arial" w:cs="Arial"/>
          <w:sz w:val="20"/>
          <w:szCs w:val="20"/>
        </w:rPr>
      </w:pPr>
      <w:r>
        <w:rPr>
          <w:rFonts w:ascii="Arial" w:hAnsi="Arial" w:cs="Arial"/>
          <w:color w:val="000000"/>
          <w:sz w:val="20"/>
          <w:szCs w:val="20"/>
        </w:rPr>
        <w:t>[56] “</w:t>
      </w:r>
      <w:r w:rsidRPr="00AA1C29">
        <w:rPr>
          <w:rFonts w:ascii="Arial" w:hAnsi="Arial" w:cs="Arial"/>
          <w:sz w:val="20"/>
          <w:szCs w:val="20"/>
        </w:rPr>
        <w:t xml:space="preserve">In </w:t>
      </w:r>
      <w:r w:rsidRPr="00AA1C29">
        <w:rPr>
          <w:rFonts w:ascii="Arial" w:hAnsi="Arial" w:cs="Arial"/>
          <w:i/>
          <w:iCs/>
          <w:sz w:val="20"/>
          <w:szCs w:val="20"/>
        </w:rPr>
        <w:t>Kellway (a pseudonym) v The King</w:t>
      </w:r>
      <w:r>
        <w:rPr>
          <w:rFonts w:ascii="Arial" w:hAnsi="Arial" w:cs="Arial"/>
          <w:sz w:val="20"/>
          <w:szCs w:val="20"/>
        </w:rPr>
        <w:t xml:space="preserve"> [2023] VSCA 109 at [124]-[127] {also cited in </w:t>
      </w:r>
      <w:r w:rsidRPr="00DC1AD8">
        <w:rPr>
          <w:rFonts w:ascii="Arial" w:hAnsi="Arial" w:cs="Arial"/>
          <w:i/>
          <w:iCs/>
          <w:sz w:val="20"/>
          <w:szCs w:val="20"/>
        </w:rPr>
        <w:t>Minutolo v The King</w:t>
      </w:r>
      <w:r>
        <w:rPr>
          <w:rFonts w:ascii="Arial" w:hAnsi="Arial" w:cs="Arial"/>
          <w:sz w:val="20"/>
          <w:szCs w:val="20"/>
        </w:rPr>
        <w:t xml:space="preserve"> [2023] VSCA 300 at [53]}, this Court summarised the parity principle as follows:</w:t>
      </w:r>
    </w:p>
    <w:p w14:paraId="69D56F71" w14:textId="69ED2F19" w:rsidR="00DC1AD8" w:rsidRDefault="00DC1AD8" w:rsidP="00DC1AD8">
      <w:pPr>
        <w:spacing w:before="60"/>
        <w:ind w:left="1021" w:right="1021"/>
        <w:jc w:val="both"/>
        <w:rPr>
          <w:rFonts w:ascii="Arial" w:hAnsi="Arial" w:cs="Arial"/>
          <w:sz w:val="18"/>
          <w:szCs w:val="18"/>
        </w:rPr>
      </w:pPr>
      <w:r w:rsidRPr="00DC1AD8">
        <w:rPr>
          <w:rFonts w:ascii="Arial" w:hAnsi="Arial" w:cs="Arial"/>
          <w:sz w:val="18"/>
          <w:szCs w:val="18"/>
        </w:rPr>
        <w:t>The purpose of parity in sentencing is to ensure consistency in punishment</w:t>
      </w:r>
      <w:r>
        <w:rPr>
          <w:rFonts w:ascii="Arial" w:hAnsi="Arial" w:cs="Arial"/>
          <w:sz w:val="18"/>
          <w:szCs w:val="18"/>
        </w:rPr>
        <w:t xml:space="preserve">: </w:t>
      </w:r>
      <w:r w:rsidRPr="00DC1AD8">
        <w:rPr>
          <w:rFonts w:ascii="Arial" w:hAnsi="Arial" w:cs="Arial"/>
          <w:i/>
          <w:iCs/>
          <w:sz w:val="18"/>
          <w:szCs w:val="18"/>
        </w:rPr>
        <w:t>Abdou v The Queen</w:t>
      </w:r>
      <w:r>
        <w:rPr>
          <w:rFonts w:ascii="Arial" w:hAnsi="Arial" w:cs="Arial"/>
          <w:sz w:val="18"/>
          <w:szCs w:val="18"/>
        </w:rPr>
        <w:t xml:space="preserve"> [2015] VSCA 359, [62]; see also </w:t>
      </w:r>
      <w:r w:rsidRPr="00DC1AD8">
        <w:rPr>
          <w:rFonts w:ascii="Arial" w:hAnsi="Arial" w:cs="Arial"/>
          <w:i/>
          <w:iCs/>
          <w:sz w:val="18"/>
          <w:szCs w:val="18"/>
        </w:rPr>
        <w:t>Green v The Queen</w:t>
      </w:r>
      <w:r>
        <w:rPr>
          <w:rFonts w:ascii="Arial" w:hAnsi="Arial" w:cs="Arial"/>
          <w:sz w:val="18"/>
          <w:szCs w:val="18"/>
        </w:rPr>
        <w:t xml:space="preserve"> (2011) 244 CLR 462, 473 [28]; [2011] HCA 49; </w:t>
      </w:r>
      <w:r w:rsidRPr="00DC1AD8">
        <w:rPr>
          <w:rFonts w:ascii="Arial" w:hAnsi="Arial" w:cs="Arial"/>
          <w:i/>
          <w:iCs/>
          <w:sz w:val="18"/>
          <w:szCs w:val="18"/>
        </w:rPr>
        <w:t>Nipoe v The Queen</w:t>
      </w:r>
      <w:r>
        <w:rPr>
          <w:rFonts w:ascii="Arial" w:hAnsi="Arial" w:cs="Arial"/>
          <w:sz w:val="18"/>
          <w:szCs w:val="18"/>
        </w:rPr>
        <w:t xml:space="preserve"> [2020] VSCA 137, [38]</w:t>
      </w:r>
      <w:r w:rsidRPr="00DC1AD8">
        <w:rPr>
          <w:rFonts w:ascii="Arial" w:hAnsi="Arial" w:cs="Arial"/>
          <w:sz w:val="18"/>
          <w:szCs w:val="18"/>
        </w:rPr>
        <w:t xml:space="preserve">. As Kaye AJA (as his Honour then was) said in </w:t>
      </w:r>
      <w:r w:rsidRPr="00DC1AD8">
        <w:rPr>
          <w:rFonts w:ascii="Arial" w:hAnsi="Arial" w:cs="Arial"/>
          <w:i/>
          <w:iCs/>
          <w:sz w:val="18"/>
          <w:szCs w:val="18"/>
        </w:rPr>
        <w:t>Dawid v Director of Public Prosecutions</w:t>
      </w:r>
      <w:r>
        <w:rPr>
          <w:rFonts w:ascii="Arial" w:hAnsi="Arial" w:cs="Arial"/>
          <w:i/>
          <w:iCs/>
          <w:sz w:val="18"/>
          <w:szCs w:val="18"/>
        </w:rPr>
        <w:t xml:space="preserve"> </w:t>
      </w:r>
      <w:r w:rsidRPr="00DC1AD8">
        <w:rPr>
          <w:rFonts w:ascii="Arial" w:hAnsi="Arial" w:cs="Arial"/>
          <w:sz w:val="18"/>
          <w:szCs w:val="18"/>
        </w:rPr>
        <w:t xml:space="preserve">[2013] VSCA 64 [43], </w:t>
      </w:r>
      <w:r w:rsidR="00D8092A">
        <w:rPr>
          <w:rFonts w:ascii="Arial" w:hAnsi="Arial" w:cs="Arial"/>
          <w:sz w:val="18"/>
          <w:szCs w:val="18"/>
        </w:rPr>
        <w:t>‘</w:t>
      </w:r>
      <w:r w:rsidRPr="00DC1AD8">
        <w:rPr>
          <w:rFonts w:ascii="Arial" w:hAnsi="Arial" w:cs="Arial"/>
          <w:sz w:val="18"/>
          <w:szCs w:val="18"/>
        </w:rPr>
        <w:t>the principle of parity is based on the broad principle of equal justice</w:t>
      </w:r>
      <w:r w:rsidR="00D8092A">
        <w:rPr>
          <w:rFonts w:ascii="Arial" w:hAnsi="Arial" w:cs="Arial"/>
          <w:sz w:val="18"/>
          <w:szCs w:val="18"/>
        </w:rPr>
        <w:t>’</w:t>
      </w:r>
      <w:r w:rsidRPr="00DC1AD8">
        <w:rPr>
          <w:rFonts w:ascii="Arial" w:hAnsi="Arial" w:cs="Arial"/>
          <w:sz w:val="18"/>
          <w:szCs w:val="18"/>
        </w:rPr>
        <w:t xml:space="preserve">. Significant disparities in sentences </w:t>
      </w:r>
      <w:r w:rsidR="00D8092A">
        <w:rPr>
          <w:rFonts w:ascii="Arial" w:hAnsi="Arial" w:cs="Arial"/>
          <w:sz w:val="18"/>
          <w:szCs w:val="18"/>
        </w:rPr>
        <w:t>‘</w:t>
      </w:r>
      <w:r w:rsidRPr="00DC1AD8">
        <w:rPr>
          <w:rFonts w:ascii="Arial" w:hAnsi="Arial" w:cs="Arial"/>
          <w:sz w:val="18"/>
          <w:szCs w:val="18"/>
        </w:rPr>
        <w:t>should be capable of a rational explanation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R v Tien</w:t>
      </w:r>
      <w:r>
        <w:rPr>
          <w:rFonts w:ascii="Arial" w:hAnsi="Arial" w:cs="Arial"/>
          <w:sz w:val="18"/>
          <w:szCs w:val="18"/>
        </w:rPr>
        <w:t xml:space="preserve"> [1998] VSCA 6, [40]</w:t>
      </w:r>
      <w:r w:rsidRPr="00DC1AD8">
        <w:rPr>
          <w:rFonts w:ascii="Arial" w:hAnsi="Arial" w:cs="Arial"/>
          <w:sz w:val="18"/>
          <w:szCs w:val="18"/>
        </w:rPr>
        <w:t>. However, that is not to say that there will be a ‘scientifically precise answer to the quantification of disparities between offenders’</w:t>
      </w:r>
      <w:r>
        <w:rPr>
          <w:rFonts w:ascii="Arial" w:hAnsi="Arial" w:cs="Arial"/>
          <w:sz w:val="18"/>
          <w:szCs w:val="18"/>
        </w:rPr>
        <w:t xml:space="preserve">: </w:t>
      </w:r>
      <w:r w:rsidRPr="00DC1AD8">
        <w:rPr>
          <w:rFonts w:ascii="Arial" w:hAnsi="Arial" w:cs="Arial"/>
          <w:i/>
          <w:iCs/>
          <w:sz w:val="18"/>
          <w:szCs w:val="18"/>
        </w:rPr>
        <w:t>Ah-Kau v The Queen</w:t>
      </w:r>
      <w:r w:rsidRPr="00DC1AD8">
        <w:rPr>
          <w:rFonts w:ascii="Arial" w:hAnsi="Arial" w:cs="Arial"/>
          <w:sz w:val="18"/>
          <w:szCs w:val="18"/>
        </w:rPr>
        <w:t xml:space="preserve"> [2018] VSCA 296, [51]. The assessment of the amount of disparity betw</w:t>
      </w:r>
      <w:r w:rsidR="00D8092A">
        <w:rPr>
          <w:rFonts w:ascii="Arial" w:hAnsi="Arial" w:cs="Arial"/>
          <w:sz w:val="18"/>
          <w:szCs w:val="18"/>
        </w:rPr>
        <w:t>e</w:t>
      </w:r>
      <w:r w:rsidRPr="00DC1AD8">
        <w:rPr>
          <w:rFonts w:ascii="Arial" w:hAnsi="Arial" w:cs="Arial"/>
          <w:sz w:val="18"/>
          <w:szCs w:val="18"/>
        </w:rPr>
        <w:t xml:space="preserve">en offenders is </w:t>
      </w:r>
      <w:r w:rsidR="00D8092A">
        <w:rPr>
          <w:rFonts w:ascii="Arial" w:hAnsi="Arial" w:cs="Arial"/>
          <w:sz w:val="18"/>
          <w:szCs w:val="18"/>
        </w:rPr>
        <w:t>‘</w:t>
      </w:r>
      <w:r w:rsidRPr="00DC1AD8">
        <w:rPr>
          <w:rFonts w:ascii="Arial" w:hAnsi="Arial" w:cs="Arial"/>
          <w:sz w:val="18"/>
          <w:szCs w:val="18"/>
        </w:rPr>
        <w:t>[u]ltimately … an evaluation based on impression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Ibid</w:t>
      </w:r>
      <w:r w:rsidRPr="00DC1AD8">
        <w:rPr>
          <w:rFonts w:ascii="Arial" w:hAnsi="Arial" w:cs="Arial"/>
          <w:sz w:val="18"/>
          <w:szCs w:val="18"/>
        </w:rPr>
        <w:t>.</w:t>
      </w:r>
    </w:p>
    <w:p w14:paraId="31EC133C" w14:textId="12ED1FAC" w:rsidR="00AA1C29" w:rsidRPr="00D8092A" w:rsidRDefault="00DC1AD8" w:rsidP="00DC1AD8">
      <w:pPr>
        <w:spacing w:before="60"/>
        <w:ind w:left="1021" w:right="1021"/>
        <w:jc w:val="both"/>
        <w:rPr>
          <w:rFonts w:ascii="Arial" w:hAnsi="Arial" w:cs="Arial"/>
          <w:sz w:val="18"/>
          <w:szCs w:val="18"/>
        </w:rPr>
      </w:pPr>
      <w:r w:rsidRPr="00D8092A">
        <w:rPr>
          <w:rFonts w:ascii="Arial" w:hAnsi="Arial" w:cs="Arial"/>
          <w:sz w:val="18"/>
          <w:szCs w:val="18"/>
        </w:rPr>
        <w:t>A ground of appeal complaining about disparity should be approached within the same analytical framework as the ground of manifest excess</w:t>
      </w:r>
      <w:r w:rsidR="00D8092A" w:rsidRPr="00D8092A">
        <w:rPr>
          <w:rFonts w:ascii="Arial" w:hAnsi="Arial" w:cs="Arial"/>
          <w:sz w:val="18"/>
          <w:szCs w:val="18"/>
        </w:rPr>
        <w:t xml:space="preserve">: </w:t>
      </w:r>
      <w:r w:rsidR="00D8092A" w:rsidRPr="00D8092A">
        <w:rPr>
          <w:rFonts w:ascii="Arial" w:hAnsi="Arial" w:cs="Arial"/>
          <w:i/>
          <w:iCs/>
          <w:sz w:val="18"/>
          <w:szCs w:val="18"/>
        </w:rPr>
        <w:t>Barbaro v The Queen</w:t>
      </w:r>
      <w:r w:rsidR="00D8092A" w:rsidRPr="00D8092A">
        <w:rPr>
          <w:rFonts w:ascii="Arial" w:hAnsi="Arial" w:cs="Arial"/>
          <w:sz w:val="18"/>
          <w:szCs w:val="18"/>
        </w:rPr>
        <w:t xml:space="preserve"> (2012) </w:t>
      </w:r>
      <w:r w:rsidR="00D8092A" w:rsidRPr="00D8092A">
        <w:rPr>
          <w:rFonts w:ascii="Arial" w:hAnsi="Arial" w:cs="Arial"/>
          <w:sz w:val="18"/>
          <w:szCs w:val="18"/>
        </w:rPr>
        <w:lastRenderedPageBreak/>
        <w:t>226 A Crim R 354, 371 [63]; [2012] VSCA 288</w:t>
      </w:r>
      <w:r w:rsidRPr="00D8092A">
        <w:rPr>
          <w:rFonts w:ascii="Arial" w:hAnsi="Arial" w:cs="Arial"/>
          <w:sz w:val="18"/>
          <w:szCs w:val="18"/>
        </w:rPr>
        <w:t xml:space="preserve">. As this Court said in </w:t>
      </w:r>
      <w:r w:rsidRPr="00D8092A">
        <w:rPr>
          <w:rFonts w:ascii="Arial" w:hAnsi="Arial" w:cs="Arial"/>
          <w:i/>
          <w:iCs/>
          <w:sz w:val="18"/>
          <w:szCs w:val="18"/>
        </w:rPr>
        <w:t>Barbaro v The Queen</w:t>
      </w:r>
      <w:r w:rsidR="00D8092A">
        <w:rPr>
          <w:rFonts w:ascii="Arial" w:hAnsi="Arial" w:cs="Arial"/>
          <w:i/>
          <w:iCs/>
          <w:sz w:val="18"/>
          <w:szCs w:val="18"/>
        </w:rPr>
        <w:t xml:space="preserve"> </w:t>
      </w:r>
      <w:r w:rsidR="00D8092A" w:rsidRPr="00D8092A">
        <w:rPr>
          <w:rFonts w:ascii="Arial" w:hAnsi="Arial" w:cs="Arial"/>
          <w:sz w:val="18"/>
          <w:szCs w:val="18"/>
        </w:rPr>
        <w:t>at 371-372 [63]</w:t>
      </w:r>
      <w:r w:rsidRPr="00D8092A">
        <w:rPr>
          <w:rFonts w:ascii="Arial" w:hAnsi="Arial" w:cs="Arial"/>
          <w:sz w:val="18"/>
          <w:szCs w:val="18"/>
        </w:rPr>
        <w:t>:</w:t>
      </w:r>
    </w:p>
    <w:p w14:paraId="55D10DE2" w14:textId="08CF634D" w:rsidR="00AA1C29" w:rsidRDefault="00D8092A" w:rsidP="00D8092A">
      <w:pPr>
        <w:spacing w:before="60"/>
        <w:ind w:left="1361" w:right="1361"/>
        <w:jc w:val="both"/>
        <w:rPr>
          <w:rFonts w:ascii="Arial" w:hAnsi="Arial" w:cs="Arial"/>
          <w:sz w:val="20"/>
          <w:szCs w:val="20"/>
        </w:rPr>
      </w:pPr>
      <w:r w:rsidRPr="00D8092A">
        <w:rPr>
          <w:rFonts w:ascii="Arial" w:hAnsi="Arial" w:cs="Arial"/>
          <w:sz w:val="16"/>
          <w:szCs w:val="16"/>
        </w:rPr>
        <w:t>[T]he question for consideration is whether it was reasonably open to the sentencing judge to differentiate — or fail to differentiate — between the co-offenders in the way he/she did, if proper weight were given to the similarities and differences between them as regards culpability, criminal record and personal circumstances.</w:t>
      </w:r>
    </w:p>
    <w:p w14:paraId="6DB32483" w14:textId="71DFDAAF" w:rsidR="00D8092A" w:rsidRPr="00D8092A" w:rsidRDefault="00AA1C29" w:rsidP="00D8092A">
      <w:pPr>
        <w:spacing w:before="60"/>
        <w:ind w:left="1021" w:right="1021"/>
        <w:jc w:val="both"/>
        <w:rPr>
          <w:rFonts w:ascii="Arial" w:hAnsi="Arial" w:cs="Arial"/>
          <w:sz w:val="16"/>
          <w:szCs w:val="16"/>
        </w:rPr>
      </w:pPr>
      <w:r w:rsidRPr="00D8092A">
        <w:rPr>
          <w:rFonts w:ascii="Arial" w:hAnsi="Arial" w:cs="Arial"/>
          <w:sz w:val="18"/>
          <w:szCs w:val="18"/>
        </w:rPr>
        <w:t>For an appellate court to intervene on the basis</w:t>
      </w:r>
      <w:r w:rsidR="00D8092A">
        <w:rPr>
          <w:rFonts w:ascii="Arial" w:hAnsi="Arial" w:cs="Arial"/>
          <w:sz w:val="18"/>
          <w:szCs w:val="18"/>
        </w:rPr>
        <w:t xml:space="preserve"> </w:t>
      </w:r>
      <w:r w:rsidRPr="00D8092A">
        <w:rPr>
          <w:rFonts w:ascii="Arial" w:hAnsi="Arial" w:cs="Arial"/>
          <w:sz w:val="18"/>
          <w:szCs w:val="18"/>
        </w:rPr>
        <w:t>of disparity, the disparity must be ‘“marked” or “manifest” and such as to produce a legitimate and justifiable sense of grievance in the objective observer</w:t>
      </w:r>
      <w:r w:rsidR="00D8092A" w:rsidRPr="00D8092A">
        <w:rPr>
          <w:rFonts w:ascii="Arial" w:hAnsi="Arial" w:cs="Arial"/>
          <w:sz w:val="18"/>
          <w:szCs w:val="18"/>
        </w:rPr>
        <w:t xml:space="preserve">: </w:t>
      </w:r>
      <w:r w:rsidR="00D8092A" w:rsidRPr="00D8092A">
        <w:rPr>
          <w:rFonts w:ascii="Arial" w:hAnsi="Arial" w:cs="Arial"/>
          <w:i/>
          <w:iCs/>
          <w:sz w:val="18"/>
          <w:szCs w:val="18"/>
        </w:rPr>
        <w:t>R v Mercieca</w:t>
      </w:r>
      <w:r w:rsidR="00D8092A" w:rsidRPr="00D8092A">
        <w:rPr>
          <w:rFonts w:ascii="Arial" w:hAnsi="Arial" w:cs="Arial"/>
          <w:sz w:val="18"/>
          <w:szCs w:val="18"/>
        </w:rPr>
        <w:t xml:space="preserve"> [2004] VSCA 170, [17]</w:t>
      </w:r>
      <w:r w:rsidRPr="00D8092A">
        <w:rPr>
          <w:rFonts w:ascii="Arial" w:hAnsi="Arial" w:cs="Arial"/>
          <w:sz w:val="18"/>
          <w:szCs w:val="18"/>
        </w:rPr>
        <w:t>. The question whether there is such a sense of grievance depends on whether there were reasonable grounds for differentiation (or lack thereof) between the co-offenders</w:t>
      </w:r>
      <w:r w:rsidR="00D8092A" w:rsidRPr="00D8092A">
        <w:rPr>
          <w:rFonts w:ascii="Arial" w:hAnsi="Arial" w:cs="Arial"/>
          <w:sz w:val="18"/>
          <w:szCs w:val="18"/>
        </w:rPr>
        <w:t xml:space="preserve">: </w:t>
      </w:r>
      <w:r w:rsidR="00D8092A" w:rsidRPr="00D8092A">
        <w:rPr>
          <w:rFonts w:ascii="Arial" w:hAnsi="Arial" w:cs="Arial"/>
          <w:i/>
          <w:iCs/>
          <w:sz w:val="18"/>
          <w:szCs w:val="18"/>
        </w:rPr>
        <w:t>Abdou</w:t>
      </w:r>
      <w:r w:rsidR="00D8092A" w:rsidRPr="00D8092A">
        <w:rPr>
          <w:rFonts w:ascii="Arial" w:hAnsi="Arial" w:cs="Arial"/>
          <w:sz w:val="18"/>
          <w:szCs w:val="18"/>
        </w:rPr>
        <w:t xml:space="preserve"> [2015] VSCA 359, [62]</w:t>
      </w:r>
      <w:r w:rsidRPr="00D8092A">
        <w:rPr>
          <w:rFonts w:ascii="Arial" w:hAnsi="Arial" w:cs="Arial"/>
          <w:sz w:val="18"/>
          <w:szCs w:val="18"/>
        </w:rPr>
        <w:t>.</w:t>
      </w:r>
      <w:r w:rsidR="00D8092A" w:rsidRPr="00D8092A">
        <w:rPr>
          <w:rFonts w:ascii="Arial" w:hAnsi="Arial" w:cs="Arial"/>
          <w:sz w:val="18"/>
          <w:szCs w:val="18"/>
        </w:rPr>
        <w:t xml:space="preserve">  </w:t>
      </w:r>
      <w:r w:rsidRPr="00D8092A">
        <w:rPr>
          <w:rFonts w:ascii="Arial" w:hAnsi="Arial" w:cs="Arial"/>
          <w:sz w:val="18"/>
          <w:szCs w:val="18"/>
        </w:rPr>
        <w:t xml:space="preserve">As Gaudron, Gummow and Hayne JJ said in </w:t>
      </w:r>
      <w:r w:rsidRPr="00D8092A">
        <w:rPr>
          <w:rFonts w:ascii="Arial" w:hAnsi="Arial" w:cs="Arial"/>
          <w:i/>
          <w:iCs/>
          <w:sz w:val="18"/>
          <w:szCs w:val="18"/>
        </w:rPr>
        <w:t>Wong v The Queen</w:t>
      </w:r>
      <w:r w:rsidRPr="00D8092A">
        <w:rPr>
          <w:rFonts w:ascii="Arial" w:hAnsi="Arial" w:cs="Arial"/>
          <w:sz w:val="18"/>
          <w:szCs w:val="18"/>
        </w:rPr>
        <w:t xml:space="preserve">: </w:t>
      </w:r>
      <w:r w:rsidR="00D8092A" w:rsidRPr="00D8092A">
        <w:rPr>
          <w:rFonts w:ascii="Arial" w:hAnsi="Arial" w:cs="Arial"/>
          <w:sz w:val="18"/>
          <w:szCs w:val="18"/>
        </w:rPr>
        <w:t xml:space="preserve">(2001) 207 CLR 584, 608 [65]; [2001] HCA 64 </w:t>
      </w:r>
      <w:r w:rsidRPr="00D8092A">
        <w:rPr>
          <w:rFonts w:ascii="Arial" w:hAnsi="Arial" w:cs="Arial"/>
          <w:sz w:val="18"/>
          <w:szCs w:val="18"/>
        </w:rPr>
        <w:t>‘Equal justice requires identity of outcome in cases that are relevantly identical. It requires different outcomes in cases that are different in some relevant respect.’</w:t>
      </w:r>
    </w:p>
    <w:p w14:paraId="59339BB6" w14:textId="06B1EB97" w:rsidR="00D8092A" w:rsidRPr="00D8092A" w:rsidRDefault="00AA1C29" w:rsidP="00D8092A">
      <w:pPr>
        <w:spacing w:before="60"/>
        <w:ind w:left="1021" w:right="1021"/>
        <w:jc w:val="both"/>
        <w:rPr>
          <w:rFonts w:ascii="Arial" w:hAnsi="Arial" w:cs="Arial"/>
          <w:sz w:val="14"/>
          <w:szCs w:val="14"/>
        </w:rPr>
      </w:pPr>
      <w:r w:rsidRPr="00D8092A">
        <w:rPr>
          <w:rFonts w:ascii="Arial" w:hAnsi="Arial" w:cs="Arial"/>
          <w:sz w:val="18"/>
          <w:szCs w:val="18"/>
        </w:rPr>
        <w:t>One differentiating factor may be the role the co-offenders played in the offending. A co-offender who is the principal offender may receive a heavier sentence than another co-offender</w:t>
      </w:r>
      <w:r w:rsidR="00D8092A">
        <w:rPr>
          <w:rFonts w:ascii="Arial" w:hAnsi="Arial" w:cs="Arial"/>
          <w:sz w:val="18"/>
          <w:szCs w:val="18"/>
        </w:rPr>
        <w:t xml:space="preserve">: see e.g. </w:t>
      </w:r>
      <w:r w:rsidR="00D8092A" w:rsidRPr="00D8092A">
        <w:rPr>
          <w:rFonts w:ascii="Arial" w:hAnsi="Arial" w:cs="Arial"/>
          <w:i/>
          <w:iCs/>
          <w:sz w:val="18"/>
          <w:szCs w:val="18"/>
        </w:rPr>
        <w:t>Dawid</w:t>
      </w:r>
      <w:r w:rsidR="00D8092A">
        <w:rPr>
          <w:rFonts w:ascii="Arial" w:hAnsi="Arial" w:cs="Arial"/>
          <w:sz w:val="18"/>
          <w:szCs w:val="18"/>
        </w:rPr>
        <w:t xml:space="preserve"> [2013] VSCA 64, [64]; </w:t>
      </w:r>
      <w:r w:rsidR="00D8092A" w:rsidRPr="00D8092A">
        <w:rPr>
          <w:rFonts w:ascii="Arial" w:hAnsi="Arial" w:cs="Arial"/>
          <w:i/>
          <w:iCs/>
          <w:sz w:val="18"/>
          <w:szCs w:val="18"/>
        </w:rPr>
        <w:t>Marku v The Queen</w:t>
      </w:r>
      <w:r w:rsidR="00D8092A">
        <w:rPr>
          <w:rFonts w:ascii="Arial" w:hAnsi="Arial" w:cs="Arial"/>
          <w:sz w:val="18"/>
          <w:szCs w:val="18"/>
        </w:rPr>
        <w:t xml:space="preserve"> [2012] VSCA 51, [48]-[49]</w:t>
      </w:r>
      <w:r w:rsidRPr="00D8092A">
        <w:rPr>
          <w:rFonts w:ascii="Arial" w:hAnsi="Arial" w:cs="Arial"/>
          <w:sz w:val="18"/>
          <w:szCs w:val="18"/>
        </w:rPr>
        <w:t>. Another differentiating factor is remorse. A co-offender who displays no remorse may receive a heavier sentence than a co-offender who demonstrates some remorse</w:t>
      </w:r>
      <w:r w:rsidR="00D8092A">
        <w:rPr>
          <w:rFonts w:ascii="Arial" w:hAnsi="Arial" w:cs="Arial"/>
          <w:sz w:val="18"/>
          <w:szCs w:val="18"/>
        </w:rPr>
        <w:t xml:space="preserve">: see e.g. </w:t>
      </w:r>
      <w:r w:rsidR="00D8092A" w:rsidRPr="00D8092A">
        <w:rPr>
          <w:rFonts w:ascii="Arial" w:hAnsi="Arial" w:cs="Arial"/>
          <w:i/>
          <w:iCs/>
          <w:sz w:val="18"/>
          <w:szCs w:val="18"/>
        </w:rPr>
        <w:t>Case (a pseudonym) v The King</w:t>
      </w:r>
      <w:r w:rsidR="00D8092A">
        <w:rPr>
          <w:rFonts w:ascii="Arial" w:hAnsi="Arial" w:cs="Arial"/>
          <w:sz w:val="18"/>
          <w:szCs w:val="18"/>
        </w:rPr>
        <w:t xml:space="preserve"> [2023] VSCA 12, [150]-[154].</w:t>
      </w:r>
    </w:p>
    <w:p w14:paraId="58524E3B" w14:textId="3C3D99B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57</w:t>
      </w:r>
      <w:r>
        <w:rPr>
          <w:rFonts w:ascii="Arial" w:hAnsi="Arial" w:cs="Arial"/>
          <w:sz w:val="20"/>
          <w:szCs w:val="20"/>
        </w:rPr>
        <w:t>]</w:t>
      </w:r>
      <w:r w:rsidR="00AA1C29" w:rsidRPr="00AA1C29">
        <w:rPr>
          <w:rFonts w:ascii="Arial" w:hAnsi="Arial" w:cs="Arial"/>
          <w:sz w:val="20"/>
          <w:szCs w:val="20"/>
        </w:rPr>
        <w:t xml:space="preserve"> In the present case, it is undisputed that Georgiou knew that he was carrying a loaded weapon to the premises. It is also undisputed that he discharged a round while still at the front of the premises and that, only nine seconds later, he discharged a second round. </w:t>
      </w:r>
    </w:p>
    <w:p w14:paraId="1FEFAAB9" w14:textId="56A3F09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58</w:t>
      </w:r>
      <w:r>
        <w:rPr>
          <w:rFonts w:ascii="Arial" w:hAnsi="Arial" w:cs="Arial"/>
          <w:sz w:val="20"/>
          <w:szCs w:val="20"/>
        </w:rPr>
        <w:t>]</w:t>
      </w:r>
      <w:r w:rsidR="00AA1C29" w:rsidRPr="00AA1C29">
        <w:rPr>
          <w:rFonts w:ascii="Arial" w:hAnsi="Arial" w:cs="Arial"/>
          <w:sz w:val="20"/>
          <w:szCs w:val="20"/>
        </w:rPr>
        <w:t xml:space="preserve"> The fact that Georgiou armed himself with a loaded gun in travelling to the premises revealed premeditation on his part, and shed light on hisintentions. It strongly suggested that he had an intention to use the gun, and greatly increased the danger associated with the act of attempted entry.</w:t>
      </w:r>
      <w:r w:rsidR="00D8092A">
        <w:rPr>
          <w:rFonts w:ascii="Arial" w:hAnsi="Arial" w:cs="Arial"/>
          <w:sz w:val="20"/>
          <w:szCs w:val="20"/>
        </w:rPr>
        <w:t xml:space="preserve"> And see </w:t>
      </w:r>
      <w:r w:rsidR="00D8092A" w:rsidRPr="00D8092A">
        <w:rPr>
          <w:rFonts w:ascii="Arial" w:hAnsi="Arial" w:cs="Arial"/>
          <w:i/>
          <w:iCs/>
          <w:sz w:val="20"/>
          <w:szCs w:val="20"/>
        </w:rPr>
        <w:t>Clark v The Queen</w:t>
      </w:r>
      <w:r w:rsidR="00D8092A">
        <w:rPr>
          <w:rFonts w:ascii="Arial" w:hAnsi="Arial" w:cs="Arial"/>
          <w:sz w:val="20"/>
          <w:szCs w:val="20"/>
        </w:rPr>
        <w:t xml:space="preserve"> [2020] VSCA 125, [23].  </w:t>
      </w:r>
      <w:r w:rsidR="00AA1C29" w:rsidRPr="00AA1C29">
        <w:rPr>
          <w:rFonts w:ascii="Arial" w:hAnsi="Arial" w:cs="Arial"/>
          <w:sz w:val="20"/>
          <w:szCs w:val="20"/>
        </w:rPr>
        <w:t xml:space="preserve">Even though the gun was not ultimately used so as to effect entry, Georgiou’s actions in discharging that gun (twice), shortly after the attempted entry, confirmed such earlier intention. The fact that both Georgiou and Neyland engaged in overt acts of confrontation, while both were armed, further distinguished their role from that of the applicant. </w:t>
      </w:r>
    </w:p>
    <w:p w14:paraId="67F8B998" w14:textId="6589FAF0" w:rsidR="00AA1C29" w:rsidRPr="00AA1C29" w:rsidRDefault="00DC1AD8" w:rsidP="00AA1C29">
      <w:pPr>
        <w:spacing w:before="60"/>
        <w:ind w:left="567" w:right="567"/>
        <w:jc w:val="both"/>
        <w:rPr>
          <w:rFonts w:ascii="Arial" w:hAnsi="Arial" w:cs="Arial"/>
          <w:color w:val="000000"/>
          <w:sz w:val="16"/>
          <w:szCs w:val="20"/>
        </w:rPr>
      </w:pPr>
      <w:r>
        <w:rPr>
          <w:rFonts w:ascii="Arial" w:hAnsi="Arial" w:cs="Arial"/>
          <w:sz w:val="20"/>
          <w:szCs w:val="20"/>
        </w:rPr>
        <w:t>[</w:t>
      </w:r>
      <w:r w:rsidR="00AA1C29" w:rsidRPr="00AA1C29">
        <w:rPr>
          <w:rFonts w:ascii="Arial" w:hAnsi="Arial" w:cs="Arial"/>
          <w:sz w:val="20"/>
          <w:szCs w:val="20"/>
        </w:rPr>
        <w:t>59</w:t>
      </w:r>
      <w:r>
        <w:rPr>
          <w:rFonts w:ascii="Arial" w:hAnsi="Arial" w:cs="Arial"/>
          <w:sz w:val="20"/>
          <w:szCs w:val="20"/>
        </w:rPr>
        <w:t>]</w:t>
      </w:r>
      <w:r w:rsidR="00AA1C29" w:rsidRPr="00AA1C29">
        <w:rPr>
          <w:rFonts w:ascii="Arial" w:hAnsi="Arial" w:cs="Arial"/>
          <w:sz w:val="20"/>
          <w:szCs w:val="20"/>
        </w:rPr>
        <w:t xml:space="preserve"> In all the circumstances, we therefore do not consider it was open for the judge to find that the applicant’s role was just ‘as significant’ as that of the other offenders.</w:t>
      </w:r>
      <w:r>
        <w:rPr>
          <w:rFonts w:ascii="Arial" w:hAnsi="Arial" w:cs="Arial"/>
          <w:sz w:val="20"/>
          <w:szCs w:val="20"/>
        </w:rPr>
        <w:t>”</w:t>
      </w:r>
    </w:p>
    <w:p w14:paraId="0D17D45B" w14:textId="77777777" w:rsidR="00AA1C29" w:rsidRDefault="00AA1C29" w:rsidP="003D4F6D">
      <w:pPr>
        <w:jc w:val="both"/>
        <w:rPr>
          <w:rFonts w:ascii="Arial" w:hAnsi="Arial" w:cs="Arial"/>
          <w:color w:val="000000"/>
          <w:sz w:val="20"/>
        </w:rPr>
      </w:pPr>
      <w:bookmarkStart w:id="538" w:name="_Hlk184725372"/>
    </w:p>
    <w:p w14:paraId="2EA6788E" w14:textId="4B45AEE1" w:rsidR="00677929" w:rsidRDefault="00677929" w:rsidP="00677929">
      <w:pPr>
        <w:jc w:val="both"/>
        <w:rPr>
          <w:rFonts w:ascii="Arial" w:hAnsi="Arial" w:cs="Arial"/>
          <w:color w:val="000000"/>
          <w:sz w:val="20"/>
        </w:rPr>
      </w:pPr>
      <w:r>
        <w:rPr>
          <w:rFonts w:ascii="Arial" w:hAnsi="Arial" w:cs="Arial"/>
          <w:color w:val="000000"/>
          <w:sz w:val="20"/>
        </w:rPr>
        <w:t xml:space="preserve">In </w:t>
      </w:r>
      <w:r w:rsidRPr="00677929">
        <w:rPr>
          <w:rFonts w:ascii="Arial" w:hAnsi="Arial" w:cs="Arial"/>
          <w:i/>
          <w:iCs/>
          <w:color w:val="000000"/>
          <w:sz w:val="20"/>
        </w:rPr>
        <w:t>Lang &amp; Ors v The King</w:t>
      </w:r>
      <w:r>
        <w:rPr>
          <w:rFonts w:ascii="Arial" w:hAnsi="Arial" w:cs="Arial"/>
          <w:color w:val="000000"/>
          <w:sz w:val="20"/>
        </w:rPr>
        <w:t xml:space="preserve"> [2025] VSCA 49 the first-named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 it was not open to the judge to impose identical NPPs. Leave to appeal was granted for the first-named applicant and the NPP was reduced to 11y. In relation to parity principles Beach &amp; McLeish JJA said at [65]-[6</w:t>
      </w:r>
      <w:r w:rsidR="00A20CE2">
        <w:rPr>
          <w:rFonts w:ascii="Arial" w:hAnsi="Arial" w:cs="Arial"/>
          <w:color w:val="000000"/>
          <w:sz w:val="20"/>
        </w:rPr>
        <w:t>7</w:t>
      </w:r>
      <w:r>
        <w:rPr>
          <w:rFonts w:ascii="Arial" w:hAnsi="Arial" w:cs="Arial"/>
          <w:color w:val="000000"/>
          <w:sz w:val="20"/>
        </w:rPr>
        <w:t>]:</w:t>
      </w:r>
    </w:p>
    <w:p w14:paraId="184D46B5" w14:textId="71827A72" w:rsidR="00677929" w:rsidRDefault="006259C0" w:rsidP="00677929">
      <w:pPr>
        <w:spacing w:before="60"/>
        <w:ind w:left="567" w:right="567"/>
        <w:jc w:val="both"/>
        <w:rPr>
          <w:rFonts w:ascii="Arial" w:hAnsi="Arial" w:cs="Arial"/>
          <w:sz w:val="20"/>
          <w:szCs w:val="20"/>
        </w:rPr>
      </w:pPr>
      <w:r>
        <w:rPr>
          <w:rFonts w:ascii="Arial" w:hAnsi="Arial" w:cs="Arial"/>
          <w:sz w:val="20"/>
          <w:szCs w:val="20"/>
        </w:rPr>
        <w:t xml:space="preserve">[65] </w:t>
      </w:r>
      <w:r w:rsidR="00677929">
        <w:rPr>
          <w:rFonts w:ascii="Arial" w:hAnsi="Arial" w:cs="Arial"/>
          <w:sz w:val="20"/>
          <w:szCs w:val="20"/>
        </w:rPr>
        <w:t xml:space="preserve">“The principles governing parity are well known. They were conveniently summarised by this Court in </w:t>
      </w:r>
      <w:r w:rsidR="00677929" w:rsidRPr="00C35DDB">
        <w:rPr>
          <w:rFonts w:ascii="Arial" w:hAnsi="Arial" w:cs="Arial"/>
          <w:i/>
          <w:iCs/>
          <w:sz w:val="20"/>
          <w:szCs w:val="20"/>
        </w:rPr>
        <w:t>Anthony v The Queen</w:t>
      </w:r>
      <w:r w:rsidR="00677929">
        <w:rPr>
          <w:rFonts w:ascii="Arial" w:hAnsi="Arial" w:cs="Arial"/>
          <w:sz w:val="20"/>
          <w:szCs w:val="20"/>
        </w:rPr>
        <w:t xml:space="preserve"> </w:t>
      </w:r>
      <w:r w:rsidR="00C35DDB">
        <w:rPr>
          <w:rFonts w:ascii="Arial" w:hAnsi="Arial" w:cs="Arial"/>
          <w:sz w:val="20"/>
          <w:szCs w:val="20"/>
        </w:rPr>
        <w:t xml:space="preserve">[2016] VSCA </w:t>
      </w:r>
      <w:r>
        <w:rPr>
          <w:rFonts w:ascii="Arial" w:hAnsi="Arial" w:cs="Arial"/>
          <w:sz w:val="20"/>
          <w:szCs w:val="20"/>
        </w:rPr>
        <w:t>22 at [12]:</w:t>
      </w:r>
    </w:p>
    <w:p w14:paraId="3BE584C5" w14:textId="057F25FD"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 xml:space="preserve">As has been said before, equal justice requires that like offences be treated alike, but also that </w:t>
      </w:r>
      <w:r w:rsidRPr="006259C0">
        <w:rPr>
          <w:rFonts w:ascii="Arial" w:hAnsi="Arial" w:cs="Arial"/>
          <w:color w:val="000000"/>
          <w:sz w:val="18"/>
          <w:szCs w:val="22"/>
        </w:rPr>
        <w:t>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However, no justifiable sense of grievance can be said to arise where it was reasonably open to the sentencing judge to differentiate between co-offenders in a way in which he or she did. Where an appellate court considers whether it was open to the sentencing judge to differentiate, or not differentiate, in the way in which he or she did, the approach is relevantly analogous to that which arises when it is said that a sentence is manifestly excessive.</w:t>
      </w:r>
      <w:r>
        <w:rPr>
          <w:rFonts w:ascii="Arial" w:hAnsi="Arial" w:cs="Arial"/>
          <w:color w:val="000000"/>
          <w:sz w:val="18"/>
          <w:szCs w:val="22"/>
        </w:rPr>
        <w:t xml:space="preserve"> See </w:t>
      </w:r>
      <w:r w:rsidRPr="006259C0">
        <w:rPr>
          <w:rFonts w:ascii="Arial" w:hAnsi="Arial" w:cs="Arial"/>
          <w:i/>
          <w:iCs/>
          <w:color w:val="000000"/>
          <w:sz w:val="18"/>
          <w:szCs w:val="22"/>
        </w:rPr>
        <w:t xml:space="preserve">Lowe v The Queen </w:t>
      </w:r>
      <w:r w:rsidRPr="006259C0">
        <w:rPr>
          <w:rFonts w:ascii="Arial" w:hAnsi="Arial" w:cs="Arial"/>
          <w:color w:val="000000"/>
          <w:sz w:val="18"/>
          <w:szCs w:val="22"/>
        </w:rPr>
        <w:t xml:space="preserve">(1984) 154 CLR 606; </w:t>
      </w:r>
      <w:r w:rsidRPr="006259C0">
        <w:rPr>
          <w:rFonts w:ascii="Arial" w:hAnsi="Arial" w:cs="Arial"/>
          <w:i/>
          <w:iCs/>
          <w:color w:val="000000"/>
          <w:sz w:val="18"/>
          <w:szCs w:val="22"/>
        </w:rPr>
        <w:t xml:space="preserve">R v Postiglione </w:t>
      </w:r>
      <w:r w:rsidRPr="006259C0">
        <w:rPr>
          <w:rFonts w:ascii="Arial" w:hAnsi="Arial" w:cs="Arial"/>
          <w:color w:val="000000"/>
          <w:sz w:val="18"/>
          <w:szCs w:val="22"/>
        </w:rPr>
        <w:t xml:space="preserve">(1997) 189 CLR 295; </w:t>
      </w:r>
      <w:r w:rsidRPr="006259C0">
        <w:rPr>
          <w:rFonts w:ascii="Arial" w:hAnsi="Arial" w:cs="Arial"/>
          <w:i/>
          <w:iCs/>
          <w:color w:val="000000"/>
          <w:sz w:val="18"/>
          <w:szCs w:val="22"/>
        </w:rPr>
        <w:t xml:space="preserve">Green v The Queen </w:t>
      </w:r>
      <w:r w:rsidRPr="006259C0">
        <w:rPr>
          <w:rFonts w:ascii="Arial" w:hAnsi="Arial" w:cs="Arial"/>
          <w:color w:val="000000"/>
          <w:sz w:val="18"/>
          <w:szCs w:val="22"/>
        </w:rPr>
        <w:t xml:space="preserve">(2011) 244 CLR 462; </w:t>
      </w:r>
      <w:r w:rsidRPr="006259C0">
        <w:rPr>
          <w:rFonts w:ascii="Arial" w:hAnsi="Arial" w:cs="Arial"/>
          <w:i/>
          <w:iCs/>
          <w:color w:val="000000"/>
          <w:sz w:val="18"/>
          <w:szCs w:val="22"/>
        </w:rPr>
        <w:t xml:space="preserve">Hilder v The Queen </w:t>
      </w:r>
      <w:r w:rsidRPr="006259C0">
        <w:rPr>
          <w:rFonts w:ascii="Arial" w:hAnsi="Arial" w:cs="Arial"/>
          <w:color w:val="000000"/>
          <w:sz w:val="18"/>
          <w:szCs w:val="22"/>
        </w:rPr>
        <w:t xml:space="preserve">[2011] VSCA 192, [38]–[39]; </w:t>
      </w:r>
      <w:r w:rsidRPr="006259C0">
        <w:rPr>
          <w:rFonts w:ascii="Arial" w:hAnsi="Arial" w:cs="Arial"/>
          <w:i/>
          <w:iCs/>
          <w:color w:val="000000"/>
          <w:sz w:val="18"/>
          <w:szCs w:val="22"/>
        </w:rPr>
        <w:t xml:space="preserve">Khoa v The Queen </w:t>
      </w:r>
      <w:r w:rsidRPr="006259C0">
        <w:rPr>
          <w:rFonts w:ascii="Arial" w:hAnsi="Arial" w:cs="Arial"/>
          <w:color w:val="000000"/>
          <w:sz w:val="18"/>
          <w:szCs w:val="22"/>
        </w:rPr>
        <w:t xml:space="preserve">[2015] VSCA 80; </w:t>
      </w:r>
      <w:r w:rsidRPr="006259C0">
        <w:rPr>
          <w:rFonts w:ascii="Arial" w:hAnsi="Arial" w:cs="Arial"/>
          <w:i/>
          <w:iCs/>
          <w:color w:val="000000"/>
          <w:sz w:val="18"/>
          <w:szCs w:val="22"/>
        </w:rPr>
        <w:t xml:space="preserve">McCloskey-Sharp v The Queen </w:t>
      </w:r>
      <w:r w:rsidRPr="006259C0">
        <w:rPr>
          <w:rFonts w:ascii="Arial" w:hAnsi="Arial" w:cs="Arial"/>
          <w:color w:val="000000"/>
          <w:sz w:val="18"/>
          <w:szCs w:val="22"/>
        </w:rPr>
        <w:t xml:space="preserve">[2015] VSCA 87; </w:t>
      </w:r>
      <w:proofErr w:type="spellStart"/>
      <w:r w:rsidRPr="006259C0">
        <w:rPr>
          <w:rFonts w:ascii="Arial" w:hAnsi="Arial" w:cs="Arial"/>
          <w:i/>
          <w:iCs/>
          <w:color w:val="000000"/>
          <w:sz w:val="18"/>
          <w:szCs w:val="22"/>
        </w:rPr>
        <w:t>Roujnikov</w:t>
      </w:r>
      <w:proofErr w:type="spellEnd"/>
      <w:r w:rsidRPr="006259C0">
        <w:rPr>
          <w:rFonts w:ascii="Arial" w:hAnsi="Arial" w:cs="Arial"/>
          <w:i/>
          <w:iCs/>
          <w:color w:val="000000"/>
          <w:sz w:val="18"/>
          <w:szCs w:val="22"/>
        </w:rPr>
        <w:t xml:space="preserve"> v The Queen </w:t>
      </w:r>
      <w:r w:rsidRPr="006259C0">
        <w:rPr>
          <w:rFonts w:ascii="Arial" w:hAnsi="Arial" w:cs="Arial"/>
          <w:color w:val="000000"/>
          <w:sz w:val="18"/>
          <w:szCs w:val="22"/>
        </w:rPr>
        <w:t xml:space="preserve">[2015] VSCA 97, [24]–[25]; </w:t>
      </w:r>
      <w:r w:rsidRPr="006259C0">
        <w:rPr>
          <w:rFonts w:ascii="Arial" w:hAnsi="Arial" w:cs="Arial"/>
          <w:i/>
          <w:iCs/>
          <w:color w:val="000000"/>
          <w:sz w:val="18"/>
          <w:szCs w:val="22"/>
        </w:rPr>
        <w:t xml:space="preserve">Collins v The Queen </w:t>
      </w:r>
      <w:r w:rsidRPr="006259C0">
        <w:rPr>
          <w:rFonts w:ascii="Arial" w:hAnsi="Arial" w:cs="Arial"/>
          <w:color w:val="000000"/>
          <w:sz w:val="18"/>
          <w:szCs w:val="22"/>
        </w:rPr>
        <w:t xml:space="preserve">[2015] VSCA 106, [23]. See also </w:t>
      </w:r>
      <w:proofErr w:type="spellStart"/>
      <w:r w:rsidRPr="006259C0">
        <w:rPr>
          <w:rFonts w:ascii="Arial" w:hAnsi="Arial" w:cs="Arial"/>
          <w:i/>
          <w:iCs/>
          <w:color w:val="000000"/>
          <w:sz w:val="18"/>
          <w:szCs w:val="22"/>
        </w:rPr>
        <w:t>Marchei</w:t>
      </w:r>
      <w:proofErr w:type="spellEnd"/>
      <w:r w:rsidRPr="006259C0">
        <w:rPr>
          <w:rFonts w:ascii="Arial" w:hAnsi="Arial" w:cs="Arial"/>
          <w:i/>
          <w:iCs/>
          <w:color w:val="000000"/>
          <w:sz w:val="18"/>
          <w:szCs w:val="22"/>
        </w:rPr>
        <w:t xml:space="preserve"> v The Queen </w:t>
      </w:r>
      <w:r w:rsidRPr="006259C0">
        <w:rPr>
          <w:rFonts w:ascii="Arial" w:hAnsi="Arial" w:cs="Arial"/>
          <w:color w:val="000000"/>
          <w:sz w:val="18"/>
          <w:szCs w:val="22"/>
        </w:rPr>
        <w:t xml:space="preserve">[2021] VSCA 58, [49]; </w:t>
      </w:r>
      <w:r w:rsidRPr="006259C0">
        <w:rPr>
          <w:rFonts w:ascii="Arial" w:hAnsi="Arial" w:cs="Arial"/>
          <w:i/>
          <w:iCs/>
          <w:color w:val="000000"/>
          <w:sz w:val="18"/>
          <w:szCs w:val="22"/>
        </w:rPr>
        <w:t xml:space="preserve">Grey v The King </w:t>
      </w:r>
      <w:r w:rsidRPr="006259C0">
        <w:rPr>
          <w:rFonts w:ascii="Arial" w:hAnsi="Arial" w:cs="Arial"/>
          <w:color w:val="000000"/>
          <w:sz w:val="18"/>
          <w:szCs w:val="22"/>
        </w:rPr>
        <w:t>[2024] VSCA 75, [61]</w:t>
      </w:r>
      <w:proofErr w:type="gramStart"/>
      <w:r w:rsidRPr="006259C0">
        <w:rPr>
          <w:rFonts w:ascii="Arial" w:hAnsi="Arial" w:cs="Arial"/>
          <w:color w:val="000000"/>
          <w:sz w:val="18"/>
          <w:szCs w:val="22"/>
        </w:rPr>
        <w:t>–[</w:t>
      </w:r>
      <w:proofErr w:type="gramEnd"/>
      <w:r w:rsidRPr="006259C0">
        <w:rPr>
          <w:rFonts w:ascii="Arial" w:hAnsi="Arial" w:cs="Arial"/>
          <w:color w:val="000000"/>
          <w:sz w:val="18"/>
          <w:szCs w:val="22"/>
        </w:rPr>
        <w:t>66].</w:t>
      </w:r>
    </w:p>
    <w:p w14:paraId="11276FBB" w14:textId="00FD0F90" w:rsidR="006259C0" w:rsidRDefault="006259C0" w:rsidP="006259C0">
      <w:pPr>
        <w:spacing w:before="60"/>
        <w:ind w:left="567" w:right="567"/>
        <w:jc w:val="both"/>
        <w:rPr>
          <w:rFonts w:ascii="Arial" w:hAnsi="Arial" w:cs="Arial"/>
          <w:sz w:val="20"/>
          <w:szCs w:val="20"/>
        </w:rPr>
      </w:pPr>
      <w:r>
        <w:rPr>
          <w:rFonts w:ascii="Arial" w:hAnsi="Arial" w:cs="Arial"/>
          <w:sz w:val="20"/>
          <w:szCs w:val="20"/>
        </w:rPr>
        <w:lastRenderedPageBreak/>
        <w:t xml:space="preserve">[66] </w:t>
      </w:r>
      <w:r w:rsidRPr="006259C0">
        <w:rPr>
          <w:rFonts w:ascii="Arial" w:hAnsi="Arial" w:cs="Arial"/>
          <w:i/>
          <w:iCs/>
          <w:sz w:val="20"/>
          <w:szCs w:val="20"/>
        </w:rPr>
        <w:t>In Abdullahi v The King</w:t>
      </w:r>
      <w:r>
        <w:rPr>
          <w:rFonts w:ascii="Arial" w:hAnsi="Arial" w:cs="Arial"/>
          <w:sz w:val="20"/>
          <w:szCs w:val="20"/>
        </w:rPr>
        <w:t xml:space="preserve"> [2024] VSCA 156 at [51] Emerton P &amp; McLeish JA noted the similarity between the grounds of manifest excess and want of parity:</w:t>
      </w:r>
    </w:p>
    <w:p w14:paraId="2A6D038A" w14:textId="77FAC687"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An argument based on an apparent disparity in treatment of co-offenders has a close similarity to an argument of manifest excess in a sentence. In both cases, the exercise of the sentencing discretion is impugned on the basis that, without necessarily ascribing the asserted miscarriage in the discretion to any specific error, the sentence imposed lay outside permissible bounds.</w:t>
      </w:r>
    </w:p>
    <w:p w14:paraId="73DF0B95" w14:textId="798BFCF3"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[67] The Court </w:t>
      </w:r>
      <w:r w:rsidR="00A20CE2">
        <w:rPr>
          <w:rFonts w:ascii="Arial" w:hAnsi="Arial" w:cs="Arial"/>
          <w:sz w:val="20"/>
          <w:szCs w:val="20"/>
        </w:rPr>
        <w:t xml:space="preserve">[in </w:t>
      </w:r>
      <w:r w:rsidR="00A20CE2" w:rsidRPr="00A20CE2">
        <w:rPr>
          <w:rFonts w:ascii="Arial" w:hAnsi="Arial" w:cs="Arial"/>
          <w:i/>
          <w:iCs/>
          <w:sz w:val="20"/>
          <w:szCs w:val="20"/>
        </w:rPr>
        <w:t>Abdullahi</w:t>
      </w:r>
      <w:r w:rsidR="00A20CE2">
        <w:rPr>
          <w:rFonts w:ascii="Arial" w:hAnsi="Arial" w:cs="Arial"/>
          <w:sz w:val="20"/>
          <w:szCs w:val="20"/>
        </w:rPr>
        <w:t xml:space="preserve">] </w:t>
      </w:r>
      <w:r>
        <w:rPr>
          <w:rFonts w:ascii="Arial" w:hAnsi="Arial" w:cs="Arial"/>
          <w:sz w:val="20"/>
          <w:szCs w:val="20"/>
        </w:rPr>
        <w:t>then set out the</w:t>
      </w:r>
      <w:r w:rsidR="00A20CE2">
        <w:rPr>
          <w:rFonts w:ascii="Arial" w:hAnsi="Arial" w:cs="Arial"/>
          <w:sz w:val="20"/>
          <w:szCs w:val="20"/>
        </w:rPr>
        <w:t>...</w:t>
      </w:r>
      <w:r>
        <w:rPr>
          <w:rFonts w:ascii="Arial" w:hAnsi="Arial" w:cs="Arial"/>
          <w:sz w:val="20"/>
          <w:szCs w:val="20"/>
        </w:rPr>
        <w:t xml:space="preserve">passage from the judgment of Emerton P, Niall &amp; Kaye JJA in </w:t>
      </w:r>
      <w:r w:rsidRPr="00A20CE2">
        <w:rPr>
          <w:rFonts w:ascii="Arial" w:hAnsi="Arial" w:cs="Arial"/>
          <w:i/>
          <w:iCs/>
          <w:sz w:val="20"/>
          <w:szCs w:val="20"/>
        </w:rPr>
        <w:t xml:space="preserve">Kellaway (a pseudonym) </w:t>
      </w:r>
      <w:r w:rsidR="00A20CE2" w:rsidRPr="00A20CE2">
        <w:rPr>
          <w:rFonts w:ascii="Arial" w:hAnsi="Arial" w:cs="Arial"/>
          <w:i/>
          <w:iCs/>
          <w:sz w:val="20"/>
          <w:szCs w:val="20"/>
        </w:rPr>
        <w:t>v The King</w:t>
      </w:r>
      <w:r w:rsidR="00A20CE2">
        <w:rPr>
          <w:rFonts w:ascii="Arial" w:hAnsi="Arial" w:cs="Arial"/>
          <w:sz w:val="20"/>
          <w:szCs w:val="20"/>
        </w:rPr>
        <w:t xml:space="preserve"> [2023] VSCA 109, [124]-[127] [which is reproduced in the above summary of </w:t>
      </w:r>
      <w:r w:rsidR="00A20CE2" w:rsidRPr="00AA1C29">
        <w:rPr>
          <w:rFonts w:ascii="Arial" w:hAnsi="Arial" w:cs="Arial"/>
          <w:i/>
          <w:iCs/>
          <w:color w:val="000000"/>
          <w:sz w:val="20"/>
        </w:rPr>
        <w:t>Moussa v The King</w:t>
      </w:r>
      <w:r w:rsidR="00A20CE2">
        <w:rPr>
          <w:rFonts w:ascii="Arial" w:hAnsi="Arial" w:cs="Arial"/>
          <w:color w:val="000000"/>
          <w:sz w:val="20"/>
        </w:rPr>
        <w:t xml:space="preserve"> [2024] VSCA 113</w:t>
      </w:r>
      <w:r w:rsidR="00A20CE2">
        <w:rPr>
          <w:rFonts w:ascii="Arial" w:hAnsi="Arial" w:cs="Arial"/>
          <w:sz w:val="20"/>
          <w:szCs w:val="20"/>
        </w:rPr>
        <w:t>].”</w:t>
      </w:r>
    </w:p>
    <w:p w14:paraId="081861CF" w14:textId="77777777" w:rsidR="006259C0" w:rsidRPr="0097257D" w:rsidRDefault="006259C0" w:rsidP="003D4F6D">
      <w:pPr>
        <w:jc w:val="both"/>
        <w:rPr>
          <w:rFonts w:ascii="Arial" w:hAnsi="Arial" w:cs="Arial"/>
          <w:color w:val="000000"/>
          <w:sz w:val="20"/>
        </w:rPr>
      </w:pPr>
    </w:p>
    <w:p w14:paraId="2E686C52" w14:textId="7A969F83" w:rsidR="008A5081" w:rsidRDefault="0097257D" w:rsidP="008A5081">
      <w:pPr>
        <w:spacing w:after="120"/>
        <w:jc w:val="both"/>
        <w:rPr>
          <w:rFonts w:ascii="Arial" w:hAnsi="Arial" w:cs="Arial"/>
          <w:color w:val="000000"/>
          <w:sz w:val="20"/>
        </w:rPr>
      </w:pPr>
      <w:r>
        <w:rPr>
          <w:rFonts w:ascii="Arial" w:hAnsi="Arial" w:cs="Arial"/>
          <w:color w:val="000000"/>
          <w:sz w:val="20"/>
        </w:rPr>
        <w:t xml:space="preserve">In </w:t>
      </w:r>
      <w:r w:rsidRPr="0097257D">
        <w:rPr>
          <w:rFonts w:ascii="Arial" w:hAnsi="Arial" w:cs="Arial"/>
          <w:i/>
          <w:iCs/>
          <w:color w:val="000000"/>
          <w:sz w:val="20"/>
        </w:rPr>
        <w:t>Rose v The King</w:t>
      </w:r>
      <w:r>
        <w:rPr>
          <w:rFonts w:ascii="Arial" w:hAnsi="Arial" w:cs="Arial"/>
          <w:color w:val="000000"/>
          <w:sz w:val="20"/>
        </w:rPr>
        <w:t xml:space="preserve"> [2024] VSCA 296 the 24 year old appellant </w:t>
      </w:r>
      <w:r w:rsidR="008A5081">
        <w:rPr>
          <w:rFonts w:ascii="Arial" w:hAnsi="Arial" w:cs="Arial"/>
          <w:color w:val="000000"/>
          <w:sz w:val="20"/>
        </w:rPr>
        <w:t xml:space="preserve">had been sentenced </w:t>
      </w:r>
      <w:r w:rsidR="004A0530">
        <w:rPr>
          <w:rFonts w:ascii="Arial" w:hAnsi="Arial" w:cs="Arial"/>
          <w:color w:val="000000"/>
          <w:sz w:val="20"/>
        </w:rPr>
        <w:t xml:space="preserve">in the County Court </w:t>
      </w:r>
      <w:r w:rsidR="008A5081">
        <w:rPr>
          <w:rFonts w:ascii="Arial" w:hAnsi="Arial" w:cs="Arial"/>
          <w:color w:val="000000"/>
          <w:sz w:val="20"/>
        </w:rPr>
        <w:t xml:space="preserve">to TES IMP 2y/12m as shown below, including IMP21m on a charge of aggravated burglary. </w:t>
      </w:r>
      <w:r>
        <w:rPr>
          <w:rFonts w:ascii="Arial" w:hAnsi="Arial" w:cs="Arial"/>
          <w:color w:val="000000"/>
          <w:sz w:val="20"/>
        </w:rPr>
        <w:t>On</w:t>
      </w:r>
      <w:r w:rsidR="004A0530">
        <w:rPr>
          <w:rFonts w:ascii="Arial" w:hAnsi="Arial" w:cs="Arial"/>
          <w:color w:val="000000"/>
          <w:sz w:val="20"/>
        </w:rPr>
        <w:t> </w:t>
      </w:r>
      <w:r>
        <w:rPr>
          <w:rFonts w:ascii="Arial" w:hAnsi="Arial" w:cs="Arial"/>
          <w:color w:val="000000"/>
          <w:sz w:val="20"/>
        </w:rPr>
        <w:t xml:space="preserve">the same day and in the same Court the co-offender, the appellant’s mother, was sentenced on a charge of aggravated burglary to a composite sentence of </w:t>
      </w:r>
      <w:r w:rsidR="00F268B9">
        <w:rPr>
          <w:rFonts w:ascii="Arial" w:hAnsi="Arial" w:cs="Arial"/>
          <w:color w:val="000000"/>
          <w:sz w:val="20"/>
        </w:rPr>
        <w:t>IMP70d</w:t>
      </w:r>
      <w:r w:rsidR="003E2FBE">
        <w:rPr>
          <w:rFonts w:ascii="Arial" w:hAnsi="Arial" w:cs="Arial"/>
          <w:color w:val="000000"/>
          <w:sz w:val="20"/>
        </w:rPr>
        <w:t xml:space="preserve"> </w:t>
      </w:r>
      <w:r w:rsidRPr="0097257D">
        <w:rPr>
          <w:rFonts w:ascii="Arial" w:hAnsi="Arial" w:cs="Arial"/>
          <w:color w:val="000000"/>
          <w:sz w:val="20"/>
        </w:rPr>
        <w:t>together with a 2-year Community Correction Order.</w:t>
      </w:r>
    </w:p>
    <w:tbl>
      <w:tblPr>
        <w:tblStyle w:val="TableGrid"/>
        <w:tblW w:w="0" w:type="auto"/>
        <w:tblLook w:val="04A0" w:firstRow="1" w:lastRow="0" w:firstColumn="1" w:lastColumn="0" w:noHBand="0" w:noVBand="1"/>
      </w:tblPr>
      <w:tblGrid>
        <w:gridCol w:w="2321"/>
        <w:gridCol w:w="2321"/>
        <w:gridCol w:w="2322"/>
        <w:gridCol w:w="2322"/>
      </w:tblGrid>
      <w:tr w:rsidR="004A0530" w:rsidRPr="004A0530" w14:paraId="177AC4C3" w14:textId="77777777" w:rsidTr="008A5081">
        <w:tc>
          <w:tcPr>
            <w:tcW w:w="2321" w:type="dxa"/>
            <w:shd w:val="clear" w:color="auto" w:fill="000000" w:themeFill="text1"/>
          </w:tcPr>
          <w:p w14:paraId="019EAC89" w14:textId="77777777" w:rsid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COURT</w:t>
            </w:r>
          </w:p>
          <w:p w14:paraId="7E94CA82" w14:textId="100AAFF1"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MOTHER</w:t>
            </w:r>
          </w:p>
        </w:tc>
        <w:tc>
          <w:tcPr>
            <w:tcW w:w="2321" w:type="dxa"/>
            <w:shd w:val="clear" w:color="auto" w:fill="000000" w:themeFill="text1"/>
          </w:tcPr>
          <w:p w14:paraId="47F30BE1" w14:textId="77777777" w:rsidR="004A0530" w:rsidRDefault="004A0530" w:rsidP="004A0530">
            <w:pPr>
              <w:jc w:val="center"/>
              <w:rPr>
                <w:rFonts w:ascii="Arial" w:hAnsi="Arial" w:cs="Arial"/>
                <w:b/>
                <w:bCs/>
                <w:color w:val="FFFFFF" w:themeColor="background1"/>
                <w:sz w:val="20"/>
              </w:rPr>
            </w:pPr>
            <w:r>
              <w:rPr>
                <w:rFonts w:ascii="Arial" w:hAnsi="Arial" w:cs="Arial"/>
                <w:b/>
                <w:bCs/>
                <w:color w:val="FFFFFF" w:themeColor="background1"/>
                <w:sz w:val="20"/>
              </w:rPr>
              <w:t>COUNTY COURT</w:t>
            </w:r>
          </w:p>
          <w:p w14:paraId="2D29DE41" w14:textId="2CDA027F"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c>
          <w:tcPr>
            <w:tcW w:w="2322" w:type="dxa"/>
            <w:shd w:val="clear" w:color="auto" w:fill="000000" w:themeFill="text1"/>
          </w:tcPr>
          <w:p w14:paraId="3A40355C" w14:textId="25A7C0BE" w:rsidR="008A5081" w:rsidRP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322" w:type="dxa"/>
            <w:shd w:val="clear" w:color="auto" w:fill="000000" w:themeFill="text1"/>
          </w:tcPr>
          <w:p w14:paraId="55EA447F" w14:textId="77777777" w:rsidR="008A5081"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p w14:paraId="4C4BEAC7" w14:textId="3E2E7764"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r>
      <w:tr w:rsidR="008A5081" w14:paraId="178F103B" w14:textId="77777777" w:rsidTr="008A5081">
        <w:tc>
          <w:tcPr>
            <w:tcW w:w="2321" w:type="dxa"/>
          </w:tcPr>
          <w:p w14:paraId="5BDB38F7" w14:textId="4CE4EE70" w:rsidR="008A5081" w:rsidRDefault="004A0530" w:rsidP="008A5081">
            <w:pPr>
              <w:jc w:val="center"/>
              <w:rPr>
                <w:rFonts w:ascii="Arial" w:hAnsi="Arial" w:cs="Arial"/>
                <w:color w:val="000000"/>
                <w:sz w:val="20"/>
              </w:rPr>
            </w:pPr>
            <w:r>
              <w:rPr>
                <w:rFonts w:ascii="Arial" w:hAnsi="Arial" w:cs="Arial"/>
                <w:color w:val="000000"/>
                <w:sz w:val="20"/>
              </w:rPr>
              <w:t>IMP70d + CCO2y</w:t>
            </w:r>
          </w:p>
        </w:tc>
        <w:tc>
          <w:tcPr>
            <w:tcW w:w="2321" w:type="dxa"/>
          </w:tcPr>
          <w:p w14:paraId="04254A8E" w14:textId="6625E39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21m</w:t>
            </w:r>
          </w:p>
        </w:tc>
        <w:tc>
          <w:tcPr>
            <w:tcW w:w="2322" w:type="dxa"/>
          </w:tcPr>
          <w:p w14:paraId="25A9CF80" w14:textId="17115D87" w:rsidR="008A5081" w:rsidRDefault="008A5081" w:rsidP="008A5081">
            <w:pPr>
              <w:jc w:val="center"/>
              <w:rPr>
                <w:rFonts w:ascii="Arial" w:hAnsi="Arial" w:cs="Arial"/>
                <w:color w:val="000000"/>
                <w:sz w:val="20"/>
              </w:rPr>
            </w:pPr>
            <w:r>
              <w:rPr>
                <w:rFonts w:ascii="Arial" w:hAnsi="Arial" w:cs="Arial"/>
                <w:color w:val="000000"/>
                <w:sz w:val="20"/>
              </w:rPr>
              <w:t>Aggravated burglary</w:t>
            </w:r>
          </w:p>
        </w:tc>
        <w:tc>
          <w:tcPr>
            <w:tcW w:w="2322" w:type="dxa"/>
          </w:tcPr>
          <w:p w14:paraId="7E8A37E4" w14:textId="3C7076E3" w:rsidR="008A5081" w:rsidRDefault="004A0530" w:rsidP="008A5081">
            <w:pPr>
              <w:jc w:val="center"/>
              <w:rPr>
                <w:rFonts w:ascii="Arial" w:hAnsi="Arial" w:cs="Arial"/>
                <w:color w:val="000000"/>
                <w:sz w:val="20"/>
              </w:rPr>
            </w:pPr>
            <w:r>
              <w:rPr>
                <w:rFonts w:ascii="Arial" w:hAnsi="Arial" w:cs="Arial"/>
                <w:color w:val="000000"/>
                <w:sz w:val="20"/>
              </w:rPr>
              <w:t>IMP12m</w:t>
            </w:r>
          </w:p>
        </w:tc>
      </w:tr>
      <w:tr w:rsidR="008A5081" w14:paraId="6201FCA3" w14:textId="77777777" w:rsidTr="008A5081">
        <w:tc>
          <w:tcPr>
            <w:tcW w:w="2321" w:type="dxa"/>
          </w:tcPr>
          <w:p w14:paraId="666E5836" w14:textId="77777777" w:rsidR="008A5081" w:rsidRDefault="008A5081" w:rsidP="008A5081">
            <w:pPr>
              <w:jc w:val="center"/>
              <w:rPr>
                <w:rFonts w:ascii="Arial" w:hAnsi="Arial" w:cs="Arial"/>
                <w:color w:val="000000"/>
                <w:sz w:val="20"/>
              </w:rPr>
            </w:pPr>
          </w:p>
        </w:tc>
        <w:tc>
          <w:tcPr>
            <w:tcW w:w="2321" w:type="dxa"/>
          </w:tcPr>
          <w:p w14:paraId="323AF2F9" w14:textId="4A268574"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9m, 3m cumulative</w:t>
            </w:r>
          </w:p>
        </w:tc>
        <w:tc>
          <w:tcPr>
            <w:tcW w:w="2322" w:type="dxa"/>
          </w:tcPr>
          <w:p w14:paraId="1A880EC1" w14:textId="4EC634FF" w:rsidR="008A5081" w:rsidRDefault="008A5081" w:rsidP="008A5081">
            <w:pPr>
              <w:jc w:val="center"/>
              <w:rPr>
                <w:rFonts w:ascii="Arial" w:hAnsi="Arial" w:cs="Arial"/>
                <w:color w:val="000000"/>
                <w:sz w:val="20"/>
              </w:rPr>
            </w:pPr>
            <w:r>
              <w:rPr>
                <w:rFonts w:ascii="Arial" w:hAnsi="Arial" w:cs="Arial"/>
                <w:color w:val="000000"/>
                <w:sz w:val="20"/>
              </w:rPr>
              <w:t>Recklessly cause injury</w:t>
            </w:r>
          </w:p>
        </w:tc>
        <w:tc>
          <w:tcPr>
            <w:tcW w:w="2322" w:type="dxa"/>
          </w:tcPr>
          <w:p w14:paraId="70AAC2D9" w14:textId="6FEB686F" w:rsidR="008A5081" w:rsidRDefault="004A0530" w:rsidP="008A5081">
            <w:pPr>
              <w:jc w:val="center"/>
              <w:rPr>
                <w:rFonts w:ascii="Arial" w:hAnsi="Arial" w:cs="Arial"/>
                <w:color w:val="000000"/>
                <w:sz w:val="20"/>
              </w:rPr>
            </w:pPr>
            <w:r>
              <w:rPr>
                <w:rFonts w:ascii="Arial" w:hAnsi="Arial" w:cs="Arial"/>
                <w:color w:val="000000"/>
                <w:sz w:val="20"/>
              </w:rPr>
              <w:t>IMP9m, 3m cumulative</w:t>
            </w:r>
          </w:p>
        </w:tc>
      </w:tr>
      <w:tr w:rsidR="008A5081" w14:paraId="2D33B2BB" w14:textId="77777777" w:rsidTr="008A5081">
        <w:tc>
          <w:tcPr>
            <w:tcW w:w="2321" w:type="dxa"/>
          </w:tcPr>
          <w:p w14:paraId="0145D229" w14:textId="77777777" w:rsidR="008A5081" w:rsidRDefault="008A5081" w:rsidP="008A5081">
            <w:pPr>
              <w:jc w:val="center"/>
              <w:rPr>
                <w:rFonts w:ascii="Arial" w:hAnsi="Arial" w:cs="Arial"/>
                <w:color w:val="000000"/>
                <w:sz w:val="20"/>
              </w:rPr>
            </w:pPr>
          </w:p>
        </w:tc>
        <w:tc>
          <w:tcPr>
            <w:tcW w:w="2321" w:type="dxa"/>
          </w:tcPr>
          <w:p w14:paraId="6E9C134F" w14:textId="6798107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1m</w:t>
            </w:r>
          </w:p>
        </w:tc>
        <w:tc>
          <w:tcPr>
            <w:tcW w:w="2322" w:type="dxa"/>
          </w:tcPr>
          <w:p w14:paraId="749DA22D" w14:textId="2C91F9A7" w:rsidR="008A5081" w:rsidRDefault="004A0530" w:rsidP="008A5081">
            <w:pPr>
              <w:jc w:val="center"/>
              <w:rPr>
                <w:rFonts w:ascii="Arial" w:hAnsi="Arial" w:cs="Arial"/>
                <w:color w:val="000000"/>
                <w:sz w:val="20"/>
              </w:rPr>
            </w:pPr>
            <w:r>
              <w:rPr>
                <w:rFonts w:ascii="Arial" w:hAnsi="Arial" w:cs="Arial"/>
                <w:color w:val="000000"/>
                <w:sz w:val="20"/>
              </w:rPr>
              <w:t>Possess weapon</w:t>
            </w:r>
          </w:p>
        </w:tc>
        <w:tc>
          <w:tcPr>
            <w:tcW w:w="2322" w:type="dxa"/>
          </w:tcPr>
          <w:p w14:paraId="5E63940E" w14:textId="327DBCCD" w:rsidR="008A5081" w:rsidRDefault="004A0530" w:rsidP="008A5081">
            <w:pPr>
              <w:jc w:val="center"/>
              <w:rPr>
                <w:rFonts w:ascii="Arial" w:hAnsi="Arial" w:cs="Arial"/>
                <w:color w:val="000000"/>
                <w:sz w:val="20"/>
              </w:rPr>
            </w:pPr>
            <w:r>
              <w:rPr>
                <w:rFonts w:ascii="Arial" w:hAnsi="Arial" w:cs="Arial"/>
                <w:color w:val="000000"/>
                <w:sz w:val="20"/>
              </w:rPr>
              <w:t>IMP1m</w:t>
            </w:r>
          </w:p>
        </w:tc>
      </w:tr>
      <w:tr w:rsidR="008A5081" w14:paraId="5C49B7A7" w14:textId="77777777" w:rsidTr="00B1495C">
        <w:tc>
          <w:tcPr>
            <w:tcW w:w="2321" w:type="dxa"/>
            <w:shd w:val="clear" w:color="auto" w:fill="000000" w:themeFill="text1"/>
          </w:tcPr>
          <w:p w14:paraId="335C7B03" w14:textId="0607E94A"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IMP70d + CCO2y</w:t>
            </w:r>
          </w:p>
        </w:tc>
        <w:tc>
          <w:tcPr>
            <w:tcW w:w="2321" w:type="dxa"/>
            <w:shd w:val="clear" w:color="auto" w:fill="000000" w:themeFill="text1"/>
          </w:tcPr>
          <w:p w14:paraId="7DE7FC13" w14:textId="3261BD56"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IMP2y/12m</w:t>
            </w:r>
          </w:p>
        </w:tc>
        <w:tc>
          <w:tcPr>
            <w:tcW w:w="2322" w:type="dxa"/>
            <w:shd w:val="clear" w:color="auto" w:fill="000000" w:themeFill="text1"/>
          </w:tcPr>
          <w:p w14:paraId="47BE6AE0" w14:textId="77777777" w:rsidR="008A5081" w:rsidRDefault="008A5081" w:rsidP="008A5081">
            <w:pPr>
              <w:jc w:val="center"/>
              <w:rPr>
                <w:rFonts w:ascii="Arial" w:hAnsi="Arial" w:cs="Arial"/>
                <w:color w:val="000000"/>
                <w:sz w:val="20"/>
              </w:rPr>
            </w:pPr>
          </w:p>
        </w:tc>
        <w:tc>
          <w:tcPr>
            <w:tcW w:w="2322" w:type="dxa"/>
            <w:shd w:val="clear" w:color="auto" w:fill="000000" w:themeFill="text1"/>
          </w:tcPr>
          <w:p w14:paraId="6F16E485" w14:textId="6C216C34"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 15m/9m</w:t>
            </w:r>
          </w:p>
        </w:tc>
      </w:tr>
    </w:tbl>
    <w:p w14:paraId="4679FFF8" w14:textId="77777777" w:rsidR="008A5081" w:rsidRDefault="008A5081" w:rsidP="004A0530">
      <w:pPr>
        <w:jc w:val="both"/>
        <w:rPr>
          <w:rFonts w:ascii="Arial" w:hAnsi="Arial" w:cs="Arial"/>
          <w:color w:val="000000"/>
          <w:sz w:val="20"/>
        </w:rPr>
      </w:pPr>
    </w:p>
    <w:p w14:paraId="7A4540E3" w14:textId="77909335" w:rsidR="0097257D" w:rsidRDefault="0097257D" w:rsidP="004A0530">
      <w:pPr>
        <w:keepNext/>
        <w:keepLines/>
        <w:jc w:val="both"/>
        <w:rPr>
          <w:rFonts w:ascii="Arial" w:hAnsi="Arial" w:cs="Arial"/>
          <w:color w:val="000000"/>
          <w:sz w:val="20"/>
        </w:rPr>
      </w:pPr>
      <w:r>
        <w:rPr>
          <w:rFonts w:ascii="Arial" w:hAnsi="Arial" w:cs="Arial"/>
          <w:color w:val="000000"/>
          <w:sz w:val="20"/>
        </w:rPr>
        <w:t>At</w:t>
      </w:r>
      <w:r w:rsidR="00F268B9">
        <w:rPr>
          <w:rFonts w:ascii="Arial" w:hAnsi="Arial" w:cs="Arial"/>
          <w:color w:val="000000"/>
          <w:sz w:val="20"/>
        </w:rPr>
        <w:t> </w:t>
      </w:r>
      <w:r>
        <w:rPr>
          <w:rFonts w:ascii="Arial" w:hAnsi="Arial" w:cs="Arial"/>
          <w:color w:val="000000"/>
          <w:sz w:val="20"/>
        </w:rPr>
        <w:t>[36] Walker &amp; T Forrest JJA said:</w:t>
      </w:r>
    </w:p>
    <w:p w14:paraId="1C1483A3" w14:textId="7CB82DE8" w:rsidR="0097257D" w:rsidRPr="00AF1FCC" w:rsidRDefault="0097257D" w:rsidP="0097257D">
      <w:pPr>
        <w:spacing w:before="60"/>
        <w:ind w:left="567" w:right="567"/>
        <w:jc w:val="both"/>
        <w:rPr>
          <w:rFonts w:ascii="Arial" w:hAnsi="Arial" w:cs="Arial"/>
          <w:color w:val="000000"/>
          <w:sz w:val="20"/>
        </w:rPr>
      </w:pPr>
      <w:r>
        <w:rPr>
          <w:rFonts w:ascii="Arial" w:hAnsi="Arial" w:cs="Arial"/>
          <w:color w:val="000000"/>
          <w:sz w:val="20"/>
        </w:rPr>
        <w:t>“</w:t>
      </w:r>
      <w:r w:rsidRPr="0097257D">
        <w:rPr>
          <w:rFonts w:ascii="Arial" w:hAnsi="Arial" w:cs="Arial"/>
          <w:color w:val="000000"/>
          <w:sz w:val="20"/>
        </w:rPr>
        <w:t>Apart from a fleeting reference to the obligation to apply the parity principle, in respect of the aggravated burglary, there is no explanation in the sentencing reasons as to why there is this sentencing disparity. We cannot discern any other difference in circumstances that can explain it. Ms Lagerwey had been a victim of domestic abuse. So had the applicant. Both had a solid work history. Both were drug users. Neither had any significant prior criminal offending. Both were generally of good character. Both had good prospects of rehabilitation. It seems that Ms Lagerwey was traumatised by the proposal of returning to custody; the applicant, apparently not so. However, the applicant, at 24</w:t>
      </w:r>
      <w:r w:rsidR="00AF1FCC">
        <w:rPr>
          <w:rFonts w:ascii="Arial" w:hAnsi="Arial" w:cs="Arial"/>
          <w:color w:val="000000"/>
          <w:sz w:val="20"/>
        </w:rPr>
        <w:t> </w:t>
      </w:r>
      <w:r w:rsidRPr="0097257D">
        <w:rPr>
          <w:rFonts w:ascii="Arial" w:hAnsi="Arial" w:cs="Arial"/>
          <w:color w:val="000000"/>
          <w:sz w:val="20"/>
        </w:rPr>
        <w:t>years of age was entitled to have his youth considered favourably</w:t>
      </w:r>
      <w:r>
        <w:rPr>
          <w:rFonts w:ascii="Arial" w:hAnsi="Arial" w:cs="Arial"/>
          <w:color w:val="000000"/>
          <w:sz w:val="20"/>
        </w:rPr>
        <w:t xml:space="preserve"> {</w:t>
      </w:r>
      <w:r w:rsidRPr="0097257D">
        <w:rPr>
          <w:rFonts w:ascii="Arial" w:hAnsi="Arial" w:cs="Arial"/>
          <w:i/>
          <w:iCs/>
          <w:color w:val="000000"/>
          <w:sz w:val="20"/>
        </w:rPr>
        <w:t>R v Mills</w:t>
      </w:r>
      <w:r w:rsidRPr="0097257D">
        <w:rPr>
          <w:rFonts w:ascii="Arial" w:hAnsi="Arial" w:cs="Arial"/>
          <w:color w:val="000000"/>
          <w:sz w:val="20"/>
        </w:rPr>
        <w:t xml:space="preserve"> [1998] 4</w:t>
      </w:r>
      <w:r w:rsidR="00663467">
        <w:rPr>
          <w:rFonts w:ascii="Arial" w:hAnsi="Arial" w:cs="Arial"/>
          <w:color w:val="000000"/>
          <w:sz w:val="20"/>
        </w:rPr>
        <w:t> </w:t>
      </w:r>
      <w:r w:rsidRPr="0097257D">
        <w:rPr>
          <w:rFonts w:ascii="Arial" w:hAnsi="Arial" w:cs="Arial"/>
          <w:color w:val="000000"/>
          <w:sz w:val="20"/>
        </w:rPr>
        <w:t>VR 235, 241–</w:t>
      </w:r>
      <w:r>
        <w:rPr>
          <w:rFonts w:ascii="Arial" w:hAnsi="Arial" w:cs="Arial"/>
          <w:color w:val="000000"/>
          <w:sz w:val="20"/>
        </w:rPr>
        <w:t>24</w:t>
      </w:r>
      <w:r w:rsidRPr="0097257D">
        <w:rPr>
          <w:rFonts w:ascii="Arial" w:hAnsi="Arial" w:cs="Arial"/>
          <w:color w:val="000000"/>
          <w:sz w:val="20"/>
        </w:rPr>
        <w:t>2</w:t>
      </w:r>
      <w:r>
        <w:rPr>
          <w:rFonts w:ascii="Arial" w:hAnsi="Arial" w:cs="Arial"/>
          <w:color w:val="000000"/>
          <w:sz w:val="20"/>
        </w:rPr>
        <w:t xml:space="preserve">; </w:t>
      </w:r>
      <w:r w:rsidRPr="0097257D">
        <w:rPr>
          <w:rFonts w:ascii="Arial" w:hAnsi="Arial" w:cs="Arial"/>
          <w:i/>
          <w:iCs/>
          <w:color w:val="000000"/>
          <w:sz w:val="20"/>
        </w:rPr>
        <w:t>Azzopardi v The Queen</w:t>
      </w:r>
      <w:r>
        <w:rPr>
          <w:rFonts w:ascii="Arial" w:hAnsi="Arial" w:cs="Arial"/>
          <w:color w:val="000000"/>
          <w:sz w:val="20"/>
        </w:rPr>
        <w:t xml:space="preserve"> (2011) 35 VR 43, 53-5</w:t>
      </w:r>
      <w:r w:rsidRPr="0097257D">
        <w:rPr>
          <w:rFonts w:ascii="Arial" w:hAnsi="Arial" w:cs="Arial"/>
          <w:color w:val="000000"/>
          <w:sz w:val="20"/>
        </w:rPr>
        <w:t>5</w:t>
      </w:r>
      <w:r>
        <w:rPr>
          <w:rFonts w:ascii="Arial" w:hAnsi="Arial" w:cs="Arial"/>
          <w:color w:val="000000"/>
          <w:sz w:val="20"/>
        </w:rPr>
        <w:t>}</w:t>
      </w:r>
      <w:r w:rsidRPr="0097257D">
        <w:rPr>
          <w:rFonts w:ascii="Arial" w:hAnsi="Arial" w:cs="Arial"/>
          <w:color w:val="000000"/>
          <w:sz w:val="20"/>
        </w:rPr>
        <w:t xml:space="preserve"> and the judge acknowledged this.</w:t>
      </w:r>
      <w:r>
        <w:rPr>
          <w:rFonts w:ascii="Arial" w:hAnsi="Arial" w:cs="Arial"/>
          <w:color w:val="000000"/>
          <w:sz w:val="20"/>
        </w:rPr>
        <w:t>”</w:t>
      </w:r>
    </w:p>
    <w:p w14:paraId="69CE9FE5" w14:textId="081A40B1" w:rsidR="00AF1FCC" w:rsidRDefault="00AF1FCC" w:rsidP="00AF1FCC">
      <w:pPr>
        <w:spacing w:before="60"/>
        <w:jc w:val="both"/>
        <w:rPr>
          <w:rFonts w:ascii="Arial" w:hAnsi="Arial" w:cs="Arial"/>
          <w:color w:val="000000"/>
          <w:sz w:val="20"/>
        </w:rPr>
      </w:pPr>
      <w:r>
        <w:rPr>
          <w:rFonts w:ascii="Arial" w:hAnsi="Arial" w:cs="Arial"/>
          <w:color w:val="000000"/>
          <w:sz w:val="20"/>
        </w:rPr>
        <w:t xml:space="preserve">Ultimately their Honours allowed the </w:t>
      </w:r>
      <w:r w:rsidR="004A0530">
        <w:rPr>
          <w:rFonts w:ascii="Arial" w:hAnsi="Arial" w:cs="Arial"/>
          <w:color w:val="000000"/>
          <w:sz w:val="20"/>
        </w:rPr>
        <w:t xml:space="preserve">son’s </w:t>
      </w:r>
      <w:r>
        <w:rPr>
          <w:rFonts w:ascii="Arial" w:hAnsi="Arial" w:cs="Arial"/>
          <w:color w:val="000000"/>
          <w:sz w:val="20"/>
        </w:rPr>
        <w:t>appeal, set aside the sentence of IMP21m imposed on the charge of aggravated burglary and replaced it with a sentence of IMP12m; they left unchanged the sentence of IMP9m on the charge of recklessly causing injury</w:t>
      </w:r>
      <w:r w:rsidR="00663467">
        <w:rPr>
          <w:rFonts w:ascii="Arial" w:hAnsi="Arial" w:cs="Arial"/>
          <w:color w:val="000000"/>
          <w:sz w:val="20"/>
        </w:rPr>
        <w:t>, 3m of which was to be served</w:t>
      </w:r>
      <w:r>
        <w:rPr>
          <w:rFonts w:ascii="Arial" w:hAnsi="Arial" w:cs="Arial"/>
          <w:color w:val="000000"/>
          <w:sz w:val="20"/>
        </w:rPr>
        <w:t xml:space="preserve"> cumulatively on the </w:t>
      </w:r>
      <w:r w:rsidR="003E2FBE">
        <w:rPr>
          <w:rFonts w:ascii="Arial" w:hAnsi="Arial" w:cs="Arial"/>
          <w:color w:val="000000"/>
          <w:sz w:val="20"/>
        </w:rPr>
        <w:t>IMP</w:t>
      </w:r>
      <w:r>
        <w:rPr>
          <w:rFonts w:ascii="Arial" w:hAnsi="Arial" w:cs="Arial"/>
          <w:color w:val="000000"/>
          <w:sz w:val="20"/>
        </w:rPr>
        <w:t>12m imposed on the aggravated burglary. This resulted in TES IMP15m/9m.</w:t>
      </w:r>
      <w:r w:rsidR="00033045">
        <w:rPr>
          <w:rFonts w:ascii="Arial" w:hAnsi="Arial" w:cs="Arial"/>
          <w:color w:val="000000"/>
          <w:sz w:val="20"/>
        </w:rPr>
        <w:t xml:space="preserve"> </w:t>
      </w:r>
      <w:r w:rsidR="00033045" w:rsidRPr="00033045">
        <w:rPr>
          <w:rFonts w:ascii="Arial" w:hAnsi="Arial" w:cs="Arial"/>
          <w:color w:val="000000"/>
          <w:sz w:val="20"/>
        </w:rPr>
        <w:t xml:space="preserve">In explaining the requisite level of disparity required the appeal </w:t>
      </w:r>
      <w:r w:rsidR="00097A83">
        <w:rPr>
          <w:rFonts w:ascii="Arial" w:hAnsi="Arial" w:cs="Arial"/>
          <w:color w:val="000000"/>
          <w:sz w:val="20"/>
        </w:rPr>
        <w:t xml:space="preserve">to succeed </w:t>
      </w:r>
      <w:r w:rsidR="00033045" w:rsidRPr="00033045">
        <w:rPr>
          <w:rFonts w:ascii="Arial" w:hAnsi="Arial" w:cs="Arial"/>
          <w:color w:val="000000"/>
          <w:sz w:val="20"/>
        </w:rPr>
        <w:t>and why they had nevertheless imposed a greater sentence on the son than on the mother for the aggravated burglary charge, the Court of Appeal said at [30]-[32]:</w:t>
      </w:r>
    </w:p>
    <w:p w14:paraId="5A0687E3" w14:textId="0ADBA6C3" w:rsidR="004A2F6D" w:rsidRDefault="004A2F6D" w:rsidP="00AF1FCC">
      <w:pPr>
        <w:spacing w:before="60"/>
        <w:ind w:left="567" w:right="567"/>
        <w:jc w:val="both"/>
        <w:rPr>
          <w:rFonts w:ascii="Arial" w:hAnsi="Arial" w:cs="Arial"/>
          <w:color w:val="000000"/>
          <w:sz w:val="20"/>
        </w:rPr>
      </w:pPr>
      <w:r>
        <w:rPr>
          <w:rFonts w:ascii="Arial" w:hAnsi="Arial" w:cs="Arial"/>
          <w:color w:val="000000"/>
          <w:sz w:val="20"/>
        </w:rPr>
        <w:t>[30] “Some disparity between sentences will be insufficient to justify inter</w:t>
      </w:r>
      <w:r w:rsidR="00B1495C">
        <w:rPr>
          <w:rFonts w:ascii="Arial" w:hAnsi="Arial" w:cs="Arial"/>
          <w:color w:val="000000"/>
          <w:sz w:val="20"/>
        </w:rPr>
        <w:t>v</w:t>
      </w:r>
      <w:r>
        <w:rPr>
          <w:rFonts w:ascii="Arial" w:hAnsi="Arial" w:cs="Arial"/>
          <w:color w:val="000000"/>
          <w:sz w:val="20"/>
        </w:rPr>
        <w:t xml:space="preserve">ention by an appellate court.  The disparity must be manifestly excessive: </w:t>
      </w:r>
      <w:r w:rsidR="00B1495C" w:rsidRPr="00B1495C">
        <w:rPr>
          <w:rFonts w:ascii="Arial" w:hAnsi="Arial" w:cs="Arial"/>
          <w:i/>
          <w:iCs/>
          <w:color w:val="000000"/>
          <w:sz w:val="20"/>
        </w:rPr>
        <w:t>Grey v The King</w:t>
      </w:r>
      <w:r w:rsidR="00B1495C">
        <w:rPr>
          <w:rFonts w:ascii="Arial" w:hAnsi="Arial" w:cs="Arial"/>
          <w:color w:val="000000"/>
          <w:sz w:val="20"/>
        </w:rPr>
        <w:t xml:space="preserve"> [2024] VSCA 75, [62]. The appellate court will intervene in this case if the disparity engenders a justifiable sense of grievance in the person sentenced more heavily, or if the disparity gives the appearance that justice has not been done: </w:t>
      </w:r>
      <w:r w:rsidR="00B1495C" w:rsidRPr="00B1495C">
        <w:rPr>
          <w:rFonts w:ascii="Arial" w:hAnsi="Arial" w:cs="Arial"/>
          <w:i/>
          <w:iCs/>
          <w:color w:val="000000"/>
          <w:sz w:val="20"/>
        </w:rPr>
        <w:t>Green v The Queen</w:t>
      </w:r>
      <w:r w:rsidR="00B1495C">
        <w:rPr>
          <w:rFonts w:ascii="Arial" w:hAnsi="Arial" w:cs="Arial"/>
          <w:color w:val="000000"/>
          <w:sz w:val="20"/>
        </w:rPr>
        <w:t xml:space="preserve"> (2011) 244 CLR 462, 474-5 [31].  A justifiable sense of grievance is to be assessed objectively.  The application of the parity principle will not concern itself with the subjective feelings of disparity of the complainant: Ibid; see also </w:t>
      </w:r>
      <w:r w:rsidR="00B1495C" w:rsidRPr="00B1495C">
        <w:rPr>
          <w:rFonts w:ascii="Arial" w:hAnsi="Arial" w:cs="Arial"/>
          <w:i/>
          <w:iCs/>
          <w:color w:val="000000"/>
          <w:sz w:val="20"/>
        </w:rPr>
        <w:t>Postiglione v The Queen</w:t>
      </w:r>
      <w:r w:rsidR="00B1495C">
        <w:rPr>
          <w:rFonts w:ascii="Arial" w:hAnsi="Arial" w:cs="Arial"/>
          <w:color w:val="000000"/>
          <w:sz w:val="20"/>
        </w:rPr>
        <w:t xml:space="preserve"> (1997) 189 CLR 295, 323 &amp; 338.  Ultimately, the Court is concerned with the question whether the disparity between sentences is unjustifiable: </w:t>
      </w:r>
      <w:r w:rsidR="00B1495C" w:rsidRPr="00B1495C">
        <w:rPr>
          <w:rFonts w:ascii="Arial" w:hAnsi="Arial" w:cs="Arial"/>
          <w:i/>
          <w:iCs/>
          <w:color w:val="000000"/>
          <w:sz w:val="20"/>
        </w:rPr>
        <w:t>Galea v The Queen</w:t>
      </w:r>
      <w:r w:rsidR="00B1495C">
        <w:rPr>
          <w:rFonts w:ascii="Arial" w:hAnsi="Arial" w:cs="Arial"/>
          <w:color w:val="000000"/>
          <w:sz w:val="20"/>
        </w:rPr>
        <w:t xml:space="preserve"> [2020] VSCA 69, [19].</w:t>
      </w:r>
    </w:p>
    <w:p w14:paraId="6F90EC56" w14:textId="74944017" w:rsidR="00944084" w:rsidRDefault="00944084" w:rsidP="00AF1FCC">
      <w:pPr>
        <w:spacing w:before="60"/>
        <w:ind w:left="567" w:right="567"/>
        <w:jc w:val="both"/>
        <w:rPr>
          <w:rFonts w:ascii="Arial" w:hAnsi="Arial" w:cs="Arial"/>
          <w:color w:val="000000"/>
          <w:sz w:val="20"/>
        </w:rPr>
      </w:pPr>
      <w:r>
        <w:rPr>
          <w:rFonts w:ascii="Arial" w:hAnsi="Arial" w:cs="Arial"/>
          <w:color w:val="000000"/>
          <w:sz w:val="20"/>
        </w:rPr>
        <w:t xml:space="preserve">[31] </w:t>
      </w:r>
      <w:r w:rsidR="0097257D" w:rsidRPr="0097257D">
        <w:rPr>
          <w:rFonts w:ascii="Arial" w:hAnsi="Arial" w:cs="Arial"/>
          <w:color w:val="000000"/>
          <w:sz w:val="20"/>
        </w:rPr>
        <w:t xml:space="preserve">If an appellate court considers a sentence imposed on a co-offender to be inadequate or excessively lenient, this is not an insurmountable obstacle to an otherwise sound parity argument, as found in </w:t>
      </w:r>
      <w:r w:rsidR="0097257D" w:rsidRPr="00944084">
        <w:rPr>
          <w:rFonts w:ascii="Arial" w:hAnsi="Arial" w:cs="Arial"/>
          <w:i/>
          <w:iCs/>
          <w:color w:val="000000"/>
          <w:sz w:val="20"/>
        </w:rPr>
        <w:t>O’Loughlan v The Queen</w:t>
      </w:r>
      <w:r w:rsidR="0097257D" w:rsidRPr="0097257D">
        <w:rPr>
          <w:rFonts w:ascii="Arial" w:hAnsi="Arial" w:cs="Arial"/>
          <w:color w:val="000000"/>
          <w:sz w:val="20"/>
        </w:rPr>
        <w:t xml:space="preserve"> </w:t>
      </w:r>
      <w:r w:rsidR="00663467">
        <w:rPr>
          <w:rFonts w:ascii="Arial" w:hAnsi="Arial" w:cs="Arial"/>
          <w:color w:val="000000"/>
          <w:sz w:val="20"/>
        </w:rPr>
        <w:t>[2010] VSCA 175</w:t>
      </w:r>
      <w:r w:rsidR="00B1495C">
        <w:rPr>
          <w:rFonts w:ascii="Arial" w:hAnsi="Arial" w:cs="Arial"/>
          <w:color w:val="000000"/>
          <w:sz w:val="20"/>
        </w:rPr>
        <w:t>,</w:t>
      </w:r>
      <w:r w:rsidR="00663467">
        <w:rPr>
          <w:rFonts w:ascii="Arial" w:hAnsi="Arial" w:cs="Arial"/>
          <w:color w:val="000000"/>
          <w:sz w:val="20"/>
        </w:rPr>
        <w:t xml:space="preserve"> [31]</w:t>
      </w:r>
      <w:r w:rsidR="00663467">
        <w:rPr>
          <w:rFonts w:ascii="Arial" w:hAnsi="Arial" w:cs="Arial"/>
          <w:color w:val="000000"/>
          <w:sz w:val="20"/>
        </w:rPr>
        <w:noBreakHyphen/>
        <w:t>[32] (citations omitted):</w:t>
      </w:r>
    </w:p>
    <w:p w14:paraId="7D772B14" w14:textId="6580D108" w:rsidR="00663467"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 xml:space="preserve">Though [the co-offenders’] total effective sentence of 20 months’ imprisonment was undoubtedly lenient (some might say extremely so), it does not follow that this court should reject what seems to us to be an otherwise compelling parity argument put on behalf of the appellant. On any view, principles of parity must be taken into account, </w:t>
      </w:r>
      <w:r w:rsidRPr="00F268B9">
        <w:rPr>
          <w:rFonts w:ascii="Arial" w:hAnsi="Arial" w:cs="Arial"/>
          <w:color w:val="000000"/>
          <w:sz w:val="18"/>
          <w:szCs w:val="18"/>
        </w:rPr>
        <w:lastRenderedPageBreak/>
        <w:t>even in circumstances where the sentence imposed upon a co-offender is regarded as inadequate.</w:t>
      </w:r>
    </w:p>
    <w:p w14:paraId="09B7D6DF" w14:textId="764CDAEA" w:rsidR="000A66EA" w:rsidRPr="00F268B9"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 xml:space="preserve">That does not mean that principles of parity require an appellate court to impose what is, in its view, a wholly inappropriate sentence. It might mean, however, that a sentence towards the very bottom of the range is called for, even if that </w:t>
      </w:r>
      <w:r w:rsidR="00F268B9" w:rsidRPr="00F268B9">
        <w:rPr>
          <w:rFonts w:ascii="Arial" w:hAnsi="Arial" w:cs="Arial"/>
          <w:color w:val="000000"/>
          <w:sz w:val="18"/>
          <w:szCs w:val="18"/>
        </w:rPr>
        <w:t>sentence, when viewed objectively, is otherwise seen as being too low</w:t>
      </w:r>
      <w:r w:rsidR="00F268B9">
        <w:rPr>
          <w:rFonts w:ascii="Arial" w:hAnsi="Arial" w:cs="Arial"/>
          <w:color w:val="000000"/>
          <w:sz w:val="18"/>
          <w:szCs w:val="18"/>
        </w:rPr>
        <w:t>.</w:t>
      </w:r>
    </w:p>
    <w:p w14:paraId="75730695" w14:textId="1F74F8FD" w:rsidR="00663467" w:rsidRDefault="00663467" w:rsidP="00AF1FCC">
      <w:pPr>
        <w:spacing w:before="60"/>
        <w:ind w:left="567" w:right="567"/>
        <w:jc w:val="both"/>
        <w:rPr>
          <w:rFonts w:ascii="Arial" w:hAnsi="Arial" w:cs="Arial"/>
          <w:color w:val="000000"/>
          <w:sz w:val="20"/>
        </w:rPr>
      </w:pPr>
      <w:r>
        <w:rPr>
          <w:rFonts w:ascii="Arial" w:hAnsi="Arial" w:cs="Arial"/>
          <w:color w:val="000000"/>
          <w:sz w:val="20"/>
        </w:rPr>
        <w:t>[</w:t>
      </w:r>
      <w:r w:rsidR="0097257D" w:rsidRPr="0097257D">
        <w:rPr>
          <w:rFonts w:ascii="Arial" w:hAnsi="Arial" w:cs="Arial"/>
          <w:color w:val="000000"/>
          <w:sz w:val="20"/>
        </w:rPr>
        <w:t>3</w:t>
      </w:r>
      <w:r>
        <w:rPr>
          <w:rFonts w:ascii="Arial" w:hAnsi="Arial" w:cs="Arial"/>
          <w:color w:val="000000"/>
          <w:sz w:val="20"/>
        </w:rPr>
        <w:t xml:space="preserve">2] In </w:t>
      </w:r>
      <w:r w:rsidR="0097257D" w:rsidRPr="00663467">
        <w:rPr>
          <w:rFonts w:ascii="Arial" w:hAnsi="Arial" w:cs="Arial"/>
          <w:i/>
          <w:iCs/>
          <w:color w:val="000000"/>
          <w:sz w:val="20"/>
        </w:rPr>
        <w:t>Grey v The King</w:t>
      </w:r>
      <w:r w:rsidR="0097257D" w:rsidRPr="0097257D">
        <w:rPr>
          <w:rFonts w:ascii="Arial" w:hAnsi="Arial" w:cs="Arial"/>
          <w:color w:val="000000"/>
          <w:sz w:val="20"/>
        </w:rPr>
        <w:t xml:space="preserve"> [2024] VSCA 75</w:t>
      </w:r>
      <w:r>
        <w:rPr>
          <w:rFonts w:ascii="Arial" w:hAnsi="Arial" w:cs="Arial"/>
          <w:color w:val="000000"/>
          <w:sz w:val="20"/>
        </w:rPr>
        <w:t xml:space="preserve"> at</w:t>
      </w:r>
      <w:r w:rsidR="0097257D" w:rsidRPr="0097257D">
        <w:rPr>
          <w:rFonts w:ascii="Arial" w:hAnsi="Arial" w:cs="Arial"/>
          <w:color w:val="000000"/>
          <w:sz w:val="20"/>
        </w:rPr>
        <w:t xml:space="preserve"> [62]</w:t>
      </w:r>
      <w:r>
        <w:rPr>
          <w:rFonts w:ascii="Arial" w:hAnsi="Arial" w:cs="Arial"/>
          <w:color w:val="000000"/>
          <w:sz w:val="20"/>
        </w:rPr>
        <w:t>, after citing the above passage, the Court said (citations omitted)</w:t>
      </w:r>
      <w:r w:rsidR="0019215D">
        <w:rPr>
          <w:rFonts w:ascii="Arial" w:hAnsi="Arial" w:cs="Arial"/>
          <w:color w:val="000000"/>
          <w:sz w:val="20"/>
        </w:rPr>
        <w:t>:</w:t>
      </w:r>
    </w:p>
    <w:p w14:paraId="0343DDD3" w14:textId="63523315" w:rsidR="0097257D" w:rsidRPr="0019215D" w:rsidRDefault="0019215D" w:rsidP="0019215D">
      <w:pPr>
        <w:spacing w:before="60"/>
        <w:ind w:left="1021" w:right="1021"/>
        <w:jc w:val="both"/>
        <w:rPr>
          <w:rFonts w:ascii="Arial" w:hAnsi="Arial" w:cs="Arial"/>
          <w:color w:val="000000"/>
          <w:sz w:val="18"/>
          <w:szCs w:val="18"/>
        </w:rPr>
      </w:pPr>
      <w:r>
        <w:rPr>
          <w:rFonts w:ascii="Arial" w:hAnsi="Arial" w:cs="Arial"/>
          <w:color w:val="000000"/>
          <w:sz w:val="18"/>
          <w:szCs w:val="18"/>
        </w:rPr>
        <w:t xml:space="preserve">Thus, even if this Court were to conclude </w:t>
      </w:r>
      <w:r w:rsidR="0097257D" w:rsidRPr="0097257D">
        <w:rPr>
          <w:rFonts w:ascii="Arial" w:hAnsi="Arial" w:cs="Arial"/>
          <w:color w:val="000000"/>
          <w:sz w:val="20"/>
        </w:rPr>
        <w:t>that the sentence imposed on the applicant offended the principle of equal justice, this Court is not required to reduce the sentence imposed on the applicant to a point where that sentence becomes manifestly inadequate.</w:t>
      </w:r>
      <w:r>
        <w:rPr>
          <w:rFonts w:ascii="Arial" w:hAnsi="Arial" w:cs="Arial"/>
          <w:color w:val="000000"/>
          <w:sz w:val="20"/>
        </w:rPr>
        <w:t>”</w:t>
      </w:r>
    </w:p>
    <w:p w14:paraId="57ADFBA1" w14:textId="77777777" w:rsidR="0097257D" w:rsidRPr="0097257D" w:rsidRDefault="0097257D" w:rsidP="003D4F6D">
      <w:pPr>
        <w:jc w:val="both"/>
        <w:rPr>
          <w:rFonts w:ascii="Arial" w:hAnsi="Arial" w:cs="Arial"/>
          <w:color w:val="000000"/>
          <w:sz w:val="20"/>
        </w:rPr>
      </w:pPr>
    </w:p>
    <w:bookmarkEnd w:id="538"/>
    <w:p w14:paraId="5A47946B" w14:textId="070A8CBC" w:rsidR="00AA1C29" w:rsidRPr="007F2CDA" w:rsidRDefault="00BF52E5" w:rsidP="00871139">
      <w:pPr>
        <w:pStyle w:val="Normal-Cover"/>
        <w:jc w:val="both"/>
        <w:rPr>
          <w:rFonts w:ascii="Arial" w:hAnsi="Arial" w:cs="Arial"/>
          <w:color w:val="000000"/>
          <w:sz w:val="16"/>
          <w:szCs w:val="16"/>
        </w:rPr>
      </w:pPr>
      <w:r w:rsidRPr="001C6E0E">
        <w:rPr>
          <w:rFonts w:ascii="Arial" w:hAnsi="Arial" w:cs="Arial"/>
          <w:color w:val="000000"/>
          <w:sz w:val="20"/>
        </w:rPr>
        <w:t xml:space="preserve">Other cases </w:t>
      </w:r>
      <w:r w:rsidR="00324BF7">
        <w:rPr>
          <w:rFonts w:ascii="Arial" w:hAnsi="Arial" w:cs="Arial"/>
          <w:color w:val="000000"/>
          <w:sz w:val="20"/>
        </w:rPr>
        <w:t xml:space="preserve">– largely </w:t>
      </w:r>
      <w:r w:rsidRPr="001C6E0E">
        <w:rPr>
          <w:rFonts w:ascii="Arial" w:hAnsi="Arial" w:cs="Arial"/>
          <w:color w:val="000000"/>
          <w:sz w:val="20"/>
        </w:rPr>
        <w:t xml:space="preserve">involving adult offenders </w:t>
      </w:r>
      <w:r w:rsidR="00324BF7">
        <w:rPr>
          <w:rFonts w:ascii="Arial" w:hAnsi="Arial" w:cs="Arial"/>
          <w:color w:val="000000"/>
          <w:sz w:val="20"/>
        </w:rPr>
        <w:t xml:space="preserve">– </w:t>
      </w:r>
      <w:r w:rsidRPr="001C6E0E">
        <w:rPr>
          <w:rFonts w:ascii="Arial" w:hAnsi="Arial" w:cs="Arial"/>
          <w:color w:val="000000"/>
          <w:sz w:val="20"/>
        </w:rPr>
        <w:t>in</w:t>
      </w:r>
      <w:r w:rsidR="00324BF7">
        <w:rPr>
          <w:rFonts w:ascii="Arial" w:hAnsi="Arial" w:cs="Arial"/>
          <w:color w:val="000000"/>
          <w:sz w:val="20"/>
        </w:rPr>
        <w:t xml:space="preserve"> </w:t>
      </w:r>
      <w:r w:rsidRPr="001C6E0E">
        <w:rPr>
          <w:rFonts w:ascii="Arial" w:hAnsi="Arial" w:cs="Arial"/>
          <w:color w:val="000000"/>
          <w:sz w:val="20"/>
        </w:rPr>
        <w:t xml:space="preserve">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R v Merceica</w:t>
      </w:r>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R v Cassar</w:t>
      </w:r>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R v Hieu Huu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R v Bortoli</w:t>
      </w:r>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R v Asim Selcuk</w:t>
      </w:r>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R v Guthrie &amp; Nuttal</w:t>
      </w:r>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R v Sibic &amp; Sibic</w:t>
      </w:r>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R v Moroz &amp; Mendelis</w:t>
      </w:r>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R v Nguyen &amp; Ors</w:t>
      </w:r>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R v Barbaro &amp; Or</w:t>
      </w:r>
      <w:r w:rsidR="00C44C20" w:rsidRPr="001C6E0E">
        <w:rPr>
          <w:rFonts w:ascii="Arial" w:hAnsi="Arial" w:cs="Arial"/>
          <w:i/>
          <w:iCs/>
          <w:color w:val="000000"/>
          <w:sz w:val="20"/>
        </w:rPr>
        <w:t>s</w:t>
      </w:r>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Nunno</w:t>
      </w:r>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R v Koumis &amp; Ors</w:t>
      </w:r>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R v Van Dat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R v Barbaro</w:t>
      </w:r>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esp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R v Velevski</w:t>
      </w:r>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R v Boase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R v Goussis</w:t>
      </w:r>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DPP v Heeman and Rivette</w:t>
      </w:r>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R v Raylene Sarvak</w:t>
      </w:r>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DPP(Cth) v Graziosi</w:t>
      </w:r>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Vasile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DPP v Carr</w:t>
      </w:r>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Ulutui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r w:rsidR="00942D70" w:rsidRPr="003972EF">
        <w:rPr>
          <w:rFonts w:ascii="Arial" w:hAnsi="Arial" w:cs="Arial"/>
          <w:i/>
          <w:iCs/>
          <w:color w:val="000000"/>
          <w:sz w:val="20"/>
        </w:rPr>
        <w:t>Dawid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(Cth)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39" w:name="_Toc30674206"/>
      <w:bookmarkStart w:id="540" w:name="_Toc30691473"/>
      <w:bookmarkStart w:id="541" w:name="_Toc30691853"/>
      <w:bookmarkStart w:id="542" w:name="_Toc30692233"/>
      <w:bookmarkStart w:id="543" w:name="_Toc30692991"/>
      <w:bookmarkStart w:id="544" w:name="_Toc30693370"/>
      <w:bookmarkStart w:id="545" w:name="_Toc30693748"/>
      <w:bookmarkStart w:id="546" w:name="_Toc30694126"/>
      <w:bookmarkStart w:id="547" w:name="_Toc30694507"/>
      <w:bookmarkStart w:id="548" w:name="_Toc30699097"/>
      <w:bookmarkStart w:id="549" w:name="_Toc30699482"/>
      <w:bookmarkStart w:id="550" w:name="_Toc30699867"/>
      <w:bookmarkStart w:id="551" w:name="_Toc30701022"/>
      <w:bookmarkStart w:id="552" w:name="_Toc30701409"/>
      <w:bookmarkStart w:id="553" w:name="_Toc30744016"/>
      <w:bookmarkStart w:id="554" w:name="_Toc30754839"/>
      <w:bookmarkStart w:id="555" w:name="_Toc30757295"/>
      <w:bookmarkStart w:id="556" w:name="_Toc30757843"/>
      <w:bookmarkStart w:id="557" w:name="_Toc30758243"/>
      <w:bookmarkStart w:id="558" w:name="_Toc30763003"/>
      <w:bookmarkStart w:id="559" w:name="_Toc30767657"/>
      <w:bookmarkStart w:id="560" w:name="_Toc34823675"/>
      <w:bookmarkStart w:id="561"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r w:rsidR="00100630" w:rsidRPr="00100630">
        <w:rPr>
          <w:rFonts w:ascii="Arial" w:hAnsi="Arial" w:cs="Arial"/>
          <w:i/>
          <w:iCs/>
          <w:color w:val="000000"/>
          <w:sz w:val="20"/>
        </w:rPr>
        <w:t>Ngaa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r w:rsidR="00405835" w:rsidRPr="00F05B57">
        <w:rPr>
          <w:rFonts w:ascii="Arial" w:hAnsi="Arial" w:cs="Arial"/>
          <w:i/>
          <w:color w:val="000000"/>
          <w:sz w:val="20"/>
        </w:rPr>
        <w:t>Moresco</w:t>
      </w:r>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Ah-Kau v The Queen; Ofamooni v The Queen</w:t>
      </w:r>
      <w:r w:rsidR="00CF0397">
        <w:rPr>
          <w:rFonts w:ascii="Arial" w:hAnsi="Arial" w:cs="Arial"/>
          <w:color w:val="000000"/>
          <w:sz w:val="20"/>
        </w:rPr>
        <w:t xml:space="preserve"> [2018] VSCA 296; </w:t>
      </w:r>
      <w:r w:rsidR="0018226F" w:rsidRPr="00A04F3F">
        <w:rPr>
          <w:rFonts w:ascii="Arial" w:hAnsi="Arial" w:cs="Arial"/>
          <w:i/>
          <w:color w:val="000000"/>
          <w:sz w:val="20"/>
        </w:rPr>
        <w:t>Buovac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r w:rsidR="003C46F1" w:rsidRPr="003C46F1">
        <w:rPr>
          <w:rFonts w:ascii="Arial" w:hAnsi="Arial" w:cs="Arial"/>
          <w:i/>
          <w:color w:val="000000"/>
          <w:sz w:val="20"/>
        </w:rPr>
        <w:t>Ghannoum v The Queen</w:t>
      </w:r>
      <w:r w:rsidR="003C46F1">
        <w:rPr>
          <w:rFonts w:ascii="Arial" w:hAnsi="Arial" w:cs="Arial"/>
          <w:color w:val="000000"/>
          <w:sz w:val="20"/>
        </w:rPr>
        <w:t xml:space="preserve"> [2019] VSCA 25 at [47]-[65]; </w:t>
      </w:r>
      <w:r w:rsidR="00A00C0D" w:rsidRPr="00A00C0D">
        <w:rPr>
          <w:rFonts w:ascii="Arial" w:hAnsi="Arial" w:cs="Arial"/>
          <w:i/>
          <w:color w:val="000000"/>
          <w:sz w:val="20"/>
        </w:rPr>
        <w:t>Shakhanov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r w:rsidR="003F1E77" w:rsidRPr="003F1E77">
        <w:rPr>
          <w:rFonts w:ascii="Arial" w:hAnsi="Arial" w:cs="Arial"/>
          <w:i/>
          <w:iCs/>
          <w:color w:val="000000"/>
          <w:sz w:val="20"/>
        </w:rPr>
        <w:t>Piacentino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r w:rsidR="008944B6" w:rsidRPr="008944B6">
        <w:rPr>
          <w:rFonts w:ascii="Arial" w:hAnsi="Arial" w:cs="Arial"/>
          <w:i/>
          <w:iCs/>
          <w:color w:val="000000"/>
          <w:sz w:val="20"/>
        </w:rPr>
        <w:t>Topal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r w:rsidR="00F434A1" w:rsidRPr="00F434A1">
        <w:rPr>
          <w:rFonts w:ascii="Arial" w:hAnsi="Arial" w:cs="Arial"/>
          <w:i/>
          <w:iCs/>
          <w:color w:val="000000"/>
          <w:sz w:val="20"/>
        </w:rPr>
        <w:t>Zaia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r w:rsidR="0070743D" w:rsidRPr="0070743D">
        <w:rPr>
          <w:rFonts w:ascii="Arial" w:hAnsi="Arial" w:cs="Arial"/>
          <w:i/>
          <w:iCs/>
          <w:color w:val="000000"/>
          <w:sz w:val="20"/>
        </w:rPr>
        <w:t>Taleb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w:t>
      </w:r>
      <w:r w:rsidR="00167ECE">
        <w:rPr>
          <w:rFonts w:ascii="Arial" w:hAnsi="Arial" w:cs="Arial"/>
          <w:color w:val="000000"/>
          <w:sz w:val="20"/>
        </w:rPr>
        <w:lastRenderedPageBreak/>
        <w:t>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Thuy Thanh Thi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r w:rsidR="007D7C4C" w:rsidRPr="007D7C4C">
        <w:rPr>
          <w:rFonts w:ascii="Arial" w:hAnsi="Arial" w:cs="Arial"/>
          <w:i/>
          <w:iCs/>
          <w:sz w:val="20"/>
        </w:rPr>
        <w:t xml:space="preserve">Thi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r w:rsidR="00100630" w:rsidRPr="00100630">
        <w:rPr>
          <w:rFonts w:ascii="Arial" w:hAnsi="Arial" w:cs="Arial"/>
          <w:i/>
          <w:iCs/>
          <w:sz w:val="20"/>
        </w:rPr>
        <w:t>Hochkins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Farrugia, Ali, Monro &amp; Synan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r w:rsidR="00452366" w:rsidRPr="00452366">
        <w:rPr>
          <w:rFonts w:ascii="Arial" w:hAnsi="Arial" w:cs="Arial"/>
          <w:i/>
          <w:iCs/>
          <w:sz w:val="20"/>
        </w:rPr>
        <w:t>Shbaro v The Queen</w:t>
      </w:r>
      <w:r w:rsidR="00452366">
        <w:rPr>
          <w:rFonts w:ascii="Arial" w:hAnsi="Arial" w:cs="Arial"/>
          <w:sz w:val="20"/>
        </w:rPr>
        <w:t xml:space="preserve"> [2022] VSCA 190 at [42]</w:t>
      </w:r>
      <w:r w:rsidR="000008FC">
        <w:rPr>
          <w:rFonts w:ascii="Arial" w:hAnsi="Arial" w:cs="Arial"/>
          <w:sz w:val="20"/>
        </w:rPr>
        <w:noBreakHyphen/>
      </w:r>
      <w:r w:rsidR="00452366" w:rsidRPr="000008FC">
        <w:rPr>
          <w:rFonts w:ascii="Arial" w:hAnsi="Arial" w:cs="Arial"/>
          <w:sz w:val="20"/>
        </w:rPr>
        <w:t>[48]</w:t>
      </w:r>
      <w:r w:rsidR="00AA0591" w:rsidRPr="000008FC">
        <w:rPr>
          <w:rFonts w:ascii="Arial" w:hAnsi="Arial" w:cs="Arial"/>
          <w:sz w:val="20"/>
        </w:rPr>
        <w:t xml:space="preserve">; </w:t>
      </w:r>
      <w:r w:rsidR="000008FC" w:rsidRPr="000008FC">
        <w:rPr>
          <w:rFonts w:ascii="Arial" w:hAnsi="Arial" w:cs="Arial"/>
          <w:i/>
          <w:iCs/>
          <w:color w:val="000000"/>
          <w:sz w:val="20"/>
        </w:rPr>
        <w:t>McBain v The King</w:t>
      </w:r>
      <w:r w:rsidR="000008FC" w:rsidRPr="000008FC">
        <w:rPr>
          <w:rFonts w:ascii="Arial" w:hAnsi="Arial" w:cs="Arial"/>
          <w:color w:val="000000"/>
          <w:sz w:val="20"/>
        </w:rPr>
        <w:t xml:space="preserve"> [2022] VSCA 257 at [28]-[32]; </w:t>
      </w:r>
      <w:r w:rsidR="00AA0591" w:rsidRPr="000008FC">
        <w:rPr>
          <w:rFonts w:ascii="Arial" w:hAnsi="Arial" w:cs="Arial"/>
          <w:i/>
          <w:iCs/>
          <w:sz w:val="20"/>
        </w:rPr>
        <w:t>Garipoli v The King</w:t>
      </w:r>
      <w:r w:rsidR="00AA0591" w:rsidRPr="000008FC">
        <w:rPr>
          <w:rFonts w:ascii="Arial" w:hAnsi="Arial" w:cs="Arial"/>
          <w:sz w:val="20"/>
        </w:rPr>
        <w:t xml:space="preserve"> [2022] VSCA 260 at </w:t>
      </w:r>
      <w:r w:rsidR="00AA0591" w:rsidRPr="00FA15A7">
        <w:rPr>
          <w:rFonts w:ascii="Arial" w:hAnsi="Arial" w:cs="Arial"/>
          <w:sz w:val="20"/>
        </w:rPr>
        <w:t>[38]-[70]</w:t>
      </w:r>
      <w:r w:rsidR="006F6069" w:rsidRPr="00FA15A7">
        <w:rPr>
          <w:rFonts w:ascii="Arial" w:hAnsi="Arial" w:cs="Arial"/>
          <w:sz w:val="20"/>
        </w:rPr>
        <w:t xml:space="preserve">; </w:t>
      </w:r>
      <w:r w:rsidR="006F6069" w:rsidRPr="00FA15A7">
        <w:rPr>
          <w:rFonts w:ascii="Arial" w:hAnsi="Arial" w:cs="Arial"/>
          <w:i/>
          <w:iCs/>
          <w:sz w:val="20"/>
        </w:rPr>
        <w:t>Edgar Case (a pseudonym) v The King</w:t>
      </w:r>
      <w:r w:rsidR="006F6069" w:rsidRPr="00FA15A7">
        <w:rPr>
          <w:rFonts w:ascii="Arial" w:hAnsi="Arial" w:cs="Arial"/>
          <w:sz w:val="20"/>
        </w:rPr>
        <w:t xml:space="preserve"> [2023] VSCA 12 at [148]-[154]</w:t>
      </w:r>
      <w:r w:rsidR="001144E9" w:rsidRPr="00FA15A7">
        <w:rPr>
          <w:rFonts w:ascii="Arial" w:hAnsi="Arial" w:cs="Arial"/>
          <w:sz w:val="20"/>
        </w:rPr>
        <w:t xml:space="preserve">; </w:t>
      </w:r>
      <w:r w:rsidR="001144E9" w:rsidRPr="00FA15A7">
        <w:rPr>
          <w:rFonts w:ascii="Arial" w:hAnsi="Arial" w:cs="Arial"/>
          <w:i/>
          <w:iCs/>
          <w:sz w:val="20"/>
        </w:rPr>
        <w:t xml:space="preserve">Obian v The King </w:t>
      </w:r>
      <w:r w:rsidR="001144E9" w:rsidRPr="00FA15A7">
        <w:rPr>
          <w:rFonts w:ascii="Arial" w:hAnsi="Arial" w:cs="Arial"/>
          <w:sz w:val="20"/>
        </w:rPr>
        <w:t>[2023] VSCA 18 at [410]-[412]</w:t>
      </w:r>
      <w:r w:rsidR="00982E2F" w:rsidRPr="00FA15A7">
        <w:rPr>
          <w:rFonts w:ascii="Arial" w:hAnsi="Arial" w:cs="Arial"/>
          <w:sz w:val="20"/>
        </w:rPr>
        <w:t xml:space="preserve">; </w:t>
      </w:r>
      <w:r w:rsidR="00982E2F" w:rsidRPr="00FA15A7">
        <w:rPr>
          <w:rFonts w:ascii="Arial" w:hAnsi="Arial" w:cs="Arial"/>
          <w:i/>
          <w:iCs/>
          <w:color w:val="000000"/>
          <w:sz w:val="20"/>
        </w:rPr>
        <w:t>Kannan v The King</w:t>
      </w:r>
      <w:r w:rsidR="00982E2F" w:rsidRPr="00FA15A7">
        <w:rPr>
          <w:rFonts w:ascii="Arial" w:hAnsi="Arial" w:cs="Arial"/>
          <w:color w:val="000000"/>
          <w:sz w:val="20"/>
        </w:rPr>
        <w:t xml:space="preserve"> [2023] VSCA 58 at [82]-[84]</w:t>
      </w:r>
      <w:r w:rsidR="00930EDD" w:rsidRPr="00FA15A7">
        <w:rPr>
          <w:rFonts w:ascii="Arial" w:hAnsi="Arial" w:cs="Arial"/>
          <w:color w:val="000000"/>
          <w:sz w:val="20"/>
        </w:rPr>
        <w:t xml:space="preserve">; </w:t>
      </w:r>
      <w:r w:rsidR="00487576" w:rsidRPr="00FA15A7">
        <w:rPr>
          <w:rFonts w:ascii="Arial" w:hAnsi="Arial" w:cs="Arial"/>
          <w:i/>
          <w:iCs/>
          <w:color w:val="000000"/>
          <w:sz w:val="20"/>
        </w:rPr>
        <w:t>Ka Ming Chong v The King</w:t>
      </w:r>
      <w:r w:rsidR="00487576" w:rsidRPr="00FA15A7">
        <w:rPr>
          <w:rFonts w:ascii="Arial" w:hAnsi="Arial" w:cs="Arial"/>
          <w:color w:val="000000"/>
          <w:sz w:val="20"/>
        </w:rPr>
        <w:t xml:space="preserve"> [2023] VSCA 62 at [</w:t>
      </w:r>
      <w:r w:rsidR="00C7430E" w:rsidRPr="00FA15A7">
        <w:rPr>
          <w:rFonts w:ascii="Arial" w:hAnsi="Arial" w:cs="Arial"/>
          <w:color w:val="000000"/>
          <w:sz w:val="20"/>
        </w:rPr>
        <w:t>59</w:t>
      </w:r>
      <w:r w:rsidR="00487576" w:rsidRPr="00FA15A7">
        <w:rPr>
          <w:rFonts w:ascii="Arial" w:hAnsi="Arial" w:cs="Arial"/>
          <w:color w:val="000000"/>
          <w:sz w:val="20"/>
        </w:rPr>
        <w:t>]-[</w:t>
      </w:r>
      <w:r w:rsidR="00C7430E" w:rsidRPr="00FA15A7">
        <w:rPr>
          <w:rFonts w:ascii="Arial" w:hAnsi="Arial" w:cs="Arial"/>
          <w:color w:val="000000"/>
          <w:sz w:val="20"/>
        </w:rPr>
        <w:t>64</w:t>
      </w:r>
      <w:r w:rsidR="00487576" w:rsidRPr="00FA15A7">
        <w:rPr>
          <w:rFonts w:ascii="Arial" w:hAnsi="Arial" w:cs="Arial"/>
          <w:color w:val="000000"/>
          <w:sz w:val="20"/>
        </w:rPr>
        <w:t xml:space="preserve">]; </w:t>
      </w:r>
      <w:r w:rsidR="00930EDD" w:rsidRPr="00FA15A7">
        <w:rPr>
          <w:rFonts w:ascii="Arial" w:hAnsi="Arial" w:cs="Arial"/>
          <w:i/>
          <w:iCs/>
          <w:color w:val="000000"/>
          <w:sz w:val="20"/>
        </w:rPr>
        <w:t>Khoshaba v The King</w:t>
      </w:r>
      <w:r w:rsidR="00930EDD" w:rsidRPr="00FA15A7">
        <w:rPr>
          <w:rFonts w:ascii="Arial" w:hAnsi="Arial" w:cs="Arial"/>
          <w:color w:val="000000"/>
          <w:sz w:val="20"/>
        </w:rPr>
        <w:t xml:space="preserve"> [2023] VSCA 65 at [23]-[33]</w:t>
      </w:r>
      <w:r w:rsidR="00FA15A7" w:rsidRPr="00FA15A7">
        <w:rPr>
          <w:rFonts w:ascii="Arial" w:hAnsi="Arial" w:cs="Arial"/>
          <w:color w:val="000000"/>
          <w:sz w:val="20"/>
        </w:rPr>
        <w:t xml:space="preserve">; </w:t>
      </w:r>
      <w:r w:rsidR="00FA15A7" w:rsidRPr="00FA15A7">
        <w:rPr>
          <w:rFonts w:ascii="Arial" w:hAnsi="Arial" w:cs="Arial"/>
          <w:i/>
          <w:iCs/>
          <w:sz w:val="20"/>
        </w:rPr>
        <w:t>DPP v McCartin &amp; Anor (Sentence)</w:t>
      </w:r>
      <w:r w:rsidR="00FA15A7" w:rsidRPr="00FA15A7">
        <w:rPr>
          <w:rFonts w:ascii="Arial" w:hAnsi="Arial" w:cs="Arial"/>
          <w:sz w:val="20"/>
        </w:rPr>
        <w:t xml:space="preserve"> [2023] VSC 193 at [79]-[80]</w:t>
      </w:r>
      <w:r w:rsidR="00423372">
        <w:rPr>
          <w:rFonts w:ascii="Arial" w:hAnsi="Arial" w:cs="Arial"/>
          <w:sz w:val="20"/>
        </w:rPr>
        <w:t>;</w:t>
      </w:r>
      <w:r w:rsidR="00312391">
        <w:rPr>
          <w:rFonts w:ascii="Arial" w:hAnsi="Arial" w:cs="Arial"/>
          <w:color w:val="000000"/>
          <w:sz w:val="20"/>
        </w:rPr>
        <w:t xml:space="preserve"> </w:t>
      </w:r>
      <w:r w:rsidR="00312391" w:rsidRPr="00312391">
        <w:rPr>
          <w:rFonts w:ascii="Arial" w:hAnsi="Arial" w:cs="Arial"/>
          <w:i/>
          <w:iCs/>
          <w:color w:val="000000"/>
          <w:sz w:val="20"/>
        </w:rPr>
        <w:t>Biba v The King</w:t>
      </w:r>
      <w:r w:rsidR="00312391">
        <w:rPr>
          <w:rFonts w:ascii="Arial" w:hAnsi="Arial" w:cs="Arial"/>
          <w:color w:val="000000"/>
          <w:sz w:val="20"/>
        </w:rPr>
        <w:t xml:space="preserve"> [2023] VSCA 122 at [</w:t>
      </w:r>
      <w:r w:rsidR="00E17C6F">
        <w:rPr>
          <w:rFonts w:ascii="Arial" w:hAnsi="Arial" w:cs="Arial"/>
          <w:color w:val="000000"/>
          <w:sz w:val="20"/>
        </w:rPr>
        <w:t>33</w:t>
      </w:r>
      <w:r w:rsidR="00312391">
        <w:rPr>
          <w:rFonts w:ascii="Arial" w:hAnsi="Arial" w:cs="Arial"/>
          <w:color w:val="000000"/>
          <w:sz w:val="20"/>
        </w:rPr>
        <w:t>]</w:t>
      </w:r>
      <w:r w:rsidR="00E17C6F">
        <w:rPr>
          <w:rFonts w:ascii="Arial" w:hAnsi="Arial" w:cs="Arial"/>
          <w:color w:val="000000"/>
          <w:sz w:val="20"/>
        </w:rPr>
        <w:noBreakHyphen/>
        <w:t>[40]</w:t>
      </w:r>
      <w:r w:rsidR="003026A0">
        <w:rPr>
          <w:rFonts w:ascii="Arial" w:hAnsi="Arial" w:cs="Arial"/>
          <w:color w:val="000000"/>
          <w:sz w:val="20"/>
        </w:rPr>
        <w:t xml:space="preserve">; </w:t>
      </w:r>
      <w:r w:rsidR="003026A0" w:rsidRPr="00F7798B">
        <w:rPr>
          <w:rFonts w:ascii="Arial" w:hAnsi="Arial" w:cs="Arial"/>
          <w:bCs/>
          <w:i/>
          <w:iCs/>
          <w:color w:val="000000"/>
          <w:sz w:val="20"/>
          <w:lang w:val="en-US"/>
        </w:rPr>
        <w:t>Chaarani v The King</w:t>
      </w:r>
      <w:r w:rsidR="003026A0">
        <w:rPr>
          <w:rFonts w:ascii="Arial" w:hAnsi="Arial" w:cs="Arial"/>
          <w:bCs/>
          <w:color w:val="000000"/>
          <w:sz w:val="20"/>
          <w:lang w:val="en-US"/>
        </w:rPr>
        <w:t xml:space="preserve"> [2023] VSCA 275 at [24]-[29]</w:t>
      </w:r>
      <w:r w:rsidR="00465EE8">
        <w:rPr>
          <w:rFonts w:ascii="Arial" w:hAnsi="Arial" w:cs="Arial"/>
          <w:bCs/>
          <w:color w:val="000000"/>
          <w:sz w:val="20"/>
          <w:lang w:val="en-US"/>
        </w:rPr>
        <w:t xml:space="preserve">; </w:t>
      </w:r>
      <w:r w:rsidR="00465EE8" w:rsidRPr="00465EE8">
        <w:rPr>
          <w:rFonts w:ascii="Arial" w:hAnsi="Arial" w:cs="Arial"/>
          <w:bCs/>
          <w:i/>
          <w:iCs/>
          <w:color w:val="000000"/>
          <w:sz w:val="20"/>
          <w:lang w:val="en-US"/>
        </w:rPr>
        <w:t>Minutolo v The King</w:t>
      </w:r>
      <w:r w:rsidR="00465EE8">
        <w:rPr>
          <w:rFonts w:ascii="Arial" w:hAnsi="Arial" w:cs="Arial"/>
          <w:bCs/>
          <w:color w:val="000000"/>
          <w:sz w:val="20"/>
          <w:lang w:val="en-US"/>
        </w:rPr>
        <w:t xml:space="preserve"> [2023] VSCA 300 at [53]-[57]</w:t>
      </w:r>
      <w:r w:rsidR="00A371CB">
        <w:rPr>
          <w:rFonts w:ascii="Arial" w:hAnsi="Arial" w:cs="Arial"/>
          <w:bCs/>
          <w:color w:val="000000"/>
          <w:sz w:val="20"/>
          <w:lang w:val="en-US"/>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 at [37]-[40]</w:t>
      </w:r>
      <w:r w:rsidR="0057128C">
        <w:rPr>
          <w:rFonts w:ascii="Arial" w:hAnsi="Arial" w:cs="Arial"/>
          <w:bCs/>
          <w:color w:val="000000"/>
          <w:sz w:val="20"/>
          <w:lang w:val="en-US"/>
        </w:rPr>
        <w:t xml:space="preserve">; </w:t>
      </w:r>
      <w:r w:rsidR="0057128C" w:rsidRPr="00A64B09">
        <w:rPr>
          <w:rFonts w:ascii="Arial" w:hAnsi="Arial" w:cs="Arial"/>
          <w:i/>
          <w:iCs/>
          <w:sz w:val="20"/>
          <w:lang w:val="en-US"/>
        </w:rPr>
        <w:t>Stefani v The Queen</w:t>
      </w:r>
      <w:r w:rsidR="0057128C">
        <w:rPr>
          <w:rFonts w:ascii="Arial" w:hAnsi="Arial" w:cs="Arial"/>
          <w:sz w:val="20"/>
          <w:lang w:val="en-US"/>
        </w:rPr>
        <w:t xml:space="preserve"> [2024] VSCA 29 at [42]</w:t>
      </w:r>
      <w:r w:rsidR="0057128C">
        <w:rPr>
          <w:rFonts w:ascii="Arial" w:hAnsi="Arial" w:cs="Arial"/>
          <w:sz w:val="20"/>
          <w:lang w:val="en-US"/>
        </w:rPr>
        <w:noBreakHyphen/>
        <w:t>[52]</w:t>
      </w:r>
      <w:r w:rsidR="008C25C6">
        <w:rPr>
          <w:rFonts w:ascii="Arial" w:hAnsi="Arial" w:cs="Arial"/>
          <w:sz w:val="20"/>
          <w:lang w:val="en-US"/>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 at [27]-[29]</w:t>
      </w:r>
      <w:r w:rsidR="008035F9">
        <w:rPr>
          <w:rFonts w:ascii="Arial" w:hAnsi="Arial" w:cs="Arial"/>
          <w:sz w:val="20"/>
          <w:lang w:val="en-US"/>
        </w:rPr>
        <w:t xml:space="preserve">; </w:t>
      </w:r>
      <w:r w:rsidR="008035F9" w:rsidRPr="008035F9">
        <w:rPr>
          <w:rFonts w:ascii="Arial" w:hAnsi="Arial" w:cs="Arial"/>
          <w:i/>
          <w:iCs/>
          <w:sz w:val="20"/>
          <w:lang w:val="en-US"/>
        </w:rPr>
        <w:t>Gar v The King</w:t>
      </w:r>
      <w:r w:rsidR="008035F9">
        <w:rPr>
          <w:rFonts w:ascii="Arial" w:hAnsi="Arial" w:cs="Arial"/>
          <w:sz w:val="20"/>
          <w:lang w:val="en-US"/>
        </w:rPr>
        <w:t xml:space="preserve"> [2024] VSCA 96 at [70]-[76]</w:t>
      </w:r>
      <w:r w:rsidR="00871139">
        <w:rPr>
          <w:rFonts w:ascii="Arial" w:hAnsi="Arial" w:cs="Arial"/>
          <w:sz w:val="20"/>
          <w:lang w:val="en-US"/>
        </w:rPr>
        <w:t xml:space="preserve">; </w:t>
      </w:r>
      <w:bookmarkStart w:id="562" w:name="_11.2.7_Double_Jeopardy"/>
      <w:bookmarkEnd w:id="562"/>
      <w:r w:rsidR="00871139" w:rsidRPr="00871139">
        <w:rPr>
          <w:rFonts w:ascii="Arial" w:hAnsi="Arial" w:cs="Arial"/>
          <w:i/>
          <w:iCs/>
          <w:sz w:val="20"/>
          <w:lang w:val="en-US"/>
        </w:rPr>
        <w:t>Abdullahi v The King</w:t>
      </w:r>
      <w:r w:rsidR="00871139">
        <w:rPr>
          <w:rFonts w:ascii="Arial" w:hAnsi="Arial" w:cs="Arial"/>
          <w:sz w:val="20"/>
          <w:lang w:val="en-US"/>
        </w:rPr>
        <w:t xml:space="preserve"> [2024] VSCA 156 at </w:t>
      </w:r>
      <w:r w:rsidR="00871139">
        <w:rPr>
          <w:rFonts w:ascii="Arial" w:hAnsi="Arial" w:cs="Arial"/>
          <w:color w:val="000000"/>
          <w:sz w:val="20"/>
        </w:rPr>
        <w:t>[53]-[64]</w:t>
      </w:r>
      <w:r w:rsidR="007F2CDA">
        <w:rPr>
          <w:rFonts w:ascii="Arial" w:hAnsi="Arial" w:cs="Arial"/>
          <w:color w:val="000000"/>
          <w:sz w:val="20"/>
        </w:rPr>
        <w:t xml:space="preserve">; </w:t>
      </w:r>
      <w:r w:rsidR="007F2CDA" w:rsidRPr="007F2CDA">
        <w:rPr>
          <w:rFonts w:ascii="Arial" w:hAnsi="Arial" w:cs="Arial"/>
          <w:i/>
          <w:iCs/>
          <w:sz w:val="20"/>
          <w:szCs w:val="16"/>
        </w:rPr>
        <w:t>Chapman v The King</w:t>
      </w:r>
      <w:r w:rsidR="007F2CDA" w:rsidRPr="007F2CDA">
        <w:rPr>
          <w:rFonts w:ascii="Arial" w:hAnsi="Arial" w:cs="Arial"/>
          <w:sz w:val="20"/>
          <w:szCs w:val="16"/>
        </w:rPr>
        <w:t xml:space="preserve"> [2024] VSCA 205 at [39]-[40]</w:t>
      </w:r>
      <w:r w:rsidR="00FB02B0">
        <w:rPr>
          <w:rFonts w:ascii="Arial" w:hAnsi="Arial" w:cs="Arial"/>
          <w:sz w:val="20"/>
          <w:szCs w:val="16"/>
        </w:rPr>
        <w:t xml:space="preserve">; </w:t>
      </w:r>
      <w:r w:rsidR="00FB02B0" w:rsidRPr="00FB02B0">
        <w:rPr>
          <w:rFonts w:ascii="Arial" w:hAnsi="Arial" w:cs="Arial"/>
          <w:i/>
          <w:iCs/>
          <w:sz w:val="20"/>
          <w:szCs w:val="16"/>
        </w:rPr>
        <w:t>DPP v Farah</w:t>
      </w:r>
      <w:r w:rsidR="00FB02B0">
        <w:rPr>
          <w:rFonts w:ascii="Arial" w:hAnsi="Arial" w:cs="Arial"/>
          <w:sz w:val="20"/>
          <w:szCs w:val="16"/>
        </w:rPr>
        <w:t xml:space="preserve"> [2024] VSC 551 at [33]-[37]</w:t>
      </w:r>
      <w:r w:rsidR="00B46EA1">
        <w:rPr>
          <w:rFonts w:ascii="Arial" w:hAnsi="Arial" w:cs="Arial"/>
          <w:sz w:val="20"/>
          <w:szCs w:val="16"/>
        </w:rPr>
        <w:t xml:space="preserve">; </w:t>
      </w:r>
      <w:r w:rsidR="00B46EA1" w:rsidRPr="00B46EA1">
        <w:rPr>
          <w:rFonts w:ascii="Arial" w:hAnsi="Arial" w:cs="Arial"/>
          <w:i/>
          <w:iCs/>
          <w:sz w:val="20"/>
          <w:szCs w:val="16"/>
        </w:rPr>
        <w:t>Needham v The King</w:t>
      </w:r>
      <w:r w:rsidR="00B46EA1">
        <w:rPr>
          <w:rFonts w:ascii="Arial" w:hAnsi="Arial" w:cs="Arial"/>
          <w:sz w:val="20"/>
          <w:szCs w:val="16"/>
        </w:rPr>
        <w:t xml:space="preserve"> [2024] VSCA 270 at [39]-[50]</w:t>
      </w:r>
      <w:r w:rsidR="00B46C81">
        <w:rPr>
          <w:rFonts w:ascii="Arial" w:hAnsi="Arial" w:cs="Arial"/>
          <w:sz w:val="20"/>
          <w:szCs w:val="16"/>
        </w:rPr>
        <w:t xml:space="preserve">; </w:t>
      </w:r>
      <w:r w:rsidR="00B46C81" w:rsidRPr="00B46C81">
        <w:rPr>
          <w:rFonts w:ascii="Arial" w:hAnsi="Arial" w:cs="Arial"/>
          <w:i/>
          <w:iCs/>
          <w:sz w:val="20"/>
          <w:szCs w:val="16"/>
        </w:rPr>
        <w:t>Almatrah v The King</w:t>
      </w:r>
      <w:r w:rsidR="00B46C81">
        <w:rPr>
          <w:rFonts w:ascii="Arial" w:hAnsi="Arial" w:cs="Arial"/>
          <w:sz w:val="20"/>
          <w:szCs w:val="16"/>
        </w:rPr>
        <w:t xml:space="preserve"> [2024] VSCA 301 at [16]-[28]</w:t>
      </w:r>
      <w:r w:rsidR="00944566">
        <w:rPr>
          <w:rFonts w:ascii="Arial" w:hAnsi="Arial" w:cs="Arial"/>
          <w:sz w:val="20"/>
          <w:szCs w:val="16"/>
        </w:rPr>
        <w:t xml:space="preserve">; </w:t>
      </w:r>
      <w:r w:rsidR="00944566" w:rsidRPr="00944566">
        <w:rPr>
          <w:rFonts w:ascii="Arial" w:hAnsi="Arial" w:cs="Arial"/>
          <w:i/>
          <w:iCs/>
          <w:sz w:val="20"/>
          <w:szCs w:val="16"/>
        </w:rPr>
        <w:t>Hu v The King</w:t>
      </w:r>
      <w:r w:rsidR="00944566">
        <w:rPr>
          <w:rFonts w:ascii="Arial" w:hAnsi="Arial" w:cs="Arial"/>
          <w:sz w:val="20"/>
          <w:szCs w:val="16"/>
        </w:rPr>
        <w:t xml:space="preserve"> [2025] VSCA 60 at [53]-[90]; </w:t>
      </w:r>
      <w:r w:rsidR="00944566" w:rsidRPr="00944566">
        <w:rPr>
          <w:rFonts w:ascii="Arial" w:hAnsi="Arial" w:cs="Arial"/>
          <w:i/>
          <w:iCs/>
          <w:sz w:val="20"/>
          <w:szCs w:val="16"/>
        </w:rPr>
        <w:t>Udemba v The King</w:t>
      </w:r>
      <w:r w:rsidR="00944566">
        <w:rPr>
          <w:rFonts w:ascii="Arial" w:hAnsi="Arial" w:cs="Arial"/>
          <w:sz w:val="20"/>
          <w:szCs w:val="16"/>
        </w:rPr>
        <w:t xml:space="preserve"> [2025] VSCA 61 at [74]-[89]</w:t>
      </w:r>
      <w:r w:rsidR="00B46EA1">
        <w:rPr>
          <w:rFonts w:ascii="Arial" w:hAnsi="Arial" w:cs="Arial"/>
          <w:sz w:val="20"/>
          <w:szCs w:val="16"/>
        </w:rPr>
        <w:t>.</w:t>
      </w:r>
    </w:p>
    <w:p w14:paraId="38BBC1D9" w14:textId="77777777" w:rsidR="002A6DBC" w:rsidRPr="001C6E0E" w:rsidRDefault="002A6DBC" w:rsidP="002A6DBC">
      <w:pPr>
        <w:jc w:val="both"/>
        <w:rPr>
          <w:rFonts w:ascii="Arial" w:hAnsi="Arial" w:cs="Arial"/>
          <w:color w:val="000000"/>
          <w:sz w:val="20"/>
        </w:rPr>
      </w:pPr>
    </w:p>
    <w:p w14:paraId="16086EF0" w14:textId="6DD1F5E7" w:rsidR="002A6DBC" w:rsidRPr="001C6E0E" w:rsidRDefault="002A6DBC" w:rsidP="002A6DBC">
      <w:pPr>
        <w:pStyle w:val="Heading3"/>
        <w:keepNext/>
        <w:spacing w:after="120" w:line="240" w:lineRule="auto"/>
        <w:rPr>
          <w:rFonts w:ascii="Arial" w:hAnsi="Arial" w:cs="Arial"/>
          <w:b/>
          <w:bCs/>
          <w:color w:val="000000"/>
          <w:sz w:val="20"/>
        </w:rPr>
      </w:pPr>
      <w:bookmarkStart w:id="563" w:name="_11.2.6A_Current_sentencing"/>
      <w:bookmarkStart w:id="564" w:name="_Hlk184726651"/>
      <w:bookmarkEnd w:id="563"/>
      <w:r w:rsidRPr="001C6E0E">
        <w:rPr>
          <w:rFonts w:ascii="Arial" w:hAnsi="Arial" w:cs="Arial"/>
          <w:b/>
          <w:bCs/>
          <w:color w:val="000000"/>
          <w:sz w:val="20"/>
        </w:rPr>
        <w:t>11.2.</w:t>
      </w:r>
      <w:r>
        <w:rPr>
          <w:rFonts w:ascii="Arial" w:hAnsi="Arial" w:cs="Arial"/>
          <w:b/>
          <w:bCs/>
          <w:color w:val="000000"/>
          <w:sz w:val="20"/>
        </w:rPr>
        <w:t>6A</w:t>
      </w:r>
      <w:r w:rsidRPr="001C6E0E">
        <w:rPr>
          <w:rFonts w:ascii="Arial" w:hAnsi="Arial" w:cs="Arial"/>
          <w:b/>
          <w:bCs/>
          <w:color w:val="000000"/>
          <w:sz w:val="20"/>
        </w:rPr>
        <w:tab/>
      </w:r>
      <w:r>
        <w:rPr>
          <w:rFonts w:ascii="Arial" w:hAnsi="Arial" w:cs="Arial"/>
          <w:b/>
          <w:bCs/>
          <w:color w:val="000000"/>
          <w:sz w:val="20"/>
        </w:rPr>
        <w:t>Current s</w:t>
      </w:r>
      <w:r w:rsidRPr="001C6E0E">
        <w:rPr>
          <w:rFonts w:ascii="Arial" w:hAnsi="Arial" w:cs="Arial"/>
          <w:b/>
          <w:bCs/>
          <w:color w:val="000000"/>
          <w:sz w:val="20"/>
        </w:rPr>
        <w:t>entencing</w:t>
      </w:r>
      <w:r>
        <w:rPr>
          <w:rFonts w:ascii="Arial" w:hAnsi="Arial" w:cs="Arial"/>
          <w:b/>
          <w:bCs/>
          <w:color w:val="000000"/>
          <w:sz w:val="20"/>
        </w:rPr>
        <w:t xml:space="preserve"> practice</w:t>
      </w:r>
      <w:r w:rsidR="00E83BE1">
        <w:rPr>
          <w:rFonts w:ascii="Arial" w:hAnsi="Arial" w:cs="Arial"/>
          <w:b/>
          <w:bCs/>
          <w:color w:val="000000"/>
          <w:sz w:val="20"/>
        </w:rPr>
        <w:t>s</w:t>
      </w:r>
    </w:p>
    <w:p w14:paraId="76CF6207" w14:textId="29DE6777" w:rsidR="002A6DBC" w:rsidRDefault="003A5193" w:rsidP="00871139">
      <w:pPr>
        <w:pStyle w:val="Normal-Cover"/>
        <w:jc w:val="both"/>
        <w:rPr>
          <w:rFonts w:ascii="Arial" w:hAnsi="Arial" w:cs="Arial"/>
          <w:color w:val="000000"/>
          <w:sz w:val="20"/>
        </w:rPr>
      </w:pPr>
      <w:r>
        <w:rPr>
          <w:rFonts w:ascii="Arial" w:hAnsi="Arial" w:cs="Arial"/>
          <w:color w:val="000000"/>
          <w:sz w:val="20"/>
        </w:rPr>
        <w:t>T</w:t>
      </w:r>
      <w:r w:rsidR="002A6DBC">
        <w:rPr>
          <w:rFonts w:ascii="Arial" w:hAnsi="Arial" w:cs="Arial"/>
          <w:color w:val="000000"/>
          <w:sz w:val="20"/>
        </w:rPr>
        <w:t xml:space="preserve">he basis of “parity of sentencing” is </w:t>
      </w:r>
      <w:r w:rsidR="00E83BE1">
        <w:rPr>
          <w:rFonts w:ascii="Arial" w:hAnsi="Arial" w:cs="Arial"/>
          <w:color w:val="000000"/>
          <w:sz w:val="20"/>
        </w:rPr>
        <w:t>to avoid a justifiable sense that justice has not been done</w:t>
      </w:r>
      <w:r>
        <w:rPr>
          <w:rFonts w:ascii="Arial" w:hAnsi="Arial" w:cs="Arial"/>
          <w:color w:val="000000"/>
          <w:sz w:val="20"/>
        </w:rPr>
        <w:t xml:space="preserve">. A similar basis underpins the requirement </w:t>
      </w:r>
      <w:r w:rsidR="00E83BE1">
        <w:rPr>
          <w:rFonts w:ascii="Arial" w:hAnsi="Arial" w:cs="Arial"/>
          <w:color w:val="000000"/>
          <w:sz w:val="20"/>
        </w:rPr>
        <w:t xml:space="preserve">that a judicial officer in sentencing an offender must take into account </w:t>
      </w:r>
      <w:r w:rsidR="006A1FC5">
        <w:rPr>
          <w:rFonts w:ascii="Arial" w:hAnsi="Arial" w:cs="Arial"/>
          <w:color w:val="000000"/>
          <w:sz w:val="20"/>
        </w:rPr>
        <w:t>‘</w:t>
      </w:r>
      <w:r w:rsidR="00E83BE1">
        <w:rPr>
          <w:rFonts w:ascii="Arial" w:hAnsi="Arial" w:cs="Arial"/>
          <w:color w:val="000000"/>
          <w:sz w:val="20"/>
        </w:rPr>
        <w:t>current sentencing practices</w:t>
      </w:r>
      <w:r w:rsidR="006A1FC5">
        <w:rPr>
          <w:rFonts w:ascii="Arial" w:hAnsi="Arial" w:cs="Arial"/>
          <w:color w:val="000000"/>
          <w:sz w:val="20"/>
        </w:rPr>
        <w:t>'</w:t>
      </w:r>
      <w:r w:rsidR="00E83BE1">
        <w:rPr>
          <w:rFonts w:ascii="Arial" w:hAnsi="Arial" w:cs="Arial"/>
          <w:color w:val="000000"/>
          <w:sz w:val="20"/>
        </w:rPr>
        <w:t xml:space="preserve">. </w:t>
      </w:r>
      <w:r w:rsidR="006A1FC5">
        <w:rPr>
          <w:rFonts w:ascii="Arial" w:hAnsi="Arial" w:cs="Arial"/>
          <w:color w:val="000000"/>
          <w:sz w:val="20"/>
        </w:rPr>
        <w:t xml:space="preserve">Section 5(2)(b) of the </w:t>
      </w:r>
      <w:r w:rsidR="006A1FC5" w:rsidRPr="006A1FC5">
        <w:rPr>
          <w:rFonts w:ascii="Arial" w:hAnsi="Arial" w:cs="Arial"/>
          <w:i/>
          <w:iCs/>
          <w:color w:val="000000"/>
          <w:sz w:val="20"/>
        </w:rPr>
        <w:t>Sentencing Act 1991</w:t>
      </w:r>
      <w:r w:rsidR="006A1FC5">
        <w:rPr>
          <w:rFonts w:ascii="Arial" w:hAnsi="Arial" w:cs="Arial"/>
          <w:color w:val="000000"/>
          <w:sz w:val="20"/>
        </w:rPr>
        <w:t xml:space="preserve"> expressly requires a court sentencing under that Act to have regard to ‘</w:t>
      </w:r>
      <w:r w:rsidR="006A1FC5" w:rsidRPr="006A1FC5">
        <w:rPr>
          <w:rFonts w:ascii="Arial" w:hAnsi="Arial" w:cs="Arial"/>
          <w:b/>
          <w:bCs/>
          <w:color w:val="000000"/>
          <w:sz w:val="20"/>
        </w:rPr>
        <w:t>current sentencing practices</w:t>
      </w:r>
      <w:r w:rsidR="006A1FC5">
        <w:rPr>
          <w:rFonts w:ascii="Arial" w:hAnsi="Arial" w:cs="Arial"/>
          <w:color w:val="000000"/>
          <w:sz w:val="20"/>
        </w:rPr>
        <w:t xml:space="preserve">’. </w:t>
      </w:r>
      <w:bookmarkStart w:id="565" w:name="_Hlk184732039"/>
      <w:r w:rsidR="006A1FC5">
        <w:rPr>
          <w:rFonts w:ascii="Arial" w:hAnsi="Arial" w:cs="Arial"/>
          <w:color w:val="000000"/>
          <w:sz w:val="20"/>
        </w:rPr>
        <w:t>Although there is no express provision in the CYFA</w:t>
      </w:r>
      <w:r w:rsidR="00D73EB4">
        <w:rPr>
          <w:rFonts w:ascii="Arial" w:hAnsi="Arial" w:cs="Arial"/>
          <w:color w:val="000000"/>
          <w:sz w:val="20"/>
        </w:rPr>
        <w:t xml:space="preserve"> to that effect</w:t>
      </w:r>
      <w:r w:rsidR="006A1FC5">
        <w:rPr>
          <w:rFonts w:ascii="Arial" w:hAnsi="Arial" w:cs="Arial"/>
          <w:color w:val="000000"/>
          <w:sz w:val="20"/>
        </w:rPr>
        <w:t xml:space="preserve">, it is </w:t>
      </w:r>
      <w:r>
        <w:rPr>
          <w:rFonts w:ascii="Arial" w:hAnsi="Arial" w:cs="Arial"/>
          <w:color w:val="000000"/>
          <w:sz w:val="20"/>
        </w:rPr>
        <w:t xml:space="preserve">also </w:t>
      </w:r>
      <w:r w:rsidR="006A1FC5">
        <w:rPr>
          <w:rFonts w:ascii="Arial" w:hAnsi="Arial" w:cs="Arial"/>
          <w:color w:val="000000"/>
          <w:sz w:val="20"/>
        </w:rPr>
        <w:t xml:space="preserve">a relevant consideration </w:t>
      </w:r>
      <w:r w:rsidR="00DA1636">
        <w:rPr>
          <w:rFonts w:ascii="Arial" w:hAnsi="Arial" w:cs="Arial"/>
          <w:color w:val="000000"/>
          <w:sz w:val="20"/>
        </w:rPr>
        <w:t xml:space="preserve">– as a corollary of the common law principle of “parity of sentencing” – </w:t>
      </w:r>
      <w:r w:rsidR="006A1FC5">
        <w:rPr>
          <w:rFonts w:ascii="Arial" w:hAnsi="Arial" w:cs="Arial"/>
          <w:color w:val="000000"/>
          <w:sz w:val="20"/>
        </w:rPr>
        <w:t>for</w:t>
      </w:r>
      <w:r w:rsidR="00DA1636">
        <w:rPr>
          <w:rFonts w:ascii="Arial" w:hAnsi="Arial" w:cs="Arial"/>
          <w:color w:val="000000"/>
          <w:sz w:val="20"/>
        </w:rPr>
        <w:t xml:space="preserve"> </w:t>
      </w:r>
      <w:r w:rsidR="006A1FC5">
        <w:rPr>
          <w:rFonts w:ascii="Arial" w:hAnsi="Arial" w:cs="Arial"/>
          <w:color w:val="000000"/>
          <w:sz w:val="20"/>
        </w:rPr>
        <w:t>a court sentencing under the CYFA</w:t>
      </w:r>
      <w:r>
        <w:rPr>
          <w:rFonts w:ascii="Arial" w:hAnsi="Arial" w:cs="Arial"/>
          <w:color w:val="000000"/>
          <w:sz w:val="20"/>
        </w:rPr>
        <w:t>.</w:t>
      </w:r>
      <w:bookmarkEnd w:id="565"/>
    </w:p>
    <w:p w14:paraId="320EC920" w14:textId="77777777" w:rsidR="00302666" w:rsidRDefault="00302666" w:rsidP="00302666">
      <w:pPr>
        <w:pStyle w:val="Normal-Cover"/>
        <w:jc w:val="both"/>
        <w:rPr>
          <w:rFonts w:ascii="Arial" w:hAnsi="Arial" w:cs="Arial"/>
          <w:color w:val="000000"/>
          <w:sz w:val="20"/>
        </w:rPr>
      </w:pPr>
    </w:p>
    <w:p w14:paraId="7C468F43" w14:textId="29B68C22" w:rsidR="00302666" w:rsidRDefault="00302666" w:rsidP="00302666">
      <w:pPr>
        <w:pStyle w:val="Normal-Cover"/>
        <w:widowControl/>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Hasan</w:t>
      </w:r>
      <w:r>
        <w:rPr>
          <w:rFonts w:ascii="Arial" w:hAnsi="Arial" w:cs="Arial"/>
          <w:i/>
          <w:color w:val="000000"/>
          <w:sz w:val="20"/>
        </w:rPr>
        <w:t xml:space="preserve"> v The Queen</w:t>
      </w:r>
      <w:r w:rsidRPr="001C6E0E">
        <w:rPr>
          <w:rFonts w:ascii="Arial" w:hAnsi="Arial" w:cs="Arial"/>
          <w:color w:val="000000"/>
          <w:sz w:val="20"/>
        </w:rPr>
        <w:t xml:space="preserve"> </w:t>
      </w:r>
      <w:r w:rsidRPr="00496961">
        <w:rPr>
          <w:rFonts w:ascii="Arial" w:hAnsi="Arial" w:cs="Arial"/>
          <w:sz w:val="20"/>
        </w:rPr>
        <w:t>(2010) 31 VR 28</w:t>
      </w:r>
      <w:r>
        <w:rPr>
          <w:rFonts w:ascii="Arial" w:hAnsi="Arial" w:cs="Arial"/>
          <w:sz w:val="20"/>
        </w:rPr>
        <w:t>;</w:t>
      </w:r>
      <w:r w:rsidRPr="001C6E0E">
        <w:rPr>
          <w:rFonts w:ascii="Arial" w:hAnsi="Arial" w:cs="Arial"/>
          <w:color w:val="000000"/>
          <w:sz w:val="20"/>
        </w:rPr>
        <w:t xml:space="preserve"> [2010] VSCA 352</w:t>
      </w:r>
      <w:r w:rsidRPr="001C6E0E">
        <w:rPr>
          <w:rFonts w:ascii="Arial" w:hAnsi="Arial" w:cs="Arial"/>
          <w:bCs/>
          <w:color w:val="000000"/>
          <w:sz w:val="20"/>
        </w:rPr>
        <w:t xml:space="preserve"> the Court of Appeal </w:t>
      </w:r>
      <w:r>
        <w:rPr>
          <w:rFonts w:ascii="Arial" w:hAnsi="Arial" w:cs="Arial"/>
          <w:bCs/>
          <w:color w:val="000000"/>
          <w:sz w:val="20"/>
        </w:rPr>
        <w:t xml:space="preserve">(Maxwell P, </w:t>
      </w:r>
      <w:r w:rsidRPr="001C6E0E">
        <w:rPr>
          <w:rFonts w:ascii="Arial" w:hAnsi="Arial" w:cs="Arial"/>
          <w:bCs/>
          <w:color w:val="000000"/>
          <w:sz w:val="20"/>
          <w:lang w:val="en-US"/>
        </w:rPr>
        <w:t>Redlich &amp; Harper JJA</w:t>
      </w:r>
      <w:r>
        <w:rPr>
          <w:rFonts w:ascii="Arial" w:hAnsi="Arial" w:cs="Arial"/>
          <w:bCs/>
          <w:color w:val="000000"/>
          <w:sz w:val="20"/>
        </w:rPr>
        <w:t>) s</w:t>
      </w:r>
      <w:r w:rsidRPr="001C6E0E">
        <w:rPr>
          <w:rFonts w:ascii="Arial" w:hAnsi="Arial" w:cs="Arial"/>
          <w:bCs/>
          <w:color w:val="000000"/>
          <w:sz w:val="20"/>
        </w:rPr>
        <w:t xml:space="preserve">tated </w:t>
      </w:r>
      <w:r>
        <w:rPr>
          <w:rFonts w:ascii="Arial" w:hAnsi="Arial" w:cs="Arial"/>
          <w:bCs/>
          <w:color w:val="000000"/>
          <w:sz w:val="20"/>
        </w:rPr>
        <w:t xml:space="preserve">at [48] </w:t>
      </w:r>
      <w:r w:rsidRPr="001C6E0E">
        <w:rPr>
          <w:rFonts w:ascii="Arial" w:hAnsi="Arial" w:cs="Arial"/>
          <w:bCs/>
          <w:color w:val="000000"/>
          <w:sz w:val="20"/>
        </w:rPr>
        <w:t xml:space="preserve">–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w:t>
      </w:r>
      <w:r w:rsidRPr="00807D42">
        <w:rPr>
          <w:rFonts w:ascii="Arial" w:hAnsi="Arial" w:cs="Arial"/>
          <w:b/>
          <w:color w:val="000000"/>
          <w:sz w:val="20"/>
        </w:rPr>
        <w:t>it is contrary to the rule of law for there to be unjustified inconsistency of sentencing between offenders in comparable circumstances</w:t>
      </w:r>
      <w:r w:rsidRPr="001C6E0E">
        <w:rPr>
          <w:rFonts w:ascii="Arial" w:hAnsi="Arial" w:cs="Arial"/>
          <w:bCs/>
          <w:color w:val="000000"/>
          <w:sz w:val="20"/>
        </w:rPr>
        <w:t xml:space="preserve">”.  </w:t>
      </w:r>
      <w:r w:rsidR="00033045">
        <w:rPr>
          <w:rFonts w:ascii="Arial" w:hAnsi="Arial" w:cs="Arial"/>
          <w:bCs/>
          <w:color w:val="000000"/>
          <w:sz w:val="20"/>
        </w:rPr>
        <w:t xml:space="preserve">The Court </w:t>
      </w:r>
      <w:r w:rsidRPr="001C6E0E">
        <w:rPr>
          <w:rFonts w:ascii="Arial" w:hAnsi="Arial" w:cs="Arial"/>
          <w:bCs/>
          <w:color w:val="000000"/>
          <w:sz w:val="20"/>
        </w:rPr>
        <w:t xml:space="preserve">went on to detail at [56]-[58] 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Pr="001C6E0E">
        <w:rPr>
          <w:rFonts w:ascii="Arial" w:hAnsi="Arial" w:cs="Arial"/>
          <w:bCs/>
          <w:i/>
          <w:color w:val="000000"/>
          <w:sz w:val="20"/>
        </w:rPr>
        <w:t>R v Schubert</w:t>
      </w:r>
      <w:r w:rsidRPr="001C6E0E">
        <w:rPr>
          <w:rFonts w:ascii="Arial" w:hAnsi="Arial" w:cs="Arial"/>
          <w:bCs/>
          <w:color w:val="000000"/>
          <w:sz w:val="20"/>
        </w:rPr>
        <w:t xml:space="preserve"> [1999] VSCA 25; </w:t>
      </w:r>
      <w:r w:rsidRPr="001C6E0E">
        <w:rPr>
          <w:rFonts w:ascii="Arial" w:hAnsi="Arial" w:cs="Arial"/>
          <w:bCs/>
          <w:i/>
          <w:color w:val="000000"/>
          <w:sz w:val="20"/>
        </w:rPr>
        <w:t>R v Brown</w:t>
      </w:r>
      <w:r w:rsidRPr="001C6E0E">
        <w:rPr>
          <w:rFonts w:ascii="Arial" w:hAnsi="Arial" w:cs="Arial"/>
          <w:bCs/>
          <w:color w:val="000000"/>
          <w:sz w:val="20"/>
        </w:rPr>
        <w:t xml:space="preserve"> (2002) 5</w:t>
      </w:r>
      <w:r>
        <w:rPr>
          <w:rFonts w:ascii="Arial" w:hAnsi="Arial" w:cs="Arial"/>
          <w:bCs/>
          <w:color w:val="000000"/>
          <w:sz w:val="20"/>
        </w:rPr>
        <w:t> </w:t>
      </w:r>
      <w:r w:rsidRPr="001C6E0E">
        <w:rPr>
          <w:rFonts w:ascii="Arial" w:hAnsi="Arial" w:cs="Arial"/>
          <w:bCs/>
          <w:color w:val="000000"/>
          <w:sz w:val="20"/>
        </w:rPr>
        <w:t xml:space="preserve">VR 463; </w:t>
      </w:r>
      <w:r w:rsidRPr="001C6E0E">
        <w:rPr>
          <w:rFonts w:ascii="Arial" w:hAnsi="Arial" w:cs="Arial"/>
          <w:bCs/>
          <w:i/>
          <w:color w:val="000000"/>
          <w:sz w:val="20"/>
        </w:rPr>
        <w:t>R v Mason</w:t>
      </w:r>
      <w:r w:rsidRPr="001C6E0E">
        <w:rPr>
          <w:rFonts w:ascii="Arial" w:hAnsi="Arial" w:cs="Arial"/>
          <w:bCs/>
          <w:color w:val="000000"/>
          <w:sz w:val="20"/>
        </w:rPr>
        <w:t xml:space="preserve"> [2001] VSCA 62; </w:t>
      </w:r>
      <w:r w:rsidRPr="001C6E0E">
        <w:rPr>
          <w:rFonts w:ascii="Arial" w:hAnsi="Arial" w:cs="Arial"/>
          <w:bCs/>
          <w:i/>
          <w:color w:val="000000"/>
          <w:sz w:val="20"/>
        </w:rPr>
        <w:t>DPP v Fellows</w:t>
      </w:r>
      <w:r w:rsidRPr="001C6E0E">
        <w:rPr>
          <w:rFonts w:ascii="Arial" w:hAnsi="Arial" w:cs="Arial"/>
          <w:bCs/>
          <w:color w:val="000000"/>
          <w:sz w:val="20"/>
        </w:rPr>
        <w:t xml:space="preserve"> [2002] VSCA 58; </w:t>
      </w:r>
      <w:r w:rsidRPr="001C6E0E">
        <w:rPr>
          <w:rFonts w:ascii="Arial" w:hAnsi="Arial" w:cs="Arial"/>
          <w:bCs/>
          <w:i/>
          <w:color w:val="000000"/>
          <w:sz w:val="20"/>
        </w:rPr>
        <w:t>Nous v The Queen</w:t>
      </w:r>
      <w:r w:rsidRPr="001C6E0E">
        <w:rPr>
          <w:rFonts w:ascii="Arial" w:hAnsi="Arial" w:cs="Arial"/>
          <w:bCs/>
          <w:color w:val="000000"/>
          <w:sz w:val="20"/>
        </w:rPr>
        <w:t xml:space="preserve"> [2010] VSCA 42; </w:t>
      </w:r>
      <w:r w:rsidRPr="001C6E0E">
        <w:rPr>
          <w:rFonts w:ascii="Arial" w:hAnsi="Arial" w:cs="Arial"/>
          <w:bCs/>
          <w:i/>
          <w:color w:val="000000"/>
          <w:sz w:val="20"/>
        </w:rPr>
        <w:t>DPP v Sibanda</w:t>
      </w:r>
      <w:r w:rsidRPr="001C6E0E">
        <w:rPr>
          <w:rFonts w:ascii="Arial" w:hAnsi="Arial" w:cs="Arial"/>
          <w:bCs/>
          <w:color w:val="000000"/>
          <w:sz w:val="20"/>
        </w:rPr>
        <w:t xml:space="preserve"> [2010] VCC 605; </w:t>
      </w:r>
      <w:r w:rsidRPr="001C6E0E">
        <w:rPr>
          <w:rFonts w:ascii="Arial" w:hAnsi="Arial" w:cs="Arial"/>
          <w:bCs/>
          <w:i/>
          <w:color w:val="000000"/>
          <w:sz w:val="20"/>
        </w:rPr>
        <w:t>Coulson v The Queen</w:t>
      </w:r>
      <w:r w:rsidRPr="001C6E0E">
        <w:rPr>
          <w:rFonts w:ascii="Arial" w:hAnsi="Arial" w:cs="Arial"/>
          <w:bCs/>
          <w:color w:val="000000"/>
          <w:sz w:val="20"/>
        </w:rPr>
        <w:t xml:space="preserve"> [2010] VSCA 146; </w:t>
      </w:r>
      <w:r w:rsidRPr="001C6E0E">
        <w:rPr>
          <w:rFonts w:ascii="Arial" w:hAnsi="Arial" w:cs="Arial"/>
          <w:bCs/>
          <w:i/>
          <w:color w:val="000000"/>
          <w:sz w:val="20"/>
        </w:rPr>
        <w:t>Simon v The Queen</w:t>
      </w:r>
      <w:r w:rsidRPr="001C6E0E">
        <w:rPr>
          <w:rFonts w:ascii="Arial" w:hAnsi="Arial" w:cs="Arial"/>
          <w:bCs/>
          <w:color w:val="000000"/>
          <w:sz w:val="20"/>
        </w:rPr>
        <w:t xml:space="preserve"> [2010] VSCA 66; </w:t>
      </w:r>
      <w:r w:rsidRPr="001C6E0E">
        <w:rPr>
          <w:rFonts w:ascii="Arial" w:hAnsi="Arial" w:cs="Arial"/>
          <w:bCs/>
          <w:i/>
          <w:color w:val="000000"/>
          <w:sz w:val="20"/>
        </w:rPr>
        <w:t>R v Yankovski</w:t>
      </w:r>
      <w:r w:rsidRPr="001C6E0E">
        <w:rPr>
          <w:rFonts w:ascii="Arial" w:hAnsi="Arial" w:cs="Arial"/>
          <w:bCs/>
          <w:color w:val="000000"/>
          <w:sz w:val="20"/>
        </w:rPr>
        <w:t xml:space="preserve"> [2007] VSCA 259.  At [60] the Court of Appeal said that but for the constrains of current sentencing practice and the requirement for consistency, it would have dismissed the appeal.  It went on to stress “the need for a review of current sentencing practices for rape”.</w:t>
      </w:r>
    </w:p>
    <w:p w14:paraId="391B1913" w14:textId="77777777" w:rsidR="00302666" w:rsidRDefault="00302666" w:rsidP="00302666">
      <w:pPr>
        <w:pStyle w:val="Normal-Cover"/>
        <w:widowControl/>
        <w:jc w:val="both"/>
        <w:rPr>
          <w:rFonts w:ascii="Arial" w:hAnsi="Arial" w:cs="Arial"/>
          <w:color w:val="000000"/>
          <w:sz w:val="20"/>
        </w:rPr>
      </w:pPr>
    </w:p>
    <w:p w14:paraId="5EA17141" w14:textId="39F2F7D9" w:rsidR="00FA473B" w:rsidRDefault="006C058D" w:rsidP="00302666">
      <w:pPr>
        <w:pStyle w:val="Normal-Cover"/>
        <w:widowControl/>
        <w:spacing w:after="120"/>
        <w:jc w:val="both"/>
        <w:rPr>
          <w:rFonts w:ascii="Arial" w:hAnsi="Arial" w:cs="Arial"/>
          <w:color w:val="000000"/>
          <w:sz w:val="20"/>
        </w:rPr>
      </w:pPr>
      <w:r>
        <w:rPr>
          <w:rFonts w:ascii="Arial" w:hAnsi="Arial" w:cs="Arial"/>
          <w:color w:val="000000"/>
          <w:sz w:val="20"/>
        </w:rPr>
        <w:t xml:space="preserve">In </w:t>
      </w:r>
      <w:r w:rsidRPr="006C058D">
        <w:rPr>
          <w:rFonts w:ascii="Arial" w:hAnsi="Arial" w:cs="Arial"/>
          <w:i/>
          <w:iCs/>
          <w:color w:val="000000"/>
          <w:sz w:val="20"/>
        </w:rPr>
        <w:t>Bernard (a pseudonym) v The King</w:t>
      </w:r>
      <w:r>
        <w:rPr>
          <w:rFonts w:ascii="Arial" w:hAnsi="Arial" w:cs="Arial"/>
          <w:color w:val="000000"/>
          <w:sz w:val="20"/>
        </w:rPr>
        <w:t xml:space="preserve"> [2024] VSCA 293 the 78-year old appellant had been sentenced after a trial in 2022 to TES IMP4y6m/2y9m on 4 charges of unlawful and indecent assault of his adopted daughter between 1973 &amp; 1975. The Court of Appeal allowed his appeal and resentenced him </w:t>
      </w:r>
      <w:r w:rsidR="00722EEB">
        <w:rPr>
          <w:rFonts w:ascii="Arial" w:hAnsi="Arial" w:cs="Arial"/>
          <w:color w:val="000000"/>
          <w:sz w:val="20"/>
        </w:rPr>
        <w:t xml:space="preserve">to TES IMP3y/21m </w:t>
      </w:r>
      <w:r w:rsidR="00FA473B">
        <w:rPr>
          <w:rFonts w:ascii="Arial" w:hAnsi="Arial" w:cs="Arial"/>
          <w:color w:val="000000"/>
          <w:sz w:val="20"/>
        </w:rPr>
        <w:t xml:space="preserve">as </w:t>
      </w:r>
      <w:r w:rsidR="00722EEB">
        <w:rPr>
          <w:rFonts w:ascii="Arial" w:hAnsi="Arial" w:cs="Arial"/>
          <w:color w:val="000000"/>
          <w:sz w:val="20"/>
        </w:rPr>
        <w:t>shown below</w:t>
      </w:r>
      <w:r w:rsidR="00FA473B">
        <w:rPr>
          <w:rFonts w:ascii="Arial" w:hAnsi="Arial" w:cs="Arial"/>
          <w:color w:val="000000"/>
          <w:sz w:val="20"/>
        </w:rPr>
        <w:t>:</w:t>
      </w:r>
    </w:p>
    <w:tbl>
      <w:tblPr>
        <w:tblStyle w:val="TableGrid"/>
        <w:tblW w:w="0" w:type="auto"/>
        <w:tblInd w:w="113" w:type="dxa"/>
        <w:tblLook w:val="04A0" w:firstRow="1" w:lastRow="0" w:firstColumn="1" w:lastColumn="0" w:noHBand="0" w:noVBand="1"/>
      </w:tblPr>
      <w:tblGrid>
        <w:gridCol w:w="2551"/>
        <w:gridCol w:w="3963"/>
        <w:gridCol w:w="2551"/>
      </w:tblGrid>
      <w:tr w:rsidR="00253FB5" w:rsidRPr="004A0530" w14:paraId="7A7B5CA1" w14:textId="77777777" w:rsidTr="00253FB5">
        <w:tc>
          <w:tcPr>
            <w:tcW w:w="2551" w:type="dxa"/>
            <w:shd w:val="clear" w:color="auto" w:fill="000000" w:themeFill="text1"/>
          </w:tcPr>
          <w:p w14:paraId="244B2619" w14:textId="75D03FEB"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w:t>
            </w:r>
            <w:r>
              <w:rPr>
                <w:rFonts w:ascii="Arial" w:hAnsi="Arial" w:cs="Arial"/>
                <w:b/>
                <w:bCs/>
                <w:color w:val="FFFFFF" w:themeColor="background1"/>
                <w:sz w:val="20"/>
              </w:rPr>
              <w:t>T</w:t>
            </w:r>
          </w:p>
        </w:tc>
        <w:tc>
          <w:tcPr>
            <w:tcW w:w="3963" w:type="dxa"/>
            <w:shd w:val="clear" w:color="auto" w:fill="000000" w:themeFill="text1"/>
          </w:tcPr>
          <w:p w14:paraId="4430D031" w14:textId="77777777" w:rsidR="00FA473B" w:rsidRPr="004A0530" w:rsidRDefault="00FA473B" w:rsidP="00722EEB">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551" w:type="dxa"/>
            <w:shd w:val="clear" w:color="auto" w:fill="000000" w:themeFill="text1"/>
          </w:tcPr>
          <w:p w14:paraId="36B28A96" w14:textId="5DBE51EC"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tc>
      </w:tr>
      <w:tr w:rsidR="00253FB5" w14:paraId="719D98FD" w14:textId="77777777" w:rsidTr="00253FB5">
        <w:tc>
          <w:tcPr>
            <w:tcW w:w="2551" w:type="dxa"/>
          </w:tcPr>
          <w:p w14:paraId="699D78E8" w14:textId="7713FBB6" w:rsidR="00FA473B" w:rsidRDefault="00722EEB" w:rsidP="00F93540">
            <w:pPr>
              <w:jc w:val="center"/>
              <w:rPr>
                <w:rFonts w:ascii="Arial" w:hAnsi="Arial" w:cs="Arial"/>
                <w:color w:val="000000"/>
                <w:sz w:val="20"/>
              </w:rPr>
            </w:pPr>
            <w:r>
              <w:rPr>
                <w:rFonts w:ascii="Arial" w:hAnsi="Arial" w:cs="Arial"/>
                <w:color w:val="000000"/>
                <w:sz w:val="20"/>
              </w:rPr>
              <w:t>IMP2y, 12m cumulative</w:t>
            </w:r>
          </w:p>
        </w:tc>
        <w:tc>
          <w:tcPr>
            <w:tcW w:w="3963" w:type="dxa"/>
          </w:tcPr>
          <w:p w14:paraId="47DB5D95" w14:textId="6936BBED" w:rsidR="00FA473B" w:rsidRPr="00FA473B" w:rsidRDefault="00FA473B" w:rsidP="00722EEB">
            <w:pPr>
              <w:pStyle w:val="ListParagraph"/>
              <w:numPr>
                <w:ilvl w:val="0"/>
                <w:numId w:val="138"/>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45A1F76B" w14:textId="3B766987" w:rsidR="00FA473B" w:rsidRDefault="00FA473B" w:rsidP="00F93540">
            <w:pPr>
              <w:jc w:val="center"/>
              <w:rPr>
                <w:rFonts w:ascii="Arial" w:hAnsi="Arial" w:cs="Arial"/>
                <w:color w:val="000000"/>
                <w:sz w:val="20"/>
              </w:rPr>
            </w:pPr>
            <w:r>
              <w:rPr>
                <w:rFonts w:ascii="Arial" w:hAnsi="Arial" w:cs="Arial"/>
                <w:color w:val="000000"/>
                <w:sz w:val="20"/>
              </w:rPr>
              <w:t>IMP1</w:t>
            </w:r>
            <w:r w:rsidR="00722EEB">
              <w:rPr>
                <w:rFonts w:ascii="Arial" w:hAnsi="Arial" w:cs="Arial"/>
                <w:color w:val="000000"/>
                <w:sz w:val="20"/>
              </w:rPr>
              <w:t>5</w:t>
            </w:r>
            <w:r>
              <w:rPr>
                <w:rFonts w:ascii="Arial" w:hAnsi="Arial" w:cs="Arial"/>
                <w:color w:val="000000"/>
                <w:sz w:val="20"/>
              </w:rPr>
              <w:t>m</w:t>
            </w:r>
            <w:r w:rsidR="00722EEB">
              <w:rPr>
                <w:rFonts w:ascii="Arial" w:hAnsi="Arial" w:cs="Arial"/>
                <w:color w:val="000000"/>
                <w:sz w:val="20"/>
              </w:rPr>
              <w:t>, 6m cumulative</w:t>
            </w:r>
          </w:p>
        </w:tc>
      </w:tr>
      <w:tr w:rsidR="00253FB5" w14:paraId="65F43755" w14:textId="77777777" w:rsidTr="00253FB5">
        <w:tc>
          <w:tcPr>
            <w:tcW w:w="2551" w:type="dxa"/>
          </w:tcPr>
          <w:p w14:paraId="460308F0" w14:textId="5670835E" w:rsidR="00FA473B" w:rsidRDefault="00722EEB" w:rsidP="00F93540">
            <w:pPr>
              <w:jc w:val="center"/>
              <w:rPr>
                <w:rFonts w:ascii="Arial" w:hAnsi="Arial" w:cs="Arial"/>
                <w:color w:val="000000"/>
                <w:sz w:val="20"/>
              </w:rPr>
            </w:pPr>
            <w:r>
              <w:rPr>
                <w:rFonts w:ascii="Arial" w:hAnsi="Arial" w:cs="Arial"/>
                <w:color w:val="000000"/>
                <w:sz w:val="20"/>
              </w:rPr>
              <w:t>IMP2y, 3m cumulative</w:t>
            </w:r>
          </w:p>
        </w:tc>
        <w:tc>
          <w:tcPr>
            <w:tcW w:w="3963" w:type="dxa"/>
          </w:tcPr>
          <w:p w14:paraId="66B4A340" w14:textId="489AF669" w:rsidR="00FA473B" w:rsidRPr="00FA473B" w:rsidRDefault="00FA473B" w:rsidP="00722EEB">
            <w:pPr>
              <w:pStyle w:val="ListParagraph"/>
              <w:numPr>
                <w:ilvl w:val="0"/>
                <w:numId w:val="138"/>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3AE7B414" w14:textId="77777777" w:rsidR="00FA473B" w:rsidRDefault="00FA473B" w:rsidP="00F93540">
            <w:pPr>
              <w:jc w:val="center"/>
              <w:rPr>
                <w:rFonts w:ascii="Arial" w:hAnsi="Arial" w:cs="Arial"/>
                <w:color w:val="000000"/>
                <w:sz w:val="20"/>
              </w:rPr>
            </w:pPr>
            <w:r>
              <w:rPr>
                <w:rFonts w:ascii="Arial" w:hAnsi="Arial" w:cs="Arial"/>
                <w:color w:val="000000"/>
                <w:sz w:val="20"/>
              </w:rPr>
              <w:t>IMP9m, 3m cumulative</w:t>
            </w:r>
          </w:p>
        </w:tc>
      </w:tr>
      <w:tr w:rsidR="00253FB5" w14:paraId="39F03B35" w14:textId="77777777" w:rsidTr="00253FB5">
        <w:tc>
          <w:tcPr>
            <w:tcW w:w="2551" w:type="dxa"/>
          </w:tcPr>
          <w:p w14:paraId="64FBB070" w14:textId="25EA69FF" w:rsidR="00FA473B" w:rsidRDefault="00722EEB" w:rsidP="00F93540">
            <w:pPr>
              <w:jc w:val="center"/>
              <w:rPr>
                <w:rFonts w:ascii="Arial" w:hAnsi="Arial" w:cs="Arial"/>
                <w:color w:val="000000"/>
                <w:sz w:val="20"/>
              </w:rPr>
            </w:pPr>
            <w:r>
              <w:rPr>
                <w:rFonts w:ascii="Arial" w:hAnsi="Arial" w:cs="Arial"/>
                <w:color w:val="000000"/>
                <w:sz w:val="20"/>
              </w:rPr>
              <w:t>IMP3y, Base</w:t>
            </w:r>
          </w:p>
        </w:tc>
        <w:tc>
          <w:tcPr>
            <w:tcW w:w="3963" w:type="dxa"/>
          </w:tcPr>
          <w:p w14:paraId="46FC6584" w14:textId="7BAC90D8" w:rsidR="00FA473B" w:rsidRPr="00FA473B" w:rsidRDefault="00FA473B" w:rsidP="00722EEB">
            <w:pPr>
              <w:pStyle w:val="ListParagraph"/>
              <w:numPr>
                <w:ilvl w:val="0"/>
                <w:numId w:val="138"/>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5BCF4754" w14:textId="005D7FB8" w:rsidR="00FA473B" w:rsidRDefault="00722EEB" w:rsidP="00F93540">
            <w:pPr>
              <w:jc w:val="center"/>
              <w:rPr>
                <w:rFonts w:ascii="Arial" w:hAnsi="Arial" w:cs="Arial"/>
                <w:color w:val="000000"/>
                <w:sz w:val="20"/>
              </w:rPr>
            </w:pPr>
            <w:r>
              <w:rPr>
                <w:rFonts w:ascii="Arial" w:hAnsi="Arial" w:cs="Arial"/>
                <w:color w:val="000000"/>
                <w:sz w:val="20"/>
              </w:rPr>
              <w:t>IMP2y, Base</w:t>
            </w:r>
          </w:p>
        </w:tc>
      </w:tr>
      <w:tr w:rsidR="00253FB5" w14:paraId="160CD516" w14:textId="77777777" w:rsidTr="00253FB5">
        <w:tc>
          <w:tcPr>
            <w:tcW w:w="2551" w:type="dxa"/>
          </w:tcPr>
          <w:p w14:paraId="080879D5" w14:textId="267AFF4F" w:rsidR="00722EEB" w:rsidRDefault="00722EEB" w:rsidP="00F93540">
            <w:pPr>
              <w:jc w:val="center"/>
              <w:rPr>
                <w:rFonts w:ascii="Arial" w:hAnsi="Arial" w:cs="Arial"/>
                <w:color w:val="000000"/>
                <w:sz w:val="20"/>
              </w:rPr>
            </w:pPr>
            <w:r>
              <w:rPr>
                <w:rFonts w:ascii="Arial" w:hAnsi="Arial" w:cs="Arial"/>
                <w:color w:val="000000"/>
                <w:sz w:val="20"/>
              </w:rPr>
              <w:t>IMP3y, 3m cumulative</w:t>
            </w:r>
          </w:p>
        </w:tc>
        <w:tc>
          <w:tcPr>
            <w:tcW w:w="3963" w:type="dxa"/>
          </w:tcPr>
          <w:p w14:paraId="4836A83C" w14:textId="05576E1C" w:rsidR="00722EEB" w:rsidRPr="00FA473B" w:rsidRDefault="00722EEB" w:rsidP="00722EEB">
            <w:pPr>
              <w:pStyle w:val="ListParagraph"/>
              <w:numPr>
                <w:ilvl w:val="0"/>
                <w:numId w:val="138"/>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73E0E70D" w14:textId="20108967" w:rsidR="00722EEB" w:rsidRDefault="00722EEB" w:rsidP="00F93540">
            <w:pPr>
              <w:jc w:val="center"/>
              <w:rPr>
                <w:rFonts w:ascii="Arial" w:hAnsi="Arial" w:cs="Arial"/>
                <w:color w:val="000000"/>
                <w:sz w:val="20"/>
              </w:rPr>
            </w:pPr>
            <w:r>
              <w:rPr>
                <w:rFonts w:ascii="Arial" w:hAnsi="Arial" w:cs="Arial"/>
                <w:color w:val="000000"/>
                <w:sz w:val="20"/>
              </w:rPr>
              <w:t>IMP15m, 3m cumulative</w:t>
            </w:r>
          </w:p>
        </w:tc>
      </w:tr>
      <w:tr w:rsidR="00253FB5" w14:paraId="4E673670" w14:textId="77777777" w:rsidTr="00253FB5">
        <w:tc>
          <w:tcPr>
            <w:tcW w:w="2551" w:type="dxa"/>
            <w:shd w:val="clear" w:color="auto" w:fill="000000" w:themeFill="text1"/>
          </w:tcPr>
          <w:p w14:paraId="501C23FD" w14:textId="4FC33CBB"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Pr>
                <w:rFonts w:ascii="Arial" w:hAnsi="Arial" w:cs="Arial"/>
                <w:b/>
                <w:bCs/>
                <w:color w:val="FFFFFF" w:themeColor="background1"/>
                <w:sz w:val="20"/>
              </w:rPr>
              <w:t>4y6m/</w:t>
            </w:r>
            <w:r w:rsidR="00722EEB">
              <w:rPr>
                <w:rFonts w:ascii="Arial" w:hAnsi="Arial" w:cs="Arial"/>
                <w:b/>
                <w:bCs/>
                <w:color w:val="FFFFFF" w:themeColor="background1"/>
                <w:sz w:val="20"/>
              </w:rPr>
              <w:t>2</w:t>
            </w:r>
            <w:r w:rsidRPr="004A0530">
              <w:rPr>
                <w:rFonts w:ascii="Arial" w:hAnsi="Arial" w:cs="Arial"/>
                <w:b/>
                <w:bCs/>
                <w:color w:val="FFFFFF" w:themeColor="background1"/>
                <w:sz w:val="20"/>
              </w:rPr>
              <w:t>y</w:t>
            </w:r>
            <w:r w:rsidR="00722EEB">
              <w:rPr>
                <w:rFonts w:ascii="Arial" w:hAnsi="Arial" w:cs="Arial"/>
                <w:b/>
                <w:bCs/>
                <w:color w:val="FFFFFF" w:themeColor="background1"/>
                <w:sz w:val="20"/>
              </w:rPr>
              <w:t>9m</w:t>
            </w:r>
          </w:p>
        </w:tc>
        <w:tc>
          <w:tcPr>
            <w:tcW w:w="3963" w:type="dxa"/>
            <w:shd w:val="clear" w:color="auto" w:fill="000000" w:themeFill="text1"/>
          </w:tcPr>
          <w:p w14:paraId="4FA5DBF9" w14:textId="77777777" w:rsidR="00FA473B" w:rsidRDefault="00FA473B" w:rsidP="00722EEB">
            <w:pPr>
              <w:jc w:val="center"/>
              <w:rPr>
                <w:rFonts w:ascii="Arial" w:hAnsi="Arial" w:cs="Arial"/>
                <w:color w:val="000000"/>
                <w:sz w:val="20"/>
              </w:rPr>
            </w:pPr>
          </w:p>
        </w:tc>
        <w:tc>
          <w:tcPr>
            <w:tcW w:w="2551" w:type="dxa"/>
            <w:shd w:val="clear" w:color="auto" w:fill="000000" w:themeFill="text1"/>
          </w:tcPr>
          <w:p w14:paraId="28F4B241" w14:textId="2DDB0632"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sidR="00722EEB">
              <w:rPr>
                <w:rFonts w:ascii="Arial" w:hAnsi="Arial" w:cs="Arial"/>
                <w:b/>
                <w:bCs/>
                <w:color w:val="FFFFFF" w:themeColor="background1"/>
                <w:sz w:val="20"/>
              </w:rPr>
              <w:t>3y/21</w:t>
            </w:r>
            <w:r w:rsidRPr="004A0530">
              <w:rPr>
                <w:rFonts w:ascii="Arial" w:hAnsi="Arial" w:cs="Arial"/>
                <w:b/>
                <w:bCs/>
                <w:color w:val="FFFFFF" w:themeColor="background1"/>
                <w:sz w:val="20"/>
              </w:rPr>
              <w:t>m</w:t>
            </w:r>
          </w:p>
        </w:tc>
      </w:tr>
    </w:tbl>
    <w:p w14:paraId="68A043D2" w14:textId="77777777" w:rsidR="00FA473B" w:rsidRDefault="00FA473B" w:rsidP="00722EEB">
      <w:pPr>
        <w:jc w:val="both"/>
        <w:rPr>
          <w:rFonts w:ascii="Arial" w:hAnsi="Arial" w:cs="Arial"/>
          <w:color w:val="000000"/>
          <w:sz w:val="20"/>
        </w:rPr>
      </w:pPr>
    </w:p>
    <w:p w14:paraId="15715AF9" w14:textId="032606B7" w:rsidR="002A6DBC" w:rsidRDefault="00657BA0" w:rsidP="00722EEB">
      <w:pPr>
        <w:pStyle w:val="Normal-Cover"/>
        <w:widowControl/>
        <w:jc w:val="both"/>
        <w:rPr>
          <w:rFonts w:ascii="Arial" w:hAnsi="Arial" w:cs="Arial"/>
          <w:color w:val="000000"/>
          <w:sz w:val="20"/>
        </w:rPr>
      </w:pPr>
      <w:r>
        <w:rPr>
          <w:rFonts w:ascii="Arial" w:hAnsi="Arial" w:cs="Arial"/>
          <w:color w:val="000000"/>
          <w:sz w:val="20"/>
        </w:rPr>
        <w:t>At [93]-[9</w:t>
      </w:r>
      <w:r w:rsidR="00FA473B">
        <w:rPr>
          <w:rFonts w:ascii="Arial" w:hAnsi="Arial" w:cs="Arial"/>
          <w:color w:val="000000"/>
          <w:sz w:val="20"/>
        </w:rPr>
        <w:t>6</w:t>
      </w:r>
      <w:r>
        <w:rPr>
          <w:rFonts w:ascii="Arial" w:hAnsi="Arial" w:cs="Arial"/>
          <w:color w:val="000000"/>
          <w:sz w:val="20"/>
        </w:rPr>
        <w:t>] Priest, Taylor &amp; Orr JJA said</w:t>
      </w:r>
      <w:r w:rsidR="005E4106">
        <w:rPr>
          <w:rFonts w:ascii="Arial" w:hAnsi="Arial" w:cs="Arial"/>
          <w:color w:val="000000"/>
          <w:sz w:val="20"/>
        </w:rPr>
        <w:t xml:space="preserve"> [emphasis added]</w:t>
      </w:r>
      <w:r>
        <w:rPr>
          <w:rFonts w:ascii="Arial" w:hAnsi="Arial" w:cs="Arial"/>
          <w:color w:val="000000"/>
          <w:sz w:val="20"/>
        </w:rPr>
        <w:t>:</w:t>
      </w:r>
    </w:p>
    <w:p w14:paraId="1655FC02" w14:textId="0E0A0589" w:rsidR="00657BA0" w:rsidRDefault="00657BA0" w:rsidP="005E4106">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Pr="00657BA0">
        <w:rPr>
          <w:rFonts w:ascii="Arial" w:hAnsi="Arial" w:cs="Arial"/>
          <w:color w:val="000000"/>
          <w:sz w:val="20"/>
        </w:rPr>
        <w:t>93</w:t>
      </w:r>
      <w:r>
        <w:rPr>
          <w:rFonts w:ascii="Arial" w:hAnsi="Arial" w:cs="Arial"/>
          <w:color w:val="000000"/>
          <w:sz w:val="20"/>
        </w:rPr>
        <w:t>]</w:t>
      </w:r>
      <w:r w:rsidRPr="00657BA0">
        <w:rPr>
          <w:rFonts w:ascii="Arial" w:hAnsi="Arial" w:cs="Arial"/>
          <w:color w:val="000000"/>
          <w:sz w:val="20"/>
        </w:rPr>
        <w:t xml:space="preserve"> </w:t>
      </w:r>
      <w:r>
        <w:rPr>
          <w:rFonts w:ascii="Arial" w:hAnsi="Arial" w:cs="Arial"/>
          <w:color w:val="000000"/>
          <w:sz w:val="20"/>
        </w:rPr>
        <w:t>“</w:t>
      </w:r>
      <w:r w:rsidRPr="00657BA0">
        <w:rPr>
          <w:rFonts w:ascii="Arial" w:hAnsi="Arial" w:cs="Arial"/>
          <w:color w:val="000000"/>
          <w:sz w:val="20"/>
        </w:rPr>
        <w:t xml:space="preserve">Neither end of the Bar table drew the sentencing judge’s attention to current sentencing practices for the offence of unlawfully and indecently assaulting a girl under 16 as they applied in 1973 and 1975. </w:t>
      </w:r>
      <w:r w:rsidRPr="00CA0131">
        <w:rPr>
          <w:rFonts w:ascii="Arial" w:hAnsi="Arial" w:cs="Arial"/>
          <w:b/>
          <w:bCs/>
          <w:color w:val="000000"/>
          <w:sz w:val="20"/>
        </w:rPr>
        <w:t>That was a significant omission since,</w:t>
      </w:r>
      <w:r w:rsidRPr="00657BA0">
        <w:rPr>
          <w:rFonts w:ascii="Arial" w:hAnsi="Arial" w:cs="Arial"/>
          <w:color w:val="000000"/>
          <w:sz w:val="20"/>
        </w:rPr>
        <w:t xml:space="preserve"> </w:t>
      </w:r>
      <w:r w:rsidRPr="005E4106">
        <w:rPr>
          <w:rFonts w:ascii="Arial" w:hAnsi="Arial" w:cs="Arial"/>
          <w:b/>
          <w:bCs/>
          <w:color w:val="000000"/>
          <w:sz w:val="20"/>
        </w:rPr>
        <w:t xml:space="preserve">although s 5(2)(b) of the </w:t>
      </w:r>
      <w:r w:rsidRPr="005E4106">
        <w:rPr>
          <w:rFonts w:ascii="Arial" w:hAnsi="Arial" w:cs="Arial"/>
          <w:b/>
          <w:bCs/>
          <w:i/>
          <w:iCs/>
          <w:color w:val="000000"/>
          <w:sz w:val="20"/>
        </w:rPr>
        <w:t>Sentencing Act 1991</w:t>
      </w:r>
      <w:r w:rsidRPr="005E4106">
        <w:rPr>
          <w:rFonts w:ascii="Arial" w:hAnsi="Arial" w:cs="Arial"/>
          <w:b/>
          <w:bCs/>
          <w:color w:val="000000"/>
          <w:sz w:val="20"/>
        </w:rPr>
        <w:t xml:space="preserve"> requires a sentencing court to have regard to ‘current sentencing practices’ — so that the court must have regard to the sentencing practices which apply at the time of sentence {</w:t>
      </w:r>
      <w:r w:rsidRPr="005E4106">
        <w:rPr>
          <w:rFonts w:ascii="Arial" w:hAnsi="Arial" w:cs="Arial"/>
          <w:b/>
          <w:bCs/>
          <w:i/>
          <w:iCs/>
          <w:color w:val="000000"/>
          <w:sz w:val="20"/>
        </w:rPr>
        <w:t>Stalio v The Queen</w:t>
      </w:r>
      <w:r w:rsidRPr="005E4106">
        <w:rPr>
          <w:rFonts w:ascii="Arial" w:hAnsi="Arial" w:cs="Arial"/>
          <w:b/>
          <w:bCs/>
          <w:color w:val="000000"/>
          <w:sz w:val="20"/>
        </w:rPr>
        <w:t xml:space="preserve"> (2012) 46 VR 426 at [9] &amp; [11]; [2012] VSCA 120}</w:t>
      </w:r>
      <w:r w:rsidR="005E4106" w:rsidRPr="005E4106">
        <w:rPr>
          <w:rFonts w:ascii="Arial" w:hAnsi="Arial" w:cs="Arial"/>
          <w:b/>
          <w:bCs/>
          <w:color w:val="000000"/>
          <w:sz w:val="20"/>
        </w:rPr>
        <w:t xml:space="preserve"> – sentencing </w:t>
      </w:r>
      <w:r w:rsidRPr="005E4106">
        <w:rPr>
          <w:rFonts w:ascii="Arial" w:hAnsi="Arial" w:cs="Arial"/>
          <w:b/>
          <w:bCs/>
          <w:color w:val="000000"/>
          <w:sz w:val="20"/>
        </w:rPr>
        <w:t xml:space="preserve">practices applicable </w:t>
      </w:r>
      <w:r w:rsidRPr="005E4106">
        <w:rPr>
          <w:rFonts w:ascii="Arial" w:hAnsi="Arial" w:cs="Arial"/>
          <w:b/>
          <w:bCs/>
          <w:color w:val="000000"/>
          <w:sz w:val="20"/>
        </w:rPr>
        <w:lastRenderedPageBreak/>
        <w:t>at the time of the commission of the offence are not thereby rendered irrelevant.</w:t>
      </w:r>
      <w:r w:rsidRPr="00657BA0">
        <w:rPr>
          <w:rFonts w:ascii="Arial" w:hAnsi="Arial" w:cs="Arial"/>
          <w:color w:val="000000"/>
          <w:sz w:val="20"/>
        </w:rPr>
        <w:t xml:space="preserve"> </w:t>
      </w:r>
      <w:r w:rsidRPr="005E4106">
        <w:rPr>
          <w:rFonts w:ascii="Arial" w:hAnsi="Arial" w:cs="Arial"/>
          <w:b/>
          <w:bCs/>
          <w:color w:val="000000"/>
          <w:sz w:val="20"/>
        </w:rPr>
        <w:t>Indeed, regard should be had to sentencing practice at the date of offending for the purpose of ascertaining just punishment in accordance with the principle of equal justice</w:t>
      </w:r>
      <w:r w:rsidR="005E4106">
        <w:rPr>
          <w:rFonts w:ascii="Arial" w:hAnsi="Arial" w:cs="Arial"/>
          <w:b/>
          <w:bCs/>
          <w:color w:val="000000"/>
          <w:sz w:val="20"/>
        </w:rPr>
        <w:t>: Ibid</w:t>
      </w:r>
      <w:r w:rsidRPr="005E4106">
        <w:rPr>
          <w:rFonts w:ascii="Arial" w:hAnsi="Arial" w:cs="Arial"/>
          <w:b/>
          <w:bCs/>
          <w:color w:val="000000"/>
          <w:sz w:val="20"/>
        </w:rPr>
        <w:t>.</w:t>
      </w:r>
      <w:r w:rsidR="005E4106">
        <w:rPr>
          <w:rFonts w:ascii="Arial" w:hAnsi="Arial" w:cs="Arial"/>
          <w:b/>
          <w:bCs/>
          <w:color w:val="000000"/>
          <w:sz w:val="20"/>
        </w:rPr>
        <w:t xml:space="preserve"> at [52]-[53] &amp; [78].</w:t>
      </w:r>
      <w:r w:rsidRPr="00657BA0">
        <w:rPr>
          <w:rFonts w:ascii="Arial" w:hAnsi="Arial" w:cs="Arial"/>
          <w:color w:val="000000"/>
          <w:sz w:val="20"/>
        </w:rPr>
        <w:t xml:space="preserve"> </w:t>
      </w:r>
      <w:r w:rsidR="005E4106">
        <w:rPr>
          <w:rFonts w:ascii="Arial" w:hAnsi="Arial" w:cs="Arial"/>
          <w:color w:val="000000"/>
          <w:sz w:val="20"/>
        </w:rPr>
        <w:t xml:space="preserve">{See also </w:t>
      </w:r>
      <w:r w:rsidR="005E4106" w:rsidRPr="005E4106">
        <w:rPr>
          <w:rFonts w:ascii="Arial" w:hAnsi="Arial" w:cs="Arial"/>
          <w:i/>
          <w:iCs/>
          <w:color w:val="000000"/>
          <w:sz w:val="20"/>
        </w:rPr>
        <w:t>Bradley v The Queen</w:t>
      </w:r>
      <w:r w:rsidR="005E4106">
        <w:rPr>
          <w:rFonts w:ascii="Arial" w:hAnsi="Arial" w:cs="Arial"/>
          <w:color w:val="000000"/>
          <w:sz w:val="20"/>
        </w:rPr>
        <w:t xml:space="preserve"> [2017] VSCA 69; </w:t>
      </w:r>
      <w:r w:rsidR="005E4106" w:rsidRPr="005E4106">
        <w:rPr>
          <w:rFonts w:ascii="Arial" w:hAnsi="Arial" w:cs="Arial"/>
          <w:i/>
          <w:iCs/>
          <w:color w:val="000000"/>
          <w:sz w:val="20"/>
        </w:rPr>
        <w:t>Thrussell v The Queen</w:t>
      </w:r>
      <w:r w:rsidR="005E4106">
        <w:rPr>
          <w:rFonts w:ascii="Arial" w:hAnsi="Arial" w:cs="Arial"/>
          <w:color w:val="000000"/>
          <w:sz w:val="20"/>
        </w:rPr>
        <w:t xml:space="preserve"> [2017] VSCA 386; </w:t>
      </w:r>
      <w:r w:rsidR="005E4106" w:rsidRPr="005E4106">
        <w:rPr>
          <w:rFonts w:ascii="Arial" w:hAnsi="Arial" w:cs="Arial"/>
          <w:i/>
          <w:iCs/>
          <w:color w:val="000000"/>
          <w:sz w:val="20"/>
        </w:rPr>
        <w:t>Mush v The Queen</w:t>
      </w:r>
      <w:r w:rsidR="005E4106">
        <w:rPr>
          <w:rFonts w:ascii="Arial" w:hAnsi="Arial" w:cs="Arial"/>
          <w:color w:val="000000"/>
          <w:sz w:val="20"/>
        </w:rPr>
        <w:t xml:space="preserve"> [2019] VSCA 307.} </w:t>
      </w:r>
      <w:r w:rsidRPr="00657BA0">
        <w:rPr>
          <w:rFonts w:ascii="Arial" w:hAnsi="Arial" w:cs="Arial"/>
          <w:color w:val="000000"/>
          <w:sz w:val="20"/>
        </w:rPr>
        <w:t xml:space="preserve">Hence, the Court observed in </w:t>
      </w:r>
      <w:r w:rsidRPr="005E4106">
        <w:rPr>
          <w:rFonts w:ascii="Arial" w:hAnsi="Arial" w:cs="Arial"/>
          <w:i/>
          <w:iCs/>
          <w:color w:val="000000"/>
          <w:sz w:val="20"/>
        </w:rPr>
        <w:t>Stalio</w:t>
      </w:r>
      <w:r w:rsidRPr="00657BA0">
        <w:rPr>
          <w:rFonts w:ascii="Arial" w:hAnsi="Arial" w:cs="Arial"/>
          <w:color w:val="000000"/>
          <w:sz w:val="20"/>
        </w:rPr>
        <w:t xml:space="preserve"> </w:t>
      </w:r>
      <w:r w:rsidR="005E4106">
        <w:rPr>
          <w:rFonts w:ascii="Arial" w:hAnsi="Arial" w:cs="Arial"/>
          <w:color w:val="000000"/>
          <w:sz w:val="20"/>
        </w:rPr>
        <w:t xml:space="preserve">at [9] </w:t>
      </w:r>
      <w:r w:rsidRPr="00657BA0">
        <w:rPr>
          <w:rFonts w:ascii="Arial" w:hAnsi="Arial" w:cs="Arial"/>
          <w:color w:val="000000"/>
          <w:sz w:val="20"/>
        </w:rPr>
        <w:t>that the concept of equal justice requires regard to be had to sentencing practices at the date of the offence if those practices can be demonstrated to have required the imposition of a materially lesser sanction for like offences than current sentencing practices would impose for the offence.</w:t>
      </w:r>
    </w:p>
    <w:p w14:paraId="2D2260B1" w14:textId="6226DC4F" w:rsidR="00657BA0" w:rsidRDefault="00814318"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00657BA0" w:rsidRPr="00657BA0">
        <w:rPr>
          <w:rFonts w:ascii="Arial" w:hAnsi="Arial" w:cs="Arial"/>
          <w:color w:val="000000"/>
          <w:sz w:val="20"/>
        </w:rPr>
        <w:t>94</w:t>
      </w:r>
      <w:r>
        <w:rPr>
          <w:rFonts w:ascii="Arial" w:hAnsi="Arial" w:cs="Arial"/>
          <w:color w:val="000000"/>
          <w:sz w:val="20"/>
        </w:rPr>
        <w:t>]</w:t>
      </w:r>
      <w:r w:rsidR="00657BA0" w:rsidRPr="00657BA0">
        <w:rPr>
          <w:rFonts w:ascii="Arial" w:hAnsi="Arial" w:cs="Arial"/>
          <w:color w:val="000000"/>
          <w:sz w:val="20"/>
        </w:rPr>
        <w:t xml:space="preserve"> The applicant’s counsel provided us a list of ‘comparative’ sentencing cases</w:t>
      </w:r>
      <w:r>
        <w:rPr>
          <w:rFonts w:ascii="Arial" w:hAnsi="Arial" w:cs="Arial"/>
          <w:color w:val="000000"/>
          <w:sz w:val="20"/>
        </w:rPr>
        <w:t xml:space="preserve"> [listed in footnote </w:t>
      </w:r>
      <w:r w:rsidR="00657BA0" w:rsidRPr="00657BA0">
        <w:rPr>
          <w:rFonts w:ascii="Arial" w:hAnsi="Arial" w:cs="Arial"/>
          <w:color w:val="000000"/>
          <w:sz w:val="20"/>
        </w:rPr>
        <w:t>39</w:t>
      </w:r>
      <w:r>
        <w:rPr>
          <w:rFonts w:ascii="Arial" w:hAnsi="Arial" w:cs="Arial"/>
          <w:color w:val="000000"/>
          <w:sz w:val="20"/>
        </w:rPr>
        <w:t>].</w:t>
      </w:r>
      <w:r w:rsidR="00657BA0" w:rsidRPr="00657BA0">
        <w:rPr>
          <w:rFonts w:ascii="Arial" w:hAnsi="Arial" w:cs="Arial"/>
          <w:color w:val="000000"/>
          <w:sz w:val="20"/>
        </w:rPr>
        <w:t xml:space="preserve"> Even before we reviewed the cases on this list, our impression was that the offences</w:t>
      </w:r>
      <w:r>
        <w:rPr>
          <w:rFonts w:ascii="Arial" w:hAnsi="Arial" w:cs="Arial"/>
          <w:color w:val="000000"/>
          <w:sz w:val="20"/>
        </w:rPr>
        <w:t xml:space="preserve"> charged in the indictment would not have attracted sentences of the order imposed by the judge had they been dealt with at a time proximate to the offending.</w:t>
      </w:r>
    </w:p>
    <w:p w14:paraId="1C3909F4" w14:textId="3B5B1B3B" w:rsidR="00682BB5"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[95] </w:t>
      </w:r>
      <w:r w:rsidR="00657BA0" w:rsidRPr="00657BA0">
        <w:rPr>
          <w:rFonts w:ascii="Arial" w:hAnsi="Arial" w:cs="Arial"/>
          <w:color w:val="000000"/>
          <w:sz w:val="20"/>
        </w:rPr>
        <w:t>Our review of the cases confirmed that impression. The 14 cases listed, with one exception,</w:t>
      </w:r>
      <w:r>
        <w:rPr>
          <w:rFonts w:ascii="Arial" w:hAnsi="Arial" w:cs="Arial"/>
          <w:color w:val="000000"/>
          <w:sz w:val="20"/>
        </w:rPr>
        <w:t xml:space="preserve"> </w:t>
      </w:r>
      <w:r w:rsidR="00657BA0" w:rsidRPr="00657BA0">
        <w:rPr>
          <w:rFonts w:ascii="Arial" w:hAnsi="Arial" w:cs="Arial"/>
          <w:color w:val="000000"/>
          <w:sz w:val="20"/>
        </w:rPr>
        <w:t>concerned offending in around 1964–82. In all but one case, the offender had pleaded guilty to the charges for which he was to be sentenced. The gravest individual sentence imposed on a count of indecent assault in each case was as follows: in two cases (14.2</w:t>
      </w:r>
      <w:r>
        <w:rPr>
          <w:rFonts w:ascii="Arial" w:hAnsi="Arial" w:cs="Arial"/>
          <w:color w:val="000000"/>
          <w:sz w:val="20"/>
        </w:rPr>
        <w:t>%</w:t>
      </w:r>
      <w:r w:rsidR="00657BA0" w:rsidRPr="00657BA0">
        <w:rPr>
          <w:rFonts w:ascii="Arial" w:hAnsi="Arial" w:cs="Arial"/>
          <w:color w:val="000000"/>
          <w:sz w:val="20"/>
        </w:rPr>
        <w:t>), a good behaviour bond;</w:t>
      </w:r>
      <w:r>
        <w:rPr>
          <w:rFonts w:ascii="Arial" w:hAnsi="Arial" w:cs="Arial"/>
          <w:color w:val="000000"/>
          <w:sz w:val="20"/>
        </w:rPr>
        <w:t xml:space="preserve"> </w:t>
      </w:r>
      <w:r w:rsidR="00657BA0" w:rsidRPr="00657BA0">
        <w:rPr>
          <w:rFonts w:ascii="Arial" w:hAnsi="Arial" w:cs="Arial"/>
          <w:color w:val="000000"/>
          <w:sz w:val="20"/>
        </w:rPr>
        <w:t>in three cases (21.4</w:t>
      </w:r>
      <w:r>
        <w:rPr>
          <w:rFonts w:ascii="Arial" w:hAnsi="Arial" w:cs="Arial"/>
          <w:color w:val="000000"/>
          <w:sz w:val="20"/>
        </w:rPr>
        <w:t>%</w:t>
      </w:r>
      <w:r w:rsidR="00657BA0" w:rsidRPr="00657BA0">
        <w:rPr>
          <w:rFonts w:ascii="Arial" w:hAnsi="Arial" w:cs="Arial"/>
          <w:color w:val="000000"/>
          <w:sz w:val="20"/>
        </w:rPr>
        <w:t>), 9 months’ imprisonment; in seven cases (42.8</w:t>
      </w:r>
      <w:r>
        <w:rPr>
          <w:rFonts w:ascii="Arial" w:hAnsi="Arial" w:cs="Arial"/>
          <w:color w:val="000000"/>
          <w:sz w:val="20"/>
        </w:rPr>
        <w:t>%</w:t>
      </w:r>
      <w:r w:rsidR="00657BA0" w:rsidRPr="00657BA0">
        <w:rPr>
          <w:rFonts w:ascii="Arial" w:hAnsi="Arial" w:cs="Arial"/>
          <w:color w:val="000000"/>
          <w:sz w:val="20"/>
        </w:rPr>
        <w:t>), 12 months’ imprisonment; in two cases (14.2</w:t>
      </w:r>
      <w:r>
        <w:rPr>
          <w:rFonts w:ascii="Arial" w:hAnsi="Arial" w:cs="Arial"/>
          <w:color w:val="000000"/>
          <w:sz w:val="20"/>
        </w:rPr>
        <w:t>%</w:t>
      </w:r>
      <w:r w:rsidR="00657BA0" w:rsidRPr="00657BA0">
        <w:rPr>
          <w:rFonts w:ascii="Arial" w:hAnsi="Arial" w:cs="Arial"/>
          <w:color w:val="000000"/>
          <w:sz w:val="20"/>
        </w:rPr>
        <w:t>), 2</w:t>
      </w:r>
      <w:r>
        <w:rPr>
          <w:rFonts w:ascii="Arial" w:hAnsi="Arial" w:cs="Arial"/>
          <w:color w:val="000000"/>
          <w:sz w:val="20"/>
        </w:rPr>
        <w:t> </w:t>
      </w:r>
      <w:r w:rsidR="00657BA0" w:rsidRPr="00657BA0">
        <w:rPr>
          <w:rFonts w:ascii="Arial" w:hAnsi="Arial" w:cs="Arial"/>
          <w:color w:val="000000"/>
          <w:sz w:val="20"/>
        </w:rPr>
        <w:t>years’ imprisonment; and in one case (7.1 per cent), 3 years’ imprisonment.</w:t>
      </w:r>
    </w:p>
    <w:p w14:paraId="54652138" w14:textId="1F202F03" w:rsidR="006C058D"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[96] </w:t>
      </w:r>
      <w:r w:rsidR="00657BA0" w:rsidRPr="00657BA0">
        <w:rPr>
          <w:rFonts w:ascii="Arial" w:hAnsi="Arial" w:cs="Arial"/>
          <w:color w:val="000000"/>
          <w:sz w:val="20"/>
        </w:rPr>
        <w:t xml:space="preserve">The case in which a sentence of three years’ imprisonment was imposed, </w:t>
      </w:r>
      <w:r w:rsidR="00657BA0" w:rsidRPr="00FA473B">
        <w:rPr>
          <w:rFonts w:ascii="Arial" w:hAnsi="Arial" w:cs="Arial"/>
          <w:i/>
          <w:iCs/>
          <w:color w:val="000000"/>
          <w:sz w:val="20"/>
        </w:rPr>
        <w:t>Van Loon</w:t>
      </w:r>
      <w:r w:rsidR="00FA473B">
        <w:rPr>
          <w:rFonts w:ascii="Arial" w:hAnsi="Arial" w:cs="Arial"/>
          <w:color w:val="000000"/>
          <w:sz w:val="20"/>
        </w:rPr>
        <w:t xml:space="preserve"> (16/07/1975)</w:t>
      </w:r>
      <w:r w:rsidR="00657BA0" w:rsidRPr="00657BA0">
        <w:rPr>
          <w:rFonts w:ascii="Arial" w:hAnsi="Arial" w:cs="Arial"/>
          <w:color w:val="000000"/>
          <w:sz w:val="20"/>
        </w:rPr>
        <w:t>, was exceptional. The offender had antecedents for incest, indecent assault, and buggery against his daughter, for which he had been placed on a period of probation, during which he re-offended against his daughter.</w:t>
      </w:r>
      <w:r w:rsidR="00FA473B">
        <w:rPr>
          <w:rFonts w:ascii="Arial" w:hAnsi="Arial" w:cs="Arial"/>
          <w:color w:val="000000"/>
          <w:sz w:val="20"/>
        </w:rPr>
        <w:t>..”</w:t>
      </w:r>
    </w:p>
    <w:p w14:paraId="71070BEF" w14:textId="77777777" w:rsidR="00C3726D" w:rsidRDefault="00C3726D" w:rsidP="00871139">
      <w:pPr>
        <w:pStyle w:val="Normal-Cover"/>
        <w:jc w:val="both"/>
        <w:rPr>
          <w:rFonts w:ascii="Arial" w:hAnsi="Arial" w:cs="Arial"/>
          <w:color w:val="000000"/>
          <w:sz w:val="20"/>
        </w:rPr>
      </w:pPr>
    </w:p>
    <w:p w14:paraId="3860F1BB" w14:textId="6424C6E0" w:rsidR="00310580" w:rsidRDefault="00310580" w:rsidP="00310580">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Pr>
          <w:rFonts w:ascii="Arial" w:hAnsi="Arial" w:cs="Arial"/>
          <w:sz w:val="20"/>
          <w:szCs w:val="20"/>
        </w:rPr>
        <w:t xml:space="preserve"> and a </w:t>
      </w:r>
      <w:r w:rsidRPr="008E048A">
        <w:rPr>
          <w:rFonts w:ascii="Arial" w:hAnsi="Arial" w:cs="Arial"/>
          <w:sz w:val="20"/>
          <w:szCs w:val="20"/>
        </w:rPr>
        <w:t xml:space="preserve">severely disadvantaged upbringing. </w:t>
      </w:r>
      <w:r>
        <w:rPr>
          <w:rFonts w:ascii="Arial" w:hAnsi="Arial" w:cs="Arial"/>
          <w:sz w:val="20"/>
          <w:szCs w:val="20"/>
        </w:rPr>
        <w:t>In granting leave to appeal but dismissing the appeal, the Court of Appeal (Emerton P &amp; J Forrest JA) said at [109]-[110]:</w:t>
      </w:r>
    </w:p>
    <w:p w14:paraId="1DCF0A76" w14:textId="47207069" w:rsidR="00310580" w:rsidRDefault="00310580"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[109] “</w:t>
      </w:r>
      <w:r w:rsidRPr="00310580">
        <w:rPr>
          <w:rFonts w:ascii="Arial" w:hAnsi="Arial" w:cs="Arial"/>
          <w:color w:val="000000"/>
          <w:sz w:val="20"/>
        </w:rPr>
        <w:t>As to the submission that the sentence was out of step with current sentencing practice, this Court and the High Court have pointed out that there is limited utility in comparing and contrasting decisions of other judges involving different circumstances and antecedents</w:t>
      </w:r>
      <w:r>
        <w:rPr>
          <w:rFonts w:ascii="Arial" w:hAnsi="Arial" w:cs="Arial"/>
          <w:color w:val="000000"/>
          <w:sz w:val="20"/>
        </w:rPr>
        <w:t>: s</w:t>
      </w:r>
      <w:r w:rsidRPr="00310580">
        <w:rPr>
          <w:rFonts w:ascii="Arial" w:hAnsi="Arial" w:cs="Arial"/>
          <w:color w:val="000000"/>
          <w:sz w:val="20"/>
        </w:rPr>
        <w:t xml:space="preserve">ee, eg, </w:t>
      </w:r>
      <w:r w:rsidRPr="00310580">
        <w:rPr>
          <w:rFonts w:ascii="Arial" w:hAnsi="Arial" w:cs="Arial"/>
          <w:i/>
          <w:iCs/>
          <w:color w:val="000000"/>
          <w:sz w:val="20"/>
        </w:rPr>
        <w:t>Wong v The Queen</w:t>
      </w:r>
      <w:r w:rsidRPr="00310580">
        <w:rPr>
          <w:rFonts w:ascii="Arial" w:hAnsi="Arial" w:cs="Arial"/>
          <w:color w:val="000000"/>
          <w:sz w:val="20"/>
        </w:rPr>
        <w:t xml:space="preserve"> (2001) 207 CLR 584, 591 [6]; </w:t>
      </w:r>
      <w:r w:rsidRPr="00310580">
        <w:rPr>
          <w:rFonts w:ascii="Arial" w:hAnsi="Arial" w:cs="Arial"/>
          <w:i/>
          <w:iCs/>
          <w:color w:val="000000"/>
          <w:sz w:val="20"/>
        </w:rPr>
        <w:t>Hili v The Queen</w:t>
      </w:r>
      <w:r w:rsidRPr="00310580">
        <w:rPr>
          <w:rFonts w:ascii="Arial" w:hAnsi="Arial" w:cs="Arial"/>
          <w:color w:val="000000"/>
          <w:sz w:val="20"/>
        </w:rPr>
        <w:t xml:space="preserve"> (2010) 242 CLR 520, 534 [44], 535–6 [48]–[49]; </w:t>
      </w:r>
      <w:r w:rsidRPr="00310580">
        <w:rPr>
          <w:rFonts w:ascii="Arial" w:hAnsi="Arial" w:cs="Arial"/>
          <w:i/>
          <w:iCs/>
          <w:color w:val="000000"/>
          <w:sz w:val="20"/>
        </w:rPr>
        <w:t>Barbaro v The Queen</w:t>
      </w:r>
      <w:r w:rsidRPr="00310580">
        <w:rPr>
          <w:rFonts w:ascii="Arial" w:hAnsi="Arial" w:cs="Arial"/>
          <w:color w:val="000000"/>
          <w:sz w:val="20"/>
        </w:rPr>
        <w:t xml:space="preserve"> (2014) 253 CLR 58, 74 [40]–[41]; </w:t>
      </w:r>
      <w:r w:rsidRPr="00310580">
        <w:rPr>
          <w:rFonts w:ascii="Arial" w:hAnsi="Arial" w:cs="Arial"/>
          <w:i/>
          <w:iCs/>
          <w:color w:val="000000"/>
          <w:sz w:val="20"/>
        </w:rPr>
        <w:t>R v Pham</w:t>
      </w:r>
      <w:r w:rsidRPr="00310580">
        <w:rPr>
          <w:rFonts w:ascii="Arial" w:hAnsi="Arial" w:cs="Arial"/>
          <w:color w:val="000000"/>
          <w:sz w:val="20"/>
        </w:rPr>
        <w:t xml:space="preserve"> (2015) 256 CLR 550, 558–9 [26]–[28]; </w:t>
      </w:r>
      <w:r w:rsidRPr="00310580">
        <w:rPr>
          <w:rFonts w:ascii="Arial" w:hAnsi="Arial" w:cs="Arial"/>
          <w:i/>
          <w:iCs/>
          <w:color w:val="000000"/>
          <w:sz w:val="20"/>
        </w:rPr>
        <w:t>Dalgliesh</w:t>
      </w:r>
      <w:r w:rsidRPr="00310580">
        <w:rPr>
          <w:rFonts w:ascii="Arial" w:hAnsi="Arial" w:cs="Arial"/>
          <w:color w:val="000000"/>
          <w:sz w:val="20"/>
        </w:rPr>
        <w:t xml:space="preserve"> (2017) 262 CLR 428, 453–4 [82]–[83]; </w:t>
      </w:r>
      <w:r w:rsidRPr="00310580">
        <w:rPr>
          <w:rFonts w:ascii="Arial" w:hAnsi="Arial" w:cs="Arial"/>
          <w:i/>
          <w:iCs/>
          <w:color w:val="000000"/>
          <w:sz w:val="20"/>
        </w:rPr>
        <w:t>Hudson v The Queen</w:t>
      </w:r>
      <w:r w:rsidRPr="00310580">
        <w:rPr>
          <w:rFonts w:ascii="Arial" w:hAnsi="Arial" w:cs="Arial"/>
          <w:color w:val="000000"/>
          <w:sz w:val="20"/>
        </w:rPr>
        <w:t xml:space="preserve"> (2010) 30 VR 610, 617–18 [28]–[33]; </w:t>
      </w:r>
      <w:r w:rsidRPr="00310580">
        <w:rPr>
          <w:rFonts w:ascii="Arial" w:hAnsi="Arial" w:cs="Arial"/>
          <w:i/>
          <w:iCs/>
          <w:color w:val="000000"/>
          <w:sz w:val="20"/>
        </w:rPr>
        <w:t>Nguyen v The Queen</w:t>
      </w:r>
      <w:r w:rsidRPr="00310580">
        <w:rPr>
          <w:rFonts w:ascii="Arial" w:hAnsi="Arial" w:cs="Arial"/>
          <w:color w:val="000000"/>
          <w:sz w:val="20"/>
        </w:rPr>
        <w:t xml:space="preserve"> (2016) 261 A Crim R 1, [71]–[72]; </w:t>
      </w:r>
      <w:r w:rsidRPr="00424CB3">
        <w:rPr>
          <w:rFonts w:ascii="Arial" w:hAnsi="Arial" w:cs="Arial"/>
          <w:i/>
          <w:iCs/>
          <w:color w:val="000000"/>
          <w:sz w:val="20"/>
        </w:rPr>
        <w:t>DPP (Cth) v Thomas</w:t>
      </w:r>
      <w:r w:rsidRPr="00310580">
        <w:rPr>
          <w:rFonts w:ascii="Arial" w:hAnsi="Arial" w:cs="Arial"/>
          <w:color w:val="000000"/>
          <w:sz w:val="20"/>
        </w:rPr>
        <w:t xml:space="preserve"> (2016) 53 VR 546, 606–11 [171]– [187]; </w:t>
      </w:r>
      <w:r w:rsidRPr="00424CB3">
        <w:rPr>
          <w:rFonts w:ascii="Arial" w:hAnsi="Arial" w:cs="Arial"/>
          <w:i/>
          <w:iCs/>
          <w:color w:val="000000"/>
          <w:sz w:val="20"/>
        </w:rPr>
        <w:t>Hasan v The Queen</w:t>
      </w:r>
      <w:r w:rsidRPr="00310580">
        <w:rPr>
          <w:rFonts w:ascii="Arial" w:hAnsi="Arial" w:cs="Arial"/>
          <w:color w:val="000000"/>
          <w:sz w:val="20"/>
        </w:rPr>
        <w:t xml:space="preserve"> (2010) 31 VR 28, 38 [44]; </w:t>
      </w:r>
      <w:r w:rsidRPr="00424CB3">
        <w:rPr>
          <w:rFonts w:ascii="Arial" w:hAnsi="Arial" w:cs="Arial"/>
          <w:i/>
          <w:iCs/>
          <w:color w:val="000000"/>
          <w:sz w:val="20"/>
        </w:rPr>
        <w:t>Fichtner v The Queen</w:t>
      </w:r>
      <w:r w:rsidRPr="00310580">
        <w:rPr>
          <w:rFonts w:ascii="Arial" w:hAnsi="Arial" w:cs="Arial"/>
          <w:color w:val="000000"/>
          <w:sz w:val="20"/>
        </w:rPr>
        <w:t xml:space="preserve"> [2019] VSCA 297, [100]; </w:t>
      </w:r>
      <w:r w:rsidRPr="00424CB3">
        <w:rPr>
          <w:rFonts w:ascii="Arial" w:hAnsi="Arial" w:cs="Arial"/>
          <w:i/>
          <w:iCs/>
          <w:color w:val="000000"/>
          <w:sz w:val="20"/>
        </w:rPr>
        <w:t>Staples v The Queen</w:t>
      </w:r>
      <w:r w:rsidRPr="00310580">
        <w:rPr>
          <w:rFonts w:ascii="Arial" w:hAnsi="Arial" w:cs="Arial"/>
          <w:color w:val="000000"/>
          <w:sz w:val="20"/>
        </w:rPr>
        <w:t xml:space="preserve"> [2021] VSCA 307, [88]; </w:t>
      </w:r>
      <w:r w:rsidRPr="00424CB3">
        <w:rPr>
          <w:rFonts w:ascii="Arial" w:hAnsi="Arial" w:cs="Arial"/>
          <w:i/>
          <w:iCs/>
          <w:color w:val="000000"/>
          <w:sz w:val="20"/>
        </w:rPr>
        <w:t>Lieu v The Queen</w:t>
      </w:r>
      <w:r w:rsidRPr="00310580">
        <w:rPr>
          <w:rFonts w:ascii="Arial" w:hAnsi="Arial" w:cs="Arial"/>
          <w:color w:val="000000"/>
          <w:sz w:val="20"/>
        </w:rPr>
        <w:t xml:space="preserve"> (2016) 263 A Crim R 173, [46]–[47]; </w:t>
      </w:r>
      <w:r w:rsidRPr="00424CB3">
        <w:rPr>
          <w:rFonts w:ascii="Arial" w:hAnsi="Arial" w:cs="Arial"/>
          <w:i/>
          <w:iCs/>
          <w:color w:val="000000"/>
          <w:sz w:val="20"/>
        </w:rPr>
        <w:t>DPP (Cth) &amp; DPP (Vic) v Edge</w:t>
      </w:r>
      <w:r w:rsidRPr="00310580">
        <w:rPr>
          <w:rFonts w:ascii="Arial" w:hAnsi="Arial" w:cs="Arial"/>
          <w:color w:val="000000"/>
          <w:sz w:val="20"/>
        </w:rPr>
        <w:t xml:space="preserve"> [2012] VSCA 289, [60]; </w:t>
      </w:r>
      <w:r w:rsidRPr="00424CB3">
        <w:rPr>
          <w:rFonts w:ascii="Arial" w:hAnsi="Arial" w:cs="Arial"/>
          <w:i/>
          <w:iCs/>
          <w:color w:val="000000"/>
          <w:sz w:val="20"/>
        </w:rPr>
        <w:t>R v Stratton</w:t>
      </w:r>
      <w:r w:rsidRPr="00310580">
        <w:rPr>
          <w:rFonts w:ascii="Arial" w:hAnsi="Arial" w:cs="Arial"/>
          <w:color w:val="000000"/>
          <w:sz w:val="20"/>
        </w:rPr>
        <w:t xml:space="preserve"> (2008) 20 VR 539, [93], citing </w:t>
      </w:r>
      <w:r w:rsidRPr="00424CB3">
        <w:rPr>
          <w:rFonts w:ascii="Arial" w:hAnsi="Arial" w:cs="Arial"/>
          <w:i/>
          <w:iCs/>
          <w:color w:val="000000"/>
          <w:sz w:val="20"/>
        </w:rPr>
        <w:t>R v Arney</w:t>
      </w:r>
      <w:r w:rsidRPr="00310580">
        <w:rPr>
          <w:rFonts w:ascii="Arial" w:hAnsi="Arial" w:cs="Arial"/>
          <w:color w:val="000000"/>
          <w:sz w:val="20"/>
        </w:rPr>
        <w:t xml:space="preserve"> [2007] VSCA 126, [14].</w:t>
      </w:r>
      <w:r w:rsidR="00424CB3">
        <w:rPr>
          <w:rFonts w:ascii="Arial" w:hAnsi="Arial" w:cs="Arial"/>
          <w:color w:val="000000"/>
          <w:sz w:val="20"/>
        </w:rPr>
        <w:t xml:space="preserve"> </w:t>
      </w:r>
      <w:r w:rsidR="00424CB3" w:rsidRPr="00310580">
        <w:rPr>
          <w:rFonts w:ascii="Arial" w:hAnsi="Arial" w:cs="Arial"/>
          <w:color w:val="000000"/>
          <w:sz w:val="20"/>
        </w:rPr>
        <w:t>In sentencing, the judge must instinctively synthesise the factors relevant to the offender and the offending, and dispense individualised justice.</w:t>
      </w:r>
    </w:p>
    <w:p w14:paraId="2B5FE8DE" w14:textId="03580B5D" w:rsidR="00424CB3" w:rsidRDefault="00424CB3"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[110] </w:t>
      </w:r>
      <w:r w:rsidRPr="00310580">
        <w:rPr>
          <w:rFonts w:ascii="Arial" w:hAnsi="Arial" w:cs="Arial"/>
          <w:color w:val="000000"/>
          <w:sz w:val="20"/>
        </w:rPr>
        <w:t xml:space="preserve">In any event, we do not consider that the sentence imposed was out of step with current sentencing practice. In </w:t>
      </w:r>
      <w:r w:rsidRPr="00424CB3">
        <w:rPr>
          <w:rFonts w:ascii="Arial" w:hAnsi="Arial" w:cs="Arial"/>
          <w:i/>
          <w:iCs/>
          <w:color w:val="000000"/>
          <w:sz w:val="20"/>
        </w:rPr>
        <w:t>Tufue</w:t>
      </w:r>
      <w:r w:rsidRPr="00310580">
        <w:rPr>
          <w:rFonts w:ascii="Arial" w:hAnsi="Arial" w:cs="Arial"/>
          <w:color w:val="000000"/>
          <w:sz w:val="20"/>
        </w:rPr>
        <w:t xml:space="preserve"> </w:t>
      </w:r>
      <w:r w:rsidR="00C07B6D">
        <w:rPr>
          <w:rFonts w:ascii="Arial" w:hAnsi="Arial" w:cs="Arial"/>
          <w:color w:val="000000"/>
          <w:sz w:val="20"/>
        </w:rPr>
        <w:t xml:space="preserve">[2024] VSCA 22, </w:t>
      </w:r>
      <w:r w:rsidRPr="00310580">
        <w:rPr>
          <w:rFonts w:ascii="Arial" w:hAnsi="Arial" w:cs="Arial"/>
          <w:color w:val="000000"/>
          <w:sz w:val="20"/>
        </w:rPr>
        <w:t xml:space="preserve">the appellant had a limited criminal history and in </w:t>
      </w:r>
      <w:r w:rsidRPr="00424CB3">
        <w:rPr>
          <w:rFonts w:ascii="Arial" w:hAnsi="Arial" w:cs="Arial"/>
          <w:i/>
          <w:iCs/>
          <w:color w:val="000000"/>
          <w:sz w:val="20"/>
        </w:rPr>
        <w:t>Raoof</w:t>
      </w:r>
      <w:r w:rsidRPr="00310580">
        <w:rPr>
          <w:rFonts w:ascii="Arial" w:hAnsi="Arial" w:cs="Arial"/>
          <w:color w:val="000000"/>
          <w:sz w:val="20"/>
        </w:rPr>
        <w:t xml:space="preserve"> </w:t>
      </w:r>
      <w:r w:rsidR="00C07B6D">
        <w:rPr>
          <w:rFonts w:ascii="Arial" w:hAnsi="Arial" w:cs="Arial"/>
          <w:color w:val="000000"/>
          <w:sz w:val="20"/>
        </w:rPr>
        <w:t xml:space="preserve">[2016] VSCA 180, </w:t>
      </w:r>
      <w:r w:rsidRPr="00310580">
        <w:rPr>
          <w:rFonts w:ascii="Arial" w:hAnsi="Arial" w:cs="Arial"/>
          <w:color w:val="000000"/>
          <w:sz w:val="20"/>
        </w:rPr>
        <w:t>the applicant required involuntary psychiatric treatment immediately following the offending. He did not have prior convictions for aggravated burglary.</w:t>
      </w:r>
      <w:r>
        <w:rPr>
          <w:rFonts w:ascii="Arial" w:hAnsi="Arial" w:cs="Arial"/>
          <w:color w:val="000000"/>
          <w:sz w:val="20"/>
        </w:rPr>
        <w:t>”</w:t>
      </w:r>
    </w:p>
    <w:p w14:paraId="3260B5F5" w14:textId="77777777" w:rsidR="00310580" w:rsidRDefault="00310580" w:rsidP="00424CB3">
      <w:pPr>
        <w:pStyle w:val="Normal-Cover"/>
        <w:widowControl/>
        <w:jc w:val="both"/>
        <w:rPr>
          <w:rFonts w:ascii="Arial" w:hAnsi="Arial" w:cs="Arial"/>
          <w:color w:val="000000"/>
          <w:sz w:val="20"/>
        </w:rPr>
      </w:pPr>
    </w:p>
    <w:p w14:paraId="4E406C3F" w14:textId="08B51D62" w:rsidR="008E575B" w:rsidRDefault="008E575B" w:rsidP="00871139">
      <w:pPr>
        <w:pStyle w:val="Normal-Cover"/>
        <w:jc w:val="both"/>
        <w:rPr>
          <w:rFonts w:ascii="Arial" w:hAnsi="Arial" w:cs="Arial"/>
          <w:color w:val="000000"/>
          <w:sz w:val="20"/>
        </w:rPr>
      </w:pPr>
      <w:r>
        <w:rPr>
          <w:rFonts w:ascii="Arial" w:hAnsi="Arial" w:cs="Arial"/>
          <w:color w:val="000000"/>
          <w:sz w:val="20"/>
        </w:rPr>
        <w:t xml:space="preserve">Other cases in which the issue of “current sentencing practices” has been discussed include </w:t>
      </w:r>
      <w:r w:rsidR="00FB2E4B" w:rsidRPr="001C6E0E">
        <w:rPr>
          <w:rFonts w:ascii="Arial" w:hAnsi="Arial" w:cs="Arial"/>
          <w:i/>
          <w:color w:val="000000"/>
          <w:sz w:val="20"/>
        </w:rPr>
        <w:t>R v Ashdown</w:t>
      </w:r>
      <w:r w:rsidR="00FB2E4B" w:rsidRPr="001C6E0E">
        <w:rPr>
          <w:rFonts w:ascii="Arial" w:hAnsi="Arial" w:cs="Arial"/>
          <w:color w:val="000000"/>
          <w:sz w:val="20"/>
        </w:rPr>
        <w:t xml:space="preserve"> [2011] VSCA 408</w:t>
      </w:r>
      <w:r w:rsidR="00FB2E4B">
        <w:rPr>
          <w:rFonts w:ascii="Arial" w:hAnsi="Arial" w:cs="Arial"/>
          <w:color w:val="000000"/>
          <w:sz w:val="20"/>
        </w:rPr>
        <w:t xml:space="preserve">; </w:t>
      </w:r>
      <w:r w:rsidR="00FB2E4B" w:rsidRPr="00CA1495">
        <w:rPr>
          <w:rFonts w:ascii="Arial" w:hAnsi="Arial" w:cs="Arial"/>
          <w:bCs/>
          <w:i/>
          <w:color w:val="000000"/>
          <w:sz w:val="20"/>
        </w:rPr>
        <w:t>Hogarth v The Queen</w:t>
      </w:r>
      <w:r w:rsidR="00FB2E4B" w:rsidRPr="00CA1495">
        <w:rPr>
          <w:rFonts w:ascii="Arial" w:hAnsi="Arial" w:cs="Arial"/>
          <w:bCs/>
          <w:color w:val="000000"/>
          <w:sz w:val="20"/>
        </w:rPr>
        <w:t xml:space="preserve"> </w:t>
      </w:r>
      <w:r w:rsidR="00FB2E4B" w:rsidRPr="00CA1495">
        <w:rPr>
          <w:rFonts w:ascii="Arial" w:hAnsi="Arial" w:cs="Arial"/>
          <w:color w:val="000000"/>
          <w:sz w:val="20"/>
        </w:rPr>
        <w:t>(2012) 37 VR 658;</w:t>
      </w:r>
      <w:r w:rsidR="00FB2E4B" w:rsidRPr="00CA1495">
        <w:rPr>
          <w:color w:val="000000"/>
        </w:rPr>
        <w:t xml:space="preserve"> </w:t>
      </w:r>
      <w:r w:rsidR="00FB2E4B" w:rsidRPr="00CA1495">
        <w:rPr>
          <w:rFonts w:ascii="Arial" w:hAnsi="Arial" w:cs="Arial"/>
          <w:bCs/>
          <w:color w:val="000000"/>
          <w:sz w:val="20"/>
        </w:rPr>
        <w:t>[2012] VSCA 302</w:t>
      </w:r>
      <w:r w:rsidR="00FB2E4B">
        <w:rPr>
          <w:rFonts w:ascii="Arial" w:hAnsi="Arial" w:cs="Arial"/>
          <w:bCs/>
          <w:color w:val="000000"/>
          <w:sz w:val="20"/>
        </w:rPr>
        <w:t xml:space="preserve">; </w:t>
      </w:r>
      <w:r w:rsidR="00FB2E4B" w:rsidRPr="00B233F7">
        <w:rPr>
          <w:rFonts w:ascii="Arial" w:hAnsi="Arial" w:cs="Arial"/>
          <w:i/>
          <w:iCs/>
          <w:color w:val="000000"/>
          <w:sz w:val="20"/>
        </w:rPr>
        <w:t>Jawahiri v The Queen</w:t>
      </w:r>
      <w:r w:rsidR="00FB2E4B">
        <w:rPr>
          <w:rFonts w:ascii="Arial" w:hAnsi="Arial" w:cs="Arial"/>
          <w:color w:val="000000"/>
          <w:sz w:val="20"/>
        </w:rPr>
        <w:t xml:space="preserve">; </w:t>
      </w:r>
      <w:r w:rsidR="00FB2E4B" w:rsidRPr="00B233F7">
        <w:rPr>
          <w:rFonts w:ascii="Arial" w:hAnsi="Arial" w:cs="Arial"/>
          <w:i/>
          <w:iCs/>
          <w:color w:val="000000"/>
          <w:sz w:val="20"/>
        </w:rPr>
        <w:t>Eser v The Queen</w:t>
      </w:r>
      <w:r w:rsidR="00FB2E4B">
        <w:rPr>
          <w:rFonts w:ascii="Arial" w:hAnsi="Arial" w:cs="Arial"/>
          <w:color w:val="000000"/>
          <w:sz w:val="20"/>
        </w:rPr>
        <w:t xml:space="preserve"> [2021] VSCA 287; </w:t>
      </w:r>
      <w:r w:rsidR="00FB2E4B" w:rsidRPr="00856AB4">
        <w:rPr>
          <w:rFonts w:ascii="Arial" w:hAnsi="Arial" w:cs="Arial"/>
          <w:bCs/>
          <w:i/>
          <w:iCs/>
          <w:color w:val="000000"/>
          <w:sz w:val="20"/>
          <w:lang w:val="en-US"/>
        </w:rPr>
        <w:t>Lawrence (a pseudonym) v The Queen</w:t>
      </w:r>
      <w:r w:rsidR="00FB2E4B" w:rsidRPr="00856AB4">
        <w:rPr>
          <w:rFonts w:ascii="Arial" w:hAnsi="Arial" w:cs="Arial"/>
          <w:bCs/>
          <w:color w:val="000000"/>
          <w:sz w:val="20"/>
          <w:lang w:val="en-US"/>
        </w:rPr>
        <w:t xml:space="preserve"> [2021] VSCA 291</w:t>
      </w:r>
      <w:r w:rsidR="00FB2E4B">
        <w:rPr>
          <w:rFonts w:ascii="Arial" w:hAnsi="Arial" w:cs="Arial"/>
          <w:bCs/>
          <w:color w:val="000000"/>
          <w:sz w:val="20"/>
          <w:lang w:val="en-US"/>
        </w:rPr>
        <w:t xml:space="preserve">; </w:t>
      </w:r>
      <w:r w:rsidR="00FB2E4B" w:rsidRPr="00C53DC9">
        <w:rPr>
          <w:rFonts w:ascii="Arial" w:hAnsi="Arial" w:cs="Arial"/>
          <w:i/>
          <w:iCs/>
          <w:sz w:val="20"/>
        </w:rPr>
        <w:t>Weatherburn v The King</w:t>
      </w:r>
      <w:r w:rsidR="00FB2E4B">
        <w:rPr>
          <w:rFonts w:ascii="Arial" w:hAnsi="Arial" w:cs="Arial"/>
          <w:sz w:val="20"/>
        </w:rPr>
        <w:t xml:space="preserve"> [2023] VSCA 283; </w:t>
      </w:r>
      <w:r w:rsidRPr="00E34BD7">
        <w:rPr>
          <w:rFonts w:ascii="Arial" w:hAnsi="Arial" w:cs="Arial"/>
          <w:i/>
          <w:iCs/>
          <w:sz w:val="20"/>
        </w:rPr>
        <w:t>R v MA</w:t>
      </w:r>
      <w:r>
        <w:rPr>
          <w:rFonts w:ascii="Arial" w:hAnsi="Arial" w:cs="Arial"/>
          <w:sz w:val="20"/>
        </w:rPr>
        <w:t xml:space="preserve"> [2023] VSC 613; </w:t>
      </w:r>
      <w:r w:rsidRPr="008618B1">
        <w:rPr>
          <w:rFonts w:ascii="Arial" w:hAnsi="Arial" w:cs="Arial"/>
          <w:i/>
          <w:iCs/>
          <w:color w:val="000000"/>
          <w:sz w:val="20"/>
        </w:rPr>
        <w:t xml:space="preserve">DPP v Ali &amp; Ors </w:t>
      </w:r>
      <w:r w:rsidRPr="008618B1">
        <w:rPr>
          <w:rFonts w:ascii="Arial" w:hAnsi="Arial" w:cs="Arial"/>
          <w:color w:val="000000"/>
          <w:sz w:val="20"/>
        </w:rPr>
        <w:t>[2024] VSC 601</w:t>
      </w:r>
      <w:r>
        <w:rPr>
          <w:rFonts w:ascii="Arial" w:hAnsi="Arial" w:cs="Arial"/>
          <w:color w:val="000000"/>
          <w:sz w:val="20"/>
        </w:rPr>
        <w:t xml:space="preserve">; </w:t>
      </w:r>
      <w:r w:rsidRPr="00354973">
        <w:rPr>
          <w:rFonts w:ascii="Arial" w:hAnsi="Arial" w:cs="Arial"/>
          <w:i/>
          <w:iCs/>
          <w:color w:val="000000"/>
          <w:sz w:val="20"/>
        </w:rPr>
        <w:t>DPP v Sako</w:t>
      </w:r>
      <w:r>
        <w:rPr>
          <w:rFonts w:ascii="Arial" w:hAnsi="Arial" w:cs="Arial"/>
          <w:color w:val="000000"/>
          <w:sz w:val="20"/>
        </w:rPr>
        <w:t xml:space="preserve"> [2024] VSC 77; </w:t>
      </w:r>
      <w:r w:rsidR="00807D42" w:rsidRPr="00EA5B5D">
        <w:rPr>
          <w:rFonts w:ascii="Arial" w:hAnsi="Arial" w:cs="Arial"/>
          <w:bCs/>
          <w:i/>
          <w:iCs/>
          <w:color w:val="000000"/>
          <w:sz w:val="20"/>
          <w:lang w:val="en-US"/>
        </w:rPr>
        <w:t>Haddara v The King</w:t>
      </w:r>
      <w:r w:rsidR="00807D42">
        <w:rPr>
          <w:rFonts w:ascii="Arial" w:hAnsi="Arial" w:cs="Arial"/>
          <w:bCs/>
          <w:color w:val="000000"/>
          <w:sz w:val="20"/>
          <w:lang w:val="en-US"/>
        </w:rPr>
        <w:t xml:space="preserve"> [2024] VSCA 269</w:t>
      </w:r>
      <w:r w:rsidR="00783F77">
        <w:rPr>
          <w:rFonts w:ascii="Arial" w:hAnsi="Arial" w:cs="Arial"/>
          <w:bCs/>
          <w:color w:val="000000"/>
          <w:sz w:val="20"/>
          <w:lang w:val="en-US"/>
        </w:rPr>
        <w:t xml:space="preserve">; </w:t>
      </w:r>
      <w:r w:rsidR="00D51602" w:rsidRPr="00D51602">
        <w:rPr>
          <w:rFonts w:ascii="Arial" w:hAnsi="Arial" w:cs="Arial"/>
          <w:bCs/>
          <w:i/>
          <w:iCs/>
          <w:color w:val="000000"/>
          <w:sz w:val="20"/>
          <w:lang w:val="en-US"/>
        </w:rPr>
        <w:t>R v Loughnane</w:t>
      </w:r>
      <w:r w:rsidR="00D51602">
        <w:rPr>
          <w:rFonts w:ascii="Arial" w:hAnsi="Arial" w:cs="Arial"/>
          <w:bCs/>
          <w:color w:val="000000"/>
          <w:sz w:val="20"/>
          <w:lang w:val="en-US"/>
        </w:rPr>
        <w:t xml:space="preserve"> [2025] VSC 41 at [</w:t>
      </w:r>
      <w:r w:rsidR="004512E1">
        <w:rPr>
          <w:rFonts w:ascii="Arial" w:hAnsi="Arial" w:cs="Arial"/>
          <w:bCs/>
          <w:color w:val="000000"/>
          <w:sz w:val="20"/>
          <w:lang w:val="en-US"/>
        </w:rPr>
        <w:t>72</w:t>
      </w:r>
      <w:r w:rsidR="00D51602">
        <w:rPr>
          <w:rFonts w:ascii="Arial" w:hAnsi="Arial" w:cs="Arial"/>
          <w:bCs/>
          <w:color w:val="000000"/>
          <w:sz w:val="20"/>
          <w:lang w:val="en-US"/>
        </w:rPr>
        <w:t>]</w:t>
      </w:r>
      <w:r w:rsidR="00807D42">
        <w:rPr>
          <w:rFonts w:ascii="Arial" w:hAnsi="Arial" w:cs="Arial"/>
          <w:bCs/>
          <w:color w:val="000000"/>
          <w:sz w:val="20"/>
          <w:lang w:val="en-US"/>
        </w:rPr>
        <w:t>.</w:t>
      </w:r>
    </w:p>
    <w:p w14:paraId="76B8E0FE" w14:textId="77777777" w:rsidR="008E575B" w:rsidRDefault="008E575B" w:rsidP="00871139">
      <w:pPr>
        <w:pStyle w:val="Normal-Cover"/>
        <w:jc w:val="both"/>
        <w:rPr>
          <w:rFonts w:ascii="Arial" w:hAnsi="Arial" w:cs="Arial"/>
          <w:color w:val="000000"/>
          <w:sz w:val="20"/>
        </w:rPr>
      </w:pPr>
    </w:p>
    <w:bookmarkEnd w:id="564"/>
    <w:p w14:paraId="0715AB5C" w14:textId="77777777" w:rsidR="00AA1C29" w:rsidRPr="00DD24BF" w:rsidRDefault="00AA1C29" w:rsidP="00AA1C29">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55B9DC5" w14:textId="63360F9F" w:rsidR="00AA1C29" w:rsidRPr="007B6500" w:rsidRDefault="00AA1C29" w:rsidP="00AA1C29">
      <w:pPr>
        <w:pStyle w:val="Heading2"/>
        <w:tabs>
          <w:tab w:val="left" w:pos="567"/>
        </w:tabs>
        <w:spacing w:line="240" w:lineRule="auto"/>
        <w:ind w:left="567" w:hanging="567"/>
        <w:rPr>
          <w:rFonts w:ascii="Arial" w:hAnsi="Arial" w:cs="Arial"/>
          <w:color w:val="000000"/>
          <w:sz w:val="20"/>
        </w:rPr>
      </w:pPr>
    </w:p>
    <w:p w14:paraId="06C074FF" w14:textId="77777777" w:rsidR="00AA1C29" w:rsidRDefault="00AA1C29" w:rsidP="00AA1C29">
      <w:pPr>
        <w:rPr>
          <w:rFonts w:ascii="Arial" w:hAnsi="Arial" w:cs="Arial"/>
          <w:b/>
          <w:color w:val="000000"/>
          <w:kern w:val="28"/>
          <w:sz w:val="20"/>
          <w:szCs w:val="20"/>
          <w:lang w:val="en-GB"/>
        </w:rPr>
      </w:pPr>
      <w:r>
        <w:rPr>
          <w:rFonts w:ascii="Arial" w:hAnsi="Arial" w:cs="Arial"/>
          <w:b/>
          <w:color w:val="000000"/>
          <w:sz w:val="20"/>
        </w:rPr>
        <w:br w:type="page"/>
      </w:r>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R v Van Xang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R v Filipovic; R v Gelevski</w:t>
      </w:r>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Nunno</w:t>
      </w:r>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r w:rsidRPr="001C6E0E">
        <w:rPr>
          <w:rFonts w:ascii="Arial" w:hAnsi="Arial" w:cs="Arial"/>
          <w:color w:val="000000"/>
          <w:sz w:val="20"/>
        </w:rPr>
        <w:t xml:space="preserve">Cavanough AJA (with whom </w:t>
      </w:r>
      <w:r w:rsidR="005258C7" w:rsidRPr="001C6E0E">
        <w:rPr>
          <w:rFonts w:ascii="Arial" w:hAnsi="Arial" w:cs="Arial"/>
          <w:color w:val="000000"/>
          <w:sz w:val="20"/>
        </w:rPr>
        <w:t>Buchanan JA &amp; Coldrey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grevious bodily harm on the victim, had been sentenced to identical terms of imprisonment on both counts.  In allowing an appeal from the Supreme Court of NSW, the High Court held that the offender had been doubly punished for one act.  At p.623 McHugh, Hayne &amp; Callinan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w:t>
      </w:r>
      <w:r w:rsidRPr="001C6E0E">
        <w:rPr>
          <w:rFonts w:ascii="Arial" w:hAnsi="Arial" w:cs="Arial"/>
          <w:color w:val="000000"/>
          <w:sz w:val="20"/>
        </w:rPr>
        <w:lastRenderedPageBreak/>
        <w:t>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rsidP="00465EE8">
      <w:pPr>
        <w:jc w:val="both"/>
        <w:rPr>
          <w:rFonts w:ascii="Arial" w:hAnsi="Arial" w:cs="Arial"/>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Lecornu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Callinan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392AD6">
      <w:pPr>
        <w:spacing w:before="60"/>
        <w:ind w:left="1701" w:right="567" w:hanging="1134"/>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r w:rsidRPr="0068410F">
        <w:rPr>
          <w:rFonts w:ascii="Arial" w:hAnsi="Arial" w:cs="Arial"/>
          <w:i/>
          <w:color w:val="000000"/>
          <w:sz w:val="20"/>
          <w:szCs w:val="20"/>
        </w:rPr>
        <w:t>Lipp v The Queen</w:t>
      </w:r>
      <w:r w:rsidRPr="0068410F">
        <w:rPr>
          <w:rFonts w:ascii="Arial" w:hAnsi="Arial" w:cs="Arial"/>
          <w:color w:val="000000"/>
          <w:sz w:val="20"/>
          <w:szCs w:val="20"/>
        </w:rPr>
        <w:t xml:space="preserve"> [2013] VSCA 384 </w:t>
      </w:r>
      <w:r w:rsidR="00F76CA5" w:rsidRPr="0068410F">
        <w:rPr>
          <w:rFonts w:ascii="Arial" w:hAnsi="Arial" w:cs="Arial"/>
          <w:color w:val="000000"/>
          <w:sz w:val="20"/>
          <w:szCs w:val="20"/>
        </w:rPr>
        <w:t xml:space="preserve">esp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77777777"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 xml:space="preserve">Whether as a consequence of the common law or by virtue of s 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77777777" w:rsidR="001E3767" w:rsidRPr="001C6E0E" w:rsidRDefault="00202010" w:rsidP="00465EE8">
      <w:pPr>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Bekhazi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77777777" w:rsidR="00942518" w:rsidRPr="001C6E0E" w:rsidRDefault="006C21A7" w:rsidP="00E51574">
      <w:pPr>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lastRenderedPageBreak/>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eratically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In dismissing the appeal on this ground, Kyrou, Emerton &amp; Sifris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r w:rsidR="00CF71DD" w:rsidRPr="001C6E0E">
        <w:rPr>
          <w:rFonts w:ascii="Arial" w:hAnsi="Arial" w:cs="Arial"/>
          <w:color w:val="000000"/>
          <w:sz w:val="20"/>
        </w:rPr>
        <w:t xml:space="preserve">Chernov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Callinan JJ and the judgment of Gummow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w:t>
      </w:r>
      <w:r w:rsidR="003A0EFE" w:rsidRPr="001C6E0E">
        <w:rPr>
          <w:rFonts w:ascii="Arial" w:hAnsi="Arial" w:cs="Arial"/>
          <w:color w:val="000000"/>
          <w:sz w:val="20"/>
        </w:rPr>
        <w:lastRenderedPageBreak/>
        <w:t xml:space="preserve">twice for the same act: </w:t>
      </w:r>
      <w:r w:rsidR="003A0EFE" w:rsidRPr="001C6E0E">
        <w:rPr>
          <w:rFonts w:ascii="Arial" w:hAnsi="Arial" w:cs="Arial"/>
          <w:i/>
          <w:color w:val="000000"/>
          <w:sz w:val="20"/>
        </w:rPr>
        <w:t xml:space="preserve">R v </w:t>
      </w:r>
      <w:smartTag w:uri="urn:schemas-microsoft-com:office:smarttags" w:element="place">
        <w:smartTag w:uri="urn:schemas-microsoft-com:office:smarttags" w:element="City">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Chhom Nor </w:t>
      </w:r>
      <w:r w:rsidR="003A0EFE" w:rsidRPr="001C6E0E">
        <w:rPr>
          <w:rFonts w:ascii="Arial" w:hAnsi="Arial" w:cs="Arial"/>
          <w:color w:val="000000"/>
          <w:sz w:val="20"/>
        </w:rPr>
        <w:t xml:space="preserve">[2005] VSCA 46 at [15] (Chernov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7777777"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R v Audino</w:t>
      </w:r>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r w:rsidRPr="001C6E0E">
        <w:rPr>
          <w:rFonts w:ascii="Arial" w:hAnsi="Arial" w:cs="Arial"/>
          <w:i/>
          <w:color w:val="000000"/>
          <w:sz w:val="20"/>
        </w:rPr>
        <w:t>Audino</w:t>
      </w:r>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 xml:space="preserve">Lecornu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w:t>
      </w:r>
      <w:r w:rsidRPr="001C6E0E">
        <w:rPr>
          <w:rFonts w:ascii="Arial" w:hAnsi="Arial" w:cs="Arial"/>
          <w:color w:val="000000"/>
          <w:sz w:val="20"/>
        </w:rPr>
        <w:lastRenderedPageBreak/>
        <w:t xml:space="preserve">charges of failing, by committing the CP offences, to comply with a condition of the ESO.  He was sentenced to </w:t>
      </w:r>
      <w:r w:rsidR="001F027C" w:rsidRPr="001C6E0E">
        <w:rPr>
          <w:rFonts w:ascii="Arial" w:hAnsi="Arial" w:cs="Arial"/>
          <w:color w:val="000000"/>
          <w:sz w:val="20"/>
        </w:rPr>
        <w:t>IMP 15m on the CP charges and IMP 6m, of which 5m was cumulative, on the breach charges.  The Court of Appeal found no abuse of process and no double punishment in L being 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Cavanough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r w:rsidRPr="00114FB9">
        <w:rPr>
          <w:rFonts w:ascii="Arial" w:hAnsi="Arial" w:cs="Arial"/>
          <w:i/>
          <w:color w:val="000000"/>
          <w:sz w:val="20"/>
        </w:rPr>
        <w:t>Lecornu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r w:rsidRPr="0068410F">
        <w:rPr>
          <w:rFonts w:ascii="Arial" w:hAnsi="Arial" w:cs="Arial"/>
          <w:i/>
          <w:color w:val="000000"/>
          <w:sz w:val="20"/>
          <w:szCs w:val="20"/>
        </w:rPr>
        <w:t>Giretti</w:t>
      </w:r>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r w:rsidRPr="0068410F">
        <w:rPr>
          <w:rFonts w:ascii="Arial" w:hAnsi="Arial" w:cs="Arial"/>
          <w:i/>
          <w:color w:val="000000"/>
          <w:sz w:val="20"/>
          <w:szCs w:val="20"/>
        </w:rPr>
        <w:t xml:space="preserve">Giretti and Giretti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 xml:space="preserve">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Nield, leading a double life. Over many years, the appellant was doing ‘good works’ while he was committing grave offences. This contradiction indicates that the appellant’s otherwise good character was a minor factor to be weighed. Thirdly, the </w:t>
      </w:r>
      <w:r w:rsidRPr="00E034D6">
        <w:rPr>
          <w:rFonts w:ascii="Arial" w:hAnsi="Arial" w:cs="Arial"/>
          <w:sz w:val="18"/>
          <w:szCs w:val="18"/>
        </w:rPr>
        <w:lastRenderedPageBreak/>
        <w:t>appellant committed the offences in the course of his priestly duties and it was as a priest that he did the ‘good works’ which are at the heart of his claim of good character. 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r w:rsidRPr="00E034D6">
        <w:rPr>
          <w:rFonts w:ascii="Arial" w:hAnsi="Arial" w:cs="Arial"/>
          <w:i/>
          <w:iCs/>
          <w:sz w:val="20"/>
          <w:szCs w:val="20"/>
        </w:rPr>
        <w:t>Torrefranca</w:t>
      </w:r>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Pr="0068410F" w:rsidRDefault="00422C67" w:rsidP="00572B63">
      <w:pPr>
        <w:jc w:val="both"/>
        <w:rPr>
          <w:rFonts w:ascii="Arial" w:hAnsi="Arial" w:cs="Arial"/>
          <w:color w:val="000000"/>
          <w:sz w:val="20"/>
        </w:rPr>
      </w:pPr>
    </w:p>
    <w:p w14:paraId="43EF643B" w14:textId="3E5F4F76"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El-Kotob</w:t>
      </w:r>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Chhom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R v Chin Poh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 xml:space="preserve">R v Henderson-Drife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R v King - R v Ngyouen</w:t>
      </w:r>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R v Audino</w:t>
      </w:r>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R v Mario Katsoulas</w:t>
      </w:r>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Bidmade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r w:rsidR="00070D40" w:rsidRPr="0068410F">
        <w:rPr>
          <w:rFonts w:ascii="Arial" w:hAnsi="Arial" w:cs="Arial"/>
          <w:i/>
          <w:color w:val="000000"/>
          <w:sz w:val="20"/>
        </w:rPr>
        <w:t>Stamenkovic</w:t>
      </w:r>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R v Azzopardi, R v Baltatzis,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&amp; Ors</w:t>
      </w:r>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DPP v Gangur</w:t>
      </w:r>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 xml:space="preserve">(2013) 39 </w:t>
      </w:r>
      <w:r w:rsidR="00930EDD">
        <w:rPr>
          <w:rFonts w:ascii="Arial" w:hAnsi="Arial" w:cs="Arial"/>
          <w:color w:val="000000" w:themeColor="text1"/>
          <w:sz w:val="20"/>
          <w:szCs w:val="20"/>
          <w:shd w:val="clear" w:color="auto" w:fill="FFFFFF"/>
        </w:rPr>
        <w:t xml:space="preserve">VR </w:t>
      </w:r>
      <w:r w:rsidR="00C41A9F" w:rsidRPr="00C41A9F">
        <w:rPr>
          <w:rFonts w:ascii="Arial" w:hAnsi="Arial" w:cs="Arial"/>
          <w:color w:val="000000" w:themeColor="text1"/>
          <w:sz w:val="20"/>
          <w:szCs w:val="20"/>
          <w:shd w:val="clear" w:color="auto" w:fill="FFFFFF"/>
        </w:rPr>
        <w:t>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r w:rsidR="00573DFB" w:rsidRPr="0068410F">
        <w:rPr>
          <w:rFonts w:ascii="Arial" w:hAnsi="Arial" w:cs="Arial"/>
          <w:i/>
          <w:color w:val="000000"/>
          <w:sz w:val="20"/>
          <w:szCs w:val="20"/>
        </w:rPr>
        <w:t>Lipp v The Queen</w:t>
      </w:r>
      <w:r w:rsidR="00573DFB" w:rsidRPr="0068410F">
        <w:rPr>
          <w:rFonts w:ascii="Arial" w:hAnsi="Arial" w:cs="Arial"/>
          <w:color w:val="000000"/>
          <w:sz w:val="20"/>
          <w:szCs w:val="20"/>
        </w:rPr>
        <w:t xml:space="preserve"> [2013] VSCA 384 at [23]-[39]; </w:t>
      </w:r>
      <w:r w:rsidR="00B5374F" w:rsidRPr="0068410F">
        <w:rPr>
          <w:rFonts w:ascii="Arial" w:hAnsi="Arial" w:cs="Arial"/>
          <w:i/>
          <w:color w:val="000000"/>
          <w:sz w:val="20"/>
        </w:rPr>
        <w:t>Kruzenga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r w:rsidR="00C41A9F" w:rsidRPr="00C41A9F">
        <w:rPr>
          <w:rFonts w:ascii="Arial" w:hAnsi="Arial" w:cs="Arial"/>
          <w:i/>
          <w:iCs/>
          <w:color w:val="000000"/>
          <w:sz w:val="20"/>
          <w:szCs w:val="20"/>
        </w:rPr>
        <w:t>Wakim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Jakob Sutic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r w:rsidR="000E6203" w:rsidRPr="000E6203">
        <w:rPr>
          <w:rFonts w:ascii="Arial" w:hAnsi="Arial" w:cs="Arial"/>
          <w:i/>
          <w:color w:val="000000"/>
          <w:sz w:val="20"/>
        </w:rPr>
        <w:t>Salapura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r w:rsidR="00C41A9F" w:rsidRPr="00C41A9F">
        <w:rPr>
          <w:rFonts w:ascii="Arial" w:hAnsi="Arial" w:cs="Arial"/>
          <w:i/>
          <w:iCs/>
          <w:color w:val="000000"/>
          <w:sz w:val="20"/>
        </w:rPr>
        <w:t>Torrefranca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21499A">
        <w:rPr>
          <w:rFonts w:ascii="Arial" w:hAnsi="Arial" w:cs="Arial"/>
          <w:color w:val="000000"/>
          <w:sz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[36]-[40]</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[48]</w:t>
      </w:r>
      <w:r w:rsidR="0013582B">
        <w:rPr>
          <w:rFonts w:ascii="Arial" w:hAnsi="Arial" w:cs="Arial"/>
          <w:color w:val="000000"/>
          <w:sz w:val="20"/>
        </w:rPr>
        <w:t xml:space="preserve">; </w:t>
      </w:r>
      <w:r w:rsidR="0013582B" w:rsidRPr="00170185">
        <w:rPr>
          <w:rFonts w:ascii="Arial" w:hAnsi="Arial" w:cs="Arial"/>
          <w:bCs/>
          <w:i/>
          <w:iCs/>
          <w:color w:val="000000"/>
          <w:sz w:val="20"/>
          <w:szCs w:val="20"/>
          <w:lang w:val="en-US"/>
        </w:rPr>
        <w:t>Andrews v The King</w:t>
      </w:r>
      <w:r w:rsidR="0013582B" w:rsidRPr="00170185">
        <w:rPr>
          <w:rFonts w:ascii="Arial" w:hAnsi="Arial" w:cs="Arial"/>
          <w:bCs/>
          <w:color w:val="000000"/>
          <w:sz w:val="20"/>
          <w:szCs w:val="20"/>
          <w:lang w:val="en-US"/>
        </w:rPr>
        <w:t xml:space="preserve"> [2025] VSCA 26</w:t>
      </w:r>
      <w:r w:rsidR="0013582B">
        <w:rPr>
          <w:rFonts w:ascii="Arial" w:hAnsi="Arial" w:cs="Arial"/>
          <w:bCs/>
          <w:color w:val="000000"/>
          <w:sz w:val="20"/>
          <w:szCs w:val="20"/>
          <w:lang w:val="en-US"/>
        </w:rPr>
        <w:t xml:space="preserve"> at [36]-[52]</w:t>
      </w:r>
      <w:r w:rsidR="00EA5D71">
        <w:rPr>
          <w:rFonts w:ascii="Arial" w:hAnsi="Arial" w:cs="Arial"/>
          <w:color w:val="000000"/>
          <w:sz w:val="20"/>
        </w:rPr>
        <w:t>.</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R v Fulop</w:t>
      </w:r>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rsidP="001C4E42">
      <w:pPr>
        <w:pStyle w:val="ListParagraph"/>
        <w:numPr>
          <w:ilvl w:val="0"/>
          <w:numId w:val="100"/>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rsidP="001C4E42">
      <w:pPr>
        <w:pStyle w:val="ListParagraph"/>
        <w:numPr>
          <w:ilvl w:val="0"/>
          <w:numId w:val="100"/>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r w:rsidRPr="0068410F">
        <w:rPr>
          <w:rFonts w:ascii="Arial" w:hAnsi="Arial" w:cs="Arial"/>
          <w:i/>
          <w:color w:val="000000"/>
          <w:sz w:val="20"/>
          <w:szCs w:val="20"/>
        </w:rPr>
        <w:t>Mustica v The Queen; DPP v Mustica</w:t>
      </w:r>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66" w:name="_Toc107101753"/>
    </w:p>
    <w:p w14:paraId="59F0894D" w14:textId="48FCFDAA" w:rsidR="00F55A38" w:rsidRDefault="00F55A38" w:rsidP="00BC0548">
      <w:pPr>
        <w:jc w:val="both"/>
        <w:rPr>
          <w:rFonts w:ascii="Arial" w:hAnsi="Arial" w:cs="Arial"/>
          <w:color w:val="000000"/>
          <w:sz w:val="20"/>
        </w:rPr>
      </w:pPr>
      <w:r>
        <w:rPr>
          <w:rFonts w:ascii="Arial" w:hAnsi="Arial" w:cs="Arial"/>
          <w:color w:val="000000"/>
          <w:sz w:val="20"/>
        </w:rPr>
        <w:t xml:space="preserve">In </w:t>
      </w:r>
      <w:r w:rsidRPr="00F55A38">
        <w:rPr>
          <w:rFonts w:ascii="Arial" w:hAnsi="Arial" w:cs="Arial"/>
          <w:i/>
          <w:iCs/>
          <w:color w:val="000000"/>
          <w:sz w:val="20"/>
        </w:rPr>
        <w:t>Kettyle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65B387C6"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391F648C"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67" w:name="_11.2.8_Effect_of"/>
      <w:bookmarkEnd w:id="567"/>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66"/>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lastRenderedPageBreak/>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6318D8">
      <w:pPr>
        <w:keepNext/>
        <w:keepLines/>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Bongiorno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R v Fulop</w:t>
      </w:r>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Gummow, Hayne and Callinan JJ said in </w:t>
      </w:r>
      <w:r w:rsidRPr="001C6E0E">
        <w:rPr>
          <w:rFonts w:ascii="Arial" w:hAnsi="Arial" w:cs="Arial"/>
          <w:i/>
          <w:color w:val="000000"/>
          <w:sz w:val="20"/>
        </w:rPr>
        <w:t>Saganto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Dodds-Streeton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 xml:space="preserve">“[T]he deception did not relate to any aspect of the offending but to one aspect of the personal circumstances of the applicant.  We doubt that the deception supported the </w:t>
      </w:r>
      <w:r w:rsidRPr="001C6E0E">
        <w:rPr>
          <w:rFonts w:ascii="Arial" w:hAnsi="Arial" w:cs="Arial"/>
          <w:color w:val="000000"/>
          <w:sz w:val="20"/>
        </w:rPr>
        <w:lastRenderedPageBreak/>
        <w:t>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R v Pajic</w:t>
      </w:r>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Va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(Winneke P with Tadgell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R v Kells</w:t>
      </w:r>
      <w:r w:rsidR="00E35454" w:rsidRPr="0068410F">
        <w:rPr>
          <w:rFonts w:ascii="Arial" w:hAnsi="Arial" w:cs="Arial"/>
          <w:iCs/>
          <w:color w:val="000000"/>
          <w:sz w:val="20"/>
        </w:rPr>
        <w:t xml:space="preserve"> [2012] VSC 53 – after referring to </w:t>
      </w:r>
      <w:r w:rsidR="00E35454" w:rsidRPr="0068410F">
        <w:rPr>
          <w:rFonts w:ascii="Arial" w:hAnsi="Arial" w:cs="Arial"/>
          <w:i/>
          <w:iCs/>
          <w:color w:val="000000"/>
          <w:sz w:val="20"/>
        </w:rPr>
        <w:t>Va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self interest: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Pajic</w:t>
      </w:r>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r w:rsidR="0018366E" w:rsidRPr="001C6E0E">
        <w:rPr>
          <w:rFonts w:ascii="Arial" w:hAnsi="Arial" w:cs="Arial"/>
          <w:i/>
          <w:color w:val="000000"/>
          <w:sz w:val="20"/>
          <w:szCs w:val="20"/>
        </w:rPr>
        <w:t>Siganto v The Queen</w:t>
      </w:r>
      <w:r w:rsidR="0018366E" w:rsidRPr="001C6E0E">
        <w:rPr>
          <w:rFonts w:ascii="Arial" w:hAnsi="Arial" w:cs="Arial"/>
          <w:color w:val="000000"/>
          <w:sz w:val="20"/>
          <w:szCs w:val="20"/>
        </w:rPr>
        <w:t xml:space="preserve"> (1998) 194 CLR 656, [22]-[23] (Gleeson CJ, Gummow, Hayne and Callinan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68" w:name="_Hlk528830091"/>
    </w:p>
    <w:bookmarkEnd w:id="568"/>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(Spigelman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r w:rsidRPr="001C6E0E">
        <w:rPr>
          <w:rFonts w:ascii="Arial" w:hAnsi="Arial" w:cs="Arial"/>
          <w:i/>
          <w:iCs/>
          <w:color w:val="000000"/>
          <w:sz w:val="20"/>
          <w:szCs w:val="20"/>
        </w:rPr>
        <w:t>Pajic</w:t>
      </w:r>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r w:rsidRPr="001C6E0E">
        <w:rPr>
          <w:rFonts w:ascii="Arial" w:hAnsi="Arial" w:cs="Arial"/>
          <w:i/>
          <w:color w:val="000000"/>
          <w:sz w:val="20"/>
          <w:szCs w:val="20"/>
        </w:rPr>
        <w:t>Andrick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Ciantar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r w:rsidRPr="001C6E0E">
        <w:rPr>
          <w:rFonts w:ascii="Arial" w:hAnsi="Arial" w:cs="Arial"/>
          <w:i/>
          <w:color w:val="000000"/>
          <w:sz w:val="20"/>
          <w:szCs w:val="20"/>
        </w:rPr>
        <w:t>Cliffard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r w:rsidR="007D3107" w:rsidRPr="001C6E0E">
        <w:rPr>
          <w:rFonts w:ascii="Arial" w:hAnsi="Arial" w:cs="Arial"/>
          <w:i/>
          <w:iCs/>
          <w:color w:val="000000"/>
          <w:sz w:val="20"/>
          <w:szCs w:val="20"/>
        </w:rPr>
        <w:t>Pajic</w:t>
      </w:r>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lastRenderedPageBreak/>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DPP v Carr</w:t>
      </w:r>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r w:rsidRPr="0068410F">
        <w:rPr>
          <w:rFonts w:ascii="Arial" w:hAnsi="Arial" w:cs="Arial"/>
          <w:i/>
          <w:color w:val="000000"/>
          <w:sz w:val="20"/>
          <w:szCs w:val="20"/>
        </w:rPr>
        <w:t xml:space="preserve">Sherna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r w:rsidR="00942D70" w:rsidRPr="0068410F">
        <w:rPr>
          <w:rFonts w:ascii="Arial" w:hAnsi="Arial" w:cs="Arial"/>
          <w:i/>
          <w:iCs/>
          <w:color w:val="000000"/>
          <w:sz w:val="20"/>
        </w:rPr>
        <w:t>Dawid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r w:rsidR="007D5AD7" w:rsidRPr="007D5AD7">
        <w:rPr>
          <w:rFonts w:ascii="Arial" w:hAnsi="Arial" w:cs="Arial"/>
          <w:i/>
          <w:sz w:val="20"/>
          <w:szCs w:val="20"/>
        </w:rPr>
        <w:t xml:space="preserve">Mune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r w:rsidR="007D5AD7" w:rsidRPr="007D5AD7">
        <w:rPr>
          <w:rFonts w:ascii="Arial" w:hAnsi="Arial" w:cs="Arial"/>
          <w:i/>
          <w:sz w:val="20"/>
          <w:szCs w:val="20"/>
        </w:rPr>
        <w:t>Mune v The Queen</w:t>
      </w:r>
      <w:r w:rsidR="007D5AD7" w:rsidRPr="007D5AD7">
        <w:rPr>
          <w:rFonts w:ascii="Arial" w:hAnsi="Arial" w:cs="Arial"/>
          <w:sz w:val="20"/>
          <w:szCs w:val="20"/>
        </w:rPr>
        <w:t xml:space="preserve"> [2011] VSCA 231 [12].”</w:t>
      </w:r>
    </w:p>
    <w:p w14:paraId="4EB7FF9F" w14:textId="77777777" w:rsidR="00C17732" w:rsidRDefault="00C17732" w:rsidP="00C17732">
      <w:pPr>
        <w:jc w:val="both"/>
        <w:rPr>
          <w:rFonts w:ascii="Arial" w:hAnsi="Arial" w:cs="Arial"/>
          <w:iCs/>
          <w:color w:val="000000"/>
          <w:sz w:val="20"/>
        </w:rPr>
      </w:pPr>
    </w:p>
    <w:p w14:paraId="673DE6C6" w14:textId="02A2D1EC" w:rsidR="009256EF" w:rsidRDefault="009256EF" w:rsidP="00C17732">
      <w:pPr>
        <w:jc w:val="both"/>
        <w:rPr>
          <w:rFonts w:ascii="Arial" w:hAnsi="Arial" w:cs="Arial"/>
          <w:iCs/>
          <w:color w:val="000000"/>
          <w:sz w:val="20"/>
        </w:rPr>
      </w:pPr>
      <w:r>
        <w:rPr>
          <w:rFonts w:ascii="Arial" w:hAnsi="Arial" w:cs="Arial"/>
          <w:iCs/>
          <w:color w:val="000000"/>
          <w:sz w:val="20"/>
        </w:rPr>
        <w:t xml:space="preserve">In </w:t>
      </w:r>
      <w:r w:rsidR="00E710D1" w:rsidRPr="00E710D1">
        <w:rPr>
          <w:rFonts w:ascii="Arial" w:hAnsi="Arial" w:cs="Arial"/>
          <w:i/>
          <w:color w:val="000000"/>
          <w:sz w:val="20"/>
        </w:rPr>
        <w:t>Shaptafaj v The King</w:t>
      </w:r>
      <w:r w:rsidR="00E710D1">
        <w:rPr>
          <w:rFonts w:ascii="Arial" w:hAnsi="Arial" w:cs="Arial"/>
          <w:iCs/>
          <w:color w:val="000000"/>
          <w:sz w:val="20"/>
        </w:rPr>
        <w:t xml:space="preserve"> [2023] VSCA 93 the </w:t>
      </w:r>
      <w:r w:rsidR="006D4EDF">
        <w:rPr>
          <w:rFonts w:ascii="Arial" w:hAnsi="Arial" w:cs="Arial"/>
          <w:iCs/>
          <w:color w:val="000000"/>
          <w:sz w:val="20"/>
        </w:rPr>
        <w:t xml:space="preserve">applicant had pleaded guilty to murder of his </w:t>
      </w:r>
      <w:r w:rsidR="00C8337F">
        <w:rPr>
          <w:rFonts w:ascii="Arial" w:hAnsi="Arial" w:cs="Arial"/>
          <w:iCs/>
          <w:color w:val="000000"/>
          <w:sz w:val="20"/>
        </w:rPr>
        <w:t xml:space="preserve">daughter and her husband, having waited outside their home and shot them in the head at close range.  The murders were motivated by feelings of being insulted and offended by the victims.  </w:t>
      </w:r>
      <w:r w:rsidR="00EC5E25">
        <w:rPr>
          <w:rFonts w:ascii="Arial" w:hAnsi="Arial" w:cs="Arial"/>
          <w:iCs/>
          <w:color w:val="000000"/>
          <w:sz w:val="20"/>
        </w:rPr>
        <w:t xml:space="preserve">Tinney J had imposed a sentence of life imprisonment with a non-parole period of 35y on each charge.  Noting that </w:t>
      </w:r>
      <w:r w:rsidR="009B13C7">
        <w:rPr>
          <w:rFonts w:ascii="Arial" w:hAnsi="Arial" w:cs="Arial"/>
          <w:iCs/>
          <w:color w:val="000000"/>
          <w:sz w:val="20"/>
        </w:rPr>
        <w:t xml:space="preserve">this was extremely serious, pre-planned and premeditated offending with a high degree of moral culpability, the Court of Appeal </w:t>
      </w:r>
      <w:r w:rsidR="00E25FED">
        <w:rPr>
          <w:rFonts w:ascii="Arial" w:hAnsi="Arial" w:cs="Arial"/>
          <w:iCs/>
          <w:color w:val="000000"/>
          <w:sz w:val="20"/>
        </w:rPr>
        <w:t>refused the application for leave to appeal.</w:t>
      </w:r>
      <w:r w:rsidR="009B13C7">
        <w:rPr>
          <w:rFonts w:ascii="Arial" w:hAnsi="Arial" w:cs="Arial"/>
          <w:iCs/>
          <w:color w:val="000000"/>
          <w:sz w:val="20"/>
        </w:rPr>
        <w:t xml:space="preserve"> </w:t>
      </w:r>
      <w:r w:rsidR="00E25FED">
        <w:rPr>
          <w:rFonts w:ascii="Arial" w:hAnsi="Arial" w:cs="Arial"/>
          <w:iCs/>
          <w:color w:val="000000"/>
          <w:sz w:val="20"/>
        </w:rPr>
        <w:t xml:space="preserve">At [54]-[56] Priest, </w:t>
      </w:r>
      <w:r w:rsidR="00A44395">
        <w:rPr>
          <w:rFonts w:ascii="Arial" w:hAnsi="Arial" w:cs="Arial"/>
          <w:iCs/>
          <w:color w:val="000000"/>
          <w:sz w:val="20"/>
        </w:rPr>
        <w:t>Kaye &amp; Hargrave JJA said:</w:t>
      </w:r>
    </w:p>
    <w:p w14:paraId="515CC480" w14:textId="48204B87" w:rsidR="00A44395" w:rsidRDefault="00A44395" w:rsidP="007E454F">
      <w:pPr>
        <w:spacing w:before="60"/>
        <w:ind w:left="567" w:right="567"/>
        <w:jc w:val="both"/>
        <w:rPr>
          <w:rFonts w:ascii="Arial" w:hAnsi="Arial" w:cs="Arial"/>
          <w:color w:val="000000"/>
          <w:sz w:val="20"/>
          <w:szCs w:val="20"/>
        </w:rPr>
      </w:pPr>
      <w:r>
        <w:rPr>
          <w:rFonts w:ascii="Arial" w:hAnsi="Arial" w:cs="Arial"/>
          <w:color w:val="000000"/>
          <w:sz w:val="20"/>
          <w:szCs w:val="20"/>
        </w:rPr>
        <w:t>[54] “</w:t>
      </w:r>
      <w:r w:rsidRPr="00E25FED">
        <w:rPr>
          <w:rFonts w:ascii="Arial" w:hAnsi="Arial" w:cs="Arial"/>
          <w:color w:val="000000"/>
          <w:sz w:val="20"/>
          <w:szCs w:val="20"/>
        </w:rPr>
        <w:t>It is well-recognised in the authorities that, notwithstanding the utilitarian value of a plea of guilty, nevertheless, in a case in which the offending is exceptionally serious, the only appropriate sentence for murder may be one of life imprisonment.</w:t>
      </w:r>
    </w:p>
    <w:p w14:paraId="3B87A773" w14:textId="1EA94635" w:rsidR="00595D45" w:rsidRPr="00E25FED" w:rsidRDefault="00DD7F0E" w:rsidP="0005328A">
      <w:pPr>
        <w:spacing w:before="60"/>
        <w:ind w:left="567" w:right="567"/>
        <w:jc w:val="both"/>
        <w:rPr>
          <w:rFonts w:ascii="Arial" w:hAnsi="Arial" w:cs="Arial"/>
          <w:color w:val="000000"/>
          <w:sz w:val="20"/>
          <w:szCs w:val="20"/>
        </w:rPr>
      </w:pPr>
      <w:r>
        <w:rPr>
          <w:rFonts w:ascii="Arial" w:hAnsi="Arial" w:cs="Arial"/>
          <w:color w:val="000000"/>
          <w:sz w:val="20"/>
          <w:szCs w:val="20"/>
        </w:rPr>
        <w:t xml:space="preserve">[55] In </w:t>
      </w:r>
      <w:r w:rsidRPr="0005328A">
        <w:rPr>
          <w:rFonts w:ascii="Arial" w:hAnsi="Arial" w:cs="Arial"/>
          <w:i/>
          <w:iCs/>
          <w:color w:val="000000"/>
          <w:sz w:val="20"/>
          <w:szCs w:val="20"/>
        </w:rPr>
        <w:t>Phillips v The Queen</w:t>
      </w:r>
      <w:r>
        <w:rPr>
          <w:rFonts w:ascii="Arial" w:hAnsi="Arial" w:cs="Arial"/>
          <w:color w:val="000000"/>
          <w:sz w:val="20"/>
          <w:szCs w:val="20"/>
        </w:rPr>
        <w:t xml:space="preserve"> (2012) 37 VR 594 </w:t>
      </w:r>
      <w:r w:rsidR="0005328A">
        <w:rPr>
          <w:rFonts w:ascii="Arial" w:hAnsi="Arial" w:cs="Arial"/>
          <w:color w:val="000000"/>
          <w:sz w:val="20"/>
          <w:szCs w:val="20"/>
        </w:rPr>
        <w:t>at [65]</w:t>
      </w:r>
      <w:r w:rsidR="00AE29F1">
        <w:rPr>
          <w:rFonts w:ascii="Arial" w:hAnsi="Arial" w:cs="Arial"/>
          <w:color w:val="000000"/>
          <w:sz w:val="20"/>
          <w:szCs w:val="20"/>
        </w:rPr>
        <w:t xml:space="preserve"> &amp; [67]</w:t>
      </w:r>
      <w:r w:rsidR="0005328A" w:rsidRPr="00E25FED">
        <w:rPr>
          <w:rFonts w:ascii="Arial" w:hAnsi="Arial" w:cs="Arial"/>
          <w:sz w:val="20"/>
          <w:szCs w:val="20"/>
        </w:rPr>
        <w:t xml:space="preserve"> </w:t>
      </w:r>
      <w:r w:rsidR="00595D45" w:rsidRPr="00E25FED">
        <w:rPr>
          <w:rFonts w:ascii="Arial" w:hAnsi="Arial" w:cs="Arial"/>
          <w:color w:val="000000"/>
          <w:sz w:val="20"/>
          <w:szCs w:val="20"/>
        </w:rPr>
        <w:t>Redlich JA and Curtain AJA (with whom Maxwell P agreed) expressed that proposition in the following terms:</w:t>
      </w:r>
    </w:p>
    <w:p w14:paraId="5E2FC21D" w14:textId="0395F696" w:rsidR="00595D45" w:rsidRDefault="00595D45" w:rsidP="007E454F">
      <w:pPr>
        <w:pStyle w:val="NormalWeb"/>
        <w:shd w:val="clear" w:color="auto" w:fill="FFFFFF"/>
        <w:spacing w:before="60" w:beforeAutospacing="0" w:after="0" w:afterAutospacing="0"/>
        <w:ind w:left="1021" w:right="1021"/>
        <w:jc w:val="both"/>
        <w:rPr>
          <w:rFonts w:ascii="Arial" w:hAnsi="Arial" w:cs="Arial"/>
          <w:sz w:val="18"/>
          <w:szCs w:val="18"/>
        </w:rPr>
      </w:pPr>
      <w:r w:rsidRPr="007E454F">
        <w:rPr>
          <w:rFonts w:ascii="Arial" w:hAnsi="Arial" w:cs="Arial"/>
          <w:sz w:val="18"/>
          <w:szCs w:val="18"/>
        </w:rPr>
        <w:t>The mitigatory effect of the plea is a component of the instinctive synthesis, but the weight to be attached to it should be the result of specific and sound consideration. That is not to say that it will usually be necessary or desirable for the sentencing judge to deal separately in the sentencing remarks with the allowance to be made for the utilitarian benefits separate from the allowance for subjective criteria. But if there is to be some reduction in the discount to be allowed for the subjective criteria, then it should be so stated to make clear what part of the discount has been reduced</w:t>
      </w:r>
      <w:r w:rsidR="00AE29F1">
        <w:rPr>
          <w:rFonts w:ascii="Arial" w:hAnsi="Arial" w:cs="Arial"/>
          <w:sz w:val="18"/>
          <w:szCs w:val="18"/>
        </w:rPr>
        <w:t>…</w:t>
      </w:r>
    </w:p>
    <w:p w14:paraId="48B014EE" w14:textId="56208252" w:rsidR="00AE29F1" w:rsidRPr="00E25FED" w:rsidRDefault="0014324C" w:rsidP="007E454F">
      <w:pPr>
        <w:pStyle w:val="NormalWeb"/>
        <w:shd w:val="clear" w:color="auto" w:fill="FFFFFF"/>
        <w:spacing w:before="60" w:beforeAutospacing="0" w:after="0" w:afterAutospacing="0"/>
        <w:ind w:left="1021" w:right="1021"/>
        <w:jc w:val="both"/>
        <w:rPr>
          <w:rFonts w:ascii="Arial" w:hAnsi="Arial" w:cs="Arial"/>
          <w:sz w:val="20"/>
          <w:szCs w:val="20"/>
        </w:rPr>
      </w:pPr>
      <w:r w:rsidRPr="00AE29F1">
        <w:rPr>
          <w:rFonts w:ascii="Arial" w:hAnsi="Arial" w:cs="Arial"/>
          <w:sz w:val="18"/>
          <w:szCs w:val="18"/>
        </w:rPr>
        <w:t xml:space="preserve">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w:t>
      </w:r>
      <w:r w:rsidRPr="00AE29F1">
        <w:rPr>
          <w:rFonts w:ascii="Arial" w:hAnsi="Arial" w:cs="Arial"/>
          <w:sz w:val="18"/>
          <w:szCs w:val="18"/>
        </w:rPr>
        <w:lastRenderedPageBreak/>
        <w:t>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37C466B8" w14:textId="393B6655" w:rsidR="00FE4373" w:rsidRDefault="00FE4373" w:rsidP="00FE4373">
      <w:pPr>
        <w:spacing w:before="60"/>
        <w:ind w:left="567" w:right="567"/>
        <w:jc w:val="both"/>
        <w:rPr>
          <w:rFonts w:ascii="Arial" w:hAnsi="Arial" w:cs="Arial"/>
          <w:color w:val="000000"/>
          <w:sz w:val="20"/>
          <w:szCs w:val="20"/>
        </w:rPr>
      </w:pPr>
      <w:r>
        <w:rPr>
          <w:rFonts w:ascii="Arial" w:hAnsi="Arial" w:cs="Arial"/>
          <w:color w:val="000000"/>
          <w:sz w:val="20"/>
          <w:szCs w:val="20"/>
        </w:rPr>
        <w:t xml:space="preserve">[56] </w:t>
      </w:r>
      <w:r w:rsidRPr="00E25FED">
        <w:rPr>
          <w:rFonts w:ascii="Arial" w:hAnsi="Arial" w:cs="Arial"/>
          <w:color w:val="000000"/>
          <w:sz w:val="20"/>
          <w:szCs w:val="20"/>
        </w:rPr>
        <w:t>That proposition has been reflected in decisions of this Court, in which, notwithstanding a plea of guilty, the Court has upheld sentences of life imprisonment for murders which have involved particularly serious instances of the crime of murder.</w:t>
      </w:r>
      <w:r w:rsidR="00E755CA">
        <w:rPr>
          <w:rFonts w:ascii="Arial" w:hAnsi="Arial" w:cs="Arial"/>
          <w:color w:val="000000"/>
          <w:sz w:val="20"/>
          <w:szCs w:val="20"/>
        </w:rPr>
        <w:t xml:space="preserve"> </w:t>
      </w:r>
      <w:r w:rsidR="00E755CA" w:rsidRPr="00E25FED">
        <w:rPr>
          <w:rFonts w:ascii="Arial" w:hAnsi="Arial" w:cs="Arial"/>
          <w:color w:val="000000"/>
          <w:sz w:val="20"/>
          <w:szCs w:val="20"/>
        </w:rPr>
        <w:t xml:space="preserve"> </w:t>
      </w:r>
      <w:r w:rsidR="00093D9A" w:rsidRPr="00E25FED">
        <w:rPr>
          <w:rFonts w:ascii="Arial" w:hAnsi="Arial" w:cs="Arial"/>
          <w:color w:val="000000"/>
          <w:sz w:val="20"/>
          <w:szCs w:val="20"/>
        </w:rPr>
        <w:t>See, for example,</w:t>
      </w:r>
      <w:r w:rsidR="00812B9B">
        <w:rPr>
          <w:rFonts w:ascii="Arial" w:hAnsi="Arial" w:cs="Arial"/>
          <w:color w:val="000000"/>
          <w:sz w:val="20"/>
          <w:szCs w:val="20"/>
        </w:rPr>
        <w:t xml:space="preserve"> </w:t>
      </w:r>
      <w:hyperlink r:id="rId16" w:history="1">
        <w:r w:rsidR="00093D9A" w:rsidRPr="00AC18E8">
          <w:rPr>
            <w:rStyle w:val="Hyperlink"/>
            <w:rFonts w:ascii="Arial" w:hAnsi="Arial" w:cs="Arial"/>
            <w:i/>
            <w:iCs/>
            <w:color w:val="000000" w:themeColor="text1"/>
            <w:sz w:val="20"/>
            <w:szCs w:val="20"/>
            <w:u w:val="none"/>
          </w:rPr>
          <w:t>R v Quarry</w:t>
        </w:r>
      </w:hyperlink>
      <w:r w:rsidR="00093D9A" w:rsidRPr="00AC18E8">
        <w:rPr>
          <w:rFonts w:ascii="Arial" w:hAnsi="Arial" w:cs="Arial"/>
          <w:color w:val="000000" w:themeColor="text1"/>
          <w:sz w:val="20"/>
          <w:szCs w:val="20"/>
        </w:rPr>
        <w:t> </w:t>
      </w:r>
      <w:r w:rsidR="00093D9A" w:rsidRPr="00E25FED">
        <w:rPr>
          <w:rFonts w:ascii="Arial" w:hAnsi="Arial" w:cs="Arial"/>
          <w:color w:val="000000"/>
          <w:sz w:val="20"/>
          <w:szCs w:val="20"/>
        </w:rPr>
        <w:t>(2005) 11 VR 337; [2005] VSCA 65 (Warren CJ, Batt and Eames JJA);</w:t>
      </w:r>
      <w:r w:rsidR="00812B9B">
        <w:rPr>
          <w:rFonts w:ascii="Arial" w:hAnsi="Arial" w:cs="Arial"/>
          <w:color w:val="000000"/>
          <w:sz w:val="20"/>
          <w:szCs w:val="20"/>
        </w:rPr>
        <w:t xml:space="preserve"> </w:t>
      </w:r>
      <w:hyperlink r:id="rId17" w:history="1">
        <w:r w:rsidR="00093D9A" w:rsidRPr="00812B9B">
          <w:rPr>
            <w:rStyle w:val="Hyperlink"/>
            <w:rFonts w:ascii="Arial" w:hAnsi="Arial" w:cs="Arial"/>
            <w:i/>
            <w:iCs/>
            <w:color w:val="000000" w:themeColor="text1"/>
            <w:sz w:val="20"/>
            <w:szCs w:val="20"/>
            <w:u w:val="none"/>
          </w:rPr>
          <w:t>Hunter v The Queen</w:t>
        </w:r>
      </w:hyperlink>
      <w:r w:rsidR="00093D9A" w:rsidRPr="00E25FED">
        <w:rPr>
          <w:rFonts w:ascii="Arial" w:hAnsi="Arial" w:cs="Arial"/>
          <w:color w:val="000000"/>
          <w:sz w:val="20"/>
          <w:szCs w:val="20"/>
        </w:rPr>
        <w:t> (2013) 40 VR 660; [2013] VSCA 385 (Maxwell P, Priest and Coghlan JJA); </w:t>
      </w:r>
      <w:hyperlink r:id="rId18" w:history="1">
        <w:r w:rsidR="00093D9A" w:rsidRPr="00812B9B">
          <w:rPr>
            <w:rStyle w:val="Hyperlink"/>
            <w:rFonts w:ascii="Arial" w:hAnsi="Arial" w:cs="Arial"/>
            <w:i/>
            <w:iCs/>
            <w:color w:val="000000" w:themeColor="text1"/>
            <w:sz w:val="20"/>
            <w:szCs w:val="20"/>
            <w:u w:val="none"/>
          </w:rPr>
          <w:t>Cardamone v The Queen</w:t>
        </w:r>
      </w:hyperlink>
      <w:r w:rsidR="00093D9A" w:rsidRPr="00E25FED">
        <w:rPr>
          <w:rFonts w:ascii="Arial" w:hAnsi="Arial" w:cs="Arial"/>
          <w:color w:val="000000"/>
          <w:sz w:val="20"/>
          <w:szCs w:val="20"/>
        </w:rPr>
        <w:t> [2019] VSCA 190 (Ferguson CJ, Maxwell and Weinberg JA); </w:t>
      </w:r>
      <w:hyperlink r:id="rId19" w:history="1">
        <w:r w:rsidR="00093D9A" w:rsidRPr="00812B9B">
          <w:rPr>
            <w:rStyle w:val="Hyperlink"/>
            <w:rFonts w:ascii="Arial" w:hAnsi="Arial" w:cs="Arial"/>
            <w:i/>
            <w:iCs/>
            <w:color w:val="000000" w:themeColor="text1"/>
            <w:sz w:val="20"/>
            <w:szCs w:val="20"/>
            <w:u w:val="none"/>
          </w:rPr>
          <w:t>Todd v The Queen</w:t>
        </w:r>
      </w:hyperlink>
      <w:r w:rsidR="00093D9A" w:rsidRPr="00E25FED">
        <w:rPr>
          <w:rFonts w:ascii="Arial" w:hAnsi="Arial" w:cs="Arial"/>
          <w:color w:val="000000"/>
          <w:sz w:val="20"/>
          <w:szCs w:val="20"/>
        </w:rPr>
        <w:t> [2020] VSCA 46 (Kyrou, Kaye and Emerton JJA); </w:t>
      </w:r>
      <w:hyperlink r:id="rId20" w:history="1">
        <w:r w:rsidR="00093D9A" w:rsidRPr="00812B9B">
          <w:rPr>
            <w:rStyle w:val="Hyperlink"/>
            <w:rFonts w:ascii="Arial" w:hAnsi="Arial" w:cs="Arial"/>
            <w:i/>
            <w:iCs/>
            <w:color w:val="000000" w:themeColor="text1"/>
            <w:sz w:val="20"/>
            <w:szCs w:val="20"/>
            <w:u w:val="none"/>
          </w:rPr>
          <w:t>Noori v The Queen</w:t>
        </w:r>
      </w:hyperlink>
      <w:r w:rsidR="00093D9A" w:rsidRPr="00E25FED">
        <w:rPr>
          <w:rFonts w:ascii="Arial" w:hAnsi="Arial" w:cs="Arial"/>
          <w:color w:val="000000"/>
          <w:sz w:val="20"/>
          <w:szCs w:val="20"/>
        </w:rPr>
        <w:t> [2021] VSCA 46 (Priest, Niall and T Forrest JJA)</w:t>
      </w:r>
      <w:r w:rsidR="006B5FA9">
        <w:rPr>
          <w:rFonts w:ascii="Arial" w:hAnsi="Arial" w:cs="Arial"/>
          <w:color w:val="000000"/>
          <w:sz w:val="20"/>
          <w:szCs w:val="20"/>
        </w:rPr>
        <w:t>…”</w:t>
      </w:r>
    </w:p>
    <w:p w14:paraId="5ADC3C2F" w14:textId="77777777" w:rsidR="00C0142D" w:rsidRPr="001C6E0E" w:rsidRDefault="00C0142D"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69" w:name="_11.2.8.1__"/>
      <w:bookmarkEnd w:id="569"/>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r w:rsidRPr="00C17732">
        <w:rPr>
          <w:rFonts w:ascii="Arial" w:hAnsi="Arial" w:cs="Arial"/>
          <w:i/>
          <w:iCs/>
          <w:color w:val="000000"/>
          <w:sz w:val="20"/>
        </w:rPr>
        <w:t>Lyddy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r w:rsidR="00650F37" w:rsidRPr="007E7A01">
        <w:rPr>
          <w:rFonts w:ascii="Arial" w:hAnsi="Arial" w:cs="Arial"/>
          <w:i/>
          <w:iCs/>
          <w:color w:val="000000"/>
          <w:sz w:val="20"/>
        </w:rPr>
        <w:t>Barbaro</w:t>
      </w:r>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465EE8">
      <w:pPr>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For some time, courts have drawn a distinction between the sorrow of an offender for being caught and punished, and the regret of an offender for the harm caused by his or her 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r w:rsidR="00A13989" w:rsidRPr="00A13989">
        <w:rPr>
          <w:rFonts w:ascii="Arial" w:hAnsi="Arial" w:cs="Arial"/>
          <w:i/>
          <w:color w:val="000000"/>
          <w:sz w:val="20"/>
          <w:szCs w:val="20"/>
        </w:rPr>
        <w:t>Barbaro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A13989" w:rsidRDefault="00DA0D73" w:rsidP="00DA0D73">
      <w:pPr>
        <w:spacing w:before="60"/>
        <w:ind w:left="1021" w:right="1021"/>
        <w:jc w:val="both"/>
        <w:rPr>
          <w:rFonts w:ascii="Arial" w:hAnsi="Arial" w:cs="Arial"/>
          <w:color w:val="000000"/>
          <w:sz w:val="20"/>
          <w:szCs w:val="20"/>
        </w:rPr>
      </w:pPr>
      <w:r>
        <w:rPr>
          <w:rFonts w:ascii="Arial" w:hAnsi="Arial" w:cs="Arial"/>
          <w:color w:val="000000"/>
          <w:sz w:val="20"/>
          <w:szCs w:val="20"/>
        </w:rPr>
        <w:t>‘</w:t>
      </w:r>
      <w:r w:rsidR="00A13989" w:rsidRPr="00A13989">
        <w:rPr>
          <w:rFonts w:ascii="Arial" w:hAnsi="Arial" w:cs="Arial"/>
          <w:color w:val="000000"/>
          <w:sz w:val="20"/>
          <w:szCs w:val="20"/>
        </w:rPr>
        <w:t>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secondhand evidence of what the offender said to a psychiatrist or psychologist or other professional, let alone testimonials from family or friends, or statements from the Bar table.</w:t>
      </w:r>
    </w:p>
    <w:p w14:paraId="3CB3E5BD" w14:textId="77777777" w:rsidR="00A13989" w:rsidRP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Pr>
          <w:rFonts w:ascii="Arial" w:hAnsi="Arial" w:cs="Arial"/>
          <w:color w:val="000000"/>
          <w:sz w:val="20"/>
          <w:szCs w:val="20"/>
        </w:rPr>
        <w:t>“</w:t>
      </w:r>
      <w:r w:rsidRPr="00A13989">
        <w:rPr>
          <w:rFonts w:ascii="Arial" w:hAnsi="Arial" w:cs="Arial"/>
          <w:color w:val="000000"/>
          <w:sz w:val="20"/>
          <w:szCs w:val="20"/>
        </w:rPr>
        <w:t>precision of approach...in complying with the obligation to take the plea of guilty into account</w:t>
      </w:r>
      <w:r w:rsidR="007E7A01">
        <w:rPr>
          <w:rFonts w:ascii="Arial" w:hAnsi="Arial" w:cs="Arial"/>
          <w:color w:val="000000"/>
          <w:sz w:val="20"/>
          <w:szCs w:val="20"/>
        </w:rPr>
        <w:t>”</w:t>
      </w:r>
      <w:r w:rsidRPr="00A13989">
        <w:rPr>
          <w:rFonts w:ascii="Arial" w:hAnsi="Arial" w:cs="Arial"/>
          <w:color w:val="000000"/>
          <w:sz w:val="20"/>
          <w:szCs w:val="20"/>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DA0D73">
        <w:rPr>
          <w:rFonts w:ascii="Arial" w:hAnsi="Arial" w:cs="Arial"/>
          <w:i/>
          <w:color w:val="000000"/>
          <w:sz w:val="20"/>
          <w:szCs w:val="20"/>
        </w:rPr>
        <w:t>Phillips</w:t>
      </w:r>
      <w:r w:rsidRPr="00A13989">
        <w:rPr>
          <w:rFonts w:ascii="Arial" w:hAnsi="Arial" w:cs="Arial"/>
          <w:color w:val="000000"/>
          <w:sz w:val="20"/>
          <w:szCs w:val="20"/>
        </w:rPr>
        <w:t xml:space="preserve">, </w:t>
      </w:r>
      <w:r w:rsidR="00DA0D73">
        <w:rPr>
          <w:rFonts w:ascii="Arial" w:hAnsi="Arial" w:cs="Arial"/>
          <w:color w:val="000000"/>
          <w:sz w:val="20"/>
          <w:szCs w:val="20"/>
        </w:rPr>
        <w:t>“</w:t>
      </w:r>
      <w:r w:rsidRPr="00A13989">
        <w:rPr>
          <w:rFonts w:ascii="Arial" w:hAnsi="Arial" w:cs="Arial"/>
          <w:color w:val="000000"/>
          <w:sz w:val="20"/>
          <w:szCs w:val="20"/>
        </w:rPr>
        <w:t>[t]he conduct and statements of the offender over time provide a more informative and precise guide than the plea alone as to whether genuine and deep contrition exists</w:t>
      </w:r>
      <w:r w:rsidR="00DA0D73">
        <w:rPr>
          <w:rFonts w:ascii="Arial" w:hAnsi="Arial" w:cs="Arial"/>
          <w:color w:val="000000"/>
          <w:sz w:val="20"/>
          <w:szCs w:val="20"/>
        </w:rPr>
        <w:t>”</w:t>
      </w:r>
      <w:r w:rsidRPr="00A13989">
        <w:rPr>
          <w:rFonts w:ascii="Arial" w:hAnsi="Arial" w:cs="Arial"/>
          <w:color w:val="000000"/>
          <w:sz w:val="20"/>
          <w:szCs w:val="20"/>
        </w:rPr>
        <w:t>.</w:t>
      </w:r>
    </w:p>
    <w:p w14:paraId="677FE51B" w14:textId="77777777" w:rsidR="007E7A01" w:rsidRPr="00A13989" w:rsidRDefault="007E7A01"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We respectfully agree with Redlich JA and Curtain AJA that </w:t>
      </w:r>
      <w:r>
        <w:rPr>
          <w:rFonts w:ascii="Arial" w:hAnsi="Arial" w:cs="Arial"/>
          <w:color w:val="000000"/>
          <w:sz w:val="20"/>
          <w:szCs w:val="20"/>
        </w:rPr>
        <w:t>“</w:t>
      </w:r>
      <w:r w:rsidRPr="00A13989">
        <w:rPr>
          <w:rFonts w:ascii="Arial" w:hAnsi="Arial" w:cs="Arial"/>
          <w:color w:val="000000"/>
          <w:sz w:val="20"/>
          <w:szCs w:val="20"/>
        </w:rPr>
        <w:t>[i]n every case the genuineness of the contrition and the time and manner in which it is manifested in association with the plea of guilty will require evaluation by the sentencing judge in the light of the overall complexity of the facts before the court</w:t>
      </w:r>
      <w:r>
        <w:rPr>
          <w:rFonts w:ascii="Arial" w:hAnsi="Arial" w:cs="Arial"/>
          <w:color w:val="000000"/>
          <w:sz w:val="20"/>
          <w:szCs w:val="20"/>
        </w:rPr>
        <w:t>”</w:t>
      </w:r>
      <w:r w:rsidRPr="00A13989">
        <w:rPr>
          <w:rFonts w:ascii="Arial" w:hAnsi="Arial" w:cs="Arial"/>
          <w:color w:val="000000"/>
          <w:sz w:val="20"/>
          <w:szCs w:val="20"/>
        </w:rPr>
        <w:t>.</w:t>
      </w:r>
      <w:r>
        <w:rPr>
          <w:rFonts w:ascii="Arial" w:hAnsi="Arial" w:cs="Arial"/>
          <w:color w:val="000000"/>
          <w:sz w:val="20"/>
          <w:szCs w:val="20"/>
        </w:rPr>
        <w: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A13989" w:rsidRDefault="007E7A01" w:rsidP="007E7A01">
      <w:pPr>
        <w:spacing w:before="60"/>
        <w:ind w:left="1021" w:right="1021"/>
        <w:jc w:val="both"/>
        <w:rPr>
          <w:rFonts w:ascii="Arial" w:hAnsi="Arial" w:cs="Arial"/>
          <w:color w:val="000000"/>
          <w:sz w:val="20"/>
          <w:szCs w:val="20"/>
        </w:rPr>
      </w:pPr>
      <w:r>
        <w:rPr>
          <w:rFonts w:ascii="Arial" w:hAnsi="Arial" w:cs="Arial"/>
          <w:color w:val="000000"/>
          <w:sz w:val="20"/>
          <w:szCs w:val="20"/>
        </w:rPr>
        <w:t>‘</w:t>
      </w:r>
      <w:r w:rsidRPr="00A13989">
        <w:rPr>
          <w:rFonts w:ascii="Arial" w:hAnsi="Arial" w:cs="Arial"/>
          <w:color w:val="000000"/>
          <w:sz w:val="20"/>
          <w:szCs w:val="20"/>
        </w:rPr>
        <w:t xml:space="preserve">[W]e do not think that Broadbent’s (admitted) lack of consideration for others at the time of the offending justified any </w:t>
      </w:r>
      <w:r>
        <w:rPr>
          <w:rFonts w:ascii="Arial" w:hAnsi="Arial" w:cs="Arial"/>
          <w:color w:val="000000"/>
          <w:sz w:val="20"/>
          <w:szCs w:val="20"/>
        </w:rPr>
        <w:t>“</w:t>
      </w:r>
      <w:r w:rsidRPr="00A13989">
        <w:rPr>
          <w:rFonts w:ascii="Arial" w:hAnsi="Arial" w:cs="Arial"/>
          <w:color w:val="000000"/>
          <w:sz w:val="20"/>
          <w:szCs w:val="20"/>
        </w:rPr>
        <w:t>qualification</w:t>
      </w:r>
      <w:r>
        <w:rPr>
          <w:rFonts w:ascii="Arial" w:hAnsi="Arial" w:cs="Arial"/>
          <w:color w:val="000000"/>
          <w:sz w:val="20"/>
          <w:szCs w:val="20"/>
        </w:rPr>
        <w:t>”</w:t>
      </w:r>
      <w:r w:rsidRPr="00A13989">
        <w:rPr>
          <w:rFonts w:ascii="Arial" w:hAnsi="Arial" w:cs="Arial"/>
          <w:color w:val="000000"/>
          <w:sz w:val="20"/>
          <w:szCs w:val="20"/>
        </w:rPr>
        <w:t xml:space="preserve"> of the Court’s acceptance of the remorse which he expressed subsequently.  In our view, Broadbent’s expressions of </w:t>
      </w:r>
      <w:r>
        <w:rPr>
          <w:rFonts w:ascii="Arial" w:hAnsi="Arial" w:cs="Arial"/>
          <w:color w:val="000000"/>
          <w:sz w:val="20"/>
          <w:szCs w:val="20"/>
        </w:rPr>
        <w:t>“</w:t>
      </w:r>
      <w:r w:rsidRPr="00A13989">
        <w:rPr>
          <w:rFonts w:ascii="Arial" w:hAnsi="Arial" w:cs="Arial"/>
          <w:color w:val="000000"/>
          <w:sz w:val="20"/>
          <w:szCs w:val="20"/>
        </w:rPr>
        <w:t>deep remorse</w:t>
      </w:r>
      <w:r>
        <w:rPr>
          <w:rFonts w:ascii="Arial" w:hAnsi="Arial" w:cs="Arial"/>
          <w:color w:val="000000"/>
          <w:sz w:val="20"/>
          <w:szCs w:val="20"/>
        </w:rPr>
        <w:t>”</w:t>
      </w:r>
      <w:r w:rsidRPr="00A13989">
        <w:rPr>
          <w:rFonts w:ascii="Arial" w:hAnsi="Arial" w:cs="Arial"/>
          <w:color w:val="000000"/>
          <w:sz w:val="20"/>
          <w:szCs w:val="20"/>
        </w:rPr>
        <w:t xml:space="preserv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r>
        <w:rPr>
          <w:rFonts w:ascii="Arial" w:hAnsi="Arial" w:cs="Arial"/>
          <w:color w:val="000000"/>
          <w:sz w:val="20"/>
          <w:szCs w:val="20"/>
        </w:rPr>
        <w:t>’</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Scally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70" w:name="_11.2.8.2__"/>
      <w:bookmarkEnd w:id="570"/>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E5102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Chernov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E755CA">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R v Brazel</w:t>
      </w:r>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Cher</w:t>
      </w:r>
      <w:r w:rsidR="00ED7843" w:rsidRPr="001C6E0E">
        <w:rPr>
          <w:rFonts w:ascii="Arial" w:hAnsi="Arial" w:cs="Arial"/>
          <w:color w:val="000000"/>
          <w:sz w:val="20"/>
          <w:szCs w:val="20"/>
        </w:rPr>
        <w:t xml:space="preserve">nov,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“I do intend to impose a minimum term, but that is on the basis of one significant factor only, which are your pleas of guilty to these offences. Whilst I find that you do not have any genuine remorse for the crimes, I am still obliged to take into account in your favour that 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R v Brazel</w:t>
      </w:r>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w:t>
      </w:r>
      <w:r w:rsidR="00287B03" w:rsidRPr="001C6E0E">
        <w:rPr>
          <w:rFonts w:ascii="Arial" w:hAnsi="Arial" w:cs="Arial"/>
          <w:color w:val="000000"/>
          <w:sz w:val="20"/>
          <w:szCs w:val="20"/>
        </w:rPr>
        <w:lastRenderedPageBreak/>
        <w:t xml:space="preserve">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R v Andrick</w:t>
      </w:r>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F86035" w:rsidRDefault="003711F8" w:rsidP="003711F8">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3711F8">
        <w:rPr>
          <w:rFonts w:ascii="Arial" w:hAnsi="Arial" w:cs="Arial"/>
          <w:sz w:val="20"/>
          <w:szCs w:val="22"/>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r>
        <w:rPr>
          <w:rFonts w:ascii="Arial" w:hAnsi="Arial" w:cs="Arial"/>
          <w:sz w:val="20"/>
          <w:szCs w:val="22"/>
        </w:rPr>
        <w:t>’</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E51574">
      <w:pPr>
        <w:jc w:val="both"/>
        <w:rPr>
          <w:rFonts w:ascii="Arial" w:hAnsi="Arial" w:cs="Arial"/>
          <w:color w:val="000000"/>
          <w:sz w:val="20"/>
          <w:szCs w:val="20"/>
        </w:rPr>
      </w:pPr>
      <w:r>
        <w:rPr>
          <w:rFonts w:ascii="Arial" w:hAnsi="Arial" w:cs="Arial"/>
          <w:color w:val="000000"/>
          <w:sz w:val="20"/>
          <w:szCs w:val="20"/>
        </w:rPr>
        <w:t xml:space="preserve">In </w:t>
      </w:r>
      <w:r w:rsidRPr="0040208A">
        <w:rPr>
          <w:rFonts w:ascii="Arial" w:hAnsi="Arial" w:cs="Arial"/>
          <w:i/>
          <w:iCs/>
          <w:color w:val="000000"/>
          <w:sz w:val="20"/>
          <w:szCs w:val="20"/>
        </w:rPr>
        <w:t>Chenhall v The Queen</w:t>
      </w:r>
      <w:r>
        <w:rPr>
          <w:rFonts w:ascii="Arial" w:hAnsi="Arial" w:cs="Arial"/>
          <w:color w:val="000000"/>
          <w:sz w:val="20"/>
          <w:szCs w:val="20"/>
        </w:rPr>
        <w:t xml:space="preserve"> [2021] VSCA 175, </w:t>
      </w:r>
      <w:r w:rsidRPr="0040208A">
        <w:rPr>
          <w:rFonts w:ascii="Arial" w:hAnsi="Arial" w:cs="Arial"/>
          <w:i/>
          <w:iCs/>
          <w:color w:val="000000"/>
          <w:sz w:val="20"/>
          <w:szCs w:val="20"/>
        </w:rPr>
        <w:t>Worboyes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r w:rsidR="005D459E" w:rsidRPr="005D459E">
        <w:rPr>
          <w:rFonts w:ascii="Arial" w:hAnsi="Arial" w:cs="Arial"/>
          <w:i/>
          <w:iCs/>
          <w:color w:val="000000"/>
          <w:sz w:val="20"/>
          <w:szCs w:val="20"/>
        </w:rPr>
        <w:t>Chenhall</w:t>
      </w:r>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hyperlink r:id="rId21"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we set out our reasons for concluding that where an accused person has made a plea of guilty during the COVID-19 pandemic, in certain cases that fact should be accepted as augmenting the utilitarian value of the plea,  so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r w:rsidRPr="005D459E">
        <w:rPr>
          <w:rFonts w:ascii="Arial" w:hAnsi="Arial" w:cs="Arial"/>
          <w:i/>
          <w:iCs/>
          <w:color w:val="000000"/>
          <w:sz w:val="20"/>
        </w:rPr>
        <w:t>Worboyes</w:t>
      </w:r>
      <w:r>
        <w:rPr>
          <w:rFonts w:ascii="Arial" w:hAnsi="Arial" w:cs="Arial"/>
          <w:color w:val="000000"/>
          <w:sz w:val="20"/>
        </w:rPr>
        <w:t>, the Court said at [39]:</w:t>
      </w:r>
    </w:p>
    <w:p w14:paraId="36E991C7" w14:textId="0F60597F" w:rsidR="0040208A" w:rsidRDefault="005D459E" w:rsidP="005D459E">
      <w:pPr>
        <w:spacing w:before="60"/>
        <w:ind w:left="1021" w:right="1021"/>
        <w:jc w:val="both"/>
        <w:rPr>
          <w:rFonts w:ascii="Arial" w:hAnsi="Arial" w:cs="Arial"/>
          <w:color w:val="000000"/>
          <w:sz w:val="20"/>
          <w:szCs w:val="20"/>
        </w:rPr>
      </w:pPr>
      <w:r>
        <w:rPr>
          <w:rFonts w:ascii="Arial" w:hAnsi="Arial" w:cs="Arial"/>
          <w:color w:val="000000"/>
          <w:sz w:val="20"/>
          <w:szCs w:val="20"/>
        </w:rPr>
        <w:t>‘</w:t>
      </w:r>
      <w:r w:rsidRPr="0040208A">
        <w:rPr>
          <w:rFonts w:ascii="Arial" w:hAnsi="Arial" w:cs="Arial"/>
          <w:color w:val="000000"/>
          <w:sz w:val="20"/>
          <w:szCs w:val="20"/>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r>
        <w:rPr>
          <w:rFonts w:ascii="Arial" w:hAnsi="Arial" w:cs="Arial"/>
          <w:color w:val="000000"/>
          <w:sz w:val="20"/>
          <w:szCs w:val="20"/>
        </w:rPr>
        <w:t>’</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lastRenderedPageBreak/>
        <w:t>In </w:t>
      </w:r>
      <w:hyperlink r:id="rId22"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509EC2E6"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Qd R 559; </w:t>
      </w:r>
      <w:r w:rsidRPr="001C6E0E">
        <w:rPr>
          <w:rFonts w:ascii="Arial" w:hAnsi="Arial" w:cs="Arial"/>
          <w:i/>
          <w:iCs/>
          <w:color w:val="000000"/>
          <w:sz w:val="20"/>
        </w:rPr>
        <w:t>R v Tan</w:t>
      </w:r>
      <w:r w:rsidRPr="001C6E0E">
        <w:rPr>
          <w:rFonts w:ascii="Arial" w:hAnsi="Arial" w:cs="Arial"/>
          <w:color w:val="000000"/>
          <w:sz w:val="20"/>
        </w:rPr>
        <w:t xml:space="preserve"> (1993) 117 FLR 38; </w:t>
      </w:r>
      <w:r w:rsidRPr="001C6E0E">
        <w:rPr>
          <w:rFonts w:ascii="Arial" w:hAnsi="Arial" w:cs="Arial"/>
          <w:i/>
          <w:iCs/>
          <w:color w:val="000000"/>
          <w:sz w:val="20"/>
        </w:rPr>
        <w:t>Pavlic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Coldrey AJA; </w:t>
      </w:r>
      <w:r w:rsidRPr="001C6E0E">
        <w:rPr>
          <w:rFonts w:ascii="Arial" w:hAnsi="Arial" w:cs="Arial"/>
          <w:i/>
          <w:iCs/>
          <w:color w:val="000000"/>
          <w:sz w:val="20"/>
        </w:rPr>
        <w:t>R v Taing</w:t>
      </w:r>
      <w:r w:rsidRPr="001C6E0E">
        <w:rPr>
          <w:rFonts w:ascii="Arial" w:hAnsi="Arial" w:cs="Arial"/>
          <w:color w:val="000000"/>
          <w:sz w:val="20"/>
        </w:rPr>
        <w:t xml:space="preserve"> [2004] VSCA 46; </w:t>
      </w:r>
      <w:r w:rsidRPr="001C6E0E">
        <w:rPr>
          <w:rFonts w:ascii="Arial" w:hAnsi="Arial" w:cs="Arial"/>
          <w:i/>
          <w:iCs/>
          <w:color w:val="000000"/>
          <w:sz w:val="20"/>
        </w:rPr>
        <w:t>R v Kittikhoun</w:t>
      </w:r>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R v Nikodjevic</w:t>
      </w:r>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R v Brazel</w:t>
      </w:r>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R v Sherna</w:t>
      </w:r>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R v Rintoull</w:t>
      </w:r>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4F4A4F">
        <w:rPr>
          <w:rFonts w:ascii="Arial" w:hAnsi="Arial" w:cs="Arial"/>
          <w:color w:val="000000"/>
          <w:sz w:val="20"/>
        </w:rPr>
        <w:t xml:space="preserve">; </w:t>
      </w:r>
      <w:r w:rsidR="004F4A4F" w:rsidRPr="008C624F">
        <w:rPr>
          <w:rFonts w:ascii="Arial" w:hAnsi="Arial" w:cs="Arial"/>
          <w:i/>
          <w:iCs/>
          <w:color w:val="000000"/>
          <w:sz w:val="20"/>
        </w:rPr>
        <w:t>Tyson Ralph v The Queen</w:t>
      </w:r>
      <w:r w:rsidR="004F4A4F">
        <w:rPr>
          <w:rFonts w:ascii="Arial" w:hAnsi="Arial" w:cs="Arial"/>
          <w:color w:val="000000"/>
          <w:sz w:val="20"/>
        </w:rPr>
        <w:t xml:space="preserve"> [2022] VSCA 185 at [50]-[51]</w:t>
      </w:r>
      <w:r w:rsidR="00010D98">
        <w:rPr>
          <w:rFonts w:ascii="Arial" w:hAnsi="Arial" w:cs="Arial"/>
          <w:color w:val="000000"/>
          <w:sz w:val="20"/>
        </w:rPr>
        <w:t xml:space="preserve">; </w:t>
      </w:r>
      <w:r w:rsidR="00010D98" w:rsidRPr="00010D98">
        <w:rPr>
          <w:rFonts w:ascii="Arial" w:hAnsi="Arial" w:cs="Arial"/>
          <w:i/>
          <w:iCs/>
          <w:color w:val="000000"/>
          <w:sz w:val="20"/>
        </w:rPr>
        <w:t>Bleakley v The King</w:t>
      </w:r>
      <w:r w:rsidR="00010D98">
        <w:rPr>
          <w:rFonts w:ascii="Arial" w:hAnsi="Arial" w:cs="Arial"/>
          <w:color w:val="000000"/>
          <w:sz w:val="20"/>
        </w:rPr>
        <w:t xml:space="preserve"> [2024] VSCA 88 at [30]-[35]</w:t>
      </w:r>
      <w:r w:rsidR="00D71E4B">
        <w:rPr>
          <w:rFonts w:ascii="Arial" w:hAnsi="Arial" w:cs="Arial"/>
          <w:color w:val="000000"/>
          <w:sz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r w:rsidR="004F4A4F">
        <w:rPr>
          <w:rFonts w:ascii="Arial" w:hAnsi="Arial" w:cs="Arial"/>
          <w:color w:val="000000"/>
          <w:sz w:val="20"/>
        </w:rPr>
        <w:t>.</w:t>
      </w:r>
    </w:p>
    <w:p w14:paraId="110C33E5" w14:textId="05D8AC87" w:rsidR="00BF52E5" w:rsidRPr="001C6E0E" w:rsidRDefault="00BF52E5">
      <w:pPr>
        <w:jc w:val="both"/>
        <w:rPr>
          <w:rFonts w:ascii="Arial" w:hAnsi="Arial" w:cs="Arial"/>
          <w:iCs/>
          <w:color w:val="000000"/>
          <w:sz w:val="20"/>
        </w:rPr>
      </w:pPr>
      <w:bookmarkStart w:id="571" w:name="_Toc30674207"/>
      <w:bookmarkStart w:id="572" w:name="_Toc30691474"/>
      <w:bookmarkStart w:id="573" w:name="_Toc30691854"/>
      <w:bookmarkStart w:id="574" w:name="_Toc30692234"/>
      <w:bookmarkStart w:id="575" w:name="_Toc30692992"/>
      <w:bookmarkStart w:id="576" w:name="_Toc30693371"/>
      <w:bookmarkStart w:id="577" w:name="_Toc30693749"/>
      <w:bookmarkStart w:id="578" w:name="_Toc30694127"/>
      <w:bookmarkStart w:id="579" w:name="_Toc30694508"/>
      <w:bookmarkStart w:id="580" w:name="_Toc30699098"/>
      <w:bookmarkStart w:id="581" w:name="_Toc30699483"/>
      <w:bookmarkStart w:id="582" w:name="_Toc30699868"/>
      <w:bookmarkStart w:id="583" w:name="_Toc30701023"/>
      <w:bookmarkStart w:id="584" w:name="_Toc30701410"/>
      <w:bookmarkStart w:id="585" w:name="_Toc30744017"/>
      <w:bookmarkStart w:id="586" w:name="_Toc30754840"/>
      <w:bookmarkStart w:id="587" w:name="_Toc30757296"/>
      <w:bookmarkStart w:id="588" w:name="_Toc30757844"/>
      <w:bookmarkStart w:id="589" w:name="_Toc30758244"/>
      <w:bookmarkStart w:id="590" w:name="_Toc30763004"/>
      <w:bookmarkStart w:id="591" w:name="_Toc30767658"/>
      <w:bookmarkStart w:id="592"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(Chernov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593"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593"/>
    </w:p>
    <w:p w14:paraId="4FE3192F" w14:textId="77777777" w:rsidR="00526FDA" w:rsidRPr="001C6E0E" w:rsidRDefault="00526FDA" w:rsidP="00010B41">
      <w:pPr>
        <w:numPr>
          <w:ilvl w:val="0"/>
          <w:numId w:val="34"/>
        </w:numPr>
        <w:tabs>
          <w:tab w:val="clear" w:pos="420"/>
        </w:tabs>
        <w:spacing w:before="120"/>
        <w:ind w:left="567" w:firstLine="0"/>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F13A56">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1A57C819" w14:textId="77777777" w:rsidR="00F13A56" w:rsidRPr="00F13A56" w:rsidRDefault="00F13A56" w:rsidP="00F13A56">
      <w:pPr>
        <w:jc w:val="both"/>
        <w:rPr>
          <w:rFonts w:ascii="Arial" w:hAnsi="Arial" w:cs="Arial"/>
          <w:color w:val="000000"/>
          <w:sz w:val="20"/>
          <w:szCs w:val="20"/>
        </w:rPr>
      </w:pPr>
    </w:p>
    <w:p w14:paraId="61CDD0F5" w14:textId="5737983D" w:rsidR="00E3727A" w:rsidRDefault="00F13A56" w:rsidP="00F13A56">
      <w:pPr>
        <w:jc w:val="both"/>
        <w:rPr>
          <w:rFonts w:ascii="Arial" w:hAnsi="Arial" w:cs="Arial"/>
          <w:color w:val="000000"/>
          <w:sz w:val="20"/>
          <w:szCs w:val="20"/>
        </w:rPr>
      </w:pPr>
      <w:r>
        <w:rPr>
          <w:rFonts w:ascii="Arial" w:hAnsi="Arial" w:cs="Arial"/>
          <w:color w:val="000000"/>
          <w:sz w:val="20"/>
          <w:szCs w:val="20"/>
        </w:rPr>
        <w:t xml:space="preserve">In </w:t>
      </w:r>
      <w:r w:rsidRPr="00F13A56">
        <w:rPr>
          <w:rFonts w:ascii="Arial" w:hAnsi="Arial" w:cs="Arial"/>
          <w:i/>
          <w:iCs/>
          <w:color w:val="000000"/>
          <w:sz w:val="20"/>
          <w:szCs w:val="20"/>
        </w:rPr>
        <w:t>DPP v BC</w:t>
      </w:r>
      <w:r>
        <w:rPr>
          <w:rFonts w:ascii="Arial" w:hAnsi="Arial" w:cs="Arial"/>
          <w:color w:val="000000"/>
          <w:sz w:val="20"/>
          <w:szCs w:val="20"/>
        </w:rPr>
        <w:t xml:space="preserve"> [2024] VSC 716 at [52] Fox J noted that s.362A did not apply in the case where she had imposed a youth supervision order on the offender and her Honour declined to </w:t>
      </w:r>
      <w:r w:rsidRPr="00F13A56">
        <w:rPr>
          <w:rFonts w:ascii="Arial" w:hAnsi="Arial" w:cs="Arial"/>
          <w:color w:val="000000"/>
          <w:sz w:val="20"/>
          <w:szCs w:val="20"/>
        </w:rPr>
        <w:t xml:space="preserve">state the sentence </w:t>
      </w:r>
      <w:r>
        <w:rPr>
          <w:rFonts w:ascii="Arial" w:hAnsi="Arial" w:cs="Arial"/>
          <w:color w:val="000000"/>
          <w:sz w:val="20"/>
          <w:szCs w:val="20"/>
        </w:rPr>
        <w:t xml:space="preserve">she </w:t>
      </w:r>
      <w:r w:rsidRPr="00F13A56">
        <w:rPr>
          <w:rFonts w:ascii="Arial" w:hAnsi="Arial" w:cs="Arial"/>
          <w:color w:val="000000"/>
          <w:sz w:val="20"/>
          <w:szCs w:val="20"/>
        </w:rPr>
        <w:t>would have imposed but for the plea of guilt</w:t>
      </w:r>
      <w:r>
        <w:rPr>
          <w:rFonts w:ascii="Arial" w:hAnsi="Arial" w:cs="Arial"/>
          <w:color w:val="000000"/>
          <w:sz w:val="20"/>
          <w:szCs w:val="20"/>
        </w:rPr>
        <w:t>y.</w:t>
      </w:r>
    </w:p>
    <w:p w14:paraId="0B90A10B" w14:textId="77777777" w:rsidR="00F13A56" w:rsidRPr="001C6E0E" w:rsidRDefault="00F13A56" w:rsidP="00F13A56">
      <w:pPr>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Williscroft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0ACF9FEE"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R v Cedic</w:t>
      </w:r>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r w:rsidR="00D25551">
        <w:rPr>
          <w:rFonts w:ascii="Arial" w:hAnsi="Arial" w:cs="Arial"/>
          <w:color w:val="000000"/>
          <w:sz w:val="20"/>
          <w:szCs w:val="20"/>
        </w:rPr>
        <w:t xml:space="preserve">; </w:t>
      </w:r>
      <w:r w:rsidR="00D25551" w:rsidRPr="00D25551">
        <w:rPr>
          <w:rFonts w:ascii="Arial" w:hAnsi="Arial" w:cs="Arial"/>
          <w:i/>
          <w:iCs/>
          <w:color w:val="000000"/>
          <w:sz w:val="20"/>
          <w:szCs w:val="20"/>
        </w:rPr>
        <w:t>DPP v Couper</w:t>
      </w:r>
      <w:r w:rsidR="00D25551">
        <w:rPr>
          <w:rFonts w:ascii="Arial" w:hAnsi="Arial" w:cs="Arial"/>
          <w:color w:val="000000"/>
          <w:sz w:val="20"/>
          <w:szCs w:val="20"/>
        </w:rPr>
        <w:t xml:space="preserve"> (2013) 41 VR 128; [2013] VSCA 72</w:t>
      </w:r>
      <w:r w:rsidR="008F1B41" w:rsidRPr="0068410F">
        <w:rPr>
          <w:rFonts w:ascii="Arial" w:hAnsi="Arial" w:cs="Arial"/>
          <w:color w:val="000000"/>
          <w:sz w:val="20"/>
          <w:szCs w:val="20"/>
        </w:rPr>
        <w:t>.</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r w:rsidR="002E4F45" w:rsidRPr="001C6E0E">
        <w:rPr>
          <w:rFonts w:ascii="Arial" w:hAnsi="Arial" w:cs="Arial"/>
          <w:color w:val="000000"/>
          <w:sz w:val="20"/>
          <w:szCs w:val="20"/>
        </w:rPr>
        <w:t xml:space="preserve">Dodds-Streeton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2E4F45">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R v Ciantar and Rose</w:t>
      </w:r>
      <w:r w:rsidR="0027320E" w:rsidRPr="001C6E0E">
        <w:rPr>
          <w:rFonts w:ascii="Arial" w:hAnsi="Arial" w:cs="Arial"/>
          <w:color w:val="000000"/>
          <w:sz w:val="20"/>
        </w:rPr>
        <w:t xml:space="preserve"> [2010] VSCA 313 at [36] Nettle &amp; Bongiorno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effect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Lasry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Burke, Scerri, Howard, Ciantar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Cedic</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DPP v Terrick</w:t>
      </w:r>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Gorladenchearau v The Queen</w:t>
      </w:r>
      <w:r w:rsidR="007F1834" w:rsidRPr="0068410F">
        <w:rPr>
          <w:rFonts w:ascii="Arial" w:hAnsi="Arial" w:cs="Arial"/>
          <w:color w:val="000000"/>
          <w:sz w:val="20"/>
          <w:szCs w:val="20"/>
        </w:rPr>
        <w:t xml:space="preserve"> [2011] VSCA 432, </w:t>
      </w:r>
      <w:r w:rsidR="007F1834" w:rsidRPr="0068410F">
        <w:rPr>
          <w:rFonts w:ascii="Arial" w:hAnsi="Arial" w:cs="Arial"/>
          <w:i/>
          <w:color w:val="000000"/>
          <w:sz w:val="20"/>
          <w:szCs w:val="20"/>
        </w:rPr>
        <w:t>Pesa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Thuy Thanh Thi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coaccused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(Gaudron, Gummow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to particular sentencing factors.  In order to comply with s 6AAA, a sentencing judge is required to guess the part played by one of a number of conflicting and contradictory elements in a synthesis of all the elements and ascribe a number to that element.  As Gaudron, Gummow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AD0771">
      <w:pPr>
        <w:spacing w:before="60"/>
        <w:ind w:left="567" w:right="567"/>
        <w:jc w:val="both"/>
        <w:rPr>
          <w:rFonts w:ascii="Arial" w:hAnsi="Arial" w:cs="Arial"/>
          <w:color w:val="000000"/>
          <w:sz w:val="20"/>
        </w:rPr>
      </w:pPr>
      <w:r>
        <w:rPr>
          <w:rFonts w:ascii="Arial" w:hAnsi="Arial" w:cs="Arial"/>
          <w:color w:val="000000"/>
          <w:sz w:val="20"/>
        </w:rPr>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51C31462" w:rsidR="00DC4186" w:rsidRDefault="00DC4186" w:rsidP="00257FBC">
      <w:pPr>
        <w:jc w:val="both"/>
        <w:rPr>
          <w:rFonts w:ascii="Arial" w:hAnsi="Arial" w:cs="Arial"/>
          <w:color w:val="000000"/>
          <w:sz w:val="20"/>
        </w:rPr>
      </w:pPr>
    </w:p>
    <w:p w14:paraId="43F1CCB1" w14:textId="1C5BA030" w:rsidR="00D25551" w:rsidRDefault="00D25551" w:rsidP="00257FBC">
      <w:pPr>
        <w:jc w:val="both"/>
        <w:rPr>
          <w:rFonts w:ascii="Arial" w:hAnsi="Arial" w:cs="Arial"/>
          <w:color w:val="000000"/>
          <w:sz w:val="20"/>
        </w:rPr>
      </w:pPr>
      <w:r>
        <w:rPr>
          <w:rFonts w:ascii="Arial" w:hAnsi="Arial" w:cs="Arial"/>
          <w:color w:val="000000"/>
          <w:sz w:val="20"/>
        </w:rPr>
        <w:t xml:space="preserve">In </w:t>
      </w:r>
      <w:r w:rsidRPr="00D25551">
        <w:rPr>
          <w:rFonts w:ascii="Arial" w:hAnsi="Arial" w:cs="Arial"/>
          <w:i/>
          <w:iCs/>
          <w:color w:val="000000"/>
          <w:sz w:val="20"/>
        </w:rPr>
        <w:t>Alicia Mason (a pseudonym) v The King</w:t>
      </w:r>
      <w:r>
        <w:rPr>
          <w:rFonts w:ascii="Arial" w:hAnsi="Arial" w:cs="Arial"/>
          <w:color w:val="000000"/>
          <w:sz w:val="20"/>
        </w:rPr>
        <w:t xml:space="preserve"> [2023] VSCA </w:t>
      </w:r>
      <w:r w:rsidR="00AD0771">
        <w:rPr>
          <w:rFonts w:ascii="Arial" w:hAnsi="Arial" w:cs="Arial"/>
          <w:color w:val="000000"/>
          <w:sz w:val="20"/>
        </w:rPr>
        <w:t xml:space="preserve">75 </w:t>
      </w:r>
      <w:r>
        <w:rPr>
          <w:rFonts w:ascii="Arial" w:hAnsi="Arial" w:cs="Arial"/>
          <w:color w:val="000000"/>
          <w:sz w:val="20"/>
        </w:rPr>
        <w:t xml:space="preserve">the applicant had pleaded guilty to a charge of importing a commercial quantity of a border controlled drug described by the Court as “enormous”, namely around 1.2 tonnes of methylamphetamine and just under 30kg of heroin.  She had been sentenced to IMP11y/7y.  Pursuant to s.16AC </w:t>
      </w:r>
      <w:r w:rsidRPr="00D25551">
        <w:rPr>
          <w:rFonts w:ascii="Arial" w:hAnsi="Arial" w:cs="Arial"/>
          <w:i/>
          <w:iCs/>
          <w:color w:val="000000"/>
          <w:sz w:val="20"/>
        </w:rPr>
        <w:t>Crimes Act (Cth)</w:t>
      </w:r>
      <w:r>
        <w:rPr>
          <w:rFonts w:ascii="Arial" w:hAnsi="Arial" w:cs="Arial"/>
          <w:color w:val="000000"/>
          <w:sz w:val="20"/>
        </w:rPr>
        <w:t xml:space="preserve"> the sentencing judge </w:t>
      </w:r>
      <w:r>
        <w:rPr>
          <w:rFonts w:ascii="Arial" w:hAnsi="Arial" w:cs="Arial"/>
          <w:color w:val="000000"/>
          <w:sz w:val="20"/>
        </w:rPr>
        <w:lastRenderedPageBreak/>
        <w:t>specified that the applicant’s sentence would have been IMP29y had she not cooperated with law enforcement agencies.</w:t>
      </w:r>
      <w:r w:rsidR="00AD0771">
        <w:rPr>
          <w:rFonts w:ascii="Arial" w:hAnsi="Arial" w:cs="Arial"/>
          <w:color w:val="000000"/>
          <w:sz w:val="20"/>
        </w:rPr>
        <w:t xml:space="preserve">  He did not specify the non-parole period that would have been imposed.  In granting leave to appeal but dismissing the appeal Beach &amp; Niall JJA held that-</w:t>
      </w:r>
    </w:p>
    <w:p w14:paraId="60EA24B0" w14:textId="1EDAF1E5" w:rsidR="00D2555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a starting point for sentence nor is it a sentence or part of a sentence;</w:t>
      </w:r>
    </w:p>
    <w:p w14:paraId="67B6A98B" w14:textId="2133770B"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useful to contend a sentence is manifestly excessive;</w:t>
      </w:r>
    </w:p>
    <w:p w14:paraId="4E6A9BBD" w14:textId="42D327FF"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failure to specify a non-parole period in the s.16AC specification was not a vitiating error; and</w:t>
      </w:r>
    </w:p>
    <w:p w14:paraId="5C1EDDC5" w14:textId="3D4F5F3E" w:rsidR="00AD0771" w:rsidRP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it was not reasonably arguable that the head sentence and the non-parole period were manifestly excessive.</w:t>
      </w:r>
    </w:p>
    <w:p w14:paraId="7942C9C7" w14:textId="1243D720" w:rsidR="00D25551" w:rsidRDefault="00D25551" w:rsidP="00257FBC">
      <w:pPr>
        <w:jc w:val="both"/>
        <w:rPr>
          <w:rFonts w:ascii="Arial" w:hAnsi="Arial" w:cs="Arial"/>
          <w:color w:val="000000"/>
          <w:sz w:val="20"/>
        </w:rPr>
      </w:pPr>
    </w:p>
    <w:p w14:paraId="569E48B7" w14:textId="77777777" w:rsidR="00325156" w:rsidRPr="001C6E0E" w:rsidRDefault="00325156" w:rsidP="00D71E4B">
      <w:pPr>
        <w:pStyle w:val="Heading3"/>
        <w:spacing w:after="120" w:line="240" w:lineRule="auto"/>
        <w:rPr>
          <w:rFonts w:ascii="Arial" w:hAnsi="Arial" w:cs="Arial"/>
          <w:b/>
          <w:bCs/>
          <w:color w:val="000000"/>
          <w:sz w:val="20"/>
          <w:lang w:val="en-AU"/>
        </w:rPr>
      </w:pPr>
      <w:bookmarkStart w:id="594" w:name="_11.2.8.3__"/>
      <w:bookmarkEnd w:id="594"/>
      <w:r w:rsidRPr="001C6E0E">
        <w:rPr>
          <w:rFonts w:ascii="Arial" w:hAnsi="Arial" w:cs="Arial"/>
          <w:b/>
          <w:bCs/>
          <w:color w:val="000000"/>
          <w:sz w:val="20"/>
        </w:rPr>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R v Shane Anthony Pividor and Bruce Alan Dale</w:t>
      </w:r>
      <w:r w:rsidRPr="001C6E0E">
        <w:rPr>
          <w:rFonts w:ascii="Arial" w:hAnsi="Arial" w:cs="Arial"/>
          <w:color w:val="000000"/>
          <w:sz w:val="20"/>
        </w:rPr>
        <w:t xml:space="preserve"> [2002] VSCA 174 at 7."</w:t>
      </w:r>
    </w:p>
    <w:p w14:paraId="37EF0D32" w14:textId="77777777" w:rsidR="00D718E7" w:rsidRPr="001C6E0E" w:rsidRDefault="00D718E7" w:rsidP="002E2D6E">
      <w:pPr>
        <w:spacing w:before="60"/>
        <w:jc w:val="both"/>
        <w:rPr>
          <w:rFonts w:ascii="Arial" w:hAnsi="Arial" w:cs="Arial"/>
          <w:iCs/>
          <w:color w:val="000000"/>
          <w:sz w:val="20"/>
        </w:rPr>
      </w:pPr>
    </w:p>
    <w:p w14:paraId="68D9F92C" w14:textId="77777777" w:rsidR="0083454C" w:rsidRPr="001C6E0E" w:rsidRDefault="0083454C" w:rsidP="002E2D6E">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Bongiorno AJA, with whom Buchanan &amp; Nettle JJA agreed, said:</w:t>
      </w:r>
    </w:p>
    <w:p w14:paraId="0D390E2A" w14:textId="77777777" w:rsidR="0083454C" w:rsidRPr="001C6E0E" w:rsidRDefault="0083454C" w:rsidP="002E2D6E">
      <w:pPr>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Chernov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lastRenderedPageBreak/>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[16]  “By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McGarvie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the extent of the discount, other judges have castigated the idea as inconsistent 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R v Schioparlan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R v Sahari</w:t>
      </w:r>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R v Su</w:t>
      </w:r>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[17]  </w:t>
      </w:r>
      <w:r w:rsidR="004E1004" w:rsidRPr="001C6E0E">
        <w:rPr>
          <w:rFonts w:ascii="Arial" w:hAnsi="Arial" w:cs="Arial"/>
          <w:color w:val="000000"/>
          <w:sz w:val="20"/>
        </w:rPr>
        <w:t xml:space="preserve">Following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[18]  There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(McGarvie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R v Su</w:t>
      </w:r>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R v Downie and Dandy</w:t>
      </w:r>
      <w:r w:rsidR="00B9056B" w:rsidRPr="001C6E0E">
        <w:rPr>
          <w:rFonts w:ascii="Arial" w:hAnsi="Arial" w:cs="Arial"/>
          <w:color w:val="000000"/>
          <w:sz w:val="20"/>
          <w:szCs w:val="20"/>
        </w:rPr>
        <w:t xml:space="preserve"> [1998] 2 VR 517, 520–522;  cf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  Under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2E2D6E">
      <w:pPr>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 xml:space="preserve">[2018] VSCA 21 at [42]-[45] (Weinberg, Priest </w:t>
      </w:r>
      <w:r w:rsidRPr="00EC3E98">
        <w:rPr>
          <w:rFonts w:ascii="Arial" w:eastAsia="Book Antiqua" w:hAnsi="Arial" w:cs="Arial"/>
          <w:sz w:val="20"/>
        </w:rPr>
        <w:lastRenderedPageBreak/>
        <w:t>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R v Kohunui</w:t>
      </w:r>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(Cth).</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(Coldrey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Given the seriousness of the applicant’s offending, had it not been for the applicant’s assistance to authorities, we would have considered the sentence imposed on him to have 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identifiying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 xml:space="preserve">Court of Appeal imposed a TES IMP3y4m/20m and declared pursuant to s.6AAA(2)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Safi Haamid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Ooi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R v Su</w:t>
      </w:r>
      <w:r w:rsidRPr="00790EFE">
        <w:rPr>
          <w:rFonts w:ascii="Arial" w:hAnsi="Arial" w:cs="Arial"/>
          <w:sz w:val="20"/>
          <w:szCs w:val="20"/>
        </w:rPr>
        <w:t xml:space="preserve"> [1997] 1 VR 1, 79 (‘</w:t>
      </w:r>
      <w:r w:rsidRPr="00790EFE">
        <w:rPr>
          <w:rFonts w:ascii="Arial" w:eastAsia="Book Antiqua" w:hAnsi="Arial" w:cs="Arial"/>
          <w:i/>
          <w:sz w:val="20"/>
          <w:szCs w:val="20"/>
        </w:rPr>
        <w:t>Su</w:t>
      </w:r>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 xml:space="preserve">whether the offender’s cooperation has already achieved positive law enforcement outcomes, such as recovery of stolen or dangerous goods, the </w:t>
      </w:r>
      <w:r>
        <w:rPr>
          <w:rFonts w:ascii="Arial" w:hAnsi="Arial" w:cs="Arial"/>
          <w:sz w:val="20"/>
          <w:szCs w:val="20"/>
        </w:rPr>
        <w:lastRenderedPageBreak/>
        <w:t>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norml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t>There are a number of cases in which a discount of 50 per cent</w:t>
      </w:r>
      <w:r w:rsidRPr="00EE58D8">
        <w:rPr>
          <w:rFonts w:ascii="Arial" w:hAnsi="Arial" w:cs="Arial"/>
          <w:sz w:val="20"/>
          <w:szCs w:val="20"/>
        </w:rPr>
        <w:t xml:space="preserve"> has been provided: See, eg,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 xml:space="preserve">(2H)(a)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v Su</w:t>
      </w:r>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r w:rsidRPr="00E46E61">
        <w:rPr>
          <w:rFonts w:ascii="Arial" w:hAnsi="Arial" w:cs="Arial"/>
          <w:i/>
          <w:iCs/>
          <w:color w:val="000000"/>
          <w:sz w:val="20"/>
          <w:szCs w:val="20"/>
        </w:rPr>
        <w:t>Makieng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985E4" w:rsidR="00F74AE2" w:rsidRDefault="00F74AE2" w:rsidP="0083454C">
      <w:pPr>
        <w:jc w:val="both"/>
        <w:rPr>
          <w:rFonts w:ascii="Arial" w:hAnsi="Arial" w:cs="Arial"/>
          <w:color w:val="000000"/>
          <w:sz w:val="20"/>
        </w:rPr>
      </w:pPr>
    </w:p>
    <w:p w14:paraId="0C127524" w14:textId="37E144A7" w:rsidR="007772B3" w:rsidRPr="004230A6" w:rsidRDefault="007772B3" w:rsidP="0083454C">
      <w:pPr>
        <w:jc w:val="both"/>
        <w:rPr>
          <w:rFonts w:ascii="Arial" w:hAnsi="Arial" w:cs="Arial"/>
          <w:color w:val="000000"/>
          <w:sz w:val="20"/>
          <w:szCs w:val="20"/>
        </w:rPr>
      </w:pPr>
      <w:r>
        <w:rPr>
          <w:rFonts w:ascii="Arial" w:hAnsi="Arial" w:cs="Arial"/>
          <w:color w:val="000000"/>
          <w:sz w:val="20"/>
        </w:rPr>
        <w:t xml:space="preserve">In </w:t>
      </w:r>
      <w:r w:rsidR="00034736">
        <w:rPr>
          <w:rFonts w:ascii="Arial" w:hAnsi="Arial" w:cs="Arial"/>
          <w:i/>
          <w:iCs/>
          <w:color w:val="000000"/>
          <w:sz w:val="20"/>
          <w:szCs w:val="20"/>
        </w:rPr>
        <w:t>Nguyen (a pseudonuym)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w:t>
      </w:r>
      <w:r w:rsidR="004230A6">
        <w:rPr>
          <w:rFonts w:ascii="Arial" w:hAnsi="Arial" w:cs="Arial"/>
          <w:color w:val="000000"/>
          <w:sz w:val="20"/>
          <w:szCs w:val="20"/>
        </w:rPr>
        <w:t xml:space="preserve">, in rejecting a submission that the sentencing judge had given insufficient discount for the applicant’s offer to assist authorities, </w:t>
      </w:r>
      <w:r>
        <w:rPr>
          <w:rFonts w:ascii="Arial" w:hAnsi="Arial" w:cs="Arial"/>
          <w:color w:val="000000"/>
          <w:sz w:val="20"/>
          <w:szCs w:val="20"/>
        </w:rPr>
        <w:t>the Court of Appeal (Kyrou JA, Kidd &amp; Lasry JJA) said at [39]-[40]</w:t>
      </w:r>
      <w:r w:rsidR="004230A6">
        <w:rPr>
          <w:rFonts w:ascii="Arial" w:hAnsi="Arial" w:cs="Arial"/>
          <w:color w:val="000000"/>
          <w:sz w:val="20"/>
          <w:szCs w:val="20"/>
        </w:rPr>
        <w:t xml:space="preserve"> &amp; [48]-[50]</w:t>
      </w:r>
      <w:r>
        <w:rPr>
          <w:rFonts w:ascii="Arial" w:hAnsi="Arial" w:cs="Arial"/>
          <w:color w:val="000000"/>
          <w:sz w:val="20"/>
          <w:szCs w:val="20"/>
        </w:rPr>
        <w:t>:</w:t>
      </w:r>
    </w:p>
    <w:p w14:paraId="4F32E650" w14:textId="0BBD564E" w:rsidR="007772B3"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[39] </w:t>
      </w:r>
      <w:r w:rsidR="007772B3" w:rsidRPr="007772B3">
        <w:rPr>
          <w:rFonts w:ascii="Arial" w:hAnsi="Arial" w:cs="Arial"/>
          <w:color w:val="000000"/>
          <w:sz w:val="20"/>
          <w:szCs w:val="20"/>
        </w:rPr>
        <w:t xml:space="preserve">“The principles which apply to the way in which a sentencing judge may give weight to cooperation by an offender with law enforcement authorities in the intuitive synthesis process of sentencing are not in contention. They were set out in detail by this Court </w:t>
      </w:r>
      <w:r w:rsidR="007772B3">
        <w:rPr>
          <w:rFonts w:ascii="Arial" w:hAnsi="Arial" w:cs="Arial"/>
          <w:color w:val="000000"/>
          <w:sz w:val="20"/>
          <w:szCs w:val="20"/>
        </w:rPr>
        <w:t xml:space="preserve">in Haamid v The Queen [2018] VSCA 330.  </w:t>
      </w:r>
      <w:r w:rsidR="007772B3" w:rsidRPr="007772B3">
        <w:rPr>
          <w:rFonts w:ascii="Arial" w:hAnsi="Arial" w:cs="Arial"/>
          <w:color w:val="000000"/>
          <w:sz w:val="20"/>
          <w:szCs w:val="20"/>
        </w:rPr>
        <w:t xml:space="preserve">In the subsequent judgment </w:t>
      </w:r>
      <w:r w:rsidR="007772B3">
        <w:rPr>
          <w:rFonts w:ascii="Arial" w:hAnsi="Arial" w:cs="Arial"/>
          <w:color w:val="000000"/>
          <w:sz w:val="20"/>
          <w:szCs w:val="20"/>
        </w:rPr>
        <w:t xml:space="preserve">of </w:t>
      </w:r>
      <w:r w:rsidR="007772B3" w:rsidRPr="004230A6">
        <w:rPr>
          <w:rFonts w:ascii="Arial" w:hAnsi="Arial" w:cs="Arial"/>
          <w:i/>
          <w:iCs/>
          <w:color w:val="000000"/>
          <w:sz w:val="20"/>
          <w:szCs w:val="20"/>
        </w:rPr>
        <w:t>Farmer v The Queen</w:t>
      </w:r>
      <w:r w:rsidR="007772B3">
        <w:rPr>
          <w:rFonts w:ascii="Arial" w:hAnsi="Arial" w:cs="Arial"/>
          <w:color w:val="000000"/>
          <w:sz w:val="20"/>
          <w:szCs w:val="20"/>
        </w:rPr>
        <w:t xml:space="preserve"> [2020] VSCA 140</w:t>
      </w:r>
      <w:r w:rsidR="007772B3" w:rsidRPr="007772B3">
        <w:rPr>
          <w:rFonts w:ascii="Arial" w:hAnsi="Arial" w:cs="Arial"/>
          <w:color w:val="000000"/>
          <w:sz w:val="20"/>
          <w:szCs w:val="20"/>
        </w:rPr>
        <w:t>, referring to</w:t>
      </w:r>
      <w:r w:rsidR="007772B3">
        <w:rPr>
          <w:rFonts w:ascii="Arial" w:hAnsi="Arial" w:cs="Arial"/>
          <w:color w:val="000000"/>
          <w:sz w:val="20"/>
          <w:szCs w:val="20"/>
        </w:rPr>
        <w:t xml:space="preserve"> </w:t>
      </w:r>
      <w:r w:rsidR="007772B3" w:rsidRPr="007772B3">
        <w:rPr>
          <w:rFonts w:ascii="Arial" w:hAnsi="Arial" w:cs="Arial"/>
          <w:i/>
          <w:iCs/>
          <w:color w:val="000000"/>
          <w:sz w:val="20"/>
          <w:szCs w:val="20"/>
        </w:rPr>
        <w:t>Haamid</w:t>
      </w:r>
      <w:r w:rsidR="007772B3">
        <w:rPr>
          <w:rFonts w:ascii="Arial" w:hAnsi="Arial" w:cs="Arial"/>
          <w:color w:val="000000"/>
          <w:sz w:val="20"/>
          <w:szCs w:val="20"/>
        </w:rPr>
        <w:t xml:space="preserve">, </w:t>
      </w:r>
      <w:r w:rsidR="007772B3" w:rsidRPr="007772B3">
        <w:rPr>
          <w:rFonts w:ascii="Arial" w:hAnsi="Arial" w:cs="Arial"/>
          <w:color w:val="000000"/>
          <w:sz w:val="20"/>
          <w:szCs w:val="20"/>
        </w:rPr>
        <w:t xml:space="preserve">those principles were shortly summarised </w:t>
      </w:r>
      <w:r w:rsidR="007772B3">
        <w:rPr>
          <w:rFonts w:ascii="Arial" w:hAnsi="Arial" w:cs="Arial"/>
          <w:color w:val="000000"/>
          <w:sz w:val="20"/>
          <w:szCs w:val="20"/>
        </w:rPr>
        <w:t xml:space="preserve">at [71] </w:t>
      </w:r>
      <w:r w:rsidR="007772B3" w:rsidRPr="007772B3">
        <w:rPr>
          <w:rFonts w:ascii="Arial" w:hAnsi="Arial" w:cs="Arial"/>
          <w:color w:val="000000"/>
          <w:sz w:val="20"/>
          <w:szCs w:val="20"/>
        </w:rPr>
        <w:t>as follows:</w:t>
      </w:r>
    </w:p>
    <w:p w14:paraId="3144D622" w14:textId="138A7FDA" w:rsidR="007772B3" w:rsidRDefault="007772B3" w:rsidP="007772B3">
      <w:pPr>
        <w:pStyle w:val="NormalWeb"/>
        <w:shd w:val="clear" w:color="auto" w:fill="FFFFFF"/>
        <w:spacing w:before="60" w:beforeAutospacing="0" w:after="0" w:afterAutospacing="0"/>
        <w:ind w:left="1021" w:right="1021"/>
        <w:jc w:val="both"/>
        <w:rPr>
          <w:rFonts w:ascii="Arial" w:hAnsi="Arial" w:cs="Arial"/>
          <w:sz w:val="18"/>
          <w:szCs w:val="18"/>
        </w:rPr>
      </w:pPr>
      <w:r>
        <w:rPr>
          <w:rFonts w:ascii="Arial" w:hAnsi="Arial" w:cs="Arial"/>
          <w:sz w:val="18"/>
          <w:szCs w:val="18"/>
        </w:rPr>
        <w:t>‘</w:t>
      </w:r>
      <w:r w:rsidRPr="007772B3">
        <w:rPr>
          <w:rFonts w:ascii="Arial" w:hAnsi="Arial" w:cs="Arial"/>
          <w:sz w:val="18"/>
          <w:szCs w:val="18"/>
        </w:rPr>
        <w:t xml:space="preserve">It is well-established that providing assistance to law enforcement authorities can be a powerful mitigating factor in sentencing. The potency of its mitigation depends on </w:t>
      </w:r>
      <w:r w:rsidRPr="007772B3">
        <w:rPr>
          <w:rFonts w:ascii="Arial" w:hAnsi="Arial" w:cs="Arial"/>
          <w:sz w:val="18"/>
          <w:szCs w:val="18"/>
        </w:rPr>
        <w:lastRenderedPageBreak/>
        <w:t>various factors, including the nature and gravity of the crime, the benefit to authorities, the risk posed to the offender and the extent to which the offender will require protective measures in prison, making incarceration more onerous. Underpinning these factors is the very powerful public interest in encouraging offenders to cooperate with law enforcement authorities. In order to determine the extent to which assistance might moderate a sentence, it is necessary to have regard to the relevant factors. As a comparison of </w:t>
      </w:r>
      <w:r w:rsidRPr="007772B3">
        <w:rPr>
          <w:rFonts w:ascii="Arial" w:hAnsi="Arial" w:cs="Arial"/>
          <w:i/>
          <w:iCs/>
          <w:sz w:val="18"/>
          <w:szCs w:val="18"/>
        </w:rPr>
        <w:t>R v Johnston</w:t>
      </w:r>
      <w:r w:rsidRPr="007772B3">
        <w:rPr>
          <w:rFonts w:ascii="Arial" w:hAnsi="Arial" w:cs="Arial"/>
          <w:sz w:val="18"/>
          <w:szCs w:val="18"/>
        </w:rPr>
        <w:t> and </w:t>
      </w:r>
      <w:r w:rsidRPr="007772B3">
        <w:rPr>
          <w:rFonts w:ascii="Arial" w:hAnsi="Arial" w:cs="Arial"/>
          <w:i/>
          <w:iCs/>
          <w:sz w:val="18"/>
          <w:szCs w:val="18"/>
        </w:rPr>
        <w:t>Director of Public Prosecutions v Cooper</w:t>
      </w:r>
      <w:r w:rsidRPr="007772B3">
        <w:rPr>
          <w:rFonts w:ascii="Arial" w:hAnsi="Arial" w:cs="Arial"/>
          <w:sz w:val="18"/>
          <w:szCs w:val="18"/>
        </w:rPr>
        <w:t> shows, there can be a marked difference in the weight accorded to assistance in the bringing together of the various integers relevant to sentence.</w:t>
      </w:r>
      <w:r w:rsidR="004230A6">
        <w:rPr>
          <w:rFonts w:ascii="Arial" w:hAnsi="Arial" w:cs="Arial"/>
          <w:sz w:val="18"/>
          <w:szCs w:val="18"/>
        </w:rPr>
        <w:t>’</w:t>
      </w:r>
    </w:p>
    <w:p w14:paraId="3B88271F" w14:textId="3C1BD9E0" w:rsidR="007772B3"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[40] </w:t>
      </w:r>
      <w:r w:rsidR="007772B3" w:rsidRPr="007772B3">
        <w:rPr>
          <w:rFonts w:ascii="Arial" w:hAnsi="Arial" w:cs="Arial"/>
          <w:color w:val="000000"/>
          <w:sz w:val="20"/>
          <w:szCs w:val="20"/>
        </w:rPr>
        <w:t>The statements of the applicable principles in</w:t>
      </w:r>
      <w:r>
        <w:rPr>
          <w:rFonts w:ascii="Arial" w:hAnsi="Arial" w:cs="Arial"/>
          <w:color w:val="000000"/>
          <w:sz w:val="20"/>
          <w:szCs w:val="20"/>
        </w:rPr>
        <w:t xml:space="preserve"> </w:t>
      </w:r>
      <w:r w:rsidRPr="004230A6">
        <w:rPr>
          <w:rFonts w:ascii="Arial" w:hAnsi="Arial" w:cs="Arial"/>
          <w:i/>
          <w:iCs/>
          <w:color w:val="000000"/>
          <w:sz w:val="20"/>
          <w:szCs w:val="20"/>
        </w:rPr>
        <w:t>Haami</w:t>
      </w:r>
      <w:r>
        <w:rPr>
          <w:rFonts w:ascii="Arial" w:hAnsi="Arial" w:cs="Arial"/>
          <w:i/>
          <w:iCs/>
          <w:color w:val="000000"/>
          <w:sz w:val="20"/>
          <w:szCs w:val="20"/>
        </w:rPr>
        <w:t xml:space="preserve">d </w:t>
      </w:r>
      <w:r w:rsidR="007772B3" w:rsidRPr="007772B3">
        <w:rPr>
          <w:rFonts w:ascii="Arial" w:hAnsi="Arial" w:cs="Arial"/>
          <w:color w:val="000000"/>
          <w:sz w:val="20"/>
          <w:szCs w:val="20"/>
        </w:rPr>
        <w:t>and</w:t>
      </w:r>
      <w:r>
        <w:rPr>
          <w:rFonts w:ascii="Arial" w:hAnsi="Arial" w:cs="Arial"/>
          <w:color w:val="000000"/>
          <w:sz w:val="20"/>
          <w:szCs w:val="20"/>
        </w:rPr>
        <w:t xml:space="preserve"> </w:t>
      </w:r>
      <w:r w:rsidR="007772B3" w:rsidRPr="007772B3">
        <w:rPr>
          <w:rFonts w:ascii="Arial" w:hAnsi="Arial" w:cs="Arial"/>
          <w:i/>
          <w:iCs/>
          <w:color w:val="000000"/>
          <w:sz w:val="20"/>
          <w:szCs w:val="20"/>
        </w:rPr>
        <w:t>Farmer</w:t>
      </w:r>
      <w:r>
        <w:rPr>
          <w:rFonts w:ascii="Arial" w:hAnsi="Arial" w:cs="Arial"/>
          <w:color w:val="000000"/>
          <w:sz w:val="20"/>
          <w:szCs w:val="20"/>
        </w:rPr>
        <w:t xml:space="preserve"> </w:t>
      </w:r>
      <w:r w:rsidR="007772B3" w:rsidRPr="007772B3">
        <w:rPr>
          <w:rFonts w:ascii="Arial" w:hAnsi="Arial" w:cs="Arial"/>
          <w:color w:val="000000"/>
          <w:sz w:val="20"/>
          <w:szCs w:val="20"/>
        </w:rPr>
        <w:t>demonstrate the breadth of the discretion residing in a judge sentencing an offender who has cooperated with authorities by the provision of information about an accomplice.</w:t>
      </w:r>
      <w:r>
        <w:rPr>
          <w:rFonts w:ascii="Arial" w:hAnsi="Arial" w:cs="Arial"/>
          <w:color w:val="000000"/>
          <w:sz w:val="20"/>
          <w:szCs w:val="20"/>
        </w:rPr>
        <w:t>”</w:t>
      </w:r>
    </w:p>
    <w:p w14:paraId="13822E29" w14:textId="08FA7EE7"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[48] </w:t>
      </w:r>
      <w:r w:rsidRPr="004230A6">
        <w:rPr>
          <w:rFonts w:ascii="Arial" w:hAnsi="Arial" w:cs="Arial"/>
          <w:color w:val="000000"/>
          <w:sz w:val="20"/>
          <w:szCs w:val="20"/>
        </w:rPr>
        <w:t>This Court in</w:t>
      </w:r>
      <w:r>
        <w:rPr>
          <w:rFonts w:ascii="Arial" w:hAnsi="Arial" w:cs="Arial"/>
          <w:sz w:val="20"/>
          <w:szCs w:val="20"/>
        </w:rPr>
        <w:t xml:space="preserve"> </w:t>
      </w:r>
      <w:r w:rsidRPr="004230A6">
        <w:rPr>
          <w:rFonts w:ascii="Arial" w:hAnsi="Arial" w:cs="Arial"/>
          <w:i/>
          <w:iCs/>
          <w:sz w:val="20"/>
          <w:szCs w:val="20"/>
        </w:rPr>
        <w:t>Haamid</w:t>
      </w:r>
      <w:r>
        <w:rPr>
          <w:rFonts w:ascii="Arial" w:hAnsi="Arial" w:cs="Arial"/>
          <w:sz w:val="20"/>
          <w:szCs w:val="20"/>
        </w:rPr>
        <w:t xml:space="preserve"> </w:t>
      </w:r>
      <w:r w:rsidRPr="004230A6">
        <w:rPr>
          <w:rFonts w:ascii="Arial" w:hAnsi="Arial" w:cs="Arial"/>
          <w:color w:val="000000"/>
          <w:sz w:val="20"/>
          <w:szCs w:val="20"/>
        </w:rPr>
        <w:t xml:space="preserve">emphasised </w:t>
      </w:r>
      <w:r>
        <w:rPr>
          <w:rFonts w:ascii="Arial" w:hAnsi="Arial" w:cs="Arial"/>
          <w:sz w:val="20"/>
          <w:szCs w:val="20"/>
        </w:rPr>
        <w:t xml:space="preserve">at [24] </w:t>
      </w:r>
      <w:r w:rsidRPr="004230A6">
        <w:rPr>
          <w:rFonts w:ascii="Arial" w:hAnsi="Arial" w:cs="Arial"/>
          <w:color w:val="000000"/>
          <w:sz w:val="20"/>
          <w:szCs w:val="20"/>
        </w:rPr>
        <w:t>the lack of a tariff or standard discount for the provision of information, which acknowledges the broad variety of circumstances which can arise. Among the list of factors relevant to the determination of a sentencing discount are the quality and reliability of the information and its value to law enforcement authorities.</w:t>
      </w:r>
    </w:p>
    <w:p w14:paraId="0CE30D35" w14:textId="3ED1E681"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[49] </w:t>
      </w:r>
      <w:r w:rsidRPr="004230A6">
        <w:rPr>
          <w:rFonts w:ascii="Arial" w:hAnsi="Arial" w:cs="Arial"/>
          <w:color w:val="000000"/>
          <w:sz w:val="20"/>
          <w:szCs w:val="20"/>
        </w:rPr>
        <w:t>As to the quality or usefulness of the applicant’s information, the judge had evidence from the police that the applicant’s disclosures, without any corroborating evidence, were not of significant value for the reasons we have already identified. The police had long considered Hoang as being involved in a Vietnamese drug syndicate which conducted cultivation ‘set-ups’. The problem, which was not solved by the applicant’s information, remained the lack of physical or forensic evidence which linked her to this offending.</w:t>
      </w:r>
    </w:p>
    <w:p w14:paraId="1584C386" w14:textId="1D34A1AE" w:rsidR="004230A6"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[50] </w:t>
      </w:r>
      <w:r w:rsidRPr="004230A6">
        <w:rPr>
          <w:rFonts w:ascii="Arial" w:hAnsi="Arial" w:cs="Arial"/>
          <w:color w:val="000000"/>
          <w:sz w:val="20"/>
          <w:szCs w:val="20"/>
        </w:rPr>
        <w:t>For an 18 month period between his arrest in March 2020 and the provision of his ‘can say’ statement in September 2021, the applicant gave no indication of a willingness to assist police in any prosecution of Hoang. Self-evidently, information given to police by an offender about a co-offender soon after the offender’s arrest is likely to be much more valuable than information that is provided over a year later. That is particularly so where the offender assisted the co</w:t>
      </w:r>
      <w:r w:rsidRPr="004230A6">
        <w:rPr>
          <w:rFonts w:ascii="Arial" w:hAnsi="Arial" w:cs="Arial"/>
          <w:color w:val="000000"/>
          <w:sz w:val="20"/>
          <w:szCs w:val="20"/>
        </w:rPr>
        <w:noBreakHyphen/>
        <w:t>offender by informing him or her that the offender had been arrested and thus potentially hindered the apprehension and prosecution of the co-offender.</w:t>
      </w:r>
      <w:r>
        <w:rPr>
          <w:rFonts w:ascii="Arial" w:hAnsi="Arial" w:cs="Arial"/>
          <w:color w:val="000000"/>
          <w:sz w:val="20"/>
          <w:szCs w:val="20"/>
        </w:rPr>
        <w:t>”</w:t>
      </w:r>
    </w:p>
    <w:p w14:paraId="3B80D9B9" w14:textId="77777777" w:rsidR="007772B3" w:rsidRDefault="007772B3" w:rsidP="0083454C">
      <w:pPr>
        <w:jc w:val="both"/>
        <w:rPr>
          <w:rFonts w:ascii="Arial" w:hAnsi="Arial" w:cs="Arial"/>
          <w:color w:val="000000"/>
          <w:sz w:val="20"/>
        </w:rPr>
      </w:pPr>
    </w:p>
    <w:p w14:paraId="0391826B" w14:textId="2426656D" w:rsidR="009F66E3" w:rsidRDefault="001F3E4D" w:rsidP="009F66E3">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R v Hentschel</w:t>
      </w:r>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R v Tame Kohonui</w:t>
      </w:r>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R v John Kohunui</w:t>
      </w:r>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R v Koumis &amp; Ors</w:t>
      </w:r>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H</w:t>
      </w:r>
      <w:r w:rsidR="000D71D5" w:rsidRPr="000D71D5">
        <w:rPr>
          <w:rFonts w:ascii="Arial" w:hAnsi="Arial" w:cs="Arial"/>
          <w:i/>
          <w:sz w:val="20"/>
          <w:szCs w:val="20"/>
        </w:rPr>
        <w:t>aamid</w:t>
      </w:r>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Niko Robers (a pseudonym) v DPP Cth</w:t>
      </w:r>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Al Janabe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Brendan Lowell (a pseudonym) v The 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E01019">
        <w:rPr>
          <w:rFonts w:ascii="Arial" w:hAnsi="Arial" w:cs="Arial"/>
          <w:color w:val="000000"/>
          <w:sz w:val="20"/>
          <w:szCs w:val="20"/>
        </w:rPr>
        <w:t xml:space="preserve">; </w:t>
      </w:r>
      <w:r w:rsidR="00E01019" w:rsidRPr="003C048B">
        <w:rPr>
          <w:rFonts w:ascii="Arial" w:hAnsi="Arial" w:cs="Arial"/>
          <w:i/>
          <w:iCs/>
          <w:color w:val="000000"/>
          <w:sz w:val="20"/>
          <w:szCs w:val="20"/>
        </w:rPr>
        <w:t xml:space="preserve">ABC (a pseudonym) v The King </w:t>
      </w:r>
      <w:r w:rsidR="00E01019" w:rsidRPr="003C048B">
        <w:rPr>
          <w:rFonts w:ascii="Arial" w:hAnsi="Arial" w:cs="Arial"/>
          <w:color w:val="000000"/>
          <w:sz w:val="20"/>
          <w:szCs w:val="20"/>
        </w:rPr>
        <w:t>[2023] VSCA 280</w:t>
      </w:r>
      <w:r w:rsidR="00E01019">
        <w:rPr>
          <w:rFonts w:ascii="Arial" w:hAnsi="Arial" w:cs="Arial"/>
          <w:color w:val="000000"/>
          <w:sz w:val="20"/>
          <w:szCs w:val="20"/>
        </w:rPr>
        <w:t xml:space="preserve"> at [50]-[61].</w:t>
      </w:r>
    </w:p>
    <w:p w14:paraId="7E11F951" w14:textId="77777777" w:rsidR="00E01019" w:rsidRPr="001C6E0E" w:rsidRDefault="00E01019"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595" w:name="_11.2.8.4__"/>
      <w:bookmarkEnd w:id="595"/>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v  Johnson</w:t>
      </w:r>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(1989) 17 NSWLR 243, 252-3 (Hunt and Badgery-Parker JJ).  The latter may found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 xml:space="preserve">In my view the existence of the safeguard of appeal by the Director rules out consideration of the likely performance of the undertaking in sentencing the person who has given it.  Parliament has determined that the matter is to be judged with the benefit of hindsight.  </w:t>
      </w:r>
      <w:r w:rsidRPr="001C6E0E">
        <w:rPr>
          <w:rFonts w:ascii="Arial" w:hAnsi="Arial" w:cs="Arial"/>
          <w:color w:val="000000"/>
          <w:sz w:val="20"/>
          <w:szCs w:val="20"/>
        </w:rPr>
        <w:lastRenderedPageBreak/>
        <w:t>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Akkari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DPP v Kolalich</w:t>
      </w:r>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(Cth)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Habersberger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lastRenderedPageBreak/>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coaccused,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06A7C509" w:rsidR="00100AFC" w:rsidRPr="003E3B38" w:rsidRDefault="00100AFC" w:rsidP="00D83136">
      <w:pPr>
        <w:jc w:val="both"/>
        <w:rPr>
          <w:rFonts w:ascii="Arial" w:hAnsi="Arial" w:cs="Arial"/>
          <w:color w:val="000000"/>
          <w:sz w:val="20"/>
          <w:szCs w:val="20"/>
        </w:rPr>
      </w:pPr>
      <w:r w:rsidRPr="003E3B38">
        <w:rPr>
          <w:rFonts w:ascii="Arial" w:hAnsi="Arial" w:cs="Arial"/>
          <w:color w:val="000000"/>
          <w:sz w:val="20"/>
          <w:szCs w:val="20"/>
        </w:rPr>
        <w:t xml:space="preserve">See also </w:t>
      </w:r>
      <w:r w:rsidRPr="003E3B38">
        <w:rPr>
          <w:rFonts w:ascii="Arial" w:hAnsi="Arial" w:cs="Arial"/>
          <w:i/>
          <w:color w:val="000000"/>
          <w:sz w:val="20"/>
          <w:szCs w:val="20"/>
        </w:rPr>
        <w:t>R v Dimitrakis</w:t>
      </w:r>
      <w:r w:rsidR="001336F7" w:rsidRPr="003E3B38">
        <w:rPr>
          <w:rFonts w:ascii="Arial" w:hAnsi="Arial" w:cs="Arial"/>
          <w:color w:val="000000"/>
          <w:sz w:val="20"/>
          <w:szCs w:val="20"/>
        </w:rPr>
        <w:t xml:space="preserve"> [2010] VSC 614; </w:t>
      </w:r>
      <w:r w:rsidR="001336F7" w:rsidRPr="003E3B38">
        <w:rPr>
          <w:rFonts w:ascii="Arial" w:hAnsi="Arial" w:cs="Arial"/>
          <w:i/>
          <w:color w:val="000000"/>
          <w:sz w:val="20"/>
          <w:szCs w:val="20"/>
        </w:rPr>
        <w:t>R v Yang</w:t>
      </w:r>
      <w:r w:rsidR="005E3863" w:rsidRPr="003E3B38">
        <w:rPr>
          <w:rFonts w:ascii="Arial" w:hAnsi="Arial" w:cs="Arial"/>
          <w:color w:val="000000"/>
          <w:sz w:val="20"/>
          <w:szCs w:val="20"/>
        </w:rPr>
        <w:t xml:space="preserve"> [2011] VSCA 161; </w:t>
      </w:r>
      <w:r w:rsidR="005E3863" w:rsidRPr="003E3B38">
        <w:rPr>
          <w:rFonts w:ascii="Arial" w:hAnsi="Arial" w:cs="Arial"/>
          <w:i/>
          <w:color w:val="000000"/>
          <w:sz w:val="20"/>
          <w:szCs w:val="20"/>
        </w:rPr>
        <w:t>R v Johnson</w:t>
      </w:r>
      <w:r w:rsidR="003469E4" w:rsidRPr="003E3B38">
        <w:rPr>
          <w:rFonts w:ascii="Arial" w:hAnsi="Arial" w:cs="Arial"/>
          <w:color w:val="000000"/>
          <w:sz w:val="20"/>
          <w:szCs w:val="20"/>
        </w:rPr>
        <w:t xml:space="preserve"> [2012] VSCA 38;</w:t>
      </w:r>
      <w:r w:rsidR="002623B7" w:rsidRPr="003E3B38">
        <w:rPr>
          <w:rFonts w:ascii="Arial" w:hAnsi="Arial" w:cs="Arial"/>
          <w:color w:val="000000"/>
          <w:sz w:val="20"/>
          <w:szCs w:val="20"/>
        </w:rPr>
        <w:t xml:space="preserve">  </w:t>
      </w:r>
      <w:r w:rsidR="002623B7" w:rsidRPr="003E3B38">
        <w:rPr>
          <w:rFonts w:ascii="Arial" w:hAnsi="Arial" w:cs="Arial"/>
          <w:i/>
          <w:iCs/>
          <w:color w:val="000000"/>
          <w:sz w:val="20"/>
          <w:szCs w:val="20"/>
        </w:rPr>
        <w:t>DPP v Duhovic</w:t>
      </w:r>
      <w:r w:rsidR="002623B7" w:rsidRPr="003E3B38">
        <w:rPr>
          <w:rFonts w:ascii="Arial" w:hAnsi="Arial" w:cs="Arial"/>
          <w:color w:val="000000"/>
          <w:sz w:val="20"/>
          <w:szCs w:val="20"/>
        </w:rPr>
        <w:t xml:space="preserve"> [2017] VSC 689 at [65]-[70]; </w:t>
      </w:r>
      <w:r w:rsidR="003469E4" w:rsidRPr="003E3B38">
        <w:rPr>
          <w:rFonts w:ascii="Arial" w:hAnsi="Arial" w:cs="Arial"/>
          <w:i/>
          <w:color w:val="000000"/>
          <w:sz w:val="20"/>
          <w:szCs w:val="20"/>
        </w:rPr>
        <w:t xml:space="preserve">Bonnie Kate Sawyer-Thompson v The Queen </w:t>
      </w:r>
      <w:r w:rsidR="003469E4" w:rsidRPr="003E3B38">
        <w:rPr>
          <w:rFonts w:ascii="Arial" w:hAnsi="Arial" w:cs="Arial"/>
          <w:color w:val="000000"/>
          <w:sz w:val="20"/>
          <w:szCs w:val="20"/>
        </w:rPr>
        <w:t>[2018] VSCA 161 at [48]-[56] per Maxwell P &amp; Tate JA</w:t>
      </w:r>
      <w:r w:rsidR="00734FF0" w:rsidRPr="003E3B38">
        <w:rPr>
          <w:rFonts w:ascii="Arial" w:hAnsi="Arial" w:cs="Arial"/>
          <w:color w:val="000000"/>
          <w:sz w:val="20"/>
          <w:szCs w:val="20"/>
        </w:rPr>
        <w:t xml:space="preserve">; </w:t>
      </w:r>
      <w:r w:rsidR="00734FF0" w:rsidRPr="003E3B38">
        <w:rPr>
          <w:rFonts w:ascii="Arial" w:hAnsi="Arial" w:cs="Arial"/>
          <w:i/>
          <w:iCs/>
          <w:color w:val="000000"/>
          <w:sz w:val="20"/>
          <w:szCs w:val="20"/>
        </w:rPr>
        <w:t>Alicia Mason (a pseudonym) v The King</w:t>
      </w:r>
      <w:r w:rsidR="00734FF0" w:rsidRPr="003E3B38">
        <w:rPr>
          <w:rFonts w:ascii="Arial" w:hAnsi="Arial" w:cs="Arial"/>
          <w:color w:val="000000"/>
          <w:sz w:val="20"/>
          <w:szCs w:val="20"/>
        </w:rPr>
        <w:t xml:space="preserve"> [2023] VSCA 75</w:t>
      </w:r>
      <w:r w:rsidR="003E3B38" w:rsidRPr="003E3B38">
        <w:rPr>
          <w:rFonts w:ascii="Arial" w:hAnsi="Arial" w:cs="Arial"/>
          <w:color w:val="000000"/>
          <w:sz w:val="20"/>
          <w:szCs w:val="20"/>
        </w:rPr>
        <w:t xml:space="preserve">; </w:t>
      </w:r>
      <w:r w:rsidR="003E3B38" w:rsidRPr="003E3B38">
        <w:rPr>
          <w:rFonts w:ascii="Arial" w:hAnsi="Arial" w:cs="Arial"/>
          <w:i/>
          <w:iCs/>
          <w:color w:val="000000"/>
          <w:sz w:val="20"/>
          <w:szCs w:val="20"/>
        </w:rPr>
        <w:t>R v Guillerme</w:t>
      </w:r>
      <w:r w:rsidR="003E3B38" w:rsidRPr="003E3B38">
        <w:rPr>
          <w:rFonts w:ascii="Arial" w:hAnsi="Arial" w:cs="Arial"/>
          <w:color w:val="000000"/>
          <w:sz w:val="20"/>
          <w:szCs w:val="20"/>
        </w:rPr>
        <w:t xml:space="preserve"> [2023] VSC 36</w:t>
      </w:r>
      <w:r w:rsidR="00D71E4B">
        <w:rPr>
          <w:rFonts w:ascii="Arial" w:hAnsi="Arial" w:cs="Arial"/>
          <w:color w:val="000000"/>
          <w:sz w:val="20"/>
          <w:szCs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596" w:name="_11.2.9_Relevance_of"/>
      <w:bookmarkStart w:id="597" w:name="_Toc107101754"/>
      <w:bookmarkEnd w:id="596"/>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City">
        <w:smartTag w:uri="urn:schemas-microsoft-com:office:smarttags" w:element="place">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R v Jackway; Ex parte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Qd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R v Radich</w:t>
      </w:r>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Qd 149; </w:t>
      </w:r>
      <w:r w:rsidRPr="001C6E0E">
        <w:rPr>
          <w:rFonts w:ascii="Arial" w:hAnsi="Arial" w:cs="Arial"/>
          <w:i/>
          <w:iCs/>
          <w:color w:val="000000"/>
          <w:sz w:val="20"/>
          <w:szCs w:val="20"/>
        </w:rPr>
        <w:t xml:space="preserve">R v Skeates </w:t>
      </w:r>
      <w:r w:rsidRPr="001C6E0E">
        <w:rPr>
          <w:rFonts w:ascii="Arial" w:hAnsi="Arial" w:cs="Arial"/>
          <w:color w:val="000000"/>
          <w:sz w:val="20"/>
          <w:szCs w:val="20"/>
        </w:rPr>
        <w:t xml:space="preserve">[1978] Qd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Qd R 526; </w:t>
      </w:r>
      <w:r w:rsidRPr="001C6E0E">
        <w:rPr>
          <w:rFonts w:ascii="Arial" w:hAnsi="Arial" w:cs="Arial"/>
          <w:i/>
          <w:iCs/>
          <w:color w:val="000000"/>
          <w:sz w:val="20"/>
          <w:szCs w:val="20"/>
        </w:rPr>
        <w:t>R v Radich</w:t>
      </w:r>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xml:space="preserve">, (1990) at 55]..  It extends to a conception of liberty </w:t>
      </w:r>
      <w:r w:rsidRPr="001C6E0E">
        <w:rPr>
          <w:rFonts w:ascii="Arial" w:hAnsi="Arial" w:cs="Arial"/>
          <w:color w:val="000000"/>
          <w:sz w:val="20"/>
        </w:rPr>
        <w:lastRenderedPageBreak/>
        <w:t>in a ‘positive’ sense, which is ‘exemplified by the condition of citizenship in a free society, a condition under which each is properly safeguarded by the law against the predations of others.’ [</w:t>
      </w:r>
      <w:r w:rsidRPr="001C6E0E">
        <w:rPr>
          <w:rFonts w:ascii="Arial" w:hAnsi="Arial" w:cs="Arial"/>
          <w:i/>
          <w:color w:val="000000"/>
          <w:sz w:val="20"/>
        </w:rPr>
        <w:t>op.cit</w:t>
      </w:r>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t>[23] The common law's equal concern for the physical safety of each citizen makes it appropriate for a sentencing judge to take into account the grave risk that a convicted 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Roston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E01619" w:rsidRDefault="0087332B" w:rsidP="0087332B">
      <w:pPr>
        <w:pStyle w:val="Heading3"/>
        <w:spacing w:line="240" w:lineRule="auto"/>
        <w:rPr>
          <w:rFonts w:ascii="Arial" w:hAnsi="Arial" w:cs="Arial"/>
          <w:color w:val="000000"/>
          <w:sz w:val="20"/>
        </w:rPr>
      </w:pPr>
    </w:p>
    <w:p w14:paraId="1453A0DD" w14:textId="4580DC6A"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E01619">
      <w:pPr>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7D3CEC" w:rsidRDefault="00894412" w:rsidP="00DD2978">
      <w:pPr>
        <w:spacing w:after="3"/>
        <w:jc w:val="both"/>
        <w:rPr>
          <w:rFonts w:ascii="Arial" w:hAnsi="Arial" w:cs="Arial"/>
          <w:color w:val="000000"/>
          <w:sz w:val="20"/>
          <w:szCs w:val="20"/>
        </w:rPr>
      </w:pPr>
    </w:p>
    <w:p w14:paraId="728CCDAA" w14:textId="2CB02EAE" w:rsidR="007D3CEC" w:rsidRDefault="007D3CEC" w:rsidP="007D3CEC">
      <w:pPr>
        <w:pStyle w:val="Heading3"/>
        <w:spacing w:line="240" w:lineRule="auto"/>
        <w:rPr>
          <w:rFonts w:ascii="Arial" w:hAnsi="Arial" w:cs="Arial"/>
          <w:color w:val="000000"/>
          <w:sz w:val="20"/>
        </w:rPr>
      </w:pPr>
      <w:bookmarkStart w:id="598" w:name="_Hlk166748643"/>
      <w:r>
        <w:rPr>
          <w:rFonts w:ascii="Arial" w:hAnsi="Arial" w:cs="Arial"/>
          <w:color w:val="000000"/>
          <w:sz w:val="20"/>
        </w:rPr>
        <w:t xml:space="preserve">In </w:t>
      </w:r>
      <w:r w:rsidRPr="00E01619">
        <w:rPr>
          <w:rFonts w:ascii="Arial" w:hAnsi="Arial" w:cs="Arial"/>
          <w:i/>
          <w:iCs/>
          <w:color w:val="000000"/>
          <w:sz w:val="20"/>
        </w:rPr>
        <w:t>Yat v The King</w:t>
      </w:r>
      <w:r>
        <w:rPr>
          <w:rFonts w:ascii="Arial" w:hAnsi="Arial" w:cs="Arial"/>
          <w:color w:val="000000"/>
          <w:sz w:val="20"/>
        </w:rPr>
        <w:t xml:space="preserve"> [2024] VSCA 93 the applicant – who was in his early 20s – had pleaded guilty to 3 offences involving the assault of 3 corrections officers while he was serving a sentence for other offending and was sentenced to a TES IMP 14m/8m.  He sought and was granted leave to appeal against the sentence on the sole ground that it was manifestly excessive, relying in particular upon the fact that he spent a total of 1,079 days in a management unit with severe restrictions on his time outside his cell and his interactions with other prisoners, conditions which “were, in effect, solitary confinement”.  This was comprised of 433 days attributable to the present offending, followed by a </w:t>
      </w:r>
      <w:r>
        <w:rPr>
          <w:rFonts w:ascii="Arial" w:hAnsi="Arial" w:cs="Arial"/>
          <w:color w:val="000000"/>
          <w:sz w:val="20"/>
        </w:rPr>
        <w:lastRenderedPageBreak/>
        <w:t xml:space="preserve">further 646 days due to a further incident in prison.  The Court of Appeal </w:t>
      </w:r>
      <w:r w:rsidR="007403B6">
        <w:rPr>
          <w:rFonts w:ascii="Arial" w:hAnsi="Arial" w:cs="Arial"/>
          <w:color w:val="000000"/>
          <w:sz w:val="20"/>
        </w:rPr>
        <w:t xml:space="preserve">(Walker &amp; Boyce JJA) </w:t>
      </w:r>
      <w:r>
        <w:rPr>
          <w:rFonts w:ascii="Arial" w:hAnsi="Arial" w:cs="Arial"/>
          <w:color w:val="000000"/>
          <w:sz w:val="20"/>
        </w:rPr>
        <w:t>allowed the appeal and resentenced the applicant to TES IMP12m1d/6m, saying at [88]-[91]:</w:t>
      </w:r>
    </w:p>
    <w:p w14:paraId="314AAF35" w14:textId="77777777"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“Yat’s first period of time in a management unit was a form of extra-curial punishment to which, in the exceptional circumstances of this case, significant weight ought to be give</w:t>
      </w:r>
      <w:r w:rsidR="00157249">
        <w:rPr>
          <w:rFonts w:ascii="Arial" w:hAnsi="Arial" w:cs="Arial"/>
          <w:color w:val="000000"/>
          <w:sz w:val="20"/>
          <w:szCs w:val="20"/>
        </w:rPr>
        <w:t>n</w:t>
      </w:r>
      <w:r>
        <w:rPr>
          <w:rFonts w:ascii="Arial" w:hAnsi="Arial" w:cs="Arial"/>
          <w:color w:val="000000"/>
          <w:sz w:val="20"/>
          <w:szCs w:val="20"/>
        </w:rPr>
        <w:t xml:space="preserve">.  We also accept that, although the </w:t>
      </w:r>
      <w:r w:rsidR="00200E86">
        <w:rPr>
          <w:rFonts w:ascii="Arial" w:hAnsi="Arial" w:cs="Arial"/>
          <w:color w:val="000000"/>
          <w:sz w:val="20"/>
          <w:szCs w:val="20"/>
        </w:rPr>
        <w:t>second period of time in a management unit was not related to the present offending, and thus is not properly characterised as ‘extra-curial punishment’, it is nevertheless relevant to the sentencing exercise…</w:t>
      </w:r>
    </w:p>
    <w:p w14:paraId="2F40DA48" w14:textId="78C10B0A"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 xml:space="preserve">By the time of his sentence, Yat had spent more than a third of his adult life in solitary confinement.  As was the case </w:t>
      </w:r>
      <w:r w:rsidR="00200E86">
        <w:rPr>
          <w:rFonts w:ascii="Arial" w:hAnsi="Arial" w:cs="Arial"/>
          <w:color w:val="000000"/>
          <w:sz w:val="20"/>
          <w:szCs w:val="20"/>
        </w:rPr>
        <w:t xml:space="preserve">in </w:t>
      </w:r>
      <w:r w:rsidR="00200E86" w:rsidRPr="00200E86">
        <w:rPr>
          <w:rFonts w:ascii="Arial" w:hAnsi="Arial" w:cs="Arial"/>
          <w:i/>
          <w:iCs/>
          <w:color w:val="000000"/>
          <w:sz w:val="20"/>
          <w:szCs w:val="20"/>
        </w:rPr>
        <w:t>R v Milson</w:t>
      </w:r>
      <w:r w:rsidR="00200E86">
        <w:rPr>
          <w:rFonts w:ascii="Arial" w:hAnsi="Arial" w:cs="Arial"/>
          <w:color w:val="000000"/>
          <w:sz w:val="20"/>
          <w:szCs w:val="20"/>
        </w:rPr>
        <w:t xml:space="preserve"> [2019] VSCA 55, [58], the burdensome nature of Yat’s confinement was established – it was ‘not a matter of prediction or mere speculation’.</w:t>
      </w:r>
    </w:p>
    <w:p w14:paraId="159070DE" w14:textId="3744FD0C" w:rsidR="007D3CEC" w:rsidRPr="00894412"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Although the judge expressly considered this matter</w:t>
      </w:r>
      <w:r w:rsidR="007403B6">
        <w:rPr>
          <w:rFonts w:ascii="Arial" w:hAnsi="Arial" w:cs="Arial"/>
          <w:color w:val="000000"/>
          <w:sz w:val="20"/>
          <w:szCs w:val="20"/>
        </w:rPr>
        <w:t xml:space="preserve"> and said that she had moderated the sentences as a consequence, we consider that her Honour must have failed to give appropriate weight to this factor.  A period of close to three years in solitary confinement is quite extraordinary and required a significant mitigation of sentence.”</w:t>
      </w:r>
    </w:p>
    <w:p w14:paraId="1EBAE95F" w14:textId="3A9CCB18" w:rsidR="007D3CEC" w:rsidRDefault="007403B6" w:rsidP="007403B6">
      <w:pPr>
        <w:pStyle w:val="Heading3"/>
        <w:spacing w:before="120" w:line="240" w:lineRule="auto"/>
        <w:rPr>
          <w:rFonts w:ascii="Arial" w:hAnsi="Arial" w:cs="Arial"/>
          <w:color w:val="000000"/>
          <w:sz w:val="20"/>
        </w:rPr>
      </w:pPr>
      <w:r>
        <w:rPr>
          <w:rFonts w:ascii="Arial" w:hAnsi="Arial" w:cs="Arial"/>
          <w:color w:val="000000"/>
          <w:sz w:val="20"/>
        </w:rPr>
        <w:t xml:space="preserve">In the course of a detailed discussion about the relevance </w:t>
      </w:r>
      <w:r w:rsidR="00932251">
        <w:rPr>
          <w:rFonts w:ascii="Arial" w:hAnsi="Arial" w:cs="Arial"/>
          <w:color w:val="000000"/>
          <w:sz w:val="20"/>
        </w:rPr>
        <w:t xml:space="preserve">to the sentencing process </w:t>
      </w:r>
      <w:r>
        <w:rPr>
          <w:rFonts w:ascii="Arial" w:hAnsi="Arial" w:cs="Arial"/>
          <w:color w:val="000000"/>
          <w:sz w:val="20"/>
        </w:rPr>
        <w:t>of the conditions under which a sentence of imprisonment is served, Walker &amp; Boyce JJA said at [65]-[67]:</w:t>
      </w:r>
    </w:p>
    <w:p w14:paraId="75416BCC" w14:textId="5CA55EE6" w:rsidR="00932251" w:rsidRDefault="00F16E37" w:rsidP="007403B6">
      <w:pPr>
        <w:spacing w:before="60"/>
        <w:ind w:left="567" w:right="567"/>
        <w:jc w:val="both"/>
        <w:rPr>
          <w:rFonts w:ascii="Arial" w:hAnsi="Arial" w:cs="Arial"/>
          <w:sz w:val="20"/>
          <w:szCs w:val="16"/>
        </w:rPr>
      </w:pPr>
      <w:r>
        <w:rPr>
          <w:rFonts w:ascii="Arial" w:hAnsi="Arial" w:cs="Arial"/>
          <w:color w:val="000000"/>
          <w:sz w:val="20"/>
          <w:szCs w:val="20"/>
        </w:rPr>
        <w:t xml:space="preserve">[65] </w:t>
      </w:r>
      <w:r w:rsidR="007403B6">
        <w:rPr>
          <w:rFonts w:ascii="Arial" w:hAnsi="Arial" w:cs="Arial"/>
          <w:color w:val="000000"/>
          <w:sz w:val="20"/>
          <w:szCs w:val="20"/>
        </w:rPr>
        <w:t>“</w:t>
      </w:r>
      <w:r w:rsidR="007403B6" w:rsidRPr="00E01619">
        <w:rPr>
          <w:rFonts w:ascii="Arial" w:hAnsi="Arial" w:cs="Arial"/>
          <w:sz w:val="20"/>
          <w:szCs w:val="16"/>
        </w:rPr>
        <w:t>It is well accepted that the conditions under which a sentence of imprisonment is served are to be taken into account when considering the severity and impact of the penalty imposed in the particular circumstances</w:t>
      </w:r>
      <w:r w:rsidR="00725FE0">
        <w:rPr>
          <w:rFonts w:ascii="Arial" w:hAnsi="Arial" w:cs="Arial"/>
          <w:sz w:val="20"/>
          <w:szCs w:val="16"/>
        </w:rPr>
        <w:t xml:space="preserve">: </w:t>
      </w:r>
      <w:r w:rsidR="00725FE0" w:rsidRPr="00725FE0">
        <w:rPr>
          <w:rFonts w:ascii="Arial" w:hAnsi="Arial" w:cs="Arial"/>
          <w:i/>
          <w:iCs/>
          <w:sz w:val="20"/>
          <w:szCs w:val="16"/>
        </w:rPr>
        <w:t>Bekink v The Queen</w:t>
      </w:r>
      <w:r w:rsidR="00725FE0" w:rsidRPr="00E01619">
        <w:rPr>
          <w:rFonts w:ascii="Arial" w:hAnsi="Arial" w:cs="Arial"/>
          <w:sz w:val="20"/>
          <w:szCs w:val="16"/>
        </w:rPr>
        <w:t xml:space="preserve"> (1999) 107 A Crim R 415</w:t>
      </w:r>
      <w:r w:rsidR="00725FE0">
        <w:rPr>
          <w:rFonts w:ascii="Arial" w:hAnsi="Arial" w:cs="Arial"/>
          <w:sz w:val="20"/>
          <w:szCs w:val="16"/>
        </w:rPr>
        <w:t xml:space="preserve"> at [11]-[14] &amp; [29]</w:t>
      </w:r>
      <w:r w:rsidR="00725FE0" w:rsidRPr="00E01619">
        <w:rPr>
          <w:rFonts w:ascii="Arial" w:hAnsi="Arial" w:cs="Arial"/>
          <w:sz w:val="20"/>
          <w:szCs w:val="16"/>
        </w:rPr>
        <w:t xml:space="preserve">; [1999] WASCA 160; </w:t>
      </w:r>
      <w:r w:rsidR="00725FE0" w:rsidRPr="00725FE0">
        <w:rPr>
          <w:rFonts w:ascii="Arial" w:hAnsi="Arial" w:cs="Arial"/>
          <w:i/>
          <w:iCs/>
          <w:sz w:val="20"/>
          <w:szCs w:val="16"/>
        </w:rPr>
        <w:t>R v Faure</w:t>
      </w:r>
      <w:r w:rsidR="00725FE0" w:rsidRPr="00E01619">
        <w:rPr>
          <w:rFonts w:ascii="Arial" w:hAnsi="Arial" w:cs="Arial"/>
          <w:sz w:val="20"/>
          <w:szCs w:val="16"/>
        </w:rPr>
        <w:t xml:space="preserve"> (2005) 12 VR 115, 121 [28]; [2005] VSCA 91.</w:t>
      </w:r>
      <w:r w:rsidR="007403B6" w:rsidRPr="00E01619">
        <w:rPr>
          <w:rFonts w:ascii="Arial" w:hAnsi="Arial" w:cs="Arial"/>
          <w:sz w:val="20"/>
          <w:szCs w:val="16"/>
        </w:rPr>
        <w:t>.</w:t>
      </w:r>
      <w:r w:rsidR="007403B6">
        <w:rPr>
          <w:rFonts w:ascii="Arial" w:hAnsi="Arial" w:cs="Arial"/>
          <w:sz w:val="20"/>
          <w:szCs w:val="16"/>
        </w:rPr>
        <w:t xml:space="preserve">  </w:t>
      </w:r>
      <w:r w:rsidR="007403B6" w:rsidRPr="00E01619">
        <w:rPr>
          <w:rFonts w:ascii="Arial" w:hAnsi="Arial" w:cs="Arial"/>
          <w:sz w:val="20"/>
          <w:szCs w:val="16"/>
        </w:rPr>
        <w:t>There are various circumstances where it has been accepted that the fact that the prisoner’s experience of custody is more burdensome when compared to the general experience of other prisoners will warrant mitigation of penalty. These include the following:</w:t>
      </w:r>
    </w:p>
    <w:p w14:paraId="58E223BE" w14:textId="32CB58AF" w:rsidR="00932251"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of conditions of incarceration arises due to a prisoner’s need for protection on account of his or her status as an informer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[113] &amp; [214]</w:t>
      </w:r>
      <w:r w:rsidR="00F16E37" w:rsidRPr="00E01619">
        <w:rPr>
          <w:rFonts w:ascii="Arial" w:hAnsi="Arial" w:cs="Arial"/>
          <w:sz w:val="20"/>
          <w:szCs w:val="16"/>
        </w:rPr>
        <w:t>; [2002] SASC 306</w:t>
      </w:r>
      <w:r w:rsidR="00F16E37">
        <w:rPr>
          <w:rFonts w:ascii="Arial" w:hAnsi="Arial" w:cs="Arial"/>
          <w:sz w:val="20"/>
          <w:szCs w:val="16"/>
        </w:rPr>
        <w:t>},</w:t>
      </w:r>
      <w:r w:rsidR="00F16E37" w:rsidRPr="00E01619">
        <w:rPr>
          <w:rFonts w:ascii="Arial" w:hAnsi="Arial" w:cs="Arial"/>
          <w:sz w:val="20"/>
          <w:szCs w:val="16"/>
        </w:rPr>
        <w:t xml:space="preserve"> </w:t>
      </w:r>
      <w:r w:rsidRPr="00932251">
        <w:rPr>
          <w:rFonts w:ascii="Arial" w:hAnsi="Arial" w:cs="Arial"/>
          <w:sz w:val="20"/>
          <w:szCs w:val="16"/>
        </w:rPr>
        <w:t>or as a person who had previously held a position of authority (where the offences are not related to the prisoner’s previous office)</w:t>
      </w:r>
      <w:r w:rsidR="00725FE0">
        <w:rPr>
          <w:rFonts w:ascii="Arial" w:hAnsi="Arial" w:cs="Arial"/>
          <w:sz w:val="20"/>
          <w:szCs w:val="16"/>
        </w:rPr>
        <w:t xml:space="preserve">: </w:t>
      </w:r>
      <w:r w:rsidR="00725FE0" w:rsidRPr="00725FE0">
        <w:rPr>
          <w:rFonts w:ascii="Arial" w:hAnsi="Arial" w:cs="Arial"/>
          <w:i/>
          <w:iCs/>
          <w:sz w:val="20"/>
          <w:szCs w:val="16"/>
        </w:rPr>
        <w:t>R v Lian</w:t>
      </w:r>
      <w:r w:rsidR="00725FE0">
        <w:rPr>
          <w:rFonts w:ascii="Arial" w:hAnsi="Arial" w:cs="Arial"/>
          <w:sz w:val="20"/>
          <w:szCs w:val="16"/>
        </w:rPr>
        <w:t xml:space="preserve"> [2023] SASCA 122, [68]</w:t>
      </w:r>
      <w:r w:rsidRPr="00932251">
        <w:rPr>
          <w:rFonts w:ascii="Arial" w:hAnsi="Arial" w:cs="Arial"/>
          <w:sz w:val="20"/>
          <w:szCs w:val="16"/>
        </w:rPr>
        <w:t>;</w:t>
      </w:r>
    </w:p>
    <w:p w14:paraId="74314858" w14:textId="4ED965BA" w:rsidR="007403B6"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arises due to ill health or other personal issues affecting the prisoner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[111] &amp; [214]</w:t>
      </w:r>
      <w:r w:rsidR="00F16E37" w:rsidRPr="00E01619">
        <w:rPr>
          <w:rFonts w:ascii="Arial" w:hAnsi="Arial" w:cs="Arial"/>
          <w:sz w:val="20"/>
          <w:szCs w:val="16"/>
        </w:rPr>
        <w:t>; [2002] SASC 306</w:t>
      </w:r>
      <w:r w:rsidR="00F16E37">
        <w:rPr>
          <w:rFonts w:ascii="Arial" w:hAnsi="Arial" w:cs="Arial"/>
          <w:sz w:val="20"/>
          <w:szCs w:val="16"/>
        </w:rPr>
        <w:t xml:space="preserve">; </w:t>
      </w:r>
      <w:r w:rsidR="00F16E37" w:rsidRPr="00F16E37">
        <w:rPr>
          <w:rFonts w:ascii="Arial" w:hAnsi="Arial" w:cs="Arial"/>
          <w:i/>
          <w:iCs/>
          <w:sz w:val="20"/>
          <w:szCs w:val="16"/>
        </w:rPr>
        <w:t>Packard (a pseudonym) v The Queen</w:t>
      </w:r>
      <w:r w:rsidR="00F16E37">
        <w:rPr>
          <w:rFonts w:ascii="Arial" w:hAnsi="Arial" w:cs="Arial"/>
          <w:sz w:val="20"/>
          <w:szCs w:val="16"/>
        </w:rPr>
        <w:t xml:space="preserve"> (2022) 300 A Crim R 55, [97]-[99]; [2022] VSCA 128</w:t>
      </w:r>
      <w:r w:rsidRPr="00932251">
        <w:rPr>
          <w:rFonts w:ascii="Arial" w:hAnsi="Arial" w:cs="Arial"/>
          <w:sz w:val="20"/>
          <w:szCs w:val="16"/>
        </w:rPr>
        <w:t>.</w:t>
      </w:r>
    </w:p>
    <w:p w14:paraId="3A85373A" w14:textId="43D6A444"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[66] </w:t>
      </w:r>
      <w:r w:rsidR="00932251" w:rsidRPr="00E01619">
        <w:rPr>
          <w:rFonts w:ascii="Arial" w:hAnsi="Arial" w:cs="Arial"/>
          <w:sz w:val="20"/>
          <w:szCs w:val="16"/>
        </w:rPr>
        <w:t>It can be seen that these involve circumstances of imprisonment that cannot be attributed to the prisoner’s own misbehaviour.</w:t>
      </w:r>
    </w:p>
    <w:p w14:paraId="123AB180" w14:textId="3D714600"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[67] </w:t>
      </w:r>
      <w:r w:rsidR="00932251">
        <w:rPr>
          <w:rFonts w:ascii="Arial" w:hAnsi="Arial" w:cs="Arial"/>
          <w:sz w:val="20"/>
          <w:szCs w:val="16"/>
        </w:rPr>
        <w:t xml:space="preserve">A more </w:t>
      </w:r>
      <w:r w:rsidR="00932251" w:rsidRPr="00E01619">
        <w:rPr>
          <w:rFonts w:ascii="Arial" w:hAnsi="Arial" w:cs="Arial"/>
          <w:sz w:val="20"/>
          <w:szCs w:val="16"/>
        </w:rPr>
        <w:t>vexed question is whether mitigation can flow if the harshness of a prisoner’s custodial experience arises due to the nature of their offending, or of their behaviour while in custody, or as result of risks that are voluntarily assumed by a prisoner</w:t>
      </w:r>
      <w:r w:rsidR="00932251">
        <w:rPr>
          <w:rFonts w:ascii="Arial" w:hAnsi="Arial" w:cs="Arial"/>
          <w:sz w:val="20"/>
          <w:szCs w:val="16"/>
        </w:rPr>
        <w:t xml:space="preserve">.  </w:t>
      </w:r>
      <w:r w:rsidR="00932251" w:rsidRPr="00E01619">
        <w:rPr>
          <w:rFonts w:ascii="Arial" w:hAnsi="Arial" w:cs="Arial"/>
          <w:sz w:val="20"/>
          <w:szCs w:val="16"/>
        </w:rPr>
        <w:t xml:space="preserve">Suggesting that the nature of a prisoner’s offending may not matter: see </w:t>
      </w:r>
      <w:r w:rsidR="00932251" w:rsidRPr="00932251">
        <w:rPr>
          <w:rFonts w:ascii="Arial" w:hAnsi="Arial" w:cs="Arial"/>
          <w:i/>
          <w:iCs/>
          <w:sz w:val="20"/>
          <w:szCs w:val="16"/>
        </w:rPr>
        <w:t>R v AB [No 2]</w:t>
      </w:r>
      <w:r w:rsidR="00932251" w:rsidRPr="00E01619">
        <w:rPr>
          <w:rFonts w:ascii="Arial" w:hAnsi="Arial" w:cs="Arial"/>
          <w:sz w:val="20"/>
          <w:szCs w:val="16"/>
        </w:rPr>
        <w:t xml:space="preserve"> (2000) 117 A Crim R 473, 483 [56]</w:t>
      </w:r>
      <w:r w:rsidR="00932251">
        <w:rPr>
          <w:rFonts w:ascii="Arial" w:hAnsi="Arial" w:cs="Arial"/>
          <w:sz w:val="20"/>
          <w:szCs w:val="16"/>
        </w:rPr>
        <w:t xml:space="preserve">; </w:t>
      </w:r>
      <w:r w:rsidR="00932251" w:rsidRPr="00E01619">
        <w:rPr>
          <w:rFonts w:ascii="Arial" w:hAnsi="Arial" w:cs="Arial"/>
          <w:sz w:val="20"/>
          <w:szCs w:val="16"/>
        </w:rPr>
        <w:t xml:space="preserve">[2000] NSWCCA 467; </w:t>
      </w:r>
      <w:r w:rsidR="00932251" w:rsidRPr="00932251">
        <w:rPr>
          <w:rFonts w:ascii="Arial" w:hAnsi="Arial" w:cs="Arial"/>
          <w:i/>
          <w:iCs/>
          <w:sz w:val="20"/>
          <w:szCs w:val="16"/>
        </w:rPr>
        <w:t>R v Everett</w:t>
      </w:r>
      <w:r w:rsidR="00932251" w:rsidRPr="00E01619">
        <w:rPr>
          <w:rFonts w:ascii="Arial" w:hAnsi="Arial" w:cs="Arial"/>
          <w:sz w:val="20"/>
          <w:szCs w:val="16"/>
        </w:rPr>
        <w:t xml:space="preserve"> (1994) 73 A Crim R 550, 566;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269 [146]; [2002] SASC 306. </w:t>
      </w:r>
      <w:r w:rsidR="00932251">
        <w:rPr>
          <w:rFonts w:ascii="Arial" w:hAnsi="Arial" w:cs="Arial"/>
          <w:sz w:val="20"/>
          <w:szCs w:val="16"/>
        </w:rPr>
        <w:t xml:space="preserve"> </w:t>
      </w:r>
      <w:r w:rsidR="00932251" w:rsidRPr="00E01619">
        <w:rPr>
          <w:rFonts w:ascii="Arial" w:hAnsi="Arial" w:cs="Arial"/>
          <w:sz w:val="20"/>
          <w:szCs w:val="16"/>
        </w:rPr>
        <w:t xml:space="preserve">To the contrary: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263 [119]; [2002] SASC 306; </w:t>
      </w:r>
      <w:r w:rsidR="00932251" w:rsidRPr="00932251">
        <w:rPr>
          <w:rFonts w:ascii="Arial" w:hAnsi="Arial" w:cs="Arial"/>
          <w:i/>
          <w:iCs/>
          <w:sz w:val="20"/>
          <w:szCs w:val="16"/>
        </w:rPr>
        <w:t>Western Australia v O’Kane</w:t>
      </w:r>
      <w:r w:rsidR="00932251" w:rsidRPr="00E01619">
        <w:rPr>
          <w:rFonts w:ascii="Arial" w:hAnsi="Arial" w:cs="Arial"/>
          <w:sz w:val="20"/>
          <w:szCs w:val="16"/>
        </w:rPr>
        <w:t xml:space="preserve"> [2011] WASCA 24, [69]; </w:t>
      </w:r>
      <w:r w:rsidR="00932251" w:rsidRPr="00932251">
        <w:rPr>
          <w:rFonts w:ascii="Arial" w:hAnsi="Arial" w:cs="Arial"/>
          <w:i/>
          <w:iCs/>
          <w:sz w:val="20"/>
          <w:szCs w:val="16"/>
        </w:rPr>
        <w:t>Milenkovski v Western Australia</w:t>
      </w:r>
      <w:r w:rsidR="00932251" w:rsidRPr="00E01619">
        <w:rPr>
          <w:rFonts w:ascii="Arial" w:hAnsi="Arial" w:cs="Arial"/>
          <w:sz w:val="20"/>
          <w:szCs w:val="16"/>
        </w:rPr>
        <w:t xml:space="preserve"> (2014) 46 WAR 324, 330 [16] [2014] WASCA 48</w:t>
      </w:r>
      <w:r w:rsidR="00932251">
        <w:rPr>
          <w:rFonts w:ascii="Arial" w:hAnsi="Arial" w:cs="Arial"/>
          <w:sz w:val="20"/>
          <w:szCs w:val="16"/>
        </w:rPr>
        <w:t>.</w:t>
      </w:r>
    </w:p>
    <w:p w14:paraId="6C54DBE3" w14:textId="673B78ED" w:rsidR="007D3CEC" w:rsidRDefault="00F16E37" w:rsidP="006D0F9C">
      <w:pPr>
        <w:pStyle w:val="Heading3"/>
        <w:spacing w:before="120" w:line="240" w:lineRule="auto"/>
        <w:rPr>
          <w:rFonts w:ascii="Arial" w:hAnsi="Arial" w:cs="Arial"/>
          <w:color w:val="000000"/>
          <w:sz w:val="20"/>
        </w:rPr>
      </w:pPr>
      <w:r>
        <w:rPr>
          <w:rFonts w:ascii="Arial" w:hAnsi="Arial" w:cs="Arial"/>
          <w:color w:val="000000"/>
          <w:sz w:val="20"/>
        </w:rPr>
        <w:t>At [72]-[79] Walker &amp; Boy</w:t>
      </w:r>
      <w:r w:rsidR="006D0F9C">
        <w:rPr>
          <w:rFonts w:ascii="Arial" w:hAnsi="Arial" w:cs="Arial"/>
          <w:color w:val="000000"/>
          <w:sz w:val="20"/>
        </w:rPr>
        <w:t>ce</w:t>
      </w:r>
      <w:r>
        <w:rPr>
          <w:rFonts w:ascii="Arial" w:hAnsi="Arial" w:cs="Arial"/>
          <w:color w:val="000000"/>
          <w:sz w:val="20"/>
        </w:rPr>
        <w:t xml:space="preserve"> JJA discussed aspects of the judgment of the Court of Appeal in </w:t>
      </w:r>
      <w:r w:rsidRPr="001C6E0E">
        <w:rPr>
          <w:rFonts w:ascii="Arial" w:hAnsi="Arial" w:cs="Arial"/>
          <w:bCs/>
          <w:i/>
          <w:color w:val="000000"/>
          <w:sz w:val="20"/>
        </w:rPr>
        <w:t>R v Stevens</w:t>
      </w:r>
      <w:r w:rsidRPr="001C6E0E">
        <w:rPr>
          <w:rFonts w:ascii="Arial" w:hAnsi="Arial" w:cs="Arial"/>
          <w:bCs/>
          <w:color w:val="000000"/>
          <w:sz w:val="20"/>
        </w:rPr>
        <w:t xml:space="preserve"> [2009] VSCA 81</w:t>
      </w:r>
      <w:r>
        <w:rPr>
          <w:rFonts w:ascii="Arial" w:hAnsi="Arial" w:cs="Arial"/>
          <w:bCs/>
          <w:color w:val="000000"/>
          <w:sz w:val="20"/>
        </w:rPr>
        <w:t xml:space="preserve"> before holding that “we do not take </w:t>
      </w:r>
      <w:r w:rsidRPr="006D0F9C">
        <w:rPr>
          <w:rFonts w:ascii="Arial" w:hAnsi="Arial" w:cs="Arial"/>
          <w:bCs/>
          <w:i/>
          <w:iCs/>
          <w:color w:val="000000"/>
          <w:sz w:val="20"/>
        </w:rPr>
        <w:t>Stevens</w:t>
      </w:r>
      <w:r>
        <w:rPr>
          <w:rFonts w:ascii="Arial" w:hAnsi="Arial" w:cs="Arial"/>
          <w:bCs/>
          <w:color w:val="000000"/>
          <w:sz w:val="20"/>
        </w:rPr>
        <w:t xml:space="preserve"> as having decided that a prisoner’s endurance of sufficiently harsh conditions in custody will always be irrelevant as a mitigatory matter</w:t>
      </w:r>
      <w:r w:rsidR="006D0F9C">
        <w:rPr>
          <w:rFonts w:ascii="Arial" w:hAnsi="Arial" w:cs="Arial"/>
          <w:bCs/>
          <w:color w:val="000000"/>
          <w:sz w:val="20"/>
        </w:rPr>
        <w:t xml:space="preserve"> pertaining to sentence if those conditions arise as a result of the prisoner’s own misbehaviour.</w:t>
      </w:r>
      <w:r w:rsidR="00772DF9">
        <w:rPr>
          <w:rFonts w:ascii="Arial" w:hAnsi="Arial" w:cs="Arial"/>
          <w:bCs/>
          <w:color w:val="000000"/>
          <w:sz w:val="20"/>
        </w:rPr>
        <w:t>”</w:t>
      </w:r>
    </w:p>
    <w:p w14:paraId="49795A7A" w14:textId="234BDC58" w:rsidR="00F16E37" w:rsidRDefault="006D0F9C" w:rsidP="006D0F9C">
      <w:pPr>
        <w:pStyle w:val="Heading3"/>
        <w:spacing w:before="120" w:line="240" w:lineRule="auto"/>
        <w:rPr>
          <w:rFonts w:ascii="Arial" w:hAnsi="Arial" w:cs="Arial"/>
          <w:color w:val="000000"/>
          <w:sz w:val="20"/>
        </w:rPr>
      </w:pPr>
      <w:r>
        <w:rPr>
          <w:rFonts w:ascii="Arial" w:hAnsi="Arial" w:cs="Arial"/>
          <w:color w:val="000000"/>
          <w:sz w:val="20"/>
        </w:rPr>
        <w:t>At [70]-[71] &amp; [84] Walker &amp; Boyce JJA said</w:t>
      </w:r>
      <w:r w:rsidR="009D2F73">
        <w:rPr>
          <w:rFonts w:ascii="Arial" w:hAnsi="Arial" w:cs="Arial"/>
          <w:color w:val="000000"/>
          <w:sz w:val="20"/>
        </w:rPr>
        <w:t xml:space="preserve"> (emphasis added)</w:t>
      </w:r>
      <w:r>
        <w:rPr>
          <w:rFonts w:ascii="Arial" w:hAnsi="Arial" w:cs="Arial"/>
          <w:color w:val="000000"/>
          <w:sz w:val="20"/>
        </w:rPr>
        <w:t>:</w:t>
      </w:r>
    </w:p>
    <w:p w14:paraId="6DE92831" w14:textId="0AF9371E" w:rsidR="006D0F9C" w:rsidRDefault="006D0F9C" w:rsidP="006D0F9C">
      <w:pPr>
        <w:spacing w:before="60"/>
        <w:ind w:left="567" w:right="567"/>
        <w:jc w:val="both"/>
        <w:rPr>
          <w:rFonts w:ascii="Arial" w:hAnsi="Arial" w:cs="Arial"/>
          <w:color w:val="000000"/>
          <w:sz w:val="20"/>
          <w:szCs w:val="20"/>
        </w:rPr>
      </w:pPr>
      <w:r>
        <w:rPr>
          <w:rFonts w:ascii="Arial" w:hAnsi="Arial" w:cs="Arial"/>
          <w:sz w:val="20"/>
          <w:szCs w:val="16"/>
        </w:rPr>
        <w:t xml:space="preserve">[70] “…In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Pr>
          <w:rFonts w:ascii="Arial" w:hAnsi="Arial" w:cs="Arial"/>
          <w:color w:val="000000"/>
          <w:sz w:val="20"/>
          <w:szCs w:val="20"/>
        </w:rPr>
        <w:t xml:space="preserve"> this Court left open the question whether the fact that a prisoner was kept in ‘protection’ was a legally relevant consideration in circumstances where the protective custody was the result of the offender’s conduct in custody in the period leading up to the date of sentencing or a decision of the prison authorities that the offender presented an unacceptable risk of violent behaviour while in gaol.</w:t>
      </w:r>
    </w:p>
    <w:p w14:paraId="65777AB4" w14:textId="0596E9DC" w:rsidR="006D0F9C" w:rsidRDefault="006D0F9C" w:rsidP="006D0F9C">
      <w:pPr>
        <w:spacing w:before="60"/>
        <w:ind w:left="567" w:right="567"/>
        <w:jc w:val="both"/>
        <w:rPr>
          <w:rFonts w:ascii="Arial" w:hAnsi="Arial" w:cs="Arial"/>
          <w:sz w:val="20"/>
          <w:szCs w:val="16"/>
        </w:rPr>
      </w:pPr>
      <w:r>
        <w:rPr>
          <w:rFonts w:ascii="Arial" w:hAnsi="Arial" w:cs="Arial"/>
          <w:sz w:val="20"/>
          <w:szCs w:val="16"/>
        </w:rPr>
        <w:t xml:space="preserve">[71] Kellam JA </w:t>
      </w:r>
      <w:r w:rsidR="00EB25D3">
        <w:rPr>
          <w:rFonts w:ascii="Arial" w:hAnsi="Arial" w:cs="Arial"/>
          <w:sz w:val="20"/>
          <w:szCs w:val="16"/>
        </w:rPr>
        <w:t xml:space="preserve">at [36] </w:t>
      </w:r>
      <w:r>
        <w:rPr>
          <w:rFonts w:ascii="Arial" w:hAnsi="Arial" w:cs="Arial"/>
          <w:sz w:val="20"/>
          <w:szCs w:val="16"/>
        </w:rPr>
        <w:t xml:space="preserve">and Whelan AJA </w:t>
      </w:r>
      <w:r w:rsidR="00EB25D3">
        <w:rPr>
          <w:rFonts w:ascii="Arial" w:hAnsi="Arial" w:cs="Arial"/>
          <w:sz w:val="20"/>
          <w:szCs w:val="16"/>
        </w:rPr>
        <w:t xml:space="preserve">at [5] </w:t>
      </w:r>
      <w:r>
        <w:rPr>
          <w:rFonts w:ascii="Arial" w:hAnsi="Arial" w:cs="Arial"/>
          <w:sz w:val="20"/>
          <w:szCs w:val="16"/>
        </w:rPr>
        <w:t xml:space="preserve">declined to decide that issue </w:t>
      </w:r>
      <w:r w:rsidRPr="00E01619">
        <w:rPr>
          <w:rFonts w:ascii="Arial" w:hAnsi="Arial" w:cs="Arial"/>
          <w:sz w:val="20"/>
          <w:szCs w:val="16"/>
        </w:rPr>
        <w:t xml:space="preserve">but considered that, in circumstances where the reasons for Males’ protection status were a matter of controversy, his status as a ‘protection prisoner’ was a relevant consideration to be taken </w:t>
      </w:r>
      <w:r w:rsidRPr="00E01619">
        <w:rPr>
          <w:rFonts w:ascii="Arial" w:hAnsi="Arial" w:cs="Arial"/>
          <w:sz w:val="20"/>
          <w:szCs w:val="16"/>
        </w:rPr>
        <w:lastRenderedPageBreak/>
        <w:t>into account in favour of the appellant</w:t>
      </w:r>
      <w:r>
        <w:rPr>
          <w:rFonts w:ascii="Arial" w:hAnsi="Arial" w:cs="Arial"/>
          <w:sz w:val="20"/>
          <w:szCs w:val="16"/>
        </w:rPr>
        <w:t xml:space="preserve">.  Maxwell P said </w:t>
      </w:r>
      <w:r w:rsidRPr="00E01619">
        <w:rPr>
          <w:rFonts w:ascii="Arial" w:hAnsi="Arial" w:cs="Arial"/>
          <w:sz w:val="20"/>
          <w:szCs w:val="16"/>
        </w:rPr>
        <w:t xml:space="preserve">that the issue would ‘require careful attention in an appropriate case, and a close examination of the authorities’. Maxwell P went on to say </w:t>
      </w:r>
      <w:r>
        <w:rPr>
          <w:rFonts w:ascii="Arial" w:hAnsi="Arial" w:cs="Arial"/>
          <w:sz w:val="20"/>
          <w:szCs w:val="16"/>
        </w:rPr>
        <w:t xml:space="preserve">at [49] </w:t>
      </w:r>
      <w:r w:rsidRPr="00E01619">
        <w:rPr>
          <w:rFonts w:ascii="Arial" w:hAnsi="Arial" w:cs="Arial"/>
          <w:sz w:val="20"/>
          <w:szCs w:val="16"/>
        </w:rPr>
        <w:t>that</w:t>
      </w:r>
      <w:r>
        <w:rPr>
          <w:rFonts w:ascii="Arial" w:hAnsi="Arial" w:cs="Arial"/>
          <w:sz w:val="20"/>
          <w:szCs w:val="16"/>
        </w:rPr>
        <w:t>:</w:t>
      </w:r>
    </w:p>
    <w:p w14:paraId="4AC83730" w14:textId="40B2C211" w:rsidR="006D0F9C" w:rsidRPr="00772DF9" w:rsidRDefault="00772DF9" w:rsidP="00772DF9">
      <w:pPr>
        <w:spacing w:before="60"/>
        <w:ind w:left="1021" w:right="1021"/>
        <w:jc w:val="both"/>
        <w:rPr>
          <w:rFonts w:ascii="Arial" w:hAnsi="Arial" w:cs="Arial"/>
          <w:sz w:val="18"/>
          <w:szCs w:val="14"/>
        </w:rPr>
      </w:pPr>
      <w:r w:rsidRPr="00772DF9">
        <w:rPr>
          <w:rFonts w:ascii="Arial" w:hAnsi="Arial" w:cs="Arial"/>
          <w:sz w:val="18"/>
          <w:szCs w:val="14"/>
        </w:rPr>
        <w:t>‘until that occurs, sentencing judges are entitled to treat the matter of protection as a relevant consideration. The weight to be attached to it will of course depend on the circumstances of the case and the evidence before the court. No authority has been cited by the Crown which holds that protection is irrelevant in any particular class of case. That is the decision which the Crown has made clear it wants this Court to make.’</w:t>
      </w:r>
      <w:r>
        <w:rPr>
          <w:rFonts w:ascii="Arial" w:hAnsi="Arial" w:cs="Arial"/>
          <w:sz w:val="18"/>
          <w:szCs w:val="14"/>
        </w:rPr>
        <w:t>”</w:t>
      </w:r>
    </w:p>
    <w:p w14:paraId="7BB8A47F" w14:textId="4F535144" w:rsidR="006D0F9C" w:rsidRDefault="00772DF9" w:rsidP="006D0F9C">
      <w:pPr>
        <w:spacing w:before="60"/>
        <w:ind w:left="567" w:right="567"/>
        <w:jc w:val="both"/>
        <w:rPr>
          <w:rFonts w:ascii="Arial" w:hAnsi="Arial" w:cs="Arial"/>
          <w:sz w:val="20"/>
          <w:szCs w:val="16"/>
        </w:rPr>
      </w:pPr>
      <w:r>
        <w:rPr>
          <w:rFonts w:ascii="Arial" w:hAnsi="Arial" w:cs="Arial"/>
          <w:sz w:val="20"/>
          <w:szCs w:val="16"/>
        </w:rPr>
        <w:t xml:space="preserve">[84] There was no submission by either party that this Court should., in the present case, decide the question left open in </w:t>
      </w:r>
      <w:r w:rsidRPr="00772DF9">
        <w:rPr>
          <w:rFonts w:ascii="Arial" w:hAnsi="Arial" w:cs="Arial"/>
          <w:i/>
          <w:iCs/>
          <w:sz w:val="20"/>
          <w:szCs w:val="16"/>
        </w:rPr>
        <w:t>Males</w:t>
      </w:r>
      <w:r>
        <w:rPr>
          <w:rFonts w:ascii="Arial" w:hAnsi="Arial" w:cs="Arial"/>
          <w:sz w:val="20"/>
          <w:szCs w:val="16"/>
        </w:rPr>
        <w:t xml:space="preserve">.  Were that exercise to be undertaken, it would be appropriate to convene a bench of three, rather than two, judges.  In those circumstances, </w:t>
      </w:r>
      <w:r w:rsidRPr="009D2F73">
        <w:rPr>
          <w:rFonts w:ascii="Arial" w:hAnsi="Arial" w:cs="Arial"/>
          <w:b/>
          <w:bCs/>
          <w:sz w:val="20"/>
          <w:szCs w:val="16"/>
        </w:rPr>
        <w:t xml:space="preserve">we consider that we ought to follow the remarks of Maxwell P in </w:t>
      </w:r>
      <w:r w:rsidRPr="009D2F73">
        <w:rPr>
          <w:rFonts w:ascii="Arial" w:hAnsi="Arial" w:cs="Arial"/>
          <w:b/>
          <w:bCs/>
          <w:i/>
          <w:iCs/>
          <w:sz w:val="20"/>
          <w:szCs w:val="16"/>
        </w:rPr>
        <w:t>Males</w:t>
      </w:r>
      <w:r w:rsidRPr="009D2F73">
        <w:rPr>
          <w:rFonts w:ascii="Arial" w:hAnsi="Arial" w:cs="Arial"/>
          <w:b/>
          <w:bCs/>
          <w:sz w:val="20"/>
          <w:szCs w:val="16"/>
        </w:rPr>
        <w:t xml:space="preserve"> to the effect that it is permissible for a sentencing judge to take into account the burdensome conditions of custody, even where those conditions arise from the prisoner’s own misbehaviour.</w:t>
      </w:r>
      <w:r>
        <w:rPr>
          <w:rFonts w:ascii="Arial" w:hAnsi="Arial" w:cs="Arial"/>
          <w:sz w:val="20"/>
          <w:szCs w:val="16"/>
        </w:rPr>
        <w:t>”</w:t>
      </w:r>
    </w:p>
    <w:p w14:paraId="7CFF8B38" w14:textId="77777777" w:rsidR="007D3CEC" w:rsidRPr="007D3CEC" w:rsidRDefault="007D3CEC" w:rsidP="00DD2978">
      <w:pPr>
        <w:spacing w:after="3"/>
        <w:jc w:val="both"/>
        <w:rPr>
          <w:rFonts w:ascii="Arial" w:hAnsi="Arial" w:cs="Arial"/>
          <w:color w:val="000000"/>
          <w:sz w:val="20"/>
          <w:szCs w:val="20"/>
        </w:rPr>
      </w:pPr>
    </w:p>
    <w:p w14:paraId="678B50E8" w14:textId="77777777" w:rsidR="00F61D70" w:rsidRPr="00F61D70" w:rsidRDefault="00F61D70" w:rsidP="00F61D70">
      <w:pPr>
        <w:pStyle w:val="Heading2"/>
        <w:spacing w:after="120" w:line="240" w:lineRule="auto"/>
        <w:rPr>
          <w:rFonts w:ascii="Arial" w:hAnsi="Arial" w:cs="Arial"/>
          <w:b/>
          <w:bCs/>
          <w:sz w:val="20"/>
          <w:szCs w:val="16"/>
        </w:rPr>
      </w:pPr>
      <w:bookmarkStart w:id="599" w:name="_11.2.10_Effect_of"/>
      <w:bookmarkEnd w:id="598"/>
      <w:bookmarkEnd w:id="599"/>
      <w:r w:rsidRPr="00F61D70">
        <w:rPr>
          <w:rFonts w:ascii="Arial" w:hAnsi="Arial" w:cs="Arial"/>
          <w:b/>
          <w:bCs/>
          <w:sz w:val="20"/>
          <w:szCs w:val="16"/>
        </w:rPr>
        <w:t>11.2.1</w:t>
      </w:r>
      <w:r>
        <w:rPr>
          <w:rFonts w:ascii="Arial" w:hAnsi="Arial" w:cs="Arial"/>
          <w:b/>
          <w:bCs/>
          <w:sz w:val="20"/>
          <w:szCs w:val="16"/>
        </w:rPr>
        <w:t>0</w:t>
      </w:r>
      <w:r w:rsidRPr="00F61D70">
        <w:rPr>
          <w:rFonts w:ascii="Arial" w:hAnsi="Arial" w:cs="Arial"/>
          <w:b/>
          <w:bCs/>
          <w:sz w:val="20"/>
          <w:szCs w:val="16"/>
        </w:rPr>
        <w:tab/>
        <w:t xml:space="preserve">Effect of </w:t>
      </w:r>
      <w:r w:rsidRPr="001C6E0E">
        <w:rPr>
          <w:rFonts w:ascii="Arial" w:hAnsi="Arial" w:cs="Arial"/>
          <w:b/>
          <w:bCs/>
          <w:color w:val="000000"/>
          <w:sz w:val="20"/>
        </w:rPr>
        <w:t>forgiveness by the victim</w:t>
      </w:r>
    </w:p>
    <w:bookmarkEnd w:id="597"/>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By s.5(2)(da)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s.5(2)(db)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R v Marasovic</w:t>
      </w:r>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Chernov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r w:rsidR="000C1F8A" w:rsidRPr="001C6E0E">
        <w:rPr>
          <w:rFonts w:ascii="Arial" w:hAnsi="Arial" w:cs="Arial"/>
          <w:i/>
          <w:color w:val="000000"/>
          <w:sz w:val="20"/>
          <w:szCs w:val="20"/>
        </w:rPr>
        <w:t>Skura</w:t>
      </w:r>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with Chernov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w:t>
      </w:r>
      <w:r w:rsidR="00692B11" w:rsidRPr="001C6E0E">
        <w:rPr>
          <w:rFonts w:ascii="Arial" w:hAnsi="Arial" w:cs="Arial"/>
          <w:color w:val="000000"/>
          <w:sz w:val="20"/>
        </w:rPr>
        <w:lastRenderedPageBreak/>
        <w:t xml:space="preserve">&amp;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Attorney-General v. Tichy</w:t>
      </w:r>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"[38]  The statement of his Honour that the attitude of the victim could not 'govern' the sentencing approach was consistent with the principles stated in </w:t>
      </w:r>
      <w:r w:rsidRPr="001C6E0E">
        <w:rPr>
          <w:rFonts w:ascii="Arial" w:hAnsi="Arial" w:cs="Arial"/>
          <w:i/>
          <w:color w:val="000000"/>
          <w:sz w:val="20"/>
        </w:rPr>
        <w:t>Skura</w:t>
      </w:r>
      <w:r w:rsidRPr="001C6E0E">
        <w:rPr>
          <w:rFonts w:ascii="Arial" w:hAnsi="Arial" w:cs="Arial"/>
          <w:color w:val="000000"/>
          <w:sz w:val="20"/>
        </w:rPr>
        <w:t>.  In the present case, however, there was good reason why the judge would be cautious in evaluating the weight to be given to the evidence of the victim.  In the first place, he was not the only victim of the appellant’s crime;  the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[39]  An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  In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2360D1F8" w14:textId="77777777" w:rsidR="00030EB1" w:rsidRDefault="00030EB1" w:rsidP="00030EB1">
      <w:pPr>
        <w:ind w:left="60"/>
        <w:jc w:val="both"/>
        <w:rPr>
          <w:rFonts w:ascii="Arial" w:hAnsi="Arial" w:cs="Arial"/>
          <w:color w:val="000000"/>
          <w:sz w:val="20"/>
        </w:rPr>
      </w:pPr>
    </w:p>
    <w:p w14:paraId="5463E385" w14:textId="7AB2B8B7" w:rsidR="00030EB1" w:rsidRDefault="00030EB1" w:rsidP="00030EB1">
      <w:pPr>
        <w:ind w:left="60"/>
        <w:jc w:val="both"/>
        <w:rPr>
          <w:rFonts w:ascii="Arial" w:hAnsi="Arial" w:cs="Arial"/>
          <w:color w:val="000000"/>
          <w:sz w:val="20"/>
        </w:rPr>
      </w:pPr>
      <w:r>
        <w:rPr>
          <w:rFonts w:ascii="Arial" w:hAnsi="Arial" w:cs="Arial"/>
          <w:color w:val="000000"/>
          <w:sz w:val="20"/>
        </w:rPr>
        <w:t xml:space="preserve">In his dissenting judgment in </w:t>
      </w:r>
      <w:r w:rsidRPr="00A5743B">
        <w:rPr>
          <w:rFonts w:ascii="Arial" w:hAnsi="Arial" w:cs="Arial"/>
          <w:i/>
          <w:iCs/>
          <w:color w:val="000000"/>
          <w:sz w:val="20"/>
          <w:szCs w:val="20"/>
        </w:rPr>
        <w:t>DPP v Reynolds (a pseudonym)</w:t>
      </w:r>
      <w:r w:rsidRPr="00A5743B">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A5743B">
        <w:rPr>
          <w:rFonts w:ascii="Arial" w:hAnsi="Arial" w:cs="Arial"/>
          <w:color w:val="000000"/>
          <w:sz w:val="20"/>
          <w:szCs w:val="20"/>
        </w:rPr>
        <w:t>[2022] VSCA 263 at [18]</w:t>
      </w:r>
      <w:r>
        <w:rPr>
          <w:rFonts w:ascii="Arial" w:hAnsi="Arial" w:cs="Arial"/>
          <w:color w:val="000000"/>
          <w:sz w:val="20"/>
          <w:szCs w:val="20"/>
        </w:rPr>
        <w:t xml:space="preserve"> Priest JA said:</w:t>
      </w:r>
    </w:p>
    <w:p w14:paraId="2438F6C7" w14:textId="7FAB02DA" w:rsidR="00030EB1" w:rsidRPr="001C6E0E" w:rsidRDefault="00030EB1" w:rsidP="00030EB1">
      <w:pPr>
        <w:spacing w:before="60"/>
        <w:ind w:left="567" w:right="567"/>
        <w:jc w:val="both"/>
        <w:rPr>
          <w:rFonts w:ascii="Arial" w:hAnsi="Arial" w:cs="Arial"/>
          <w:color w:val="000000"/>
          <w:sz w:val="20"/>
        </w:rPr>
      </w:pPr>
      <w:r>
        <w:rPr>
          <w:rFonts w:ascii="Arial" w:hAnsi="Arial" w:cs="Arial"/>
          <w:color w:val="000000"/>
          <w:sz w:val="20"/>
        </w:rPr>
        <w:t>“</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szCs w:val="20"/>
        </w:rPr>
        <w:t xml:space="preserve">principle — including the need to uphold proper sentencing standards (see </w:t>
      </w:r>
      <w:r w:rsidRPr="0076180A">
        <w:rPr>
          <w:rFonts w:ascii="Arial" w:hAnsi="Arial" w:cs="Arial"/>
          <w:i/>
          <w:iCs/>
          <w:sz w:val="20"/>
          <w:szCs w:val="20"/>
        </w:rPr>
        <w:t>R v Clarke</w:t>
      </w:r>
      <w:r w:rsidRPr="0076180A">
        <w:rPr>
          <w:rFonts w:ascii="Arial" w:hAnsi="Arial" w:cs="Arial"/>
          <w:sz w:val="20"/>
          <w:szCs w:val="20"/>
        </w:rPr>
        <w:t xml:space="preserve"> [1996] 2 VR 520, 522) — requires that process of rehabilitation to be impaired (if not</w:t>
      </w:r>
      <w:r w:rsidRPr="0076180A">
        <w:rPr>
          <w:rFonts w:ascii="Arial" w:hAnsi="Arial" w:cs="Arial"/>
          <w:sz w:val="20"/>
          <w:szCs w:val="16"/>
        </w:rPr>
        <w:t xml:space="preserve"> obliterated).</w:t>
      </w:r>
      <w:r>
        <w:rPr>
          <w:rFonts w:ascii="Arial" w:hAnsi="Arial" w:cs="Arial"/>
          <w:sz w:val="20"/>
          <w:szCs w:val="16"/>
        </w:rPr>
        <w:t>”</w:t>
      </w:r>
    </w:p>
    <w:p w14:paraId="201A133D" w14:textId="77777777" w:rsidR="00030EB1" w:rsidRPr="001C6E0E" w:rsidRDefault="00030EB1">
      <w:pPr>
        <w:ind w:left="60"/>
        <w:jc w:val="both"/>
        <w:rPr>
          <w:rFonts w:ascii="Arial" w:hAnsi="Arial" w:cs="Arial"/>
          <w:color w:val="000000"/>
          <w:sz w:val="20"/>
        </w:rPr>
      </w:pPr>
    </w:p>
    <w:p w14:paraId="06419773" w14:textId="003F83A4" w:rsidR="00581015" w:rsidRPr="00A5743B" w:rsidRDefault="00581015">
      <w:pPr>
        <w:ind w:left="60"/>
        <w:jc w:val="both"/>
        <w:rPr>
          <w:rFonts w:ascii="Arial" w:hAnsi="Arial" w:cs="Arial"/>
          <w:color w:val="000000"/>
          <w:sz w:val="20"/>
          <w:szCs w:val="20"/>
        </w:rPr>
      </w:pPr>
      <w:r w:rsidRPr="00A5743B">
        <w:rPr>
          <w:rFonts w:ascii="Arial" w:hAnsi="Arial" w:cs="Arial"/>
          <w:color w:val="000000"/>
          <w:sz w:val="20"/>
          <w:szCs w:val="20"/>
        </w:rPr>
        <w:lastRenderedPageBreak/>
        <w:t xml:space="preserve">See also </w:t>
      </w:r>
      <w:r w:rsidRPr="00A5743B">
        <w:rPr>
          <w:rFonts w:ascii="Arial" w:hAnsi="Arial" w:cs="Arial"/>
          <w:i/>
          <w:color w:val="000000"/>
          <w:sz w:val="20"/>
          <w:szCs w:val="20"/>
        </w:rPr>
        <w:t>R v Lidonnici</w:t>
      </w:r>
      <w:r w:rsidR="00F005BD" w:rsidRPr="00A5743B">
        <w:rPr>
          <w:rFonts w:ascii="Arial" w:hAnsi="Arial" w:cs="Arial"/>
          <w:color w:val="000000"/>
          <w:sz w:val="20"/>
          <w:szCs w:val="20"/>
        </w:rPr>
        <w:t xml:space="preserve"> [2007] VSC 3 at [20]; </w:t>
      </w:r>
      <w:r w:rsidR="00F005BD" w:rsidRPr="00A5743B">
        <w:rPr>
          <w:rFonts w:ascii="Arial" w:hAnsi="Arial" w:cs="Arial"/>
          <w:i/>
          <w:color w:val="000000"/>
          <w:sz w:val="20"/>
          <w:szCs w:val="20"/>
        </w:rPr>
        <w:t>The Queen v CLP</w:t>
      </w:r>
      <w:r w:rsidR="00F005BD" w:rsidRPr="00A5743B">
        <w:rPr>
          <w:rFonts w:ascii="Arial" w:hAnsi="Arial" w:cs="Arial"/>
          <w:color w:val="000000"/>
          <w:sz w:val="20"/>
          <w:szCs w:val="20"/>
        </w:rPr>
        <w:t xml:space="preserve"> [2008] VSCA 113</w:t>
      </w:r>
      <w:r w:rsidR="006551A7" w:rsidRPr="00A5743B">
        <w:rPr>
          <w:rFonts w:ascii="Arial" w:hAnsi="Arial" w:cs="Arial"/>
          <w:color w:val="000000"/>
          <w:sz w:val="20"/>
          <w:szCs w:val="20"/>
        </w:rPr>
        <w:t xml:space="preserve">; </w:t>
      </w:r>
      <w:r w:rsidR="006551A7" w:rsidRPr="00A5743B">
        <w:rPr>
          <w:rFonts w:ascii="Arial" w:hAnsi="Arial" w:cs="Arial"/>
          <w:i/>
          <w:color w:val="000000"/>
          <w:sz w:val="20"/>
          <w:szCs w:val="20"/>
        </w:rPr>
        <w:t>DPP v Marsh</w:t>
      </w:r>
      <w:r w:rsidR="0004206E" w:rsidRPr="00A5743B">
        <w:rPr>
          <w:rFonts w:ascii="Arial" w:hAnsi="Arial" w:cs="Arial"/>
          <w:color w:val="000000"/>
          <w:sz w:val="20"/>
          <w:szCs w:val="20"/>
        </w:rPr>
        <w:t xml:space="preserve"> [2011] VSCA 6; </w:t>
      </w:r>
      <w:r w:rsidR="0004206E" w:rsidRPr="00A5743B">
        <w:rPr>
          <w:rFonts w:ascii="Arial" w:hAnsi="Arial" w:cs="Arial"/>
          <w:i/>
          <w:color w:val="000000"/>
          <w:sz w:val="20"/>
          <w:szCs w:val="20"/>
        </w:rPr>
        <w:t>R v K-B</w:t>
      </w:r>
      <w:r w:rsidR="0004206E" w:rsidRPr="00A5743B">
        <w:rPr>
          <w:rFonts w:ascii="Arial" w:hAnsi="Arial" w:cs="Arial"/>
          <w:color w:val="000000"/>
          <w:sz w:val="20"/>
          <w:szCs w:val="20"/>
        </w:rPr>
        <w:t xml:space="preserve"> [2011] VSC 124 at [22]-[24]</w:t>
      </w:r>
      <w:r w:rsidR="00B765B0" w:rsidRPr="00A5743B">
        <w:rPr>
          <w:rFonts w:ascii="Arial" w:hAnsi="Arial" w:cs="Arial"/>
          <w:color w:val="000000"/>
          <w:sz w:val="20"/>
          <w:szCs w:val="20"/>
        </w:rPr>
        <w:t xml:space="preserve">; </w:t>
      </w:r>
      <w:r w:rsidR="001833DF" w:rsidRPr="00A5743B">
        <w:rPr>
          <w:rFonts w:ascii="Arial" w:hAnsi="Arial" w:cs="Arial"/>
          <w:i/>
          <w:iCs/>
          <w:color w:val="000000"/>
          <w:sz w:val="20"/>
          <w:szCs w:val="20"/>
        </w:rPr>
        <w:t>Treloar v The Queen</w:t>
      </w:r>
      <w:r w:rsidR="001833DF" w:rsidRPr="00A5743B">
        <w:rPr>
          <w:rFonts w:ascii="Arial" w:hAnsi="Arial" w:cs="Arial"/>
          <w:color w:val="000000"/>
          <w:sz w:val="20"/>
          <w:szCs w:val="20"/>
        </w:rPr>
        <w:t xml:space="preserve"> </w:t>
      </w:r>
      <w:r w:rsidR="00B765B0" w:rsidRPr="00A5743B">
        <w:rPr>
          <w:rFonts w:ascii="Arial" w:hAnsi="Arial" w:cs="Arial"/>
          <w:color w:val="000000"/>
          <w:sz w:val="20"/>
          <w:szCs w:val="20"/>
        </w:rPr>
        <w:t>[2020] VSCA 6 at [20]-[21]</w:t>
      </w:r>
      <w:r w:rsidR="00A5743B">
        <w:rPr>
          <w:rFonts w:ascii="Arial" w:hAnsi="Arial" w:cs="Arial"/>
          <w:color w:val="000000"/>
          <w:sz w:val="20"/>
          <w:szCs w:val="20"/>
        </w:rPr>
        <w:t>.</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F61D70" w:rsidRDefault="00BF52E5" w:rsidP="00F61D70">
      <w:pPr>
        <w:pStyle w:val="Heading2"/>
        <w:spacing w:after="120" w:line="240" w:lineRule="auto"/>
        <w:rPr>
          <w:rFonts w:ascii="Arial" w:hAnsi="Arial" w:cs="Arial"/>
          <w:b/>
          <w:bCs/>
          <w:sz w:val="20"/>
          <w:szCs w:val="16"/>
        </w:rPr>
      </w:pPr>
      <w:bookmarkStart w:id="600" w:name="_11.2.11_Effect_of"/>
      <w:bookmarkStart w:id="601" w:name="_Toc107101755"/>
      <w:bookmarkEnd w:id="600"/>
      <w:r w:rsidRPr="00F61D70">
        <w:rPr>
          <w:rFonts w:ascii="Arial" w:hAnsi="Arial" w:cs="Arial"/>
          <w:b/>
          <w:bCs/>
          <w:sz w:val="20"/>
          <w:szCs w:val="16"/>
        </w:rPr>
        <w:t>11.2.1</w:t>
      </w:r>
      <w:r w:rsidR="00FB17E7" w:rsidRPr="00F61D70">
        <w:rPr>
          <w:rFonts w:ascii="Arial" w:hAnsi="Arial" w:cs="Arial"/>
          <w:b/>
          <w:bCs/>
          <w:sz w:val="20"/>
          <w:szCs w:val="16"/>
        </w:rPr>
        <w:t>1</w:t>
      </w:r>
      <w:r w:rsidRPr="00F61D70">
        <w:rPr>
          <w:rFonts w:ascii="Arial" w:hAnsi="Arial" w:cs="Arial"/>
          <w:b/>
          <w:bCs/>
          <w:sz w:val="20"/>
          <w:szCs w:val="16"/>
        </w:rPr>
        <w:tab/>
        <w:t>Effect of mental illness / mental disorder</w:t>
      </w:r>
      <w:bookmarkEnd w:id="601"/>
      <w:r w:rsidR="000956A1" w:rsidRPr="00F61D70">
        <w:rPr>
          <w:rFonts w:ascii="Arial" w:hAnsi="Arial" w:cs="Arial"/>
          <w:b/>
          <w:bCs/>
          <w:sz w:val="20"/>
          <w:szCs w:val="16"/>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03AB8E0A" w14:textId="77777777" w:rsidR="006810A9" w:rsidRPr="001C6E0E" w:rsidRDefault="006810A9" w:rsidP="006810A9">
      <w:pPr>
        <w:pStyle w:val="Heading3"/>
        <w:keepNext/>
        <w:spacing w:line="240" w:lineRule="auto"/>
        <w:rPr>
          <w:rFonts w:ascii="Arial" w:hAnsi="Arial" w:cs="Arial"/>
          <w:b/>
          <w:bCs/>
          <w:color w:val="000000"/>
          <w:sz w:val="20"/>
        </w:rPr>
      </w:pPr>
      <w:bookmarkStart w:id="602" w:name="_11.2.11.1__Effect"/>
      <w:bookmarkEnd w:id="602"/>
      <w:r w:rsidRPr="001C6E0E">
        <w:rPr>
          <w:rFonts w:ascii="Arial" w:hAnsi="Arial" w:cs="Arial"/>
          <w:b/>
          <w:color w:val="000000"/>
          <w:sz w:val="20"/>
        </w:rPr>
        <w:t>11.2.11.1</w:t>
      </w:r>
      <w:r>
        <w:rPr>
          <w:rFonts w:ascii="Arial" w:hAnsi="Arial" w:cs="Arial"/>
          <w:b/>
          <w:color w:val="000000"/>
          <w:sz w:val="20"/>
        </w:rPr>
        <w:t xml:space="preserve">  Effect of mental illness/mental disorder – </w:t>
      </w:r>
      <w:r w:rsidRPr="001C6E0E">
        <w:rPr>
          <w:rFonts w:ascii="Arial" w:hAnsi="Arial" w:cs="Arial"/>
          <w:b/>
          <w:color w:val="000000"/>
          <w:sz w:val="20"/>
        </w:rPr>
        <w:t>Cases</w:t>
      </w:r>
      <w:r>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Pr="001C6E0E">
        <w:rPr>
          <w:rFonts w:ascii="Arial" w:hAnsi="Arial" w:cs="Arial"/>
          <w:b/>
          <w:color w:val="000000"/>
          <w:sz w:val="20"/>
        </w:rPr>
        <w:t xml:space="preserve"> (2007)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R v Tsiaras</w:t>
      </w:r>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R v Kucma</w:t>
      </w:r>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r w:rsidRPr="001C6E0E">
        <w:rPr>
          <w:rFonts w:ascii="Arial" w:hAnsi="Arial" w:cs="Arial"/>
          <w:i/>
          <w:color w:val="000000"/>
          <w:sz w:val="20"/>
        </w:rPr>
        <w:t>MacKenney</w:t>
      </w:r>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R v Peisley</w:t>
      </w:r>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r w:rsidR="00A774CB" w:rsidRPr="001C6E0E">
        <w:rPr>
          <w:rFonts w:ascii="Arial" w:hAnsi="Arial" w:cs="Arial"/>
          <w:i/>
          <w:color w:val="000000"/>
          <w:sz w:val="20"/>
        </w:rPr>
        <w:t>Nepi v Northern Territory</w:t>
      </w:r>
      <w:r w:rsidR="00A774CB" w:rsidRPr="001C6E0E">
        <w:rPr>
          <w:rFonts w:ascii="Arial" w:hAnsi="Arial" w:cs="Arial"/>
          <w:color w:val="000000"/>
          <w:sz w:val="20"/>
        </w:rPr>
        <w:t xml:space="preserve"> (unreported, NT Supreme Court-Martin CJ, 02/05/1997).  See also Dr Ian Freckleton’s article “Psychologists’ entitlement to diagnose” (1998) 5 Psychiatry, Psychology and Law 159.  In </w:t>
      </w:r>
      <w:r w:rsidR="00A774CB" w:rsidRPr="001C6E0E">
        <w:rPr>
          <w:rFonts w:ascii="Arial" w:hAnsi="Arial" w:cs="Arial"/>
          <w:i/>
          <w:color w:val="000000"/>
          <w:sz w:val="20"/>
        </w:rPr>
        <w:t>R v Kucma</w:t>
      </w:r>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R v Kucma</w:t>
      </w:r>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"Although Mr [D] describes heavy marijuana use, it is not clear that this had significantly impacted upon his behaviour, although it is clear that the offences largely related to him seeking funds in order to purchase marijuana.  In addition, although Mr [D] describes </w:t>
      </w:r>
      <w:r w:rsidRPr="001C6E0E">
        <w:rPr>
          <w:rFonts w:ascii="Arial" w:hAnsi="Arial" w:cs="Arial"/>
          <w:color w:val="000000"/>
          <w:sz w:val="20"/>
        </w:rPr>
        <w:lastRenderedPageBreak/>
        <w:t>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note that Mr [D] is currently receiving antipsychotic treatment.  I also note that he spent a considerable time in the Atherton Unit at Thomas Embling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Tsiaras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603"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r w:rsidRPr="001C6E0E">
        <w:rPr>
          <w:rFonts w:ascii="Arial" w:hAnsi="Arial" w:cs="Arial"/>
          <w:i/>
          <w:iCs/>
          <w:color w:val="000000"/>
          <w:sz w:val="20"/>
        </w:rPr>
        <w:t>Yaldiz</w:t>
      </w:r>
      <w:r w:rsidRPr="001C6E0E">
        <w:rPr>
          <w:rFonts w:ascii="Arial" w:hAnsi="Arial" w:cs="Arial"/>
          <w:color w:val="000000"/>
          <w:sz w:val="20"/>
        </w:rPr>
        <w:t xml:space="preserve"> [1998] 2 VR 376, </w:t>
      </w:r>
      <w:r w:rsidRPr="001C6E0E">
        <w:rPr>
          <w:rFonts w:ascii="Arial" w:hAnsi="Arial" w:cs="Arial"/>
          <w:i/>
          <w:color w:val="000000"/>
          <w:sz w:val="20"/>
        </w:rPr>
        <w:t xml:space="preserve">R v. Vodopic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Winneke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r w:rsidRPr="001C6E0E">
        <w:rPr>
          <w:rFonts w:ascii="Arial" w:hAnsi="Arial" w:cs="Arial"/>
          <w:i/>
          <w:color w:val="000000"/>
          <w:sz w:val="20"/>
        </w:rPr>
        <w:t xml:space="preserve">Yaldiz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[38]  "The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R v. Tsiaras</w:t>
      </w:r>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[48]  [I]t is not sufficient to label your depression as serious in order to invoke the principles stated in </w:t>
      </w:r>
      <w:r w:rsidRPr="001C6E0E">
        <w:rPr>
          <w:rFonts w:ascii="Arial" w:hAnsi="Arial" w:cs="Arial"/>
          <w:i/>
          <w:iCs/>
          <w:color w:val="000000"/>
          <w:sz w:val="20"/>
        </w:rPr>
        <w:t>Tsiaras</w:t>
      </w:r>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lastRenderedPageBreak/>
        <w:t>[52]  "</w:t>
      </w:r>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r w:rsidR="00851D9A" w:rsidRPr="001C6E0E">
        <w:rPr>
          <w:rFonts w:ascii="Arial" w:hAnsi="Arial" w:cs="Arial"/>
          <w:i/>
          <w:color w:val="000000"/>
          <w:sz w:val="20"/>
        </w:rPr>
        <w:t>Tsiaras</w:t>
      </w:r>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between the applicant's illness and his offending, he acknowledged that the applicant was "a significantly damaged man".  At [15] Callaway JA, with whom Winneke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R v Tsiaras</w:t>
      </w:r>
      <w:r w:rsidRPr="001C6E0E">
        <w:rPr>
          <w:rFonts w:ascii="Arial" w:hAnsi="Arial" w:cs="Arial"/>
          <w:color w:val="000000"/>
          <w:sz w:val="20"/>
        </w:rPr>
        <w:t xml:space="preserve"> [1996] 1 VR 398 at 400; </w:t>
      </w:r>
      <w:r w:rsidRPr="001C6E0E">
        <w:rPr>
          <w:rFonts w:ascii="Arial" w:hAnsi="Arial" w:cs="Arial"/>
          <w:i/>
          <w:iCs/>
          <w:color w:val="000000"/>
          <w:sz w:val="20"/>
        </w:rPr>
        <w:t>R v Yaldiz</w:t>
      </w:r>
      <w:r w:rsidRPr="001C6E0E">
        <w:rPr>
          <w:rFonts w:ascii="Arial" w:hAnsi="Arial" w:cs="Arial"/>
          <w:color w:val="000000"/>
          <w:sz w:val="20"/>
        </w:rPr>
        <w:t xml:space="preserve"> [1998] 2 VR 376 at 381 and 383; </w:t>
      </w:r>
      <w:r w:rsidRPr="001C6E0E">
        <w:rPr>
          <w:rFonts w:ascii="Arial" w:hAnsi="Arial" w:cs="Arial"/>
          <w:i/>
          <w:iCs/>
          <w:color w:val="000000"/>
          <w:sz w:val="20"/>
        </w:rPr>
        <w:t>R v Tramontano</w:t>
      </w:r>
      <w:r w:rsidRPr="001C6E0E">
        <w:rPr>
          <w:rFonts w:ascii="Arial" w:hAnsi="Arial" w:cs="Arial"/>
          <w:color w:val="000000"/>
          <w:sz w:val="20"/>
        </w:rPr>
        <w:t xml:space="preserve"> (2002) 131 A Crim R 1 at [56] and </w:t>
      </w:r>
      <w:r w:rsidRPr="001C6E0E">
        <w:rPr>
          <w:rFonts w:ascii="Arial" w:hAnsi="Arial" w:cs="Arial"/>
          <w:i/>
          <w:iCs/>
          <w:color w:val="000000"/>
          <w:sz w:val="20"/>
        </w:rPr>
        <w:t>R v Bux</w:t>
      </w:r>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R v Engert</w:t>
      </w:r>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R v Bux</w:t>
      </w:r>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Yaldiz</w:t>
      </w:r>
      <w:r w:rsidRPr="001C6E0E">
        <w:rPr>
          <w:rFonts w:ascii="Arial" w:hAnsi="Arial" w:cs="Arial"/>
          <w:color w:val="000000"/>
          <w:sz w:val="20"/>
        </w:rPr>
        <w:t xml:space="preserve"> [1998] 2 VR 376 Batt JA - with whom Winneke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R v Donamski</w:t>
      </w:r>
      <w:r w:rsidRPr="001C6E0E">
        <w:rPr>
          <w:rFonts w:ascii="Arial" w:hAnsi="Arial" w:cs="Arial"/>
          <w:color w:val="000000"/>
          <w:sz w:val="20"/>
        </w:rPr>
        <w:t xml:space="preserve"> (unreported, 3 March 1997), Winneke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r w:rsidRPr="001C6E0E">
        <w:rPr>
          <w:rFonts w:ascii="Arial" w:hAnsi="Arial" w:cs="Arial"/>
          <w:i/>
          <w:iCs/>
          <w:color w:val="000000"/>
          <w:sz w:val="20"/>
        </w:rPr>
        <w:t>Tsiaras</w:t>
      </w:r>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w:t>
      </w:r>
      <w:r w:rsidRPr="001C6E0E">
        <w:rPr>
          <w:rFonts w:ascii="Arial" w:hAnsi="Arial" w:cs="Arial"/>
          <w:color w:val="000000"/>
          <w:sz w:val="20"/>
        </w:rPr>
        <w:lastRenderedPageBreak/>
        <w:t>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Joblin who agreed with the opinions of Drs Walton and Kenny, including the views of Dr Kenny that the appellant had a very disturbed personality structure and a development that was grossly impaired.  At [36], Coldrey AJA - with whom Winneke P &amp; Bongiorno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R v Tsiaras</w:t>
      </w:r>
      <w:r w:rsidRPr="001C6E0E">
        <w:rPr>
          <w:rFonts w:ascii="Arial" w:hAnsi="Arial" w:cs="Arial"/>
          <w:color w:val="000000"/>
          <w:sz w:val="20"/>
        </w:rPr>
        <w:t xml:space="preserve"> and </w:t>
      </w:r>
      <w:r w:rsidRPr="001C6E0E">
        <w:rPr>
          <w:rFonts w:ascii="Arial" w:hAnsi="Arial" w:cs="Arial"/>
          <w:i/>
          <w:iCs/>
          <w:color w:val="000000"/>
          <w:sz w:val="20"/>
        </w:rPr>
        <w:t>R v Yaldiz</w:t>
      </w:r>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culpability of the appellant: see the discussions in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Yaldiz</w:t>
      </w:r>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Eliasen</w:t>
      </w:r>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McGarvie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R v Eliasen</w:t>
      </w:r>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R v Rongonui-Chase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R v Eliasen</w:t>
      </w:r>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2E2D6E">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Chernov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Winneke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 xml:space="preserve">…complicated by drug withdrawal". His illness had substantially resolved by the date of sentencing.  The Court of Appeal </w:t>
      </w:r>
      <w:r w:rsidRPr="001C6E0E">
        <w:rPr>
          <w:rFonts w:ascii="Arial" w:hAnsi="Arial" w:cs="Arial"/>
          <w:color w:val="000000"/>
          <w:sz w:val="20"/>
        </w:rPr>
        <w:lastRenderedPageBreak/>
        <w:t>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R v Tsiaras</w:t>
      </w:r>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Yaldiz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R v Vodopic</w:t>
      </w:r>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Bijay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R v Tsiaras,</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rsidP="00772DF9">
      <w:pPr>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[7]  "I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R. v. Yaldiz</w:t>
      </w:r>
      <w:r w:rsidRPr="001C6E0E">
        <w:rPr>
          <w:rFonts w:ascii="Arial" w:hAnsi="Arial" w:cs="Arial"/>
          <w:color w:val="000000"/>
          <w:sz w:val="20"/>
        </w:rPr>
        <w:t xml:space="preserve"> [1998] 2 VR 376 and had </w:t>
      </w:r>
      <w:r w:rsidRPr="001C6E0E">
        <w:rPr>
          <w:rFonts w:ascii="Arial" w:hAnsi="Arial" w:cs="Arial"/>
          <w:color w:val="000000"/>
          <w:sz w:val="20"/>
        </w:rPr>
        <w:lastRenderedPageBreak/>
        <w:t>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Vodopic</w:t>
      </w:r>
      <w:r w:rsidRPr="001C6E0E">
        <w:rPr>
          <w:rFonts w:ascii="Arial" w:hAnsi="Arial" w:cs="Arial"/>
          <w:color w:val="000000"/>
          <w:sz w:val="20"/>
        </w:rPr>
        <w:t xml:space="preserve"> [2003] VSCA 172 at [28]-[29] per Eames JA, with whom Winneke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4650E78C"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Sebalj</w:t>
      </w:r>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r w:rsidRPr="001C6E0E">
        <w:rPr>
          <w:rFonts w:ascii="Arial" w:hAnsi="Arial" w:cs="Arial"/>
          <w:i/>
          <w:color w:val="000000"/>
          <w:sz w:val="20"/>
        </w:rPr>
        <w:t>Tsiaras</w:t>
      </w:r>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437529">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 xml:space="preserve">[18]  “Considerable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 xml:space="preserve">[19]  </w:t>
      </w:r>
      <w:r w:rsidR="00A2350A" w:rsidRPr="001C6E0E">
        <w:rPr>
          <w:rFonts w:ascii="Arial" w:hAnsi="Arial" w:cs="Arial"/>
          <w:color w:val="000000"/>
          <w:sz w:val="20"/>
        </w:rPr>
        <w:t xml:space="preserve">The decision of this Court in </w:t>
      </w:r>
      <w:r w:rsidR="00A2350A" w:rsidRPr="001C6E0E">
        <w:rPr>
          <w:rFonts w:ascii="Arial" w:hAnsi="Arial" w:cs="Arial"/>
          <w:i/>
          <w:color w:val="000000"/>
          <w:sz w:val="20"/>
        </w:rPr>
        <w:t xml:space="preserve">Tsiaras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  It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lastRenderedPageBreak/>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r w:rsidRPr="001C6E0E">
        <w:rPr>
          <w:rFonts w:ascii="Arial" w:hAnsi="Arial" w:cs="Arial"/>
          <w:i/>
          <w:color w:val="000000"/>
          <w:sz w:val="20"/>
        </w:rPr>
        <w:t>Tsiaras</w:t>
      </w:r>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r w:rsidR="009C02D3" w:rsidRPr="001C6E0E">
        <w:rPr>
          <w:rFonts w:ascii="Arial" w:hAnsi="Arial" w:cs="Arial"/>
          <w:i/>
          <w:color w:val="000000"/>
          <w:sz w:val="20"/>
        </w:rPr>
        <w:t>Tsiaras</w:t>
      </w:r>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r w:rsidR="009C02D3" w:rsidRPr="001C6E0E">
        <w:rPr>
          <w:rFonts w:ascii="Arial" w:hAnsi="Arial" w:cs="Arial"/>
          <w:i/>
          <w:color w:val="000000"/>
          <w:sz w:val="20"/>
        </w:rPr>
        <w:t>Tsiaras</w:t>
      </w:r>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mental capacity at the time of the offence (see </w:t>
      </w:r>
      <w:r w:rsidR="009C02D3" w:rsidRPr="001C6E0E">
        <w:rPr>
          <w:rFonts w:ascii="Arial" w:hAnsi="Arial" w:cs="Arial"/>
          <w:i/>
          <w:color w:val="000000"/>
          <w:sz w:val="20"/>
        </w:rPr>
        <w:t>R v Yaldiz</w:t>
      </w:r>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R v Toni Vodopic</w:t>
      </w:r>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R v Rendle</w:t>
      </w:r>
      <w:r w:rsidRPr="001C6E0E">
        <w:rPr>
          <w:rFonts w:ascii="Arial" w:hAnsi="Arial" w:cs="Arial"/>
          <w:color w:val="000000"/>
          <w:sz w:val="20"/>
        </w:rPr>
        <w:t xml:space="preserve"> [2004] VSC 201 at [41]-[43] per Kellam J; </w:t>
      </w:r>
      <w:r w:rsidRPr="001C6E0E">
        <w:rPr>
          <w:rFonts w:ascii="Arial" w:hAnsi="Arial" w:cs="Arial"/>
          <w:i/>
          <w:iCs/>
          <w:color w:val="000000"/>
          <w:sz w:val="20"/>
        </w:rPr>
        <w:t>R v Hasan Huseyin Alipek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Maccia </w:t>
      </w:r>
      <w:r w:rsidRPr="001C6E0E">
        <w:rPr>
          <w:rFonts w:ascii="Arial" w:hAnsi="Arial" w:cs="Arial"/>
          <w:color w:val="000000"/>
          <w:sz w:val="20"/>
        </w:rPr>
        <w:t>[2005] VSCA 20 at [28]-[32] per Winneke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R v Rendle</w:t>
      </w:r>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R v Kasulaitis</w:t>
      </w:r>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DPP v Kabo</w:t>
      </w:r>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Micetic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R v Duy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R v Vardouniot</w:t>
      </w:r>
      <w:r w:rsidR="008D52D6" w:rsidRPr="001C6E0E">
        <w:rPr>
          <w:rFonts w:ascii="Arial" w:hAnsi="Arial" w:cs="Arial"/>
          <w:i/>
          <w:color w:val="000000"/>
          <w:sz w:val="20"/>
        </w:rPr>
        <w:t>i</w:t>
      </w:r>
      <w:r w:rsidR="00961475" w:rsidRPr="001C6E0E">
        <w:rPr>
          <w:rFonts w:ascii="Arial" w:hAnsi="Arial" w:cs="Arial"/>
          <w:i/>
          <w:color w:val="000000"/>
          <w:sz w:val="20"/>
        </w:rPr>
        <w:t>s</w:t>
      </w:r>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604" w:name="_11.2.11.2__Effect"/>
      <w:bookmarkEnd w:id="604"/>
      <w:r w:rsidRPr="001C6E0E">
        <w:rPr>
          <w:rFonts w:ascii="Arial" w:hAnsi="Arial" w:cs="Arial"/>
          <w:b/>
          <w:color w:val="000000"/>
          <w:sz w:val="20"/>
        </w:rPr>
        <w:t>11.2.11.</w:t>
      </w:r>
      <w:r>
        <w:rPr>
          <w:rFonts w:ascii="Arial" w:hAnsi="Arial" w:cs="Arial"/>
          <w:b/>
          <w:color w:val="000000"/>
          <w:sz w:val="20"/>
        </w:rPr>
        <w:t xml:space="preserve">2  Effect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R v Tsiaras</w:t>
      </w:r>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Tsiaras </w:t>
      </w:r>
      <w:r w:rsidRPr="001C6E0E">
        <w:rPr>
          <w:rFonts w:ascii="Arial" w:hAnsi="Arial" w:cs="Arial"/>
          <w:color w:val="000000"/>
          <w:sz w:val="20"/>
          <w:szCs w:val="20"/>
        </w:rPr>
        <w:t>are not – and were not intended to be – applicable only to cases of ‘serious psychiatric illness’.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2E2D6E">
      <w:pPr>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w:t>
      </w:r>
      <w:r w:rsidRPr="001C6E0E">
        <w:rPr>
          <w:rFonts w:ascii="Arial" w:hAnsi="Arial" w:cs="Arial"/>
          <w:color w:val="000000"/>
          <w:sz w:val="20"/>
          <w:szCs w:val="20"/>
        </w:rPr>
        <w:lastRenderedPageBreak/>
        <w:t xml:space="preserve">Institute Journal 416 at 417;  I Potas,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R v Tsiaras</w:t>
      </w:r>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605" w:name="_Toc80756419"/>
      <w:bookmarkStart w:id="606"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r w:rsidRPr="00E15215">
        <w:rPr>
          <w:rFonts w:ascii="Arial" w:hAnsi="Arial" w:cs="Arial"/>
          <w:i/>
          <w:iCs/>
          <w:color w:val="000000"/>
          <w:sz w:val="20"/>
        </w:rPr>
        <w:t>Muldrock v The Queen</w:t>
      </w:r>
      <w:r w:rsidRPr="00E15215">
        <w:rPr>
          <w:rFonts w:ascii="Arial" w:hAnsi="Arial" w:cs="Arial"/>
          <w:color w:val="000000"/>
          <w:sz w:val="20"/>
        </w:rPr>
        <w:t xml:space="preserve"> (2011) 244 CLR 120 at 137-139 [50]-[55] per French CJ, Gummow, Hayne, Heydon, Crennan, Kiefel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Rattya</w:t>
      </w:r>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w:t>
      </w:r>
      <w:r w:rsidRPr="001C6E0E">
        <w:rPr>
          <w:rFonts w:ascii="Arial" w:hAnsi="Arial" w:cs="Arial"/>
          <w:bCs/>
          <w:color w:val="000000"/>
          <w:sz w:val="20"/>
        </w:rPr>
        <w:lastRenderedPageBreak/>
        <w:t xml:space="preserve">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Winneke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dysthemia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Post Traumatic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R v Yaldiz</w:t>
      </w:r>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R v Vaudreu</w:t>
      </w:r>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R v Vaudreu</w:t>
      </w:r>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color w:val="000000"/>
          <w:sz w:val="20"/>
          <w:szCs w:val="20"/>
          <w:lang w:eastAsia="en-AU"/>
        </w:rPr>
        <w:lastRenderedPageBreak/>
        <w:t>{</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(R v Robazzini</w:t>
      </w:r>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1C6E0E">
        <w:rPr>
          <w:rFonts w:ascii="Arial" w:hAnsi="Arial" w:cs="Arial"/>
          <w:i/>
          <w:color w:val="000000"/>
          <w:sz w:val="20"/>
          <w:szCs w:val="20"/>
        </w:rPr>
        <w:t>Sebalj</w:t>
      </w:r>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r w:rsidRPr="001C6E0E">
        <w:rPr>
          <w:rFonts w:ascii="Arial" w:hAnsi="Arial" w:cs="Arial"/>
          <w:i/>
          <w:color w:val="000000"/>
          <w:sz w:val="20"/>
          <w:szCs w:val="20"/>
        </w:rPr>
        <w:t>Sebalj</w:t>
      </w:r>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DPP v Arvanitidis</w:t>
      </w:r>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r w:rsidRPr="001C6E0E">
        <w:rPr>
          <w:rFonts w:ascii="Arial" w:hAnsi="Arial" w:cs="Arial"/>
          <w:i/>
          <w:color w:val="000000"/>
          <w:sz w:val="20"/>
        </w:rPr>
        <w:t>Tsiaras</w:t>
      </w:r>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w:t>
      </w:r>
      <w:r w:rsidRPr="001C6E0E">
        <w:rPr>
          <w:rFonts w:ascii="Arial" w:hAnsi="Arial" w:cs="Arial"/>
          <w:color w:val="000000"/>
          <w:sz w:val="20"/>
        </w:rPr>
        <w:lastRenderedPageBreak/>
        <w:t xml:space="preserve">VSCA 291 at [18]–[30]; </w:t>
      </w:r>
      <w:r w:rsidRPr="001C6E0E">
        <w:rPr>
          <w:rFonts w:ascii="Arial" w:hAnsi="Arial" w:cs="Arial"/>
          <w:i/>
          <w:color w:val="000000"/>
          <w:sz w:val="20"/>
        </w:rPr>
        <w:t>R v Gagalowicz</w:t>
      </w:r>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r w:rsidRPr="001C6E0E">
        <w:rPr>
          <w:rFonts w:ascii="Arial" w:hAnsi="Arial" w:cs="Arial"/>
          <w:i/>
          <w:color w:val="000000"/>
          <w:sz w:val="20"/>
          <w:szCs w:val="20"/>
          <w:lang w:val="en"/>
        </w:rPr>
        <w:t>Tsiaras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Shafik-Eid </w:t>
      </w:r>
      <w:r w:rsidRPr="001C6E0E">
        <w:rPr>
          <w:rFonts w:ascii="Arial" w:hAnsi="Arial" w:cs="Arial"/>
          <w:color w:val="000000"/>
          <w:sz w:val="20"/>
        </w:rPr>
        <w:t>[2009]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Lasry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Lasry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r w:rsidR="00D72AE6" w:rsidRPr="001C6E0E">
        <w:rPr>
          <w:rFonts w:ascii="Arial" w:hAnsi="Arial" w:cs="Arial"/>
          <w:i/>
          <w:color w:val="000000"/>
          <w:sz w:val="20"/>
        </w:rPr>
        <w:t>Arvanitidis</w:t>
      </w:r>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r w:rsidRPr="001C6E0E">
        <w:rPr>
          <w:rFonts w:ascii="Arial" w:hAnsi="Arial" w:cs="Arial"/>
          <w:i/>
          <w:color w:val="000000"/>
          <w:sz w:val="20"/>
        </w:rPr>
        <w:t>Arvanitidis</w:t>
      </w:r>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[2009] VSCA 177 a similar issue arose.  At [17] Lasry AJA (with whom Buchanan &amp; Dodds-Streeton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lastRenderedPageBreak/>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r w:rsidR="00707907" w:rsidRPr="00707907">
        <w:rPr>
          <w:rFonts w:ascii="Arial" w:hAnsi="Arial" w:cs="Arial"/>
          <w:bCs/>
          <w:i/>
          <w:color w:val="000000"/>
          <w:sz w:val="20"/>
        </w:rPr>
        <w:t>Tsiaras/Yaldiz/Verdins’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34825B12"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23"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xml:space="preserve">: This exclusion of personality disorders from the Verdins’ principles is no longer good law: see </w:t>
      </w:r>
      <w:r w:rsidR="007D7CF2" w:rsidRPr="00E94F6B">
        <w:rPr>
          <w:rFonts w:ascii="Arial" w:hAnsi="Arial" w:cs="Arial"/>
          <w:b/>
          <w:sz w:val="20"/>
          <w:shd w:val="clear" w:color="auto" w:fill="C5E0B3" w:themeFill="accent6" w:themeFillTint="66"/>
          <w:lang w:eastAsia="en-AU"/>
        </w:rPr>
        <w:t>s</w:t>
      </w:r>
      <w:r w:rsidR="00E94F6B" w:rsidRPr="00E94F6B">
        <w:rPr>
          <w:rFonts w:ascii="Arial" w:hAnsi="Arial" w:cs="Arial"/>
          <w:b/>
          <w:sz w:val="20"/>
          <w:shd w:val="clear" w:color="auto" w:fill="C5E0B3" w:themeFill="accent6" w:themeFillTint="66"/>
          <w:lang w:eastAsia="en-AU"/>
        </w:rPr>
        <w:t>ubs</w:t>
      </w:r>
      <w:r w:rsidR="007D7CF2" w:rsidRPr="00E94F6B">
        <w:rPr>
          <w:rFonts w:ascii="Arial" w:hAnsi="Arial" w:cs="Arial"/>
          <w:b/>
          <w:sz w:val="20"/>
          <w:shd w:val="clear" w:color="auto" w:fill="C5E0B3" w:themeFill="accent6" w:themeFillTint="66"/>
          <w:lang w:eastAsia="en-AU"/>
        </w:rPr>
        <w:t>ection 11.2.11.4</w:t>
      </w:r>
      <w:r w:rsidR="007D7CF2" w:rsidRPr="007D7CF2">
        <w:rPr>
          <w:rFonts w:ascii="Arial" w:hAnsi="Arial" w:cs="Arial"/>
          <w:b/>
          <w:sz w:val="20"/>
          <w:lang w:eastAsia="en-AU"/>
        </w:rPr>
        <w:t xml:space="preserve">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9F14B6">
      <w:pPr>
        <w:pStyle w:val="Heading3"/>
        <w:tabs>
          <w:tab w:val="left" w:pos="720"/>
          <w:tab w:val="left" w:pos="1440"/>
          <w:tab w:val="left" w:pos="2160"/>
          <w:tab w:val="left" w:pos="2880"/>
          <w:tab w:val="left" w:pos="3375"/>
        </w:tabs>
        <w:spacing w:line="240" w:lineRule="auto"/>
        <w:rPr>
          <w:rFonts w:ascii="Arial" w:hAnsi="Arial" w:cs="Arial"/>
          <w:sz w:val="20"/>
        </w:rPr>
      </w:pPr>
      <w:r>
        <w:rPr>
          <w:rFonts w:ascii="Arial" w:hAnsi="Arial" w:cs="Arial"/>
          <w:bCs/>
          <w:color w:val="000000"/>
          <w:sz w:val="20"/>
        </w:rPr>
        <w:t xml:space="preserve">In </w:t>
      </w:r>
      <w:r w:rsidRPr="00405C7B">
        <w:rPr>
          <w:rFonts w:ascii="Arial" w:hAnsi="Arial" w:cs="Arial"/>
          <w:bCs/>
          <w:i/>
          <w:iCs/>
          <w:color w:val="000000"/>
          <w:sz w:val="20"/>
        </w:rPr>
        <w:t>R v Chol</w:t>
      </w:r>
      <w:r>
        <w:rPr>
          <w:rFonts w:ascii="Arial" w:hAnsi="Arial" w:cs="Arial"/>
          <w:bCs/>
          <w:color w:val="000000"/>
          <w:sz w:val="20"/>
        </w:rPr>
        <w:t xml:space="preserve"> [2022] VSC 341 </w:t>
      </w:r>
      <w:r>
        <w:rPr>
          <w:rFonts w:ascii="Arial" w:hAnsi="Arial" w:cs="Arial"/>
          <w:sz w:val="20"/>
        </w:rPr>
        <w:t xml:space="preserve">the 15 year old offender stabbed a 17 year old acquaintance once in the abdomen in circumstances where “a play fight turned serious”.  He pleaded guilty to manslaughter by unlawful and dangerous act.  In </w:t>
      </w:r>
      <w:r w:rsidR="00E85B92">
        <w:rPr>
          <w:rFonts w:ascii="Arial" w:hAnsi="Arial" w:cs="Arial"/>
          <w:sz w:val="20"/>
        </w:rPr>
        <w:t>moderating the sentence “</w:t>
      </w:r>
      <w:r w:rsidR="004A3D6B">
        <w:rPr>
          <w:rFonts w:ascii="Arial" w:hAnsi="Arial" w:cs="Arial"/>
          <w:sz w:val="20"/>
        </w:rPr>
        <w:t>to a modest extent</w:t>
      </w:r>
      <w:r w:rsidR="00E85B92">
        <w:rPr>
          <w:rFonts w:ascii="Arial" w:hAnsi="Arial" w:cs="Arial"/>
          <w:sz w:val="20"/>
        </w:rPr>
        <w:t xml:space="preserve">” on the basis of </w:t>
      </w:r>
      <w:r w:rsidRPr="00405C7B">
        <w:rPr>
          <w:rFonts w:ascii="Arial" w:hAnsi="Arial" w:cs="Arial"/>
          <w:i/>
          <w:iCs/>
          <w:sz w:val="20"/>
        </w:rPr>
        <w:t>Verdins</w:t>
      </w:r>
      <w:r>
        <w:rPr>
          <w:rFonts w:ascii="Arial" w:hAnsi="Arial" w:cs="Arial"/>
          <w:sz w:val="20"/>
        </w:rPr>
        <w:t xml:space="preserve"> principles 1, 3 &amp; 4 </w:t>
      </w:r>
      <w:r w:rsidR="00E85B92">
        <w:rPr>
          <w:rFonts w:ascii="Arial" w:hAnsi="Arial" w:cs="Arial"/>
          <w:sz w:val="20"/>
        </w:rPr>
        <w:t xml:space="preserve">and </w:t>
      </w:r>
      <w:r>
        <w:rPr>
          <w:rFonts w:ascii="Arial" w:hAnsi="Arial" w:cs="Arial"/>
          <w:sz w:val="20"/>
        </w:rP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w:t>
      </w:r>
      <w:r w:rsidR="00405C7B" w:rsidRPr="00405C7B">
        <w:rPr>
          <w:rFonts w:ascii="Arial" w:hAnsi="Arial" w:cs="Arial"/>
          <w:sz w:val="20"/>
          <w:szCs w:val="16"/>
        </w:rPr>
        <w:lastRenderedPageBreak/>
        <w:t>prosecution’s concession, I will moderate your sentence somewhat because of your ADHD and ODD.</w:t>
      </w:r>
      <w:r>
        <w:rPr>
          <w:rFonts w:ascii="Arial" w:hAnsi="Arial" w:cs="Arial"/>
          <w:sz w:val="20"/>
          <w:szCs w:val="16"/>
        </w:rPr>
        <w:t>”</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403ACB4B" w14:textId="77777777" w:rsidR="004F372E" w:rsidRDefault="004F372E" w:rsidP="009830B9">
      <w:pPr>
        <w:rPr>
          <w:rFonts w:ascii="Arial" w:hAnsi="Arial" w:cs="Arial"/>
          <w:bCs/>
          <w:color w:val="000000"/>
          <w:sz w:val="20"/>
        </w:rPr>
      </w:pPr>
    </w:p>
    <w:p w14:paraId="4211E230" w14:textId="3DFD2B52" w:rsidR="004F372E" w:rsidRDefault="004F372E" w:rsidP="004F372E">
      <w:pPr>
        <w:jc w:val="both"/>
        <w:rPr>
          <w:rFonts w:ascii="Arial" w:hAnsi="Arial" w:cs="Arial"/>
          <w:bCs/>
          <w:color w:val="000000"/>
          <w:sz w:val="20"/>
        </w:rPr>
      </w:pPr>
      <w:r>
        <w:rPr>
          <w:rFonts w:ascii="Arial" w:hAnsi="Arial" w:cs="Arial"/>
          <w:bCs/>
          <w:color w:val="000000"/>
          <w:sz w:val="20"/>
        </w:rPr>
        <w:t xml:space="preserve">In sentencing an offender for whom one or more of the </w:t>
      </w:r>
      <w:r w:rsidRPr="004F372E">
        <w:rPr>
          <w:rFonts w:ascii="Arial" w:hAnsi="Arial" w:cs="Arial"/>
          <w:bCs/>
          <w:i/>
          <w:iCs/>
          <w:color w:val="000000"/>
          <w:sz w:val="20"/>
        </w:rPr>
        <w:t>Verdins’</w:t>
      </w:r>
      <w:r>
        <w:rPr>
          <w:rFonts w:ascii="Arial" w:hAnsi="Arial" w:cs="Arial"/>
          <w:bCs/>
          <w:color w:val="000000"/>
          <w:sz w:val="20"/>
        </w:rPr>
        <w:t xml:space="preserve"> principles applies, a potential conflict sometimes arises between a </w:t>
      </w:r>
      <w:r w:rsidRPr="004F372E">
        <w:rPr>
          <w:rFonts w:ascii="Arial" w:hAnsi="Arial" w:cs="Arial"/>
          <w:bCs/>
          <w:i/>
          <w:iCs/>
          <w:color w:val="000000"/>
          <w:sz w:val="20"/>
        </w:rPr>
        <w:t>Verdins</w:t>
      </w:r>
      <w:r>
        <w:rPr>
          <w:rFonts w:ascii="Arial" w:hAnsi="Arial" w:cs="Arial"/>
          <w:bCs/>
          <w:color w:val="000000"/>
          <w:sz w:val="20"/>
        </w:rPr>
        <w:t xml:space="preserve">-based moderation of sentence and the need to protect society from the criminal activities of the offender. In </w:t>
      </w:r>
      <w:r w:rsidRPr="004F372E">
        <w:rPr>
          <w:rFonts w:ascii="Arial" w:hAnsi="Arial" w:cs="Arial"/>
          <w:bCs/>
          <w:i/>
          <w:iCs/>
          <w:color w:val="000000"/>
          <w:sz w:val="20"/>
        </w:rPr>
        <w:t>Reiri v The King</w:t>
      </w:r>
      <w:r>
        <w:rPr>
          <w:rFonts w:ascii="Arial" w:hAnsi="Arial" w:cs="Arial"/>
          <w:bCs/>
          <w:color w:val="000000"/>
          <w:sz w:val="20"/>
        </w:rPr>
        <w:t xml:space="preserve"> [2024] VSCA 272, in dismissing an appeal against a TES IMP4y6m/3y on charges of aggravated burglary and recklessly causing injury, Priest &amp; T Forrest JJA said at [3</w:t>
      </w:r>
      <w:r w:rsidR="00B336B8">
        <w:rPr>
          <w:rFonts w:ascii="Arial" w:hAnsi="Arial" w:cs="Arial"/>
          <w:bCs/>
          <w:color w:val="000000"/>
          <w:sz w:val="20"/>
        </w:rPr>
        <w:t>3</w:t>
      </w:r>
      <w:r>
        <w:rPr>
          <w:rFonts w:ascii="Arial" w:hAnsi="Arial" w:cs="Arial"/>
          <w:bCs/>
          <w:color w:val="000000"/>
          <w:sz w:val="20"/>
        </w:rPr>
        <w:t>]-[3</w:t>
      </w:r>
      <w:r w:rsidR="00B336B8">
        <w:rPr>
          <w:rFonts w:ascii="Arial" w:hAnsi="Arial" w:cs="Arial"/>
          <w:bCs/>
          <w:color w:val="000000"/>
          <w:sz w:val="20"/>
        </w:rPr>
        <w:t>6</w:t>
      </w:r>
      <w:r>
        <w:rPr>
          <w:rFonts w:ascii="Arial" w:hAnsi="Arial" w:cs="Arial"/>
          <w:bCs/>
          <w:color w:val="000000"/>
          <w:sz w:val="20"/>
        </w:rPr>
        <w:t>]:</w:t>
      </w:r>
    </w:p>
    <w:p w14:paraId="22BD7632" w14:textId="1B355764" w:rsidR="00562751" w:rsidRDefault="004F372E" w:rsidP="00963A8F">
      <w:pPr>
        <w:spacing w:before="80"/>
        <w:ind w:left="567" w:right="567"/>
        <w:jc w:val="both"/>
        <w:rPr>
          <w:rFonts w:ascii="Arial" w:hAnsi="Arial" w:cs="Arial"/>
          <w:bCs/>
          <w:color w:val="000000"/>
          <w:sz w:val="20"/>
        </w:rPr>
      </w:pPr>
      <w:r>
        <w:rPr>
          <w:rFonts w:ascii="Arial" w:hAnsi="Arial" w:cs="Arial"/>
          <w:color w:val="000000"/>
          <w:sz w:val="20"/>
        </w:rPr>
        <w:t>[3</w:t>
      </w:r>
      <w:r w:rsidR="00B336B8">
        <w:rPr>
          <w:rFonts w:ascii="Arial" w:hAnsi="Arial" w:cs="Arial"/>
          <w:color w:val="000000"/>
          <w:sz w:val="20"/>
        </w:rPr>
        <w:t>3</w:t>
      </w:r>
      <w:r>
        <w:rPr>
          <w:rFonts w:ascii="Arial" w:hAnsi="Arial" w:cs="Arial"/>
          <w:color w:val="000000"/>
          <w:sz w:val="20"/>
        </w:rPr>
        <w:t>] “</w:t>
      </w:r>
      <w:r w:rsidRPr="004F372E">
        <w:rPr>
          <w:rFonts w:ascii="Arial" w:hAnsi="Arial" w:cs="Arial"/>
          <w:bCs/>
          <w:color w:val="000000"/>
          <w:sz w:val="20"/>
        </w:rPr>
        <w:t>This was a very difficult sentencing exercise. The transcript demonstrates with clarity that the judge agonised over very powerful considerations pulling in opposite directions. It may be accepted (as it was in argument) that, absent the applicant’s mental illness, this was a serious example of a serious offence</w:t>
      </w:r>
      <w:r w:rsidR="00562751">
        <w:rPr>
          <w:rFonts w:ascii="Arial" w:hAnsi="Arial" w:cs="Arial"/>
          <w:bCs/>
          <w:color w:val="000000"/>
          <w:sz w:val="20"/>
        </w:rPr>
        <w:t xml:space="preserve"> [aggravated burglary</w:t>
      </w:r>
      <w:r w:rsidR="00963A8F">
        <w:rPr>
          <w:rFonts w:ascii="Arial" w:hAnsi="Arial" w:cs="Arial"/>
          <w:bCs/>
          <w:color w:val="000000"/>
          <w:sz w:val="20"/>
        </w:rPr>
        <w:t xml:space="preserve"> under s.77(2) </w:t>
      </w:r>
      <w:r w:rsidR="00963A8F" w:rsidRPr="00963A8F">
        <w:rPr>
          <w:rFonts w:ascii="Arial" w:hAnsi="Arial" w:cs="Arial"/>
          <w:bCs/>
          <w:i/>
          <w:iCs/>
          <w:color w:val="000000"/>
          <w:sz w:val="20"/>
        </w:rPr>
        <w:t>Crimes Act 1958</w:t>
      </w:r>
      <w:r w:rsidR="00562751">
        <w:rPr>
          <w:rFonts w:ascii="Arial" w:hAnsi="Arial" w:cs="Arial"/>
          <w:bCs/>
          <w:color w:val="000000"/>
          <w:sz w:val="20"/>
        </w:rPr>
        <w:t>]</w:t>
      </w:r>
      <w:r w:rsidRPr="004F372E">
        <w:rPr>
          <w:rFonts w:ascii="Arial" w:hAnsi="Arial" w:cs="Arial"/>
          <w:bCs/>
          <w:color w:val="000000"/>
          <w:sz w:val="20"/>
        </w:rPr>
        <w:t>, carrying as it does a maximum sentence of 25 years.</w:t>
      </w:r>
      <w:r w:rsidR="00963A8F">
        <w:rPr>
          <w:rFonts w:ascii="Arial" w:hAnsi="Arial" w:cs="Arial"/>
          <w:bCs/>
          <w:color w:val="000000"/>
          <w:sz w:val="20"/>
        </w:rPr>
        <w:t xml:space="preserve"> </w:t>
      </w:r>
      <w:r w:rsidR="00562751" w:rsidRPr="004F372E">
        <w:rPr>
          <w:rFonts w:ascii="Arial" w:hAnsi="Arial" w:cs="Arial"/>
          <w:bCs/>
          <w:color w:val="000000"/>
          <w:sz w:val="20"/>
        </w:rPr>
        <w:t xml:space="preserve">The sentence imposed, when compared to objectively similar cases, is unremarkable — perhaps somewhat lenient. In our view, the analysis of this ground comes down to our evaluation of </w:t>
      </w:r>
      <w:r w:rsidR="00562751" w:rsidRPr="00963A8F">
        <w:rPr>
          <w:rFonts w:ascii="Arial" w:hAnsi="Arial" w:cs="Arial"/>
          <w:bCs/>
          <w:i/>
          <w:iCs/>
          <w:color w:val="000000"/>
          <w:sz w:val="20"/>
        </w:rPr>
        <w:t>Verdins</w:t>
      </w:r>
      <w:r w:rsidR="00562751" w:rsidRPr="004F372E">
        <w:rPr>
          <w:rFonts w:ascii="Arial" w:hAnsi="Arial" w:cs="Arial"/>
          <w:bCs/>
          <w:color w:val="000000"/>
          <w:sz w:val="20"/>
        </w:rPr>
        <w:t xml:space="preserve"> limbs 1, 3 and 4 which operate to moderate moral culpability and the need for general and specific deterrence on the one hand; on the other, the need to protect society from the criminal activities of the applicant.</w:t>
      </w:r>
    </w:p>
    <w:p w14:paraId="08871ED1" w14:textId="3D187602" w:rsidR="00963A8F" w:rsidRDefault="00562751" w:rsidP="004F372E">
      <w:pPr>
        <w:spacing w:before="80"/>
        <w:ind w:left="567" w:right="567"/>
        <w:jc w:val="both"/>
        <w:rPr>
          <w:rFonts w:ascii="Arial" w:hAnsi="Arial" w:cs="Arial"/>
          <w:bCs/>
          <w:color w:val="000000"/>
          <w:sz w:val="20"/>
        </w:rPr>
      </w:pPr>
      <w:r>
        <w:rPr>
          <w:rFonts w:ascii="Arial" w:hAnsi="Arial" w:cs="Arial"/>
          <w:bCs/>
          <w:color w:val="000000"/>
          <w:sz w:val="20"/>
        </w:rPr>
        <w:t xml:space="preserve">[34] </w:t>
      </w:r>
      <w:r w:rsidRPr="004F372E">
        <w:rPr>
          <w:rFonts w:ascii="Arial" w:hAnsi="Arial" w:cs="Arial"/>
          <w:bCs/>
          <w:color w:val="000000"/>
          <w:sz w:val="20"/>
        </w:rPr>
        <w:t xml:space="preserve">This classical dichotomy was famously addressed by the High Court in the seminal case of </w:t>
      </w:r>
      <w:r w:rsidRPr="00963A8F">
        <w:rPr>
          <w:rFonts w:ascii="Arial" w:hAnsi="Arial" w:cs="Arial"/>
          <w:bCs/>
          <w:i/>
          <w:iCs/>
          <w:color w:val="000000"/>
          <w:sz w:val="20"/>
        </w:rPr>
        <w:t>Veen v The Queen [No 2]</w:t>
      </w:r>
      <w:r w:rsidRPr="004F372E">
        <w:rPr>
          <w:rFonts w:ascii="Arial" w:hAnsi="Arial" w:cs="Arial"/>
          <w:bCs/>
          <w:color w:val="000000"/>
          <w:sz w:val="20"/>
        </w:rPr>
        <w:t xml:space="preserve"> </w:t>
      </w:r>
      <w:r w:rsidR="00963A8F">
        <w:rPr>
          <w:rFonts w:ascii="Arial" w:hAnsi="Arial" w:cs="Arial"/>
          <w:bCs/>
          <w:color w:val="000000"/>
          <w:sz w:val="20"/>
        </w:rPr>
        <w:t>(1988) 164 CLR 465</w:t>
      </w:r>
      <w:r w:rsidRPr="004F372E">
        <w:rPr>
          <w:rFonts w:ascii="Arial" w:hAnsi="Arial" w:cs="Arial"/>
          <w:bCs/>
          <w:color w:val="000000"/>
          <w:sz w:val="20"/>
        </w:rPr>
        <w:t>. A sentence should not be increased beyond what is proportionate to a crime in order to extend the period of protection of the community from the risk of recidivism.</w:t>
      </w:r>
      <w:r w:rsidR="00963A8F">
        <w:rPr>
          <w:rFonts w:ascii="Arial" w:hAnsi="Arial" w:cs="Arial"/>
          <w:bCs/>
          <w:color w:val="000000"/>
          <w:sz w:val="20"/>
        </w:rPr>
        <w:t xml:space="preserve"> The court said at p.473:</w:t>
      </w:r>
    </w:p>
    <w:p w14:paraId="7A39660D" w14:textId="0489A97A" w:rsidR="00562751" w:rsidRDefault="00963A8F" w:rsidP="00963A8F">
      <w:pPr>
        <w:spacing w:before="80"/>
        <w:ind w:left="1021" w:right="1021"/>
        <w:jc w:val="both"/>
        <w:rPr>
          <w:rFonts w:ascii="Arial" w:hAnsi="Arial" w:cs="Arial"/>
          <w:bCs/>
          <w:color w:val="000000"/>
          <w:sz w:val="20"/>
        </w:rPr>
      </w:pPr>
      <w:r>
        <w:rPr>
          <w:rFonts w:ascii="Arial" w:hAnsi="Arial" w:cs="Arial"/>
          <w:bCs/>
          <w:color w:val="000000"/>
          <w:sz w:val="18"/>
          <w:szCs w:val="22"/>
        </w:rPr>
        <w:t>‘</w:t>
      </w:r>
      <w:r w:rsidR="00562751" w:rsidRPr="00963A8F">
        <w:rPr>
          <w:rFonts w:ascii="Arial" w:hAnsi="Arial" w:cs="Arial"/>
          <w:bCs/>
          <w:color w:val="000000"/>
          <w:sz w:val="18"/>
          <w:szCs w:val="22"/>
        </w:rPr>
        <w:t>It is one thing to say that the principle of proportionality precludes the imposition of a sentence extended beyond what is appropriate to the crime merely to protect society; it is another thing to say that the protection of society is not a material factor in fixing an appropriate sentence. The distinction in principle is clear between an extension merely by way of preventive detention, which is impermissible, and an exercise of the sentencing discretion having regard to the protection of society among other factors, which is permissible.</w:t>
      </w:r>
      <w:r>
        <w:rPr>
          <w:rFonts w:ascii="Arial" w:hAnsi="Arial" w:cs="Arial"/>
          <w:bCs/>
          <w:color w:val="000000"/>
          <w:sz w:val="18"/>
          <w:szCs w:val="22"/>
        </w:rPr>
        <w:t>’</w:t>
      </w:r>
    </w:p>
    <w:p w14:paraId="52373D78" w14:textId="19E5AC7D" w:rsidR="00562751" w:rsidRDefault="00562751" w:rsidP="004F372E">
      <w:pPr>
        <w:spacing w:before="80"/>
        <w:ind w:left="567" w:right="567"/>
        <w:jc w:val="both"/>
        <w:rPr>
          <w:rFonts w:ascii="Arial" w:hAnsi="Arial" w:cs="Arial"/>
          <w:bCs/>
          <w:color w:val="000000"/>
          <w:sz w:val="20"/>
        </w:rPr>
      </w:pPr>
      <w:r>
        <w:rPr>
          <w:rFonts w:ascii="Arial" w:hAnsi="Arial" w:cs="Arial"/>
          <w:bCs/>
          <w:color w:val="000000"/>
          <w:sz w:val="20"/>
        </w:rPr>
        <w:t>[</w:t>
      </w:r>
      <w:r w:rsidRPr="004F372E">
        <w:rPr>
          <w:rFonts w:ascii="Arial" w:hAnsi="Arial" w:cs="Arial"/>
          <w:bCs/>
          <w:color w:val="000000"/>
          <w:sz w:val="20"/>
        </w:rPr>
        <w:t>35</w:t>
      </w:r>
      <w:r>
        <w:rPr>
          <w:rFonts w:ascii="Arial" w:hAnsi="Arial" w:cs="Arial"/>
          <w:bCs/>
          <w:color w:val="000000"/>
          <w:sz w:val="20"/>
        </w:rPr>
        <w:t>]</w:t>
      </w:r>
      <w:r w:rsidRPr="004F372E">
        <w:rPr>
          <w:rFonts w:ascii="Arial" w:hAnsi="Arial" w:cs="Arial"/>
          <w:bCs/>
          <w:color w:val="000000"/>
          <w:sz w:val="20"/>
        </w:rPr>
        <w:t xml:space="preserve"> The court went on to say </w:t>
      </w:r>
      <w:r w:rsidR="00963A8F">
        <w:rPr>
          <w:rFonts w:ascii="Arial" w:hAnsi="Arial" w:cs="Arial"/>
          <w:bCs/>
          <w:color w:val="000000"/>
          <w:sz w:val="20"/>
        </w:rPr>
        <w:t>at p</w:t>
      </w:r>
      <w:r w:rsidR="005C76BB">
        <w:rPr>
          <w:rFonts w:ascii="Arial" w:hAnsi="Arial" w:cs="Arial"/>
          <w:bCs/>
          <w:color w:val="000000"/>
          <w:sz w:val="20"/>
        </w:rPr>
        <w:t>p</w:t>
      </w:r>
      <w:r w:rsidR="00963A8F">
        <w:rPr>
          <w:rFonts w:ascii="Arial" w:hAnsi="Arial" w:cs="Arial"/>
          <w:bCs/>
          <w:color w:val="000000"/>
          <w:sz w:val="20"/>
        </w:rPr>
        <w:t xml:space="preserve">.474 </w:t>
      </w:r>
      <w:r w:rsidR="005C76BB">
        <w:rPr>
          <w:rFonts w:ascii="Arial" w:hAnsi="Arial" w:cs="Arial"/>
          <w:bCs/>
          <w:color w:val="000000"/>
          <w:sz w:val="20"/>
        </w:rPr>
        <w:t xml:space="preserve">&amp; 476-7 </w:t>
      </w:r>
      <w:r w:rsidRPr="004F372E">
        <w:rPr>
          <w:rFonts w:ascii="Arial" w:hAnsi="Arial" w:cs="Arial"/>
          <w:bCs/>
          <w:color w:val="000000"/>
          <w:sz w:val="20"/>
        </w:rPr>
        <w:t>that the resolution of this dichotomy called for a judgement of experience and discernment. A mental abnormality which makes an offender a danger to society when he is at large, but which diminishes his moral culpability for a particular crime, is a factor which has two countervailing effects: one which tends towards a longer sentence, the other towards a shorter sentence. These effects may balance out, but consideration of the danger to society cannot lead to a more severe penalty than would have been imposed if the offender had not been suffering from a mental abnormality.</w:t>
      </w:r>
    </w:p>
    <w:p w14:paraId="2C226951" w14:textId="2A5A20D1" w:rsidR="00562751" w:rsidRPr="005C76BB" w:rsidRDefault="00562751" w:rsidP="005C76BB">
      <w:pPr>
        <w:spacing w:before="80"/>
        <w:ind w:left="567" w:right="567"/>
        <w:jc w:val="both"/>
        <w:rPr>
          <w:rFonts w:ascii="Arial" w:hAnsi="Arial" w:cs="Arial"/>
          <w:bCs/>
          <w:color w:val="000000"/>
          <w:sz w:val="20"/>
        </w:rPr>
      </w:pPr>
      <w:r>
        <w:rPr>
          <w:rFonts w:ascii="Arial" w:hAnsi="Arial" w:cs="Arial"/>
          <w:bCs/>
          <w:color w:val="000000"/>
          <w:sz w:val="20"/>
        </w:rPr>
        <w:t xml:space="preserve">[36] </w:t>
      </w:r>
      <w:r w:rsidRPr="004F372E">
        <w:rPr>
          <w:rFonts w:ascii="Arial" w:hAnsi="Arial" w:cs="Arial"/>
          <w:bCs/>
          <w:color w:val="000000"/>
          <w:sz w:val="20"/>
        </w:rPr>
        <w:t xml:space="preserve">In our view the sentences imposed on each count, the orders for cumulation and the consequent total effective sentence were well within the range of reasonable sentencing discretion. Absent mental illness, the sentences are, if anything, lenient for a serious confrontational aggravated burglary with subsequent violent further offending committed against a background of similar offending. The sentences are not disproportionate to the objective seriousness of the overall offending and there is no evidence of preventative detention. It appears to us, as contemplated by the High Court in </w:t>
      </w:r>
      <w:r w:rsidRPr="005C76BB">
        <w:rPr>
          <w:rFonts w:ascii="Arial" w:hAnsi="Arial" w:cs="Arial"/>
          <w:bCs/>
          <w:i/>
          <w:iCs/>
          <w:color w:val="000000"/>
          <w:sz w:val="20"/>
        </w:rPr>
        <w:t>Veen [No 2]</w:t>
      </w:r>
      <w:r w:rsidRPr="004F372E">
        <w:rPr>
          <w:rFonts w:ascii="Arial" w:hAnsi="Arial" w:cs="Arial"/>
          <w:bCs/>
          <w:color w:val="000000"/>
          <w:sz w:val="20"/>
        </w:rPr>
        <w:t xml:space="preserve"> that the countervailing considerations of mental illness and community protection may well have ‘balanced each other out’</w:t>
      </w:r>
      <w:r w:rsidR="005C76BB">
        <w:rPr>
          <w:rFonts w:ascii="Arial" w:hAnsi="Arial" w:cs="Arial"/>
          <w:bCs/>
          <w:color w:val="000000"/>
          <w:sz w:val="20"/>
        </w:rPr>
        <w:t xml:space="preserve">: see </w:t>
      </w:r>
      <w:r w:rsidR="005C76BB" w:rsidRPr="005C76BB">
        <w:rPr>
          <w:rFonts w:ascii="Arial" w:hAnsi="Arial" w:cs="Arial"/>
          <w:bCs/>
          <w:i/>
          <w:iCs/>
          <w:color w:val="000000"/>
          <w:sz w:val="20"/>
        </w:rPr>
        <w:t>Veen v The Queen [No 2]</w:t>
      </w:r>
      <w:r w:rsidR="005C76BB">
        <w:rPr>
          <w:rFonts w:ascii="Arial" w:hAnsi="Arial" w:cs="Arial"/>
          <w:bCs/>
          <w:color w:val="000000"/>
          <w:sz w:val="20"/>
        </w:rPr>
        <w:t xml:space="preserve"> at pp.476-7; </w:t>
      </w:r>
      <w:r w:rsidR="005C76BB" w:rsidRPr="005C76BB">
        <w:rPr>
          <w:rFonts w:ascii="Arial" w:hAnsi="Arial" w:cs="Arial"/>
          <w:bCs/>
          <w:i/>
          <w:iCs/>
          <w:color w:val="000000"/>
          <w:sz w:val="20"/>
        </w:rPr>
        <w:t xml:space="preserve">Director of Public </w:t>
      </w:r>
      <w:r w:rsidR="005C76BB" w:rsidRPr="005C76BB">
        <w:rPr>
          <w:rFonts w:ascii="Arial" w:hAnsi="Arial" w:cs="Arial"/>
          <w:bCs/>
          <w:i/>
          <w:iCs/>
          <w:color w:val="000000"/>
          <w:sz w:val="20"/>
        </w:rPr>
        <w:lastRenderedPageBreak/>
        <w:t xml:space="preserve">Prosecutions (DPP) v Patterson </w:t>
      </w:r>
      <w:r w:rsidR="005C76BB" w:rsidRPr="005C76BB">
        <w:rPr>
          <w:rFonts w:ascii="Arial" w:hAnsi="Arial" w:cs="Arial"/>
          <w:bCs/>
          <w:color w:val="000000"/>
          <w:sz w:val="20"/>
        </w:rPr>
        <w:t xml:space="preserve">[2009] VSCA 222 [50]–[51]; </w:t>
      </w:r>
      <w:r w:rsidR="005C76BB" w:rsidRPr="005C76BB">
        <w:rPr>
          <w:rFonts w:ascii="Arial" w:hAnsi="Arial" w:cs="Arial"/>
          <w:bCs/>
          <w:i/>
          <w:iCs/>
          <w:color w:val="000000"/>
          <w:sz w:val="20"/>
        </w:rPr>
        <w:t xml:space="preserve">Boulton v The Queen </w:t>
      </w:r>
      <w:r w:rsidR="005C76BB" w:rsidRPr="005C76BB">
        <w:rPr>
          <w:rFonts w:ascii="Arial" w:hAnsi="Arial" w:cs="Arial"/>
          <w:bCs/>
          <w:color w:val="000000"/>
          <w:sz w:val="20"/>
        </w:rPr>
        <w:t>(2014) 46 VR 308, 326 [67]–[72]</w:t>
      </w:r>
      <w:r w:rsidRPr="004F372E">
        <w:rPr>
          <w:rFonts w:ascii="Arial" w:hAnsi="Arial" w:cs="Arial"/>
          <w:bCs/>
          <w:color w:val="000000"/>
          <w:sz w:val="20"/>
        </w:rPr>
        <w:t>. We consider that his Honour’s conscientious sentencing remarks were indeed a product of ‘experience and discernment’, and we agree with them.</w:t>
      </w:r>
      <w:r>
        <w:rPr>
          <w:rFonts w:ascii="Arial" w:hAnsi="Arial" w:cs="Arial"/>
          <w:bCs/>
          <w:color w:val="000000"/>
          <w:sz w:val="20"/>
        </w:rPr>
        <w:t>”</w:t>
      </w:r>
    </w:p>
    <w:p w14:paraId="6188E554" w14:textId="77777777" w:rsidR="004F372E" w:rsidRDefault="004F372E" w:rsidP="009830B9">
      <w:pPr>
        <w:rPr>
          <w:rFonts w:ascii="Arial" w:hAnsi="Arial" w:cs="Arial"/>
          <w:bCs/>
          <w:color w:val="000000"/>
          <w:sz w:val="20"/>
        </w:rPr>
      </w:pPr>
    </w:p>
    <w:p w14:paraId="360367C8" w14:textId="768642F5" w:rsidR="007555C5" w:rsidRDefault="007555C5" w:rsidP="007555C5">
      <w:pPr>
        <w:jc w:val="both"/>
        <w:rPr>
          <w:rFonts w:ascii="Arial" w:hAnsi="Arial" w:cs="Arial"/>
          <w:bCs/>
          <w:color w:val="000000"/>
          <w:sz w:val="20"/>
        </w:rPr>
      </w:pPr>
      <w:r>
        <w:rPr>
          <w:rFonts w:ascii="Arial" w:hAnsi="Arial" w:cs="Arial"/>
          <w:bCs/>
          <w:color w:val="000000"/>
          <w:sz w:val="20"/>
        </w:rPr>
        <w:t xml:space="preserve">In </w:t>
      </w:r>
      <w:r w:rsidRPr="007555C5">
        <w:rPr>
          <w:rFonts w:ascii="Arial" w:hAnsi="Arial" w:cs="Arial"/>
          <w:bCs/>
          <w:i/>
          <w:iCs/>
          <w:color w:val="000000"/>
          <w:sz w:val="20"/>
        </w:rPr>
        <w:t>DPP v Whyte</w:t>
      </w:r>
      <w:r>
        <w:rPr>
          <w:rFonts w:ascii="Arial" w:hAnsi="Arial" w:cs="Arial"/>
          <w:bCs/>
          <w:color w:val="000000"/>
          <w:sz w:val="20"/>
        </w:rPr>
        <w:t xml:space="preserve"> [2023] VSC 645 – in the course of sentencing the offender to IMP23y/16y4m for a stabbing murder committed spontaneously and while the offender was highly intoxicated, Fox J rejected a submission that </w:t>
      </w:r>
      <w:r w:rsidRPr="007555C5">
        <w:rPr>
          <w:rFonts w:ascii="Arial" w:hAnsi="Arial" w:cs="Arial"/>
          <w:bCs/>
          <w:i/>
          <w:iCs/>
          <w:color w:val="000000"/>
          <w:sz w:val="20"/>
        </w:rPr>
        <w:t>Verdins</w:t>
      </w:r>
      <w:r>
        <w:rPr>
          <w:rFonts w:ascii="Arial" w:hAnsi="Arial" w:cs="Arial"/>
          <w:bCs/>
          <w:color w:val="000000"/>
          <w:sz w:val="20"/>
        </w:rPr>
        <w:t xml:space="preserve"> principle 5 had application, saying at [28]: “I do not accept that alcohol use disorder or alcohol intoxication are capable of giving rise to the application of Verdins.”  Her Honour set out her reasons for so holding in an appendix to her judgment.</w:t>
      </w:r>
    </w:p>
    <w:p w14:paraId="1A6E58DA" w14:textId="17C3B99A" w:rsidR="007555C5" w:rsidRDefault="007555C5" w:rsidP="009830B9">
      <w:pPr>
        <w:rPr>
          <w:rFonts w:ascii="Arial" w:hAnsi="Arial" w:cs="Arial"/>
          <w:bCs/>
          <w:color w:val="000000"/>
          <w:sz w:val="20"/>
        </w:rPr>
      </w:pPr>
    </w:p>
    <w:p w14:paraId="7E94406F" w14:textId="5A37CA24" w:rsidR="00682B9C" w:rsidRDefault="00682B9C" w:rsidP="009830B9">
      <w:pPr>
        <w:rPr>
          <w:rFonts w:ascii="Arial" w:hAnsi="Arial" w:cs="Arial"/>
          <w:bCs/>
          <w:color w:val="000000"/>
          <w:sz w:val="20"/>
        </w:rPr>
      </w:pPr>
      <w:r>
        <w:rPr>
          <w:rFonts w:ascii="Arial" w:hAnsi="Arial" w:cs="Arial"/>
          <w:bCs/>
          <w:color w:val="000000"/>
          <w:sz w:val="20"/>
        </w:rPr>
        <w:t xml:space="preserve">In </w:t>
      </w:r>
      <w:r w:rsidRPr="00682B9C">
        <w:rPr>
          <w:rFonts w:ascii="Arial" w:hAnsi="Arial" w:cs="Arial"/>
          <w:bCs/>
          <w:i/>
          <w:iCs/>
          <w:color w:val="000000"/>
          <w:sz w:val="20"/>
        </w:rPr>
        <w:t>Kowski v The King</w:t>
      </w:r>
      <w:r>
        <w:rPr>
          <w:rFonts w:ascii="Arial" w:hAnsi="Arial" w:cs="Arial"/>
          <w:bCs/>
          <w:color w:val="000000"/>
          <w:sz w:val="20"/>
        </w:rPr>
        <w:t xml:space="preserve"> [2024] VSCA 3 the Court of Appeal (Niall &amp; Boyce JJA) said at [83]:</w:t>
      </w:r>
    </w:p>
    <w:p w14:paraId="3AE73661" w14:textId="39C9EEC2" w:rsidR="00682B9C" w:rsidRDefault="00682B9C" w:rsidP="00682B9C">
      <w:pPr>
        <w:spacing w:before="60"/>
        <w:ind w:left="567" w:right="567"/>
        <w:jc w:val="both"/>
        <w:rPr>
          <w:rFonts w:ascii="Arial" w:hAnsi="Arial" w:cs="Arial"/>
          <w:sz w:val="20"/>
          <w:szCs w:val="20"/>
        </w:rPr>
      </w:pPr>
      <w:bookmarkStart w:id="607" w:name="_Hlk158792134"/>
      <w:r>
        <w:rPr>
          <w:rFonts w:ascii="Arial" w:hAnsi="Arial" w:cs="Arial"/>
          <w:sz w:val="20"/>
          <w:szCs w:val="20"/>
        </w:rPr>
        <w:t>“</w:t>
      </w:r>
      <w:r w:rsidRPr="00682B9C">
        <w:rPr>
          <w:rFonts w:ascii="Arial" w:hAnsi="Arial" w:cs="Arial"/>
          <w:sz w:val="20"/>
          <w:szCs w:val="20"/>
        </w:rPr>
        <w:t xml:space="preserve">At least in a case where the accused is represented by counsel it is not the role of the judge to sift through material and identify whether or not any of the </w:t>
      </w:r>
      <w:r w:rsidRPr="00682B9C">
        <w:rPr>
          <w:rFonts w:ascii="Arial" w:hAnsi="Arial" w:cs="Arial"/>
          <w:i/>
          <w:iCs/>
          <w:sz w:val="20"/>
          <w:szCs w:val="20"/>
        </w:rPr>
        <w:t>Verdins</w:t>
      </w:r>
      <w:r w:rsidRPr="00682B9C">
        <w:rPr>
          <w:rFonts w:ascii="Arial" w:hAnsi="Arial" w:cs="Arial"/>
          <w:sz w:val="20"/>
          <w:szCs w:val="20"/>
        </w:rPr>
        <w:t xml:space="preserve"> factors are engaged. As this Court said in </w:t>
      </w:r>
      <w:r w:rsidRPr="00682B9C">
        <w:rPr>
          <w:rFonts w:ascii="Arial" w:hAnsi="Arial" w:cs="Arial"/>
          <w:i/>
          <w:iCs/>
          <w:sz w:val="20"/>
          <w:szCs w:val="20"/>
        </w:rPr>
        <w:t>Sharbell v The Queen</w:t>
      </w:r>
      <w:r w:rsidRPr="00682B9C">
        <w:rPr>
          <w:rFonts w:ascii="Arial" w:hAnsi="Arial" w:cs="Arial"/>
          <w:sz w:val="20"/>
          <w:szCs w:val="20"/>
        </w:rPr>
        <w:t xml:space="preserve"> [2018] VSCA 324 at [4]:</w:t>
      </w:r>
    </w:p>
    <w:p w14:paraId="5253D77F" w14:textId="7C8FDE95" w:rsidR="00682B9C" w:rsidRPr="001E084A" w:rsidRDefault="00682B9C" w:rsidP="00682B9C">
      <w:pPr>
        <w:spacing w:before="60"/>
        <w:ind w:left="1021" w:right="1021"/>
        <w:jc w:val="both"/>
        <w:rPr>
          <w:rFonts w:ascii="Arial" w:hAnsi="Arial" w:cs="Arial"/>
          <w:color w:val="000000"/>
          <w:sz w:val="18"/>
          <w:szCs w:val="22"/>
        </w:rPr>
      </w:pPr>
      <w:r w:rsidRPr="001E084A">
        <w:rPr>
          <w:rFonts w:ascii="Arial" w:hAnsi="Arial" w:cs="Arial"/>
          <w:sz w:val="18"/>
          <w:szCs w:val="18"/>
        </w:rPr>
        <w:t>‘As this Court has emphasised, where expert evidence is to be relied on in support of a submission that one or more of the sentencing principles identified in Verdins is engaged, it is the responsibility of defence counsel on the plea to be specific about the evidence relied on and to identify the way(s) in which it is said to make those sentencing principles relevant. This Court will not entertain on appeal arguments which could have been, but were not, put on the plea.’”</w:t>
      </w:r>
    </w:p>
    <w:bookmarkEnd w:id="607"/>
    <w:p w14:paraId="71661D7A" w14:textId="77777777" w:rsidR="00682B9C" w:rsidRPr="007555C5" w:rsidRDefault="00682B9C" w:rsidP="009830B9">
      <w:pPr>
        <w:rPr>
          <w:rFonts w:ascii="Arial" w:hAnsi="Arial" w:cs="Arial"/>
          <w:bCs/>
          <w:color w:val="000000"/>
          <w:sz w:val="20"/>
        </w:rPr>
      </w:pPr>
    </w:p>
    <w:p w14:paraId="090699A5" w14:textId="1DB4F086" w:rsidR="00077267" w:rsidRPr="005358F1" w:rsidRDefault="004750CF" w:rsidP="003613EC">
      <w:pPr>
        <w:jc w:val="both"/>
        <w:rPr>
          <w:rFonts w:ascii="Arial" w:hAnsi="Arial" w:cs="Arial"/>
          <w:color w:val="000000"/>
          <w:sz w:val="20"/>
          <w:szCs w:val="20"/>
        </w:rPr>
      </w:pPr>
      <w:r w:rsidRPr="001C6E0E">
        <w:rPr>
          <w:rFonts w:ascii="Arial" w:hAnsi="Arial" w:cs="Arial"/>
          <w:color w:val="000000"/>
          <w:sz w:val="20"/>
        </w:rPr>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(Cth) v Rowson</w:t>
      </w:r>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R v Strezovski</w:t>
      </w:r>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Atik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R v Tresize</w:t>
      </w:r>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R v Laracy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Charles Imadonmwonyi</w:t>
      </w:r>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r w:rsidR="0093594A" w:rsidRPr="001C6E0E">
        <w:rPr>
          <w:rFonts w:ascii="Arial" w:hAnsi="Arial" w:cs="Arial"/>
          <w:i/>
          <w:color w:val="000000"/>
          <w:sz w:val="20"/>
        </w:rPr>
        <w:t>Puc</w:t>
      </w:r>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Weidlich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608" w:name="COVvsc"/>
      <w:bookmarkEnd w:id="608"/>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Butkovic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R v Londrigan</w:t>
      </w:r>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(Cth) v Parfrey</w:t>
      </w:r>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R v Traycevska</w:t>
      </w:r>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R v Koelman</w:t>
      </w:r>
      <w:r w:rsidR="006B067E" w:rsidRPr="001C6E0E">
        <w:rPr>
          <w:rFonts w:ascii="Arial" w:hAnsi="Arial" w:cs="Arial"/>
          <w:color w:val="000000"/>
          <w:sz w:val="20"/>
        </w:rPr>
        <w:t xml:space="preserve"> [2010] VSC 561; </w:t>
      </w:r>
      <w:r w:rsidR="00217196" w:rsidRPr="001C6E0E">
        <w:rPr>
          <w:rFonts w:ascii="Arial" w:hAnsi="Arial" w:cs="Arial"/>
          <w:i/>
          <w:color w:val="000000"/>
          <w:sz w:val="20"/>
        </w:rPr>
        <w:t>R v Plail</w:t>
      </w:r>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Dimitrakis</w:t>
      </w:r>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R v Glascott</w:t>
      </w:r>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Pato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Mune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R v Pyrczak</w:t>
      </w:r>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R v Acar</w:t>
      </w:r>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R v Grimmett</w:t>
      </w:r>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r w:rsidR="0045543C" w:rsidRPr="001C6E0E">
        <w:rPr>
          <w:rFonts w:ascii="Arial" w:hAnsi="Arial" w:cs="Arial"/>
          <w:i/>
          <w:color w:val="000000"/>
          <w:sz w:val="20"/>
        </w:rPr>
        <w:t>Filippi, Kosterman and Vergados</w:t>
      </w:r>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R v Sikaloski</w:t>
      </w:r>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Rancie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Kosian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R v Van Zoelen</w:t>
      </w:r>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r w:rsidR="000A1028" w:rsidRPr="00F86035">
        <w:rPr>
          <w:rFonts w:ascii="Arial" w:hAnsi="Arial" w:cs="Arial"/>
          <w:i/>
          <w:color w:val="000000"/>
          <w:sz w:val="20"/>
        </w:rPr>
        <w:t>Aggelidis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Tuyet Thi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Christopher Dean Binse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R v Naddaf</w:t>
      </w:r>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w:t>
      </w:r>
      <w:r w:rsidR="007F175B">
        <w:rPr>
          <w:rFonts w:ascii="Arial" w:hAnsi="Arial" w:cs="Arial"/>
          <w:color w:val="000000"/>
          <w:sz w:val="20"/>
        </w:rPr>
        <w:lastRenderedPageBreak/>
        <w:t xml:space="preserve">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4F372E" w:rsidRPr="004515A2">
        <w:rPr>
          <w:rFonts w:ascii="Arial" w:hAnsi="Arial" w:cs="Arial"/>
          <w:bCs/>
          <w:i/>
          <w:color w:val="000000"/>
          <w:sz w:val="20"/>
        </w:rPr>
        <w:t>Wheeldon v The Queen</w:t>
      </w:r>
      <w:r w:rsidR="004F372E">
        <w:rPr>
          <w:rFonts w:ascii="Arial" w:hAnsi="Arial" w:cs="Arial"/>
          <w:bCs/>
          <w:color w:val="000000"/>
          <w:sz w:val="20"/>
        </w:rPr>
        <w:t xml:space="preserve"> [2018] VSCA 344;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R v Missen</w:t>
      </w:r>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v Giannioudis</w:t>
      </w:r>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r w:rsidR="00AE0B37" w:rsidRPr="002C5F29">
        <w:rPr>
          <w:rFonts w:ascii="Arial" w:hAnsi="Arial" w:cs="Arial"/>
          <w:i/>
          <w:iCs/>
          <w:sz w:val="20"/>
        </w:rPr>
        <w:t>Teryaki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R v Eliasen</w:t>
      </w:r>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R v Solmaz</w:t>
      </w:r>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609" w:name="_Hlk56519545"/>
      <w:r w:rsidR="00F35976" w:rsidRPr="00F3131A">
        <w:rPr>
          <w:rFonts w:ascii="Arial" w:hAnsi="Arial" w:cs="Arial"/>
          <w:i/>
          <w:iCs/>
          <w:color w:val="000000"/>
          <w:sz w:val="20"/>
          <w:szCs w:val="20"/>
        </w:rPr>
        <w:t>Akon Guode v The Queen</w:t>
      </w:r>
      <w:r w:rsidR="00F35976">
        <w:rPr>
          <w:rFonts w:ascii="Arial" w:hAnsi="Arial" w:cs="Arial"/>
          <w:color w:val="000000"/>
          <w:sz w:val="20"/>
          <w:szCs w:val="20"/>
        </w:rPr>
        <w:t xml:space="preserve"> [2020] VSCA 257</w:t>
      </w:r>
      <w:bookmarkEnd w:id="609"/>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R v Dellamarta</w:t>
      </w:r>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(Cth)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r w:rsidR="00BE7115" w:rsidRPr="00BE7115">
        <w:rPr>
          <w:rFonts w:ascii="Arial" w:hAnsi="Arial" w:cs="Arial"/>
          <w:i/>
          <w:iCs/>
          <w:color w:val="000000"/>
          <w:sz w:val="20"/>
          <w:szCs w:val="20"/>
        </w:rPr>
        <w:t>Nachar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R v Tiba</w:t>
      </w:r>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r w:rsidR="00C1481D" w:rsidRPr="00B233F7">
        <w:rPr>
          <w:rFonts w:ascii="Arial" w:hAnsi="Arial" w:cs="Arial"/>
          <w:i/>
          <w:iCs/>
          <w:color w:val="000000"/>
          <w:sz w:val="20"/>
        </w:rPr>
        <w:t>Eser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r w:rsidR="00F863B1" w:rsidRPr="00D639D4">
        <w:rPr>
          <w:rFonts w:ascii="Arial" w:hAnsi="Arial" w:cs="Arial"/>
          <w:i/>
          <w:iCs/>
          <w:color w:val="000000"/>
          <w:sz w:val="20"/>
          <w:szCs w:val="20"/>
        </w:rPr>
        <w:t>Dieni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R v Fiscalini</w:t>
      </w:r>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R v Shapta</w:t>
      </w:r>
      <w:r w:rsidR="003613EC">
        <w:rPr>
          <w:rFonts w:ascii="Arial" w:hAnsi="Arial" w:cs="Arial"/>
          <w:i/>
          <w:iCs/>
          <w:color w:val="000000"/>
          <w:sz w:val="20"/>
        </w:rPr>
        <w:t>f</w:t>
      </w:r>
      <w:r w:rsidR="003613EC" w:rsidRPr="00CA400D">
        <w:rPr>
          <w:rFonts w:ascii="Arial" w:hAnsi="Arial" w:cs="Arial"/>
          <w:i/>
          <w:iCs/>
          <w:color w:val="000000"/>
          <w:sz w:val="20"/>
        </w:rPr>
        <w:t>aj</w:t>
      </w:r>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w:t>
      </w:r>
      <w:r w:rsidR="00FF0DF7">
        <w:rPr>
          <w:rFonts w:ascii="Arial" w:hAnsi="Arial" w:cs="Arial"/>
          <w:color w:val="000000"/>
          <w:sz w:val="20"/>
          <w:szCs w:val="20"/>
        </w:rPr>
        <w:t xml:space="preserve"> </w:t>
      </w:r>
      <w:r w:rsidR="001835DE">
        <w:rPr>
          <w:rFonts w:ascii="Arial" w:hAnsi="Arial" w:cs="Arial"/>
          <w:color w:val="000000"/>
          <w:sz w:val="20"/>
          <w:szCs w:val="20"/>
        </w:rPr>
        <w:t>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r w:rsidR="00063B3E" w:rsidRPr="007E39AB">
        <w:rPr>
          <w:rFonts w:ascii="Arial" w:hAnsi="Arial" w:cs="Arial"/>
          <w:i/>
          <w:iCs/>
          <w:color w:val="000000"/>
          <w:sz w:val="20"/>
          <w:szCs w:val="20"/>
        </w:rPr>
        <w:t>Mazzonetto v The Queen</w:t>
      </w:r>
      <w:r w:rsidR="00063B3E">
        <w:rPr>
          <w:rFonts w:ascii="Arial" w:hAnsi="Arial" w:cs="Arial"/>
          <w:color w:val="000000"/>
          <w:sz w:val="20"/>
          <w:szCs w:val="20"/>
        </w:rPr>
        <w:t xml:space="preserve"> [2022] VSCA 153 at [24]-[32]</w:t>
      </w:r>
      <w:r w:rsidR="00757A5E">
        <w:rPr>
          <w:rFonts w:ascii="Arial" w:hAnsi="Arial" w:cs="Arial"/>
          <w:color w:val="000000"/>
          <w:sz w:val="20"/>
          <w:szCs w:val="20"/>
        </w:rPr>
        <w:t xml:space="preserve">; </w:t>
      </w:r>
      <w:r w:rsidR="00757A5E" w:rsidRPr="00757A5E">
        <w:rPr>
          <w:rFonts w:ascii="Arial" w:hAnsi="Arial" w:cs="Arial"/>
          <w:i/>
          <w:iCs/>
          <w:color w:val="000000"/>
          <w:sz w:val="20"/>
          <w:szCs w:val="20"/>
        </w:rPr>
        <w:t>DPP v Taylor</w:t>
      </w:r>
      <w:r w:rsidR="00757A5E">
        <w:rPr>
          <w:rFonts w:ascii="Arial" w:hAnsi="Arial" w:cs="Arial"/>
          <w:color w:val="000000"/>
          <w:sz w:val="20"/>
          <w:szCs w:val="20"/>
        </w:rPr>
        <w:t xml:space="preserve"> [2022] VSC 598 at [34]-[46]</w:t>
      </w:r>
      <w:r w:rsidR="001E7F54">
        <w:rPr>
          <w:rFonts w:ascii="Arial" w:hAnsi="Arial" w:cs="Arial"/>
          <w:color w:val="000000"/>
          <w:sz w:val="20"/>
          <w:szCs w:val="20"/>
        </w:rPr>
        <w:t xml:space="preserve">; </w:t>
      </w:r>
      <w:r w:rsidR="001E7F54" w:rsidRPr="00D1255F">
        <w:rPr>
          <w:rFonts w:ascii="Arial" w:hAnsi="Arial" w:cs="Arial"/>
          <w:i/>
          <w:iCs/>
          <w:color w:val="000000"/>
          <w:sz w:val="20"/>
          <w:szCs w:val="20"/>
        </w:rPr>
        <w:t>Evan Chey (a pseudonym) v The King</w:t>
      </w:r>
      <w:r w:rsidR="001E7F54" w:rsidRPr="00D1255F">
        <w:rPr>
          <w:rFonts w:ascii="Arial" w:hAnsi="Arial" w:cs="Arial"/>
          <w:color w:val="000000"/>
          <w:sz w:val="20"/>
          <w:szCs w:val="20"/>
        </w:rPr>
        <w:t xml:space="preserve"> [2022] VSCA 262 at [30], [37] &amp; [48]</w:t>
      </w:r>
      <w:r w:rsidR="00D1255F" w:rsidRPr="00D1255F">
        <w:rPr>
          <w:rFonts w:ascii="Arial" w:hAnsi="Arial" w:cs="Arial"/>
          <w:color w:val="000000"/>
          <w:sz w:val="20"/>
          <w:szCs w:val="20"/>
        </w:rPr>
        <w:t xml:space="preserve">; </w:t>
      </w:r>
      <w:r w:rsidR="00D1255F" w:rsidRPr="00D1255F">
        <w:rPr>
          <w:rFonts w:ascii="Arial" w:hAnsi="Arial" w:cs="Arial"/>
          <w:i/>
          <w:iCs/>
          <w:sz w:val="20"/>
          <w:szCs w:val="20"/>
        </w:rPr>
        <w:t>DPP v Deng</w:t>
      </w:r>
      <w:r w:rsidR="00D1255F">
        <w:rPr>
          <w:rFonts w:ascii="Arial" w:hAnsi="Arial" w:cs="Arial"/>
          <w:sz w:val="20"/>
          <w:szCs w:val="20"/>
        </w:rPr>
        <w:t xml:space="preserve"> [2022] VSC </w:t>
      </w:r>
      <w:r w:rsidR="00D1255F" w:rsidRPr="005358F1">
        <w:rPr>
          <w:rFonts w:ascii="Arial" w:hAnsi="Arial" w:cs="Arial"/>
          <w:sz w:val="20"/>
          <w:szCs w:val="20"/>
        </w:rPr>
        <w:t>790 at [</w:t>
      </w:r>
      <w:r w:rsidR="00BE3371" w:rsidRPr="005358F1">
        <w:rPr>
          <w:rFonts w:ascii="Arial" w:hAnsi="Arial" w:cs="Arial"/>
          <w:sz w:val="20"/>
          <w:szCs w:val="20"/>
        </w:rPr>
        <w:t>19</w:t>
      </w:r>
      <w:r w:rsidR="00D1255F" w:rsidRPr="005358F1">
        <w:rPr>
          <w:rFonts w:ascii="Arial" w:hAnsi="Arial" w:cs="Arial"/>
          <w:sz w:val="20"/>
          <w:szCs w:val="20"/>
        </w:rPr>
        <w:t>]</w:t>
      </w:r>
      <w:r w:rsidR="00BE3371" w:rsidRPr="005358F1">
        <w:rPr>
          <w:rFonts w:ascii="Arial" w:hAnsi="Arial" w:cs="Arial"/>
          <w:sz w:val="20"/>
          <w:szCs w:val="20"/>
        </w:rPr>
        <w:t>-[29]</w:t>
      </w:r>
      <w:r w:rsidR="002C2268" w:rsidRPr="005358F1">
        <w:rPr>
          <w:rFonts w:ascii="Arial" w:hAnsi="Arial" w:cs="Arial"/>
          <w:sz w:val="20"/>
          <w:szCs w:val="20"/>
        </w:rPr>
        <w:t xml:space="preserve">; </w:t>
      </w:r>
      <w:r w:rsidR="002C2268" w:rsidRPr="005358F1">
        <w:rPr>
          <w:rFonts w:ascii="Arial" w:hAnsi="Arial" w:cs="Arial"/>
          <w:i/>
          <w:iCs/>
          <w:sz w:val="20"/>
          <w:szCs w:val="20"/>
        </w:rPr>
        <w:t>Tewaka v The King</w:t>
      </w:r>
      <w:r w:rsidR="002C2268" w:rsidRPr="005358F1">
        <w:rPr>
          <w:rFonts w:ascii="Arial" w:hAnsi="Arial" w:cs="Arial"/>
          <w:sz w:val="20"/>
          <w:szCs w:val="20"/>
        </w:rPr>
        <w:t xml:space="preserve"> [2022] VSCA 275 at [37]-[41]</w:t>
      </w:r>
      <w:r w:rsidR="009B2107" w:rsidRPr="005358F1">
        <w:rPr>
          <w:rFonts w:ascii="Arial" w:hAnsi="Arial" w:cs="Arial"/>
          <w:sz w:val="20"/>
          <w:szCs w:val="20"/>
        </w:rPr>
        <w:t xml:space="preserve">; </w:t>
      </w:r>
      <w:r w:rsidR="009B2107" w:rsidRPr="005358F1">
        <w:rPr>
          <w:rFonts w:ascii="Arial" w:hAnsi="Arial" w:cs="Arial"/>
          <w:i/>
          <w:iCs/>
          <w:color w:val="000000"/>
          <w:sz w:val="20"/>
          <w:szCs w:val="20"/>
        </w:rPr>
        <w:t xml:space="preserve">DPP v Ledlin </w:t>
      </w:r>
      <w:r w:rsidR="009B2107" w:rsidRPr="005358F1">
        <w:rPr>
          <w:rFonts w:ascii="Arial" w:hAnsi="Arial" w:cs="Arial"/>
          <w:color w:val="000000"/>
          <w:sz w:val="20"/>
          <w:szCs w:val="20"/>
        </w:rPr>
        <w:t>[2022] VSC 826 at [71]-[76]</w:t>
      </w:r>
      <w:r w:rsidR="00864CD0" w:rsidRPr="005358F1">
        <w:rPr>
          <w:rFonts w:ascii="Arial" w:hAnsi="Arial" w:cs="Arial"/>
          <w:color w:val="000000"/>
          <w:sz w:val="20"/>
          <w:szCs w:val="20"/>
        </w:rPr>
        <w:t xml:space="preserve">; </w:t>
      </w:r>
      <w:r w:rsidR="00864CD0" w:rsidRPr="005358F1">
        <w:rPr>
          <w:rFonts w:ascii="Arial" w:hAnsi="Arial" w:cs="Arial"/>
          <w:i/>
          <w:iCs/>
          <w:color w:val="000000"/>
          <w:sz w:val="20"/>
          <w:szCs w:val="20"/>
        </w:rPr>
        <w:t>Sweeney v The King</w:t>
      </w:r>
      <w:r w:rsidR="00864CD0" w:rsidRPr="005358F1">
        <w:rPr>
          <w:rFonts w:ascii="Arial" w:hAnsi="Arial" w:cs="Arial"/>
          <w:color w:val="000000"/>
          <w:sz w:val="20"/>
          <w:szCs w:val="20"/>
        </w:rPr>
        <w:t xml:space="preserve"> [2023] VSCA 9 at [36]-[46]</w:t>
      </w:r>
      <w:r w:rsidR="003B6A65" w:rsidRPr="005358F1">
        <w:rPr>
          <w:rFonts w:ascii="Arial" w:hAnsi="Arial" w:cs="Arial"/>
          <w:color w:val="000000"/>
          <w:sz w:val="20"/>
          <w:szCs w:val="20"/>
        </w:rPr>
        <w:t xml:space="preserve">; </w:t>
      </w:r>
      <w:bookmarkStart w:id="610" w:name="_Hlk128386752"/>
      <w:r w:rsidR="003B6A65" w:rsidRPr="005358F1">
        <w:rPr>
          <w:rFonts w:ascii="Arial" w:hAnsi="Arial" w:cs="Arial"/>
          <w:i/>
          <w:iCs/>
          <w:color w:val="000000"/>
          <w:sz w:val="20"/>
          <w:szCs w:val="20"/>
        </w:rPr>
        <w:t>Van Kempten v The King</w:t>
      </w:r>
      <w:r w:rsidR="003B6A65" w:rsidRPr="005358F1">
        <w:rPr>
          <w:rFonts w:ascii="Arial" w:hAnsi="Arial" w:cs="Arial"/>
          <w:color w:val="000000"/>
          <w:sz w:val="20"/>
          <w:szCs w:val="20"/>
        </w:rPr>
        <w:t xml:space="preserve"> [2023] VSCA 26 </w:t>
      </w:r>
      <w:bookmarkEnd w:id="610"/>
      <w:r w:rsidR="003B6A65" w:rsidRPr="005358F1">
        <w:rPr>
          <w:rFonts w:ascii="Arial" w:hAnsi="Arial" w:cs="Arial"/>
          <w:color w:val="000000"/>
          <w:sz w:val="20"/>
          <w:szCs w:val="20"/>
        </w:rPr>
        <w:t>at [53]-[59]</w:t>
      </w:r>
      <w:r w:rsidR="00570428" w:rsidRPr="005358F1">
        <w:rPr>
          <w:rFonts w:ascii="Arial" w:hAnsi="Arial" w:cs="Arial"/>
          <w:color w:val="000000"/>
          <w:sz w:val="20"/>
          <w:szCs w:val="20"/>
        </w:rPr>
        <w:t xml:space="preserve">; </w:t>
      </w:r>
      <w:r w:rsidR="00570428" w:rsidRPr="005358F1">
        <w:rPr>
          <w:rFonts w:ascii="Arial" w:hAnsi="Arial" w:cs="Arial"/>
          <w:i/>
          <w:iCs/>
          <w:color w:val="000000"/>
          <w:sz w:val="20"/>
          <w:szCs w:val="20"/>
        </w:rPr>
        <w:t>Roberts v The King</w:t>
      </w:r>
      <w:r w:rsidR="00570428" w:rsidRPr="005358F1">
        <w:rPr>
          <w:rFonts w:ascii="Arial" w:hAnsi="Arial" w:cs="Arial"/>
          <w:color w:val="000000"/>
          <w:sz w:val="20"/>
          <w:szCs w:val="20"/>
        </w:rPr>
        <w:t xml:space="preserve"> [2023] VSCA 92</w:t>
      </w:r>
      <w:r w:rsidR="00C30168" w:rsidRPr="005358F1">
        <w:rPr>
          <w:rFonts w:ascii="Arial" w:hAnsi="Arial" w:cs="Arial"/>
          <w:color w:val="000000"/>
          <w:sz w:val="20"/>
          <w:szCs w:val="20"/>
        </w:rPr>
        <w:t xml:space="preserve">; </w:t>
      </w:r>
      <w:r w:rsidR="00FF0DF7" w:rsidRPr="00FF0DF7">
        <w:rPr>
          <w:rFonts w:ascii="Arial" w:hAnsi="Arial" w:cs="Arial"/>
          <w:i/>
          <w:iCs/>
          <w:color w:val="000000"/>
          <w:sz w:val="20"/>
        </w:rPr>
        <w:t>Kruger v The King</w:t>
      </w:r>
      <w:r w:rsidR="00FF0DF7">
        <w:rPr>
          <w:rFonts w:ascii="Arial" w:hAnsi="Arial" w:cs="Arial"/>
          <w:color w:val="000000"/>
          <w:sz w:val="20"/>
        </w:rPr>
        <w:t xml:space="preserve"> [2023] VSCA 149 at [44]-[46]; </w:t>
      </w:r>
      <w:r w:rsidR="00C30168" w:rsidRPr="005358F1">
        <w:rPr>
          <w:rFonts w:ascii="Arial" w:hAnsi="Arial" w:cs="Arial"/>
          <w:i/>
          <w:iCs/>
          <w:color w:val="000000"/>
          <w:sz w:val="20"/>
          <w:szCs w:val="20"/>
        </w:rPr>
        <w:t xml:space="preserve">DPP v Newell </w:t>
      </w:r>
      <w:r w:rsidR="00C30168" w:rsidRPr="005358F1">
        <w:rPr>
          <w:rFonts w:ascii="Arial" w:hAnsi="Arial" w:cs="Arial"/>
          <w:color w:val="000000"/>
          <w:sz w:val="20"/>
          <w:szCs w:val="20"/>
        </w:rPr>
        <w:t>[2023] VSC 237 at [59]-[67]</w:t>
      </w:r>
      <w:r w:rsidR="005358F1" w:rsidRPr="005358F1">
        <w:rPr>
          <w:rFonts w:ascii="Arial" w:hAnsi="Arial" w:cs="Arial"/>
          <w:color w:val="000000"/>
          <w:sz w:val="20"/>
          <w:szCs w:val="20"/>
        </w:rPr>
        <w:t xml:space="preserve">; </w:t>
      </w:r>
      <w:r w:rsidR="005358F1" w:rsidRPr="005358F1">
        <w:rPr>
          <w:rFonts w:ascii="Arial" w:hAnsi="Arial" w:cs="Arial"/>
          <w:i/>
          <w:iCs/>
          <w:color w:val="000000"/>
          <w:sz w:val="20"/>
          <w:szCs w:val="20"/>
        </w:rPr>
        <w:t>R v Deng</w:t>
      </w:r>
      <w:r w:rsidR="005358F1" w:rsidRPr="005358F1">
        <w:rPr>
          <w:rFonts w:ascii="Arial" w:hAnsi="Arial" w:cs="Arial"/>
          <w:color w:val="000000"/>
          <w:sz w:val="20"/>
          <w:szCs w:val="20"/>
        </w:rPr>
        <w:t xml:space="preserve"> [2023] VSC 257 at [167]-[174]</w:t>
      </w:r>
      <w:r w:rsidR="00DB3549">
        <w:rPr>
          <w:rFonts w:ascii="Arial" w:hAnsi="Arial" w:cs="Arial"/>
          <w:color w:val="000000"/>
          <w:sz w:val="20"/>
          <w:szCs w:val="20"/>
        </w:rPr>
        <w:t xml:space="preserve">; </w:t>
      </w:r>
      <w:r w:rsidR="00DB3549" w:rsidRPr="00891DE4">
        <w:rPr>
          <w:rFonts w:ascii="Arial" w:hAnsi="Arial" w:cs="Arial"/>
          <w:i/>
          <w:iCs/>
          <w:sz w:val="20"/>
          <w:szCs w:val="20"/>
        </w:rPr>
        <w:t xml:space="preserve">DPP v </w:t>
      </w:r>
      <w:r w:rsidR="00DB3549">
        <w:rPr>
          <w:rFonts w:ascii="Arial" w:hAnsi="Arial" w:cs="Arial"/>
          <w:i/>
          <w:iCs/>
          <w:sz w:val="20"/>
          <w:szCs w:val="20"/>
        </w:rPr>
        <w:t>JN</w:t>
      </w:r>
      <w:r w:rsidR="00DB3549">
        <w:rPr>
          <w:rFonts w:ascii="Arial" w:hAnsi="Arial" w:cs="Arial"/>
          <w:sz w:val="20"/>
          <w:szCs w:val="20"/>
        </w:rPr>
        <w:t xml:space="preserve"> [2023] VSC 500 at [36]-[47]</w:t>
      </w:r>
      <w:r w:rsidR="00B93C85">
        <w:rPr>
          <w:rFonts w:ascii="Arial" w:hAnsi="Arial" w:cs="Arial"/>
          <w:sz w:val="20"/>
          <w:szCs w:val="20"/>
        </w:rPr>
        <w:t xml:space="preserve">; </w:t>
      </w:r>
      <w:r w:rsidR="00B93C85" w:rsidRPr="00B93C85">
        <w:rPr>
          <w:rFonts w:ascii="Arial" w:hAnsi="Arial" w:cs="Arial"/>
          <w:i/>
          <w:iCs/>
          <w:sz w:val="20"/>
          <w:szCs w:val="20"/>
        </w:rPr>
        <w:t>Kerney v The King</w:t>
      </w:r>
      <w:r w:rsidR="00B93C85">
        <w:rPr>
          <w:rFonts w:ascii="Arial" w:hAnsi="Arial" w:cs="Arial"/>
          <w:sz w:val="20"/>
          <w:szCs w:val="20"/>
        </w:rPr>
        <w:t xml:space="preserve"> [2023] VSCA 202 at [38]-[69]</w:t>
      </w:r>
      <w:r w:rsidR="00170067">
        <w:rPr>
          <w:rFonts w:ascii="Arial" w:hAnsi="Arial" w:cs="Arial"/>
          <w:sz w:val="20"/>
          <w:szCs w:val="20"/>
        </w:rPr>
        <w:t xml:space="preserve">; </w:t>
      </w:r>
      <w:r w:rsidR="00170067" w:rsidRPr="00170067">
        <w:rPr>
          <w:rFonts w:ascii="Arial" w:hAnsi="Arial" w:cs="Arial"/>
          <w:i/>
          <w:iCs/>
          <w:sz w:val="20"/>
          <w:szCs w:val="20"/>
        </w:rPr>
        <w:t>Kazami v The King</w:t>
      </w:r>
      <w:r w:rsidR="00170067">
        <w:rPr>
          <w:rFonts w:ascii="Arial" w:hAnsi="Arial" w:cs="Arial"/>
          <w:sz w:val="20"/>
          <w:szCs w:val="20"/>
        </w:rPr>
        <w:t xml:space="preserve"> [2023] VSCA 267 at [34]-[55]</w:t>
      </w:r>
      <w:r w:rsidR="00130F4C">
        <w:rPr>
          <w:rFonts w:ascii="Arial" w:hAnsi="Arial" w:cs="Arial"/>
          <w:sz w:val="20"/>
          <w:szCs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 at [53]-[78]</w:t>
      </w:r>
      <w:r w:rsidR="00EF124E">
        <w:rPr>
          <w:rFonts w:ascii="Arial" w:hAnsi="Arial" w:cs="Arial"/>
          <w:sz w:val="20"/>
          <w:szCs w:val="20"/>
        </w:rPr>
        <w:t xml:space="preserve">; </w:t>
      </w:r>
      <w:r w:rsidR="00EF124E" w:rsidRPr="00EF124E">
        <w:rPr>
          <w:rFonts w:ascii="Arial" w:hAnsi="Arial" w:cs="Arial"/>
          <w:i/>
          <w:iCs/>
          <w:sz w:val="20"/>
          <w:szCs w:val="20"/>
        </w:rPr>
        <w:t>Bednar v The King</w:t>
      </w:r>
      <w:r w:rsidR="00EF124E">
        <w:rPr>
          <w:rFonts w:ascii="Arial" w:hAnsi="Arial" w:cs="Arial"/>
          <w:sz w:val="20"/>
          <w:szCs w:val="20"/>
        </w:rPr>
        <w:t xml:space="preserve"> [2024] VSCA 180 at [156]-[187]</w:t>
      </w:r>
      <w:r w:rsidR="007C3704">
        <w:rPr>
          <w:rFonts w:ascii="Arial" w:hAnsi="Arial" w:cs="Arial"/>
          <w:sz w:val="20"/>
          <w:szCs w:val="20"/>
        </w:rPr>
        <w:t xml:space="preserve">; </w:t>
      </w:r>
      <w:r w:rsidR="007C3704" w:rsidRPr="00E557B2">
        <w:rPr>
          <w:rFonts w:ascii="Arial" w:hAnsi="Arial" w:cs="Arial"/>
          <w:i/>
          <w:iCs/>
          <w:sz w:val="20"/>
          <w:szCs w:val="20"/>
        </w:rPr>
        <w:t>R v Cohrs</w:t>
      </w:r>
      <w:r w:rsidR="007C3704">
        <w:rPr>
          <w:rFonts w:ascii="Arial" w:hAnsi="Arial" w:cs="Arial"/>
          <w:sz w:val="20"/>
          <w:szCs w:val="20"/>
        </w:rPr>
        <w:t xml:space="preserve"> [2024] VSC 617 at [80]-[92]</w:t>
      </w:r>
      <w:r w:rsidR="002C6E0D">
        <w:rPr>
          <w:rFonts w:ascii="Arial" w:hAnsi="Arial" w:cs="Arial"/>
          <w:sz w:val="20"/>
          <w:szCs w:val="20"/>
        </w:rPr>
        <w:t xml:space="preserve">; </w:t>
      </w:r>
      <w:r w:rsidR="002C6E0D" w:rsidRPr="002C6E0D">
        <w:rPr>
          <w:rFonts w:ascii="Arial" w:hAnsi="Arial" w:cs="Arial"/>
          <w:i/>
          <w:iCs/>
          <w:color w:val="000000"/>
          <w:sz w:val="20"/>
        </w:rPr>
        <w:t>Snowball v The King</w:t>
      </w:r>
      <w:r w:rsidR="002C6E0D">
        <w:rPr>
          <w:rFonts w:ascii="Arial" w:hAnsi="Arial" w:cs="Arial"/>
          <w:color w:val="000000"/>
          <w:sz w:val="20"/>
        </w:rPr>
        <w:t xml:space="preserve"> [2025] VSCA 23 at [105]-[111].</w:t>
      </w:r>
    </w:p>
    <w:p w14:paraId="33098263" w14:textId="77777777" w:rsidR="007E1FCA" w:rsidRDefault="007E1FCA" w:rsidP="007E1FCA">
      <w:pPr>
        <w:jc w:val="both"/>
        <w:rPr>
          <w:rFonts w:ascii="Arial" w:hAnsi="Arial" w:cs="Arial"/>
          <w:color w:val="000000"/>
          <w:sz w:val="20"/>
        </w:rPr>
      </w:pPr>
    </w:p>
    <w:p w14:paraId="0EDBD979" w14:textId="77777777" w:rsidR="007E1FCA" w:rsidRPr="00DD24BF" w:rsidRDefault="007E1FCA" w:rsidP="007E1F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332B1B4" w14:textId="77777777" w:rsidR="007E1FCA" w:rsidRPr="007B6500" w:rsidRDefault="007E1FCA" w:rsidP="007E1FCA">
      <w:pPr>
        <w:pStyle w:val="Heading2"/>
        <w:tabs>
          <w:tab w:val="left" w:pos="567"/>
        </w:tabs>
        <w:spacing w:line="240" w:lineRule="auto"/>
        <w:ind w:left="567" w:hanging="567"/>
        <w:rPr>
          <w:rFonts w:ascii="Arial" w:hAnsi="Arial" w:cs="Arial"/>
          <w:color w:val="000000"/>
          <w:sz w:val="20"/>
        </w:rPr>
      </w:pPr>
    </w:p>
    <w:p w14:paraId="4992E092" w14:textId="77777777" w:rsidR="00E07644" w:rsidRDefault="00E07644">
      <w:pPr>
        <w:rPr>
          <w:rFonts w:ascii="Arial" w:hAnsi="Arial" w:cs="Arial"/>
          <w:b/>
          <w:color w:val="000000"/>
          <w:kern w:val="28"/>
          <w:sz w:val="20"/>
          <w:szCs w:val="20"/>
          <w:lang w:val="en-GB"/>
        </w:rPr>
      </w:pPr>
      <w:bookmarkStart w:id="611" w:name="_11.2.11.3__Effect"/>
      <w:bookmarkEnd w:id="611"/>
      <w:r>
        <w:rPr>
          <w:rFonts w:ascii="Arial" w:hAnsi="Arial" w:cs="Arial"/>
          <w:b/>
          <w:color w:val="000000"/>
          <w:sz w:val="20"/>
        </w:rPr>
        <w:br w:type="page"/>
      </w:r>
    </w:p>
    <w:p w14:paraId="0A4F007E" w14:textId="0C7041A4" w:rsidR="008C4E65" w:rsidRPr="001C6E0E" w:rsidRDefault="000956A1" w:rsidP="008C4E65">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11.2.11.</w:t>
      </w:r>
      <w:r>
        <w:rPr>
          <w:rFonts w:ascii="Arial" w:hAnsi="Arial" w:cs="Arial"/>
          <w:b/>
          <w:color w:val="000000"/>
          <w:sz w:val="20"/>
        </w:rPr>
        <w:t>3  Effect of intellectual disability</w:t>
      </w:r>
    </w:p>
    <w:bookmarkEnd w:id="605"/>
    <w:bookmarkEnd w:id="606"/>
    <w:p w14:paraId="13D29F11" w14:textId="77777777" w:rsidR="00BF52E5" w:rsidRPr="001C6E0E" w:rsidRDefault="00BF52E5" w:rsidP="00E07644">
      <w:pPr>
        <w:jc w:val="both"/>
        <w:rPr>
          <w:rFonts w:ascii="Arial" w:hAnsi="Arial" w:cs="Arial"/>
          <w:color w:val="000000"/>
          <w:sz w:val="20"/>
        </w:rPr>
      </w:pPr>
      <w:r w:rsidRPr="001C6E0E">
        <w:rPr>
          <w:rFonts w:ascii="Arial" w:hAnsi="Arial" w:cs="Arial"/>
          <w:color w:val="000000"/>
          <w:sz w:val="20"/>
        </w:rPr>
        <w:t xml:space="preserve">The </w:t>
      </w:r>
      <w:r w:rsidRPr="001C6E0E">
        <w:rPr>
          <w:rFonts w:ascii="Arial" w:hAnsi="Arial" w:cs="Arial"/>
          <w:i/>
          <w:iCs/>
          <w:color w:val="000000"/>
          <w:sz w:val="20"/>
        </w:rPr>
        <w:t>Tsiaras</w:t>
      </w:r>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Chernov JJA agreed - concluded at [11] that the first, third and fourth of the </w:t>
      </w:r>
      <w:r w:rsidRPr="001C6E0E">
        <w:rPr>
          <w:rFonts w:ascii="Arial" w:hAnsi="Arial" w:cs="Arial"/>
          <w:i/>
          <w:iCs/>
          <w:color w:val="000000"/>
          <w:sz w:val="20"/>
        </w:rPr>
        <w:t>Tsiaras</w:t>
      </w:r>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R v Roadley</w:t>
      </w:r>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Winneke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Coldrey J </w:t>
      </w:r>
      <w:r w:rsidRPr="001C6E0E">
        <w:rPr>
          <w:rFonts w:ascii="Arial" w:hAnsi="Arial" w:cs="Arial"/>
          <w:color w:val="000000"/>
          <w:sz w:val="20"/>
          <w:szCs w:val="20"/>
        </w:rPr>
        <w:t xml:space="preserve">cf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r w:rsidRPr="001C6E0E">
        <w:rPr>
          <w:rFonts w:ascii="Arial" w:hAnsi="Arial" w:cs="Arial"/>
          <w:i/>
          <w:color w:val="000000"/>
          <w:sz w:val="20"/>
          <w:szCs w:val="20"/>
        </w:rPr>
        <w:t xml:space="preserve">Ayoubi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r w:rsidR="007F40C5" w:rsidRPr="001C6E0E">
        <w:rPr>
          <w:rFonts w:ascii="Arial" w:hAnsi="Arial" w:cs="Arial"/>
          <w:i/>
          <w:color w:val="000000"/>
          <w:sz w:val="20"/>
          <w:szCs w:val="20"/>
        </w:rPr>
        <w:t xml:space="preserve">Ayoubi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R v Sebalj</w:t>
      </w:r>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Yaldiz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Steytler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Steytler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R v Tsiaras</w:t>
      </w:r>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rsidP="000A5740">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Bux</w:t>
      </w:r>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Letteri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18 March 1992].  In that case Badgery-Parker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612"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Chernov JA, with whom Winneke P &amp; Charles JA agreed, </w:t>
      </w:r>
      <w:r w:rsidR="002E1361" w:rsidRPr="001C6E0E">
        <w:rPr>
          <w:rFonts w:ascii="Arial" w:hAnsi="Arial" w:cs="Arial"/>
          <w:color w:val="000000"/>
          <w:sz w:val="20"/>
        </w:rPr>
        <w:t xml:space="preserve">held at [19] that the </w:t>
      </w:r>
      <w:r w:rsidR="002E1361" w:rsidRPr="001C6E0E">
        <w:rPr>
          <w:rFonts w:ascii="Arial" w:hAnsi="Arial" w:cs="Arial"/>
          <w:i/>
          <w:color w:val="000000"/>
          <w:sz w:val="20"/>
        </w:rPr>
        <w:t>Tsiaras</w:t>
      </w:r>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Tsiaras</w:t>
      </w:r>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Yaldiz</w:t>
      </w:r>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R v Vodopic</w:t>
      </w:r>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r w:rsidRPr="001C6E0E">
        <w:rPr>
          <w:rFonts w:ascii="Arial" w:hAnsi="Arial" w:cs="Arial"/>
          <w:i/>
          <w:color w:val="000000"/>
          <w:sz w:val="20"/>
        </w:rPr>
        <w:t>Tsiaras</w:t>
      </w:r>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r w:rsidRPr="001C6E0E">
        <w:rPr>
          <w:rFonts w:ascii="Arial" w:hAnsi="Arial" w:cs="Arial"/>
          <w:i/>
          <w:color w:val="000000"/>
          <w:sz w:val="20"/>
        </w:rPr>
        <w:t>Tsiaras</w:t>
      </w:r>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Senadipathy's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R v Yaldiz</w:t>
      </w:r>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[G]eneral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0A5740">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This dicta from </w:t>
      </w:r>
      <w:r w:rsidRPr="00667427">
        <w:rPr>
          <w:rFonts w:ascii="Arial" w:hAnsi="Arial" w:cs="Arial"/>
          <w:bCs/>
          <w:i/>
          <w:iCs/>
          <w:color w:val="000000"/>
          <w:sz w:val="20"/>
        </w:rPr>
        <w:t>Lovett</w:t>
      </w:r>
      <w:r w:rsidRPr="001C6E0E">
        <w:rPr>
          <w:rFonts w:ascii="Arial" w:hAnsi="Arial" w:cs="Arial"/>
          <w:bCs/>
          <w:color w:val="000000"/>
          <w:sz w:val="20"/>
        </w:rPr>
        <w:t xml:space="preserve">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[2010] VSCA 98.  In that case the appellant had an I.Q. of 67.  At [33] &amp; [39] of his judgment Maxwell P (who agreed with Buchanan JA in the disposition of the appeal) made a strong statement that intellectual disability ought be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Muldrock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lastRenderedPageBreak/>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‘The significance [of general deterrence] in a particular case will, however, at least usually be related to the kindred concept of retribution or punishment in 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2E2D6E">
      <w:pPr>
        <w:spacing w:before="120"/>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r w:rsidRPr="001C6E0E">
        <w:rPr>
          <w:rFonts w:ascii="Arial" w:hAnsi="Arial" w:cs="Arial"/>
          <w:i/>
          <w:iCs/>
          <w:color w:val="000000"/>
          <w:sz w:val="20"/>
          <w:szCs w:val="20"/>
        </w:rPr>
        <w:t>Scognamiglio</w:t>
      </w:r>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R v Letteri</w:t>
      </w:r>
      <w:r w:rsidRPr="001C6E0E">
        <w:rPr>
          <w:rFonts w:ascii="Arial" w:hAnsi="Arial" w:cs="Arial"/>
          <w:color w:val="000000"/>
          <w:sz w:val="20"/>
          <w:szCs w:val="20"/>
        </w:rPr>
        <w:t xml:space="preserve"> unreported, New South Wales Court of Criminal Appeal, 18 March 1992;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r w:rsidRPr="001C6E0E">
        <w:rPr>
          <w:rFonts w:ascii="Arial" w:hAnsi="Arial" w:cs="Arial"/>
          <w:bCs/>
          <w:i/>
          <w:color w:val="000000"/>
          <w:sz w:val="20"/>
        </w:rPr>
        <w:t xml:space="preserve">Muldrock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r w:rsidRPr="001C6E0E">
        <w:rPr>
          <w:rFonts w:ascii="Arial" w:hAnsi="Arial" w:cs="Arial"/>
          <w:i/>
          <w:color w:val="000000"/>
          <w:sz w:val="20"/>
          <w:szCs w:val="20"/>
        </w:rPr>
        <w:t>Muldrock</w:t>
      </w:r>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r w:rsidRPr="001C6E0E">
        <w:rPr>
          <w:rFonts w:ascii="Arial" w:hAnsi="Arial" w:cs="Arial"/>
          <w:i/>
          <w:color w:val="000000"/>
          <w:sz w:val="20"/>
          <w:szCs w:val="20"/>
        </w:rPr>
        <w:t>Engert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021D00BF"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R v Kulla Kulla</w:t>
      </w:r>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R v Filippi, Kosterman and Vergados</w:t>
      </w:r>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R v Sokaluk</w:t>
      </w:r>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DPP v Hamdache</w:t>
      </w:r>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r w:rsidR="005D2150" w:rsidRPr="005D2150">
        <w:rPr>
          <w:rFonts w:ascii="Arial" w:hAnsi="Arial" w:cs="Arial"/>
          <w:i/>
          <w:iCs/>
          <w:color w:val="000000"/>
          <w:sz w:val="20"/>
        </w:rPr>
        <w:t xml:space="preserve">Luchian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r w:rsidR="003F1E77" w:rsidRPr="003F1E77">
        <w:rPr>
          <w:rFonts w:ascii="Arial" w:hAnsi="Arial" w:cs="Arial"/>
          <w:i/>
          <w:iCs/>
          <w:color w:val="000000"/>
          <w:sz w:val="20"/>
        </w:rPr>
        <w:t>Piacentino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r w:rsidR="00CE0B9B" w:rsidRPr="00CE0B9B">
        <w:rPr>
          <w:rFonts w:ascii="Arial" w:hAnsi="Arial" w:cs="Arial"/>
          <w:i/>
          <w:iCs/>
          <w:color w:val="000000"/>
          <w:sz w:val="20"/>
        </w:rPr>
        <w:t>Carr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r w:rsidR="00EE0B24" w:rsidRPr="00EE0B24">
        <w:rPr>
          <w:rFonts w:ascii="Arial" w:hAnsi="Arial" w:cs="Arial"/>
          <w:i/>
          <w:iCs/>
          <w:color w:val="000000"/>
          <w:sz w:val="20"/>
        </w:rPr>
        <w:t>Giri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130F4C">
        <w:rPr>
          <w:rFonts w:ascii="Arial" w:hAnsi="Arial" w:cs="Arial"/>
          <w:color w:val="000000"/>
          <w:sz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 at [53]-[78].</w:t>
      </w:r>
    </w:p>
    <w:p w14:paraId="5553DB0C" w14:textId="77777777" w:rsidR="000A1D3B" w:rsidRDefault="000A1D3B" w:rsidP="000A1D3B">
      <w:pPr>
        <w:rPr>
          <w:rFonts w:ascii="Arial" w:hAnsi="Arial" w:cs="Arial"/>
          <w:sz w:val="20"/>
        </w:rPr>
      </w:pPr>
      <w:bookmarkStart w:id="613"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14" w:name="_11.2.11.4__Effect"/>
      <w:bookmarkEnd w:id="614"/>
      <w:r w:rsidRPr="001C6E0E">
        <w:rPr>
          <w:rFonts w:ascii="Arial" w:hAnsi="Arial" w:cs="Arial"/>
          <w:b/>
          <w:color w:val="000000"/>
          <w:sz w:val="20"/>
        </w:rPr>
        <w:t>11.2.11.</w:t>
      </w:r>
      <w:r>
        <w:rPr>
          <w:rFonts w:ascii="Arial" w:hAnsi="Arial" w:cs="Arial"/>
          <w:b/>
          <w:color w:val="000000"/>
          <w:sz w:val="20"/>
        </w:rPr>
        <w:t>4  Effect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r w:rsidR="0057153D" w:rsidRPr="0057153D">
        <w:rPr>
          <w:rFonts w:ascii="Arial" w:hAnsi="Arial" w:cs="Arial"/>
          <w:i/>
          <w:iCs/>
          <w:sz w:val="20"/>
        </w:rPr>
        <w:t xml:space="preserve">Daylia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 xml:space="preserve">Expert evidence presented to the sentencing judge established that DB was suffering — at the time of the offending and at the time of sentence — from a severe personality disorder.  In the opinion of the defence expert, Dr Andrew </w:t>
      </w:r>
      <w:r w:rsidR="007D7CF2" w:rsidRPr="007D7CF2">
        <w:rPr>
          <w:rFonts w:ascii="Arial" w:hAnsi="Arial" w:cs="Arial"/>
          <w:sz w:val="20"/>
          <w:szCs w:val="20"/>
        </w:rPr>
        <w:lastRenderedPageBreak/>
        <w:t>Carroll, a consultant forensic psychiatrist, DB’s personality disorder constituted an impairment of her 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rsidP="00C9099E">
      <w:pPr>
        <w:pStyle w:val="ListParagraph"/>
        <w:numPr>
          <w:ilvl w:val="0"/>
          <w:numId w:val="84"/>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rsidP="00C9099E">
      <w:pPr>
        <w:pStyle w:val="ListParagraph"/>
        <w:numPr>
          <w:ilvl w:val="0"/>
          <w:numId w:val="84"/>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4F794FCE"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sidR="00AB0F1D">
        <w:rPr>
          <w:rFonts w:ascii="Arial" w:hAnsi="Arial" w:cs="Arial"/>
          <w:color w:val="000000"/>
          <w:sz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 at [34]-[46]</w:t>
      </w:r>
      <w:r w:rsidR="00EC7DEF">
        <w:rPr>
          <w:rFonts w:ascii="Arial" w:hAnsi="Arial" w:cs="Arial"/>
          <w:color w:val="000000"/>
          <w:sz w:val="20"/>
        </w:rPr>
        <w:t xml:space="preserve">; </w:t>
      </w:r>
      <w:r w:rsidR="00EC7DEF" w:rsidRPr="00EC7DEF">
        <w:rPr>
          <w:rFonts w:ascii="Arial" w:hAnsi="Arial" w:cs="Arial"/>
          <w:i/>
          <w:iCs/>
          <w:color w:val="000000"/>
          <w:sz w:val="20"/>
        </w:rPr>
        <w:t>DPP v Hay</w:t>
      </w:r>
      <w:r w:rsidR="00EC7DEF">
        <w:rPr>
          <w:rFonts w:ascii="Arial" w:hAnsi="Arial" w:cs="Arial"/>
          <w:color w:val="000000"/>
          <w:sz w:val="20"/>
        </w:rPr>
        <w:t>es [2022] VSC 679 at [70-]-[83]</w:t>
      </w:r>
      <w:r w:rsidR="001326C7">
        <w:rPr>
          <w:rFonts w:ascii="Arial" w:hAnsi="Arial" w:cs="Arial"/>
          <w:color w:val="000000"/>
          <w:sz w:val="20"/>
        </w:rPr>
        <w:t xml:space="preserve">; </w:t>
      </w:r>
      <w:r w:rsidR="001326C7" w:rsidRPr="001326C7">
        <w:rPr>
          <w:rFonts w:ascii="Arial" w:hAnsi="Arial" w:cs="Arial"/>
          <w:i/>
          <w:iCs/>
          <w:color w:val="000000"/>
          <w:sz w:val="20"/>
        </w:rPr>
        <w:t>DPP v Andrew Robert Paterson</w:t>
      </w:r>
      <w:r w:rsidR="001326C7">
        <w:rPr>
          <w:rFonts w:ascii="Arial" w:hAnsi="Arial" w:cs="Arial"/>
          <w:color w:val="000000"/>
          <w:sz w:val="20"/>
        </w:rPr>
        <w:t xml:space="preserve"> [2022] VSC 746 at [72]</w:t>
      </w:r>
      <w:r w:rsidR="006903FE">
        <w:rPr>
          <w:rFonts w:ascii="Arial" w:hAnsi="Arial" w:cs="Arial"/>
          <w:color w:val="000000"/>
          <w:sz w:val="20"/>
        </w:rPr>
        <w:t xml:space="preserve">; </w:t>
      </w:r>
      <w:r w:rsidR="006903FE" w:rsidRPr="00D62192">
        <w:rPr>
          <w:rFonts w:ascii="Arial" w:hAnsi="Arial" w:cs="Arial"/>
          <w:i/>
          <w:iCs/>
          <w:color w:val="000000"/>
          <w:sz w:val="20"/>
        </w:rPr>
        <w:t>Giudice v The King</w:t>
      </w:r>
      <w:r w:rsidR="006903FE">
        <w:rPr>
          <w:rFonts w:ascii="Arial" w:hAnsi="Arial" w:cs="Arial"/>
          <w:color w:val="000000"/>
          <w:sz w:val="20"/>
        </w:rPr>
        <w:t xml:space="preserve"> [2023] VSCA</w:t>
      </w:r>
      <w:r w:rsidR="00D62192">
        <w:rPr>
          <w:rFonts w:ascii="Arial" w:hAnsi="Arial" w:cs="Arial"/>
          <w:color w:val="000000"/>
          <w:sz w:val="20"/>
        </w:rPr>
        <w:t xml:space="preserve"> 105 at [22]-[36]</w:t>
      </w:r>
      <w:r w:rsidR="003F7CF1">
        <w:rPr>
          <w:rFonts w:ascii="Arial" w:hAnsi="Arial" w:cs="Arial"/>
          <w:color w:val="000000"/>
          <w:sz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 at [39]-[51]</w:t>
      </w:r>
      <w:r w:rsidR="002C6E0D">
        <w:rPr>
          <w:rFonts w:ascii="Arial" w:hAnsi="Arial" w:cs="Arial"/>
          <w:color w:val="000000"/>
          <w:sz w:val="20"/>
        </w:rPr>
        <w:t>.</w:t>
      </w:r>
    </w:p>
    <w:p w14:paraId="0350325F" w14:textId="5CEDF25D" w:rsidR="00133921" w:rsidRDefault="00133921" w:rsidP="000A1D3B">
      <w:pPr>
        <w:rPr>
          <w:rFonts w:ascii="Arial" w:hAnsi="Arial" w:cs="Arial"/>
          <w:sz w:val="20"/>
        </w:rPr>
      </w:pPr>
    </w:p>
    <w:p w14:paraId="36A905AF" w14:textId="07E14B89"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15" w:name="_11.2.12_Effect_of"/>
      <w:bookmarkEnd w:id="615"/>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r w:rsidR="00BA3FB7">
        <w:rPr>
          <w:rFonts w:ascii="Arial" w:hAnsi="Arial" w:cs="Arial"/>
          <w:b/>
          <w:bCs/>
          <w:color w:val="000000"/>
          <w:sz w:val="20"/>
        </w:rPr>
        <w:t xml:space="preserve"> (</w:t>
      </w:r>
      <w:r w:rsidR="00BA3FB7" w:rsidRPr="00BA3FB7">
        <w:rPr>
          <w:rFonts w:ascii="Arial" w:hAnsi="Arial" w:cs="Arial"/>
          <w:b/>
          <w:bCs/>
          <w:i/>
          <w:iCs/>
          <w:color w:val="000000"/>
          <w:sz w:val="20"/>
        </w:rPr>
        <w:t>Bugmy</w:t>
      </w:r>
      <w:r w:rsidR="00BA3FB7">
        <w:rPr>
          <w:rFonts w:ascii="Arial" w:hAnsi="Arial" w:cs="Arial"/>
          <w:b/>
          <w:bCs/>
          <w:color w:val="000000"/>
          <w:sz w:val="20"/>
        </w:rPr>
        <w:t>)</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French CJ, Hayne, Crennan, Kiefel,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lastRenderedPageBreak/>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of profound deprivation </w:t>
      </w:r>
      <w:r w:rsidR="005B41DC">
        <w:rPr>
          <w:rFonts w:ascii="Arial" w:hAnsi="Arial" w:cs="Arial"/>
          <w:sz w:val="20"/>
        </w:rPr>
        <w:t>f</w:t>
      </w:r>
      <w:r w:rsidR="003C380F" w:rsidRPr="003C380F">
        <w:rPr>
          <w:rFonts w:ascii="Arial" w:hAnsi="Arial" w:cs="Arial"/>
          <w:sz w:val="20"/>
        </w:rPr>
        <w:t>do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r w:rsidRPr="003C380F">
        <w:rPr>
          <w:rFonts w:ascii="Arial" w:hAnsi="Arial" w:cs="Arial"/>
          <w:i/>
          <w:sz w:val="20"/>
        </w:rPr>
        <w:t>Engert</w:t>
      </w:r>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r w:rsidRPr="00BD6373">
        <w:rPr>
          <w:rFonts w:ascii="Arial" w:hAnsi="Arial" w:cs="Arial"/>
          <w:i/>
          <w:iCs/>
          <w:sz w:val="20"/>
        </w:rPr>
        <w:t xml:space="preserve">Marrah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lastRenderedPageBreak/>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R v Bugmy</w:t>
      </w:r>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0A5740">
      <w:pPr>
        <w:rPr>
          <w:rFonts w:ascii="Arial" w:hAnsi="Arial" w:cs="Arial"/>
          <w:sz w:val="20"/>
        </w:rPr>
      </w:pPr>
      <w:r>
        <w:rPr>
          <w:rFonts w:ascii="Arial" w:hAnsi="Arial" w:cs="Arial"/>
          <w:sz w:val="20"/>
        </w:rPr>
        <w:t xml:space="preserve">In </w:t>
      </w:r>
      <w:r w:rsidRPr="00FF4046">
        <w:rPr>
          <w:rFonts w:ascii="Arial" w:hAnsi="Arial" w:cs="Arial"/>
          <w:i/>
          <w:sz w:val="20"/>
        </w:rPr>
        <w:t>R v Giann</w:t>
      </w:r>
      <w:r>
        <w:rPr>
          <w:rFonts w:ascii="Arial" w:hAnsi="Arial" w:cs="Arial"/>
          <w:i/>
          <w:sz w:val="20"/>
        </w:rPr>
        <w:t>i</w:t>
      </w:r>
      <w:r w:rsidRPr="00FF4046">
        <w:rPr>
          <w:rFonts w:ascii="Arial" w:hAnsi="Arial" w:cs="Arial"/>
          <w:i/>
          <w:sz w:val="20"/>
        </w:rPr>
        <w:t>oudis</w:t>
      </w:r>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r w:rsidRPr="00FF4046">
        <w:rPr>
          <w:rFonts w:ascii="Arial" w:hAnsi="Arial" w:cs="Arial"/>
          <w:i/>
          <w:sz w:val="20"/>
        </w:rPr>
        <w:t>Bugmy</w:t>
      </w:r>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r w:rsidR="00AA34F2" w:rsidRPr="00D73AB6">
        <w:rPr>
          <w:rFonts w:ascii="Arial" w:hAnsi="Arial" w:cs="Arial"/>
          <w:i/>
          <w:sz w:val="20"/>
          <w:szCs w:val="20"/>
        </w:rPr>
        <w:t>Bugmy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r w:rsidRPr="00AA34F2">
        <w:rPr>
          <w:rFonts w:ascii="Arial" w:hAnsi="Arial" w:cs="Arial"/>
          <w:i/>
          <w:sz w:val="20"/>
          <w:szCs w:val="20"/>
        </w:rPr>
        <w:t xml:space="preserve">Bugmy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w:t>
      </w:r>
      <w:r w:rsidRPr="00AA34F2">
        <w:rPr>
          <w:rFonts w:ascii="Arial" w:hAnsi="Arial" w:cs="Arial"/>
          <w:sz w:val="20"/>
          <w:szCs w:val="20"/>
        </w:rPr>
        <w:lastRenderedPageBreak/>
        <w:t xml:space="preserve">Emerton JJA);  </w:t>
      </w:r>
      <w:r w:rsidRPr="00AA34F2">
        <w:rPr>
          <w:rFonts w:ascii="Arial" w:hAnsi="Arial" w:cs="Arial"/>
          <w:i/>
          <w:sz w:val="20"/>
          <w:szCs w:val="20"/>
        </w:rPr>
        <w:t>DPP v Heyfron</w:t>
      </w:r>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Pasquale Barbaro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and applied </w:t>
      </w:r>
      <w:r w:rsidR="0013787D" w:rsidRPr="0013787D">
        <w:rPr>
          <w:rFonts w:ascii="Arial" w:hAnsi="Arial" w:cs="Arial"/>
          <w:i/>
          <w:iCs/>
          <w:sz w:val="20"/>
          <w:szCs w:val="20"/>
        </w:rPr>
        <w:t>Bugmy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DPP v Heyfron</w:t>
      </w:r>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advantage by deception from a Commonwealth entity, contrary to s 134.2(1) </w:t>
      </w:r>
      <w:r w:rsidRPr="00DB14F1">
        <w:rPr>
          <w:rFonts w:ascii="Arial" w:hAnsi="Arial" w:cs="Arial"/>
          <w:i/>
          <w:iCs/>
          <w:sz w:val="20"/>
          <w:szCs w:val="20"/>
        </w:rPr>
        <w:t>Criminal Code (Cth)</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r w:rsidRPr="003F3D1B">
        <w:rPr>
          <w:rFonts w:ascii="Arial" w:hAnsi="Arial" w:cs="Arial"/>
          <w:i/>
          <w:iCs/>
          <w:sz w:val="20"/>
          <w:szCs w:val="20"/>
        </w:rPr>
        <w:t>Bugmy</w:t>
      </w:r>
      <w:r w:rsidRPr="003F3D1B">
        <w:rPr>
          <w:rFonts w:ascii="Arial" w:hAnsi="Arial" w:cs="Arial"/>
          <w:sz w:val="20"/>
          <w:szCs w:val="20"/>
        </w:rPr>
        <w:t xml:space="preserve"> (2013) 249 CLR 571, 594 [40] (French CJ, Hayne, Crennan, Kiefel, Bell and Keane JJ); [2013] HCA 37..In </w:t>
      </w:r>
      <w:r w:rsidRPr="003F3D1B">
        <w:rPr>
          <w:rFonts w:ascii="Arial" w:hAnsi="Arial" w:cs="Arial"/>
          <w:i/>
          <w:iCs/>
          <w:sz w:val="20"/>
          <w:szCs w:val="20"/>
        </w:rPr>
        <w:t>Bugmy</w:t>
      </w:r>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DPP v Terrick</w:t>
      </w:r>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 xml:space="preserve">Depending on the extent and quality of the </w:t>
      </w:r>
      <w:r w:rsidRPr="00FD719E">
        <w:rPr>
          <w:rFonts w:ascii="Arial" w:hAnsi="Arial" w:cs="Arial"/>
          <w:sz w:val="18"/>
          <w:szCs w:val="18"/>
        </w:rPr>
        <w:lastRenderedPageBreak/>
        <w:t>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r w:rsidRPr="00FD719E">
        <w:rPr>
          <w:rFonts w:ascii="Arial" w:hAnsi="Arial" w:cs="Arial"/>
          <w:i/>
          <w:iCs/>
          <w:sz w:val="18"/>
          <w:szCs w:val="18"/>
        </w:rPr>
        <w:t>Bugmy</w:t>
      </w:r>
      <w:r w:rsidRPr="00FD719E">
        <w:rPr>
          <w:rFonts w:ascii="Arial" w:hAnsi="Arial" w:cs="Arial"/>
          <w:sz w:val="18"/>
          <w:szCs w:val="18"/>
        </w:rPr>
        <w:t xml:space="preserve"> is that the relevance of deprivation to sentencing does not depend on proof of such a nexus. As Victoria 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measured’. The High Court’s recognition that serious childhood deprivation is likely to make an offender less morally culpable than ‘an offender whose formative years were not marred in that way’ reflects the principle of equal justice. As Dawson and Gaudron JJ said in </w:t>
      </w:r>
      <w:r w:rsidRPr="00FD719E">
        <w:rPr>
          <w:rFonts w:ascii="Arial" w:hAnsi="Arial" w:cs="Arial"/>
          <w:i/>
          <w:iCs/>
          <w:sz w:val="18"/>
          <w:szCs w:val="18"/>
        </w:rPr>
        <w:t>Postiglione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r w:rsidRPr="00C12EFA">
        <w:rPr>
          <w:rFonts w:ascii="Arial" w:hAnsi="Arial" w:cs="Arial"/>
          <w:i/>
          <w:iCs/>
          <w:sz w:val="18"/>
          <w:szCs w:val="18"/>
        </w:rPr>
        <w:t>Freeburn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r w:rsidRPr="00C12EFA">
        <w:rPr>
          <w:rFonts w:ascii="Arial" w:hAnsi="Arial" w:cs="Arial"/>
          <w:i/>
          <w:iCs/>
          <w:sz w:val="20"/>
          <w:szCs w:val="20"/>
        </w:rPr>
        <w:t>Bugmy</w:t>
      </w:r>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principles explained in </w:t>
      </w:r>
      <w:r w:rsidRPr="00C12EFA">
        <w:rPr>
          <w:rFonts w:ascii="Arial" w:hAnsi="Arial" w:cs="Arial"/>
          <w:i/>
          <w:iCs/>
          <w:sz w:val="20"/>
          <w:szCs w:val="20"/>
        </w:rPr>
        <w:t>Bugmy</w:t>
      </w:r>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r w:rsidRPr="00572865">
        <w:rPr>
          <w:rFonts w:ascii="Arial" w:hAnsi="Arial" w:cs="Arial"/>
          <w:i/>
          <w:iCs/>
          <w:sz w:val="20"/>
        </w:rPr>
        <w:t>Bugmy</w:t>
      </w:r>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r w:rsidRPr="00924B17">
        <w:rPr>
          <w:rFonts w:ascii="Arial" w:hAnsi="Arial" w:cs="Arial"/>
          <w:i/>
          <w:iCs/>
          <w:sz w:val="20"/>
          <w:szCs w:val="20"/>
        </w:rPr>
        <w:t>Bugmy</w:t>
      </w:r>
      <w:bookmarkStart w:id="616" w:name="_ftnref24"/>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16"/>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that a deprived background does not have the same relevance to all purposes of punishment, and observed that an inability to control violent responses to frustration, borne of an exposure to violence and substance abuse, may increase the importance of 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7E60BD16" w:rsidR="006B4513" w:rsidRDefault="006B4513" w:rsidP="002D5EBC">
      <w:pPr>
        <w:jc w:val="both"/>
        <w:rPr>
          <w:rFonts w:ascii="Arial" w:hAnsi="Arial" w:cs="Arial"/>
          <w:sz w:val="20"/>
          <w:szCs w:val="20"/>
        </w:rPr>
      </w:pPr>
    </w:p>
    <w:p w14:paraId="6042EAC7" w14:textId="2230E417" w:rsidR="00BA320D" w:rsidRDefault="00BA320D" w:rsidP="002D5EBC">
      <w:pPr>
        <w:jc w:val="both"/>
        <w:rPr>
          <w:rFonts w:ascii="Arial" w:hAnsi="Arial" w:cs="Arial"/>
          <w:sz w:val="20"/>
          <w:szCs w:val="20"/>
        </w:rPr>
      </w:pPr>
      <w:r>
        <w:rPr>
          <w:rFonts w:ascii="Arial" w:hAnsi="Arial" w:cs="Arial"/>
          <w:sz w:val="20"/>
          <w:szCs w:val="20"/>
        </w:rPr>
        <w:t xml:space="preserve">In </w:t>
      </w:r>
      <w:r w:rsidRPr="00BA320D">
        <w:rPr>
          <w:rFonts w:ascii="Arial" w:hAnsi="Arial" w:cs="Arial"/>
          <w:i/>
          <w:iCs/>
          <w:sz w:val="20"/>
          <w:szCs w:val="20"/>
        </w:rPr>
        <w:t>Dhal v The King</w:t>
      </w:r>
      <w:r>
        <w:rPr>
          <w:rFonts w:ascii="Arial" w:hAnsi="Arial" w:cs="Arial"/>
          <w:sz w:val="20"/>
          <w:szCs w:val="20"/>
        </w:rPr>
        <w:t xml:space="preserve"> [2023] VSCA 289 at [56] Osborn &amp; JJA made the same point in the course of finding that no error had been demonstrated in the manner in which the sentencing judge had applied the principles in </w:t>
      </w:r>
      <w:r w:rsidRPr="00BA320D">
        <w:rPr>
          <w:rFonts w:ascii="Arial" w:hAnsi="Arial" w:cs="Arial"/>
          <w:i/>
          <w:iCs/>
          <w:sz w:val="20"/>
          <w:szCs w:val="20"/>
        </w:rPr>
        <w:t>Bugmy</w:t>
      </w:r>
      <w:r>
        <w:rPr>
          <w:rFonts w:ascii="Arial" w:hAnsi="Arial" w:cs="Arial"/>
          <w:sz w:val="20"/>
          <w:szCs w:val="20"/>
        </w:rPr>
        <w:t xml:space="preserve"> to this case:</w:t>
      </w:r>
    </w:p>
    <w:p w14:paraId="4896A63C" w14:textId="2C2E1415" w:rsidR="00BA320D" w:rsidRDefault="00BA320D" w:rsidP="00BA320D">
      <w:pPr>
        <w:spacing w:before="80"/>
        <w:ind w:left="567" w:right="567"/>
        <w:jc w:val="both"/>
        <w:rPr>
          <w:rFonts w:ascii="Arial" w:hAnsi="Arial" w:cs="Arial"/>
          <w:color w:val="000000"/>
          <w:sz w:val="20"/>
          <w:szCs w:val="20"/>
        </w:rPr>
      </w:pPr>
      <w:r>
        <w:rPr>
          <w:rFonts w:ascii="Arial" w:hAnsi="Arial" w:cs="Arial"/>
          <w:color w:val="000000"/>
          <w:sz w:val="20"/>
          <w:szCs w:val="20"/>
        </w:rPr>
        <w:lastRenderedPageBreak/>
        <w:t xml:space="preserve">“Most importantly in this case, whilst deprivation </w:t>
      </w:r>
      <w:r w:rsidRPr="00BA320D">
        <w:rPr>
          <w:rFonts w:ascii="Arial" w:hAnsi="Arial" w:cs="Arial"/>
          <w:sz w:val="20"/>
          <w:szCs w:val="20"/>
        </w:rPr>
        <w:t>may result in a reduction in moral culpability, it may at the same time bear upon the weight of other sentencing principles, such as by increasing the importance of protecting the community from the offender</w:t>
      </w:r>
      <w:r>
        <w:rPr>
          <w:rFonts w:ascii="Arial" w:hAnsi="Arial" w:cs="Arial"/>
          <w:sz w:val="20"/>
          <w:szCs w:val="20"/>
        </w:rPr>
        <w:t xml:space="preserve">: </w:t>
      </w:r>
      <w:r w:rsidRPr="00BA320D">
        <w:rPr>
          <w:rFonts w:ascii="Arial" w:hAnsi="Arial" w:cs="Arial"/>
          <w:i/>
          <w:iCs/>
          <w:sz w:val="20"/>
          <w:szCs w:val="20"/>
        </w:rPr>
        <w:t>Bugmy</w:t>
      </w:r>
      <w:r w:rsidRPr="00BA320D">
        <w:rPr>
          <w:rFonts w:ascii="Arial" w:hAnsi="Arial" w:cs="Arial"/>
          <w:sz w:val="20"/>
          <w:szCs w:val="20"/>
        </w:rPr>
        <w:t xml:space="preserve"> (2013) 249 CLR 571, 595 [44]; [2013] HCA 37</w:t>
      </w:r>
      <w:r>
        <w:rPr>
          <w:rFonts w:ascii="Arial" w:hAnsi="Arial" w:cs="Arial"/>
          <w:sz w:val="20"/>
          <w:szCs w:val="20"/>
        </w:rPr>
        <w:t>; s</w:t>
      </w:r>
      <w:r w:rsidRPr="00BA320D">
        <w:rPr>
          <w:rFonts w:ascii="Arial" w:hAnsi="Arial" w:cs="Arial"/>
          <w:sz w:val="20"/>
          <w:szCs w:val="20"/>
        </w:rPr>
        <w:t xml:space="preserve">ee also </w:t>
      </w:r>
      <w:r w:rsidRPr="00BA320D">
        <w:rPr>
          <w:rFonts w:ascii="Arial" w:hAnsi="Arial" w:cs="Arial"/>
          <w:i/>
          <w:iCs/>
          <w:sz w:val="20"/>
          <w:szCs w:val="20"/>
        </w:rPr>
        <w:t>Munda v Western Australia</w:t>
      </w:r>
      <w:r w:rsidRPr="00BA320D">
        <w:rPr>
          <w:rFonts w:ascii="Arial" w:hAnsi="Arial" w:cs="Arial"/>
          <w:sz w:val="20"/>
          <w:szCs w:val="20"/>
        </w:rPr>
        <w:t xml:space="preserve"> (2013) 249 CLR 600, 621 [58] (French CJ, Hayne, Crennan, Kiefel, Gageler and Keane JJ); [2013] HCA 38, quoting </w:t>
      </w:r>
      <w:r w:rsidRPr="00BA320D">
        <w:rPr>
          <w:rFonts w:ascii="Arial" w:hAnsi="Arial" w:cs="Arial"/>
          <w:i/>
          <w:iCs/>
          <w:sz w:val="20"/>
          <w:szCs w:val="20"/>
        </w:rPr>
        <w:t>R v Engert</w:t>
      </w:r>
      <w:r w:rsidRPr="00BA320D">
        <w:rPr>
          <w:rFonts w:ascii="Arial" w:hAnsi="Arial" w:cs="Arial"/>
          <w:sz w:val="20"/>
          <w:szCs w:val="20"/>
        </w:rPr>
        <w:t xml:space="preserve"> (1995) 84 A Crim R 67, 68 (Gleeson CJ, Allen J agreeing at 72, Sully J agreeing at 72).</w:t>
      </w:r>
      <w:r w:rsidR="00685718">
        <w:rPr>
          <w:rFonts w:ascii="Arial" w:hAnsi="Arial" w:cs="Arial"/>
          <w:sz w:val="20"/>
          <w:szCs w:val="20"/>
        </w:rPr>
        <w:t>”</w:t>
      </w:r>
    </w:p>
    <w:p w14:paraId="370BFB6E" w14:textId="61B97942" w:rsidR="00BA320D" w:rsidRDefault="00BA320D" w:rsidP="002D5EBC">
      <w:pPr>
        <w:jc w:val="both"/>
        <w:rPr>
          <w:rFonts w:ascii="Arial" w:hAnsi="Arial" w:cs="Arial"/>
          <w:sz w:val="20"/>
          <w:szCs w:val="20"/>
        </w:rPr>
      </w:pPr>
    </w:p>
    <w:p w14:paraId="65762F9E" w14:textId="44813B1C" w:rsidR="00554AD0" w:rsidRDefault="00442CCC" w:rsidP="002D5EBC">
      <w:pPr>
        <w:jc w:val="both"/>
        <w:rPr>
          <w:rFonts w:ascii="Arial" w:hAnsi="Arial" w:cs="Arial"/>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w:t>
      </w:r>
      <w:r w:rsidR="00554AD0">
        <w:rPr>
          <w:rFonts w:ascii="Arial" w:hAnsi="Arial" w:cs="Arial"/>
          <w:sz w:val="20"/>
          <w:szCs w:val="20"/>
        </w:rPr>
        <w:t xml:space="preserve">he nexus </w:t>
      </w:r>
      <w:r w:rsidR="00530D9D">
        <w:rPr>
          <w:rFonts w:ascii="Arial" w:hAnsi="Arial" w:cs="Arial"/>
          <w:sz w:val="20"/>
          <w:szCs w:val="20"/>
        </w:rPr>
        <w:t>that</w:t>
      </w:r>
      <w:r w:rsidR="00554AD0">
        <w:rPr>
          <w:rFonts w:ascii="Arial" w:hAnsi="Arial" w:cs="Arial"/>
          <w:sz w:val="20"/>
          <w:szCs w:val="20"/>
        </w:rPr>
        <w:t xml:space="preserve"> sometimes occurs between childhood deprivation and protection of the community was also commented on</w:t>
      </w:r>
      <w:r>
        <w:rPr>
          <w:rFonts w:ascii="Arial" w:hAnsi="Arial" w:cs="Arial"/>
          <w:sz w:val="20"/>
          <w:szCs w:val="20"/>
        </w:rPr>
        <w:t xml:space="preserve"> by</w:t>
      </w:r>
      <w:r w:rsidR="00554AD0">
        <w:rPr>
          <w:rFonts w:ascii="Arial" w:hAnsi="Arial" w:cs="Arial"/>
          <w:sz w:val="20"/>
          <w:szCs w:val="20"/>
        </w:rPr>
        <w:t xml:space="preserve"> </w:t>
      </w:r>
      <w:r w:rsidR="00EA1FA2">
        <w:rPr>
          <w:rFonts w:ascii="Arial" w:hAnsi="Arial" w:cs="Arial"/>
          <w:sz w:val="20"/>
          <w:szCs w:val="20"/>
        </w:rPr>
        <w:t>the Court of Appeal</w:t>
      </w:r>
      <w:r w:rsidR="00554AD0">
        <w:rPr>
          <w:rFonts w:ascii="Arial" w:hAnsi="Arial" w:cs="Arial"/>
          <w:sz w:val="20"/>
          <w:szCs w:val="20"/>
        </w:rPr>
        <w:t xml:space="preserve"> in refusing leave to appeal against a TES IMP20y4m/17y on multiple charges including 2 counts of rape imposed on a 30 year old offender who had previously been sentenced to IMP5y/3y for a similar rape.  At [31]-</w:t>
      </w:r>
      <w:r w:rsidR="00EA1FA2">
        <w:rPr>
          <w:rFonts w:ascii="Arial" w:hAnsi="Arial" w:cs="Arial"/>
          <w:sz w:val="20"/>
          <w:szCs w:val="20"/>
        </w:rPr>
        <w:t>[34] Priest &amp; T Forrest JJA said</w:t>
      </w:r>
      <w:r w:rsidR="00326981">
        <w:rPr>
          <w:rFonts w:ascii="Arial" w:hAnsi="Arial" w:cs="Arial"/>
          <w:sz w:val="20"/>
          <w:szCs w:val="20"/>
        </w:rPr>
        <w:t>:</w:t>
      </w:r>
    </w:p>
    <w:p w14:paraId="4DC50FD0"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 xml:space="preserve">[31] “...[C]ounsel </w:t>
      </w:r>
      <w:r w:rsidR="00554AD0" w:rsidRPr="00554AD0">
        <w:rPr>
          <w:rFonts w:ascii="Arial" w:hAnsi="Arial" w:cs="Arial"/>
          <w:sz w:val="20"/>
          <w:szCs w:val="20"/>
        </w:rPr>
        <w:t>for the applicant on the plea in the present case relied on the applicant’s childhood deprivation as a mitigating factor. And we do not doubt that the applicant endured an extremely deprived childhood, blighted by emotional, physical and sexual abuse. Quite clearly, however, notwithstanding his deprived background, the applicant’s criminal record remains highly relevant. Albeit he is not to be punished again for his prior offending, his very poor criminal antecedents are relevant as an indicator of his moral culpability; his prospects of rehabilitation; his dangerous propensities (and, relatedly, the community’s need for protection); and the increased importance of specific deterrence as a factor in sentencing</w:t>
      </w:r>
      <w:r>
        <w:rPr>
          <w:rFonts w:ascii="Arial" w:hAnsi="Arial" w:cs="Arial"/>
          <w:sz w:val="20"/>
          <w:szCs w:val="20"/>
        </w:rPr>
        <w:t xml:space="preserve">: </w:t>
      </w:r>
      <w:r w:rsidRPr="00EA1FA2">
        <w:rPr>
          <w:rFonts w:ascii="Arial" w:hAnsi="Arial" w:cs="Arial"/>
          <w:i/>
          <w:iCs/>
          <w:sz w:val="20"/>
          <w:szCs w:val="20"/>
        </w:rPr>
        <w:t>R v O’Brien and Gloster</w:t>
      </w:r>
      <w:r>
        <w:rPr>
          <w:rFonts w:ascii="Arial" w:hAnsi="Arial" w:cs="Arial"/>
          <w:sz w:val="20"/>
          <w:szCs w:val="20"/>
        </w:rPr>
        <w:t xml:space="preserve"> [1997] 2 VR 714,718</w:t>
      </w:r>
      <w:r w:rsidR="00554AD0" w:rsidRPr="00554AD0">
        <w:rPr>
          <w:rFonts w:ascii="Arial" w:hAnsi="Arial" w:cs="Arial"/>
          <w:sz w:val="20"/>
          <w:szCs w:val="20"/>
        </w:rPr>
        <w:t xml:space="preserve">. As the High Court made clear in </w:t>
      </w:r>
      <w:r w:rsidR="00554AD0" w:rsidRPr="00EA1FA2">
        <w:rPr>
          <w:rFonts w:ascii="Arial" w:hAnsi="Arial" w:cs="Arial"/>
          <w:i/>
          <w:iCs/>
          <w:sz w:val="20"/>
          <w:szCs w:val="20"/>
        </w:rPr>
        <w:t>Veen</w:t>
      </w:r>
      <w:r w:rsidRPr="00EA1FA2">
        <w:rPr>
          <w:rFonts w:ascii="Arial" w:hAnsi="Arial" w:cs="Arial"/>
          <w:i/>
          <w:iCs/>
          <w:sz w:val="20"/>
          <w:szCs w:val="20"/>
        </w:rPr>
        <w:t xml:space="preserve"> v The Queen</w:t>
      </w:r>
      <w:r w:rsidR="00554AD0" w:rsidRPr="00EA1FA2">
        <w:rPr>
          <w:rFonts w:ascii="Arial" w:hAnsi="Arial" w:cs="Arial"/>
          <w:i/>
          <w:iCs/>
          <w:sz w:val="20"/>
          <w:szCs w:val="20"/>
        </w:rPr>
        <w:t xml:space="preserve"> [No 2]</w:t>
      </w:r>
      <w:r>
        <w:rPr>
          <w:rFonts w:ascii="Arial" w:hAnsi="Arial" w:cs="Arial"/>
          <w:sz w:val="20"/>
          <w:szCs w:val="20"/>
        </w:rPr>
        <w:t xml:space="preserve"> (1988) 164 CLR 465, 477-8 {see also </w:t>
      </w:r>
      <w:r w:rsidRPr="00EA1FA2">
        <w:rPr>
          <w:rFonts w:ascii="Arial" w:hAnsi="Arial" w:cs="Arial"/>
          <w:i/>
          <w:iCs/>
          <w:sz w:val="20"/>
          <w:szCs w:val="20"/>
        </w:rPr>
        <w:t>O’Brien</w:t>
      </w:r>
      <w:r>
        <w:rPr>
          <w:rFonts w:ascii="Arial" w:hAnsi="Arial" w:cs="Arial"/>
          <w:sz w:val="20"/>
          <w:szCs w:val="20"/>
        </w:rPr>
        <w:t xml:space="preserve"> at 718; </w:t>
      </w:r>
      <w:r w:rsidRPr="00EA1FA2">
        <w:rPr>
          <w:rFonts w:ascii="Arial" w:hAnsi="Arial" w:cs="Arial"/>
          <w:i/>
          <w:iCs/>
          <w:sz w:val="20"/>
          <w:szCs w:val="20"/>
        </w:rPr>
        <w:t>Bugmy v The Queen</w:t>
      </w:r>
      <w:r>
        <w:rPr>
          <w:rFonts w:ascii="Arial" w:hAnsi="Arial" w:cs="Arial"/>
          <w:sz w:val="20"/>
          <w:szCs w:val="20"/>
        </w:rPr>
        <w:t xml:space="preserve"> (2013) 249 CLR 571, 595 [45]}, </w:t>
      </w:r>
      <w:r w:rsidR="00554AD0" w:rsidRPr="00554AD0">
        <w:rPr>
          <w:rFonts w:ascii="Arial" w:hAnsi="Arial" w:cs="Arial"/>
          <w:sz w:val="20"/>
          <w:szCs w:val="20"/>
        </w:rPr>
        <w:t>although the applicant’s antecedent criminal history ‘cannot be given such weight as to lead to the imposition of a penalty which is disproportionate to the gravity of the instant offence’, it is relevant</w:t>
      </w:r>
    </w:p>
    <w:p w14:paraId="6AD39B0D" w14:textId="1BFC78EE" w:rsidR="00EA1FA2" w:rsidRPr="00EA1FA2" w:rsidRDefault="00554AD0" w:rsidP="00EA1FA2">
      <w:pPr>
        <w:spacing w:before="80"/>
        <w:ind w:left="1021" w:right="1021"/>
        <w:jc w:val="both"/>
        <w:rPr>
          <w:rFonts w:ascii="Arial" w:hAnsi="Arial" w:cs="Arial"/>
          <w:sz w:val="18"/>
          <w:szCs w:val="18"/>
        </w:rPr>
      </w:pPr>
      <w:r w:rsidRPr="00EA1FA2">
        <w:rPr>
          <w:rFonts w:ascii="Arial" w:hAnsi="Arial" w:cs="Arial"/>
          <w:sz w:val="18"/>
          <w:szCs w:val="18"/>
        </w:rPr>
        <w:t>to show whether the instant offence is an uncharacteristic aberration or whether the offender has manifested in his commission of the instant offence a continuing attitude of disobedience of the law. In the latter case, retribution, deterrence and protection of society may all indicate that a more severe penalty is warranted. It is legitimate to take account of the antecedent criminal history when it illuminates the moral culpability of the offender in the instant case, or shows his dangerous propensity or shows a need to impose condign punishment to deter the offender and other offenders from committing further offences of a like kind. Counsel for the applicant submitted that antecedent criminal history was relevant only to a prisoner’s claim for leniency. That is not and has never been the approach of the courts in this country and it would be at odds with the community’s understanding of what is relevant to the assessment of criminal penalties.</w:t>
      </w:r>
    </w:p>
    <w:p w14:paraId="6B111AB1"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32</w:t>
      </w:r>
      <w:r>
        <w:rPr>
          <w:rFonts w:ascii="Arial" w:hAnsi="Arial" w:cs="Arial"/>
          <w:sz w:val="20"/>
          <w:szCs w:val="20"/>
        </w:rPr>
        <w:t>]</w:t>
      </w:r>
      <w:r w:rsidR="00554AD0" w:rsidRPr="00554AD0">
        <w:rPr>
          <w:rFonts w:ascii="Arial" w:hAnsi="Arial" w:cs="Arial"/>
          <w:sz w:val="20"/>
          <w:szCs w:val="20"/>
        </w:rPr>
        <w:t xml:space="preserve"> The facts relating to </w:t>
      </w:r>
      <w:r w:rsidR="00554AD0" w:rsidRPr="00EA1FA2">
        <w:rPr>
          <w:rFonts w:ascii="Arial" w:hAnsi="Arial" w:cs="Arial"/>
          <w:i/>
          <w:iCs/>
          <w:sz w:val="20"/>
          <w:szCs w:val="20"/>
        </w:rPr>
        <w:t xml:space="preserve">Veen [No 2] </w:t>
      </w:r>
      <w:r w:rsidR="00554AD0" w:rsidRPr="00554AD0">
        <w:rPr>
          <w:rFonts w:ascii="Arial" w:hAnsi="Arial" w:cs="Arial"/>
          <w:sz w:val="20"/>
          <w:szCs w:val="20"/>
        </w:rPr>
        <w:t xml:space="preserve">are instructive. Veen had an appalling history. In 1971, when not quite 16, Veen stabbed himself in the chest with a knife (puncturing a lung), after he had been taken to a police station (albeit he was not charged over this incident). Later that year, Veen stabbed his landlady three times in the chest and once in the back, after she had tried to get him to go to bed. He was convicted of malicious wounding in the Children’s Court and committed to an institution. Several years later, in 1975, when he was aged 20 and working as a prostitute, Veen stabbed a man to death after the man refused him payment. A jury convicted him of manslaughter. Eventually, the High Court set aside his original sentence of life imprisonment and substituted a sentence of 12 years’ imprisonment. </w:t>
      </w:r>
      <w:r w:rsidR="00554AD0" w:rsidRPr="00EA1FA2">
        <w:rPr>
          <w:rFonts w:ascii="Arial" w:hAnsi="Arial" w:cs="Arial"/>
          <w:i/>
          <w:iCs/>
          <w:sz w:val="20"/>
          <w:szCs w:val="20"/>
        </w:rPr>
        <w:t>Veen [No 2]</w:t>
      </w:r>
      <w:r w:rsidR="00554AD0" w:rsidRPr="00554AD0">
        <w:rPr>
          <w:rFonts w:ascii="Arial" w:hAnsi="Arial" w:cs="Arial"/>
          <w:sz w:val="20"/>
          <w:szCs w:val="20"/>
        </w:rPr>
        <w:t xml:space="preserve"> was concerned with an incident in 1983 in which Veen stabbed a man repeatedly with a bread knife. He pleaded guilty to manslaughter on the basis of diminished responsibility and was sentenced to life imprisonment. Ultimately, in his appeal to the High Court, the Court took into account not only the bare fact of his previous convictions, but also the factual circumstances underpinning his previous acts of violence. </w:t>
      </w:r>
    </w:p>
    <w:p w14:paraId="2068240F"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33</w:t>
      </w:r>
      <w:r>
        <w:rPr>
          <w:rFonts w:ascii="Arial" w:hAnsi="Arial" w:cs="Arial"/>
          <w:sz w:val="20"/>
          <w:szCs w:val="20"/>
        </w:rPr>
        <w:t>]</w:t>
      </w:r>
      <w:r w:rsidR="00554AD0" w:rsidRPr="00554AD0">
        <w:rPr>
          <w:rFonts w:ascii="Arial" w:hAnsi="Arial" w:cs="Arial"/>
          <w:sz w:val="20"/>
          <w:szCs w:val="20"/>
        </w:rPr>
        <w:t xml:space="preserve"> Veen’s life — much like the applicant’s — was a ‘sorry story’. He was Aboriginal and had been given to non-Aboriginal foster parents at the age of two and a half years. His childhood was ‘disturbed’, and he was removed from his foster parents’ care. A male teacher sexually molested him and he had poor academic performance. He had abused alcohol, leading to brain damage. Importantly, however, notwithstanding Veen’s deprived background, the High Court did not disturb the sentence imposed at first instance. Upholding the life sentence imposed upon him, the majority observed that, the ‘tragedy of Veen’s life, which … must excite sympathy for him, has to be balanced against the exigencies of the criminal law especially the protection of society’.</w:t>
      </w:r>
    </w:p>
    <w:p w14:paraId="2B0191D0" w14:textId="77777777" w:rsidR="00442CCC" w:rsidRDefault="00EA1FA2" w:rsidP="00EA1FA2">
      <w:pPr>
        <w:spacing w:before="80"/>
        <w:ind w:left="567" w:right="567"/>
        <w:jc w:val="both"/>
        <w:rPr>
          <w:rFonts w:ascii="Arial" w:hAnsi="Arial" w:cs="Arial"/>
          <w:sz w:val="20"/>
          <w:szCs w:val="20"/>
        </w:rPr>
      </w:pPr>
      <w:r>
        <w:rPr>
          <w:rFonts w:ascii="Arial" w:hAnsi="Arial" w:cs="Arial"/>
          <w:sz w:val="20"/>
          <w:szCs w:val="20"/>
        </w:rPr>
        <w:lastRenderedPageBreak/>
        <w:t>[</w:t>
      </w:r>
      <w:r w:rsidR="00554AD0" w:rsidRPr="00554AD0">
        <w:rPr>
          <w:rFonts w:ascii="Arial" w:hAnsi="Arial" w:cs="Arial"/>
          <w:sz w:val="20"/>
          <w:szCs w:val="20"/>
        </w:rPr>
        <w:t>34</w:t>
      </w:r>
      <w:r>
        <w:rPr>
          <w:rFonts w:ascii="Arial" w:hAnsi="Arial" w:cs="Arial"/>
          <w:sz w:val="20"/>
          <w:szCs w:val="20"/>
        </w:rPr>
        <w:t>]</w:t>
      </w:r>
      <w:r w:rsidR="00554AD0" w:rsidRPr="00554AD0">
        <w:rPr>
          <w:rFonts w:ascii="Arial" w:hAnsi="Arial" w:cs="Arial"/>
          <w:sz w:val="20"/>
          <w:szCs w:val="20"/>
        </w:rPr>
        <w:t xml:space="preserve"> More recently, in </w:t>
      </w:r>
      <w:r w:rsidR="00554AD0" w:rsidRPr="00EA1FA2">
        <w:rPr>
          <w:rFonts w:ascii="Arial" w:hAnsi="Arial" w:cs="Arial"/>
          <w:i/>
          <w:iCs/>
          <w:sz w:val="20"/>
          <w:szCs w:val="20"/>
        </w:rPr>
        <w:t>Bugmy</w:t>
      </w:r>
      <w:r w:rsidR="00554AD0" w:rsidRPr="00554AD0">
        <w:rPr>
          <w:rFonts w:ascii="Arial" w:hAnsi="Arial" w:cs="Arial"/>
          <w:sz w:val="20"/>
          <w:szCs w:val="20"/>
        </w:rPr>
        <w:t xml:space="preserve">, the High Court observed </w:t>
      </w:r>
      <w:r>
        <w:rPr>
          <w:rFonts w:ascii="Arial" w:hAnsi="Arial" w:cs="Arial"/>
          <w:sz w:val="20"/>
          <w:szCs w:val="20"/>
        </w:rPr>
        <w:t xml:space="preserve">at [44] </w:t>
      </w:r>
      <w:r w:rsidR="00554AD0" w:rsidRPr="00554AD0">
        <w:rPr>
          <w:rFonts w:ascii="Arial" w:hAnsi="Arial" w:cs="Arial"/>
          <w:sz w:val="20"/>
          <w:szCs w:val="20"/>
        </w:rPr>
        <w:t>that an inability to control violent responses to frustration, borne of exposure to violence and substance abuse, may increase the importance of community protection as a feature in sentencing</w:t>
      </w:r>
    </w:p>
    <w:p w14:paraId="1A431795" w14:textId="78A55AB4" w:rsidR="00442CCC" w:rsidRDefault="00442CCC" w:rsidP="00442CCC">
      <w:pPr>
        <w:spacing w:before="80"/>
        <w:ind w:left="1021" w:right="1021"/>
        <w:jc w:val="both"/>
        <w:rPr>
          <w:rFonts w:ascii="Arial" w:hAnsi="Arial" w:cs="Arial"/>
          <w:sz w:val="20"/>
          <w:szCs w:val="20"/>
        </w:rPr>
      </w:pPr>
      <w:r w:rsidRPr="00442CCC">
        <w:rPr>
          <w:rFonts w:ascii="Arial" w:hAnsi="Arial" w:cs="Arial"/>
          <w:sz w:val="18"/>
          <w:szCs w:val="18"/>
        </w:rPr>
        <w:t>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w:t>
      </w:r>
      <w:r>
        <w:rPr>
          <w:rFonts w:ascii="Arial" w:hAnsi="Arial" w:cs="Arial"/>
          <w:sz w:val="18"/>
          <w:szCs w:val="18"/>
        </w:rPr>
        <w:t>: Veen v The Queen [No 2] (1988) 164 CLR 465 at 476</w:t>
      </w:r>
      <w:r w:rsidRPr="00442CCC">
        <w:rPr>
          <w:rFonts w:ascii="Arial" w:hAnsi="Arial" w:cs="Arial"/>
          <w:sz w:val="18"/>
          <w:szCs w:val="18"/>
        </w:rPr>
        <w:t>.</w:t>
      </w:r>
      <w:r>
        <w:rPr>
          <w:rFonts w:ascii="Arial" w:hAnsi="Arial" w:cs="Arial"/>
          <w:sz w:val="18"/>
          <w:szCs w:val="18"/>
        </w:rPr>
        <w:t xml:space="preserve"> </w:t>
      </w:r>
      <w:r w:rsidRPr="00442CCC">
        <w:rPr>
          <w:rFonts w:ascii="Arial" w:hAnsi="Arial" w:cs="Arial"/>
          <w:sz w:val="18"/>
          <w:szCs w:val="18"/>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188AF169" w14:textId="373C7B07" w:rsidR="00EA1FA2" w:rsidRDefault="00442CCC" w:rsidP="00EA1FA2">
      <w:pPr>
        <w:spacing w:before="80"/>
        <w:ind w:left="567" w:right="567"/>
        <w:jc w:val="both"/>
        <w:rPr>
          <w:rFonts w:ascii="Arial" w:hAnsi="Arial" w:cs="Arial"/>
          <w:sz w:val="20"/>
          <w:szCs w:val="20"/>
        </w:rPr>
      </w:pPr>
      <w:r>
        <w:rPr>
          <w:rFonts w:ascii="Arial" w:hAnsi="Arial" w:cs="Arial"/>
          <w:sz w:val="20"/>
          <w:szCs w:val="20"/>
        </w:rPr>
        <w:t>S</w:t>
      </w:r>
      <w:r w:rsidR="00EA1FA2">
        <w:rPr>
          <w:rFonts w:ascii="Arial" w:hAnsi="Arial" w:cs="Arial"/>
          <w:sz w:val="20"/>
          <w:szCs w:val="20"/>
        </w:rPr>
        <w:t xml:space="preserve">ee also </w:t>
      </w:r>
      <w:r w:rsidR="00EA1FA2" w:rsidRPr="00442CCC">
        <w:rPr>
          <w:rFonts w:ascii="Arial" w:hAnsi="Arial" w:cs="Arial"/>
          <w:i/>
          <w:iCs/>
          <w:sz w:val="20"/>
          <w:szCs w:val="20"/>
        </w:rPr>
        <w:t>DPP v Herrmann</w:t>
      </w:r>
      <w:r w:rsidR="00EA1FA2">
        <w:rPr>
          <w:rFonts w:ascii="Arial" w:hAnsi="Arial" w:cs="Arial"/>
          <w:sz w:val="20"/>
          <w:szCs w:val="20"/>
        </w:rPr>
        <w:t xml:space="preserve"> [2021] VSCA 160 at [36]-[41] &amp; [96]</w:t>
      </w:r>
      <w:r>
        <w:rPr>
          <w:rFonts w:ascii="Arial" w:hAnsi="Arial" w:cs="Arial"/>
          <w:sz w:val="20"/>
          <w:szCs w:val="20"/>
        </w:rPr>
        <w:t>.</w:t>
      </w:r>
    </w:p>
    <w:p w14:paraId="73CAEA9F" w14:textId="77777777" w:rsidR="00554AD0" w:rsidRDefault="00554AD0" w:rsidP="002D5EBC">
      <w:pPr>
        <w:jc w:val="both"/>
        <w:rPr>
          <w:rFonts w:ascii="Arial" w:hAnsi="Arial" w:cs="Arial"/>
          <w:sz w:val="20"/>
          <w:szCs w:val="20"/>
        </w:rPr>
      </w:pPr>
    </w:p>
    <w:p w14:paraId="702AA3BF" w14:textId="21B39AA8" w:rsidR="008E048A" w:rsidRDefault="008E048A" w:rsidP="002D5EBC">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sidR="002A38EF">
        <w:rPr>
          <w:rFonts w:ascii="Arial" w:hAnsi="Arial" w:cs="Arial"/>
          <w:sz w:val="20"/>
          <w:szCs w:val="20"/>
        </w:rPr>
        <w:t xml:space="preserve"> and a </w:t>
      </w:r>
      <w:r w:rsidR="002A38EF" w:rsidRPr="008E048A">
        <w:rPr>
          <w:rFonts w:ascii="Arial" w:hAnsi="Arial" w:cs="Arial"/>
          <w:sz w:val="20"/>
          <w:szCs w:val="20"/>
        </w:rPr>
        <w:t>severely disadvantaged upbringing</w:t>
      </w:r>
      <w:r w:rsidRPr="008E048A">
        <w:rPr>
          <w:rFonts w:ascii="Arial" w:hAnsi="Arial" w:cs="Arial"/>
          <w:sz w:val="20"/>
          <w:szCs w:val="20"/>
        </w:rPr>
        <w:t xml:space="preserve">. At the time of offending, he had ongoing substance abuse issues. </w:t>
      </w:r>
      <w:r>
        <w:rPr>
          <w:rFonts w:ascii="Arial" w:hAnsi="Arial" w:cs="Arial"/>
          <w:sz w:val="20"/>
          <w:szCs w:val="20"/>
        </w:rPr>
        <w:t>He</w:t>
      </w:r>
      <w:r w:rsidR="002A38EF">
        <w:rPr>
          <w:rFonts w:ascii="Arial" w:hAnsi="Arial" w:cs="Arial"/>
          <w:sz w:val="20"/>
          <w:szCs w:val="20"/>
        </w:rPr>
        <w:t xml:space="preserve"> </w:t>
      </w:r>
      <w:r>
        <w:rPr>
          <w:rFonts w:ascii="Arial" w:hAnsi="Arial" w:cs="Arial"/>
          <w:sz w:val="20"/>
          <w:szCs w:val="20"/>
        </w:rPr>
        <w:t xml:space="preserve">also </w:t>
      </w:r>
      <w:r w:rsidRPr="008E048A">
        <w:rPr>
          <w:rFonts w:ascii="Arial" w:hAnsi="Arial" w:cs="Arial"/>
          <w:sz w:val="20"/>
          <w:szCs w:val="20"/>
        </w:rPr>
        <w:t>had</w:t>
      </w:r>
      <w:r w:rsidR="002A38EF">
        <w:rPr>
          <w:rFonts w:ascii="Arial" w:hAnsi="Arial" w:cs="Arial"/>
          <w:sz w:val="20"/>
          <w:szCs w:val="20"/>
        </w:rPr>
        <w:t xml:space="preserve"> a significant history of like offending. In granting leave to appeal but dismissing the appeal, the Court of Appeal (Emerton P &amp; J Forrest JA) spoke at [86]-[87] of the </w:t>
      </w:r>
      <w:r w:rsidR="00C43E8E">
        <w:rPr>
          <w:rFonts w:ascii="Arial" w:hAnsi="Arial" w:cs="Arial"/>
          <w:sz w:val="20"/>
          <w:szCs w:val="20"/>
        </w:rPr>
        <w:t xml:space="preserve">complex </w:t>
      </w:r>
      <w:r w:rsidR="002A38EF">
        <w:rPr>
          <w:rFonts w:ascii="Arial" w:hAnsi="Arial" w:cs="Arial"/>
          <w:sz w:val="20"/>
          <w:szCs w:val="20"/>
        </w:rPr>
        <w:t xml:space="preserve">balance between the </w:t>
      </w:r>
      <w:r w:rsidR="002A38EF" w:rsidRPr="002A38EF">
        <w:rPr>
          <w:rFonts w:ascii="Arial" w:hAnsi="Arial" w:cs="Arial"/>
          <w:i/>
          <w:iCs/>
          <w:sz w:val="20"/>
          <w:szCs w:val="20"/>
        </w:rPr>
        <w:t>Bugmy</w:t>
      </w:r>
      <w:r w:rsidR="002A38EF">
        <w:rPr>
          <w:rFonts w:ascii="Arial" w:hAnsi="Arial" w:cs="Arial"/>
          <w:sz w:val="20"/>
          <w:szCs w:val="20"/>
        </w:rPr>
        <w:t xml:space="preserve"> principles and community protection:</w:t>
      </w:r>
    </w:p>
    <w:p w14:paraId="578109A7" w14:textId="285BCA11" w:rsidR="008E048A" w:rsidRDefault="008E048A" w:rsidP="008E048A">
      <w:pPr>
        <w:spacing w:before="80"/>
        <w:ind w:left="567" w:right="567"/>
        <w:jc w:val="both"/>
        <w:rPr>
          <w:rFonts w:ascii="Arial" w:hAnsi="Arial" w:cs="Arial"/>
          <w:sz w:val="20"/>
          <w:szCs w:val="20"/>
        </w:rPr>
      </w:pPr>
      <w:r>
        <w:rPr>
          <w:rFonts w:ascii="Arial" w:hAnsi="Arial" w:cs="Arial"/>
          <w:sz w:val="20"/>
          <w:szCs w:val="20"/>
        </w:rPr>
        <w:t>[86] “</w:t>
      </w:r>
      <w:r w:rsidRPr="008E048A">
        <w:rPr>
          <w:rFonts w:ascii="Arial" w:hAnsi="Arial" w:cs="Arial"/>
          <w:sz w:val="20"/>
          <w:szCs w:val="20"/>
        </w:rPr>
        <w:t xml:space="preserve">Having regard to the discussions of </w:t>
      </w:r>
      <w:r w:rsidRPr="002A38EF">
        <w:rPr>
          <w:rFonts w:ascii="Arial" w:hAnsi="Arial" w:cs="Arial"/>
          <w:i/>
          <w:iCs/>
          <w:sz w:val="20"/>
          <w:szCs w:val="20"/>
        </w:rPr>
        <w:t>Bugmy</w:t>
      </w:r>
      <w:r w:rsidRPr="008E048A">
        <w:rPr>
          <w:rFonts w:ascii="Arial" w:hAnsi="Arial" w:cs="Arial"/>
          <w:sz w:val="20"/>
          <w:szCs w:val="20"/>
        </w:rPr>
        <w:t xml:space="preserve"> in </w:t>
      </w:r>
      <w:r w:rsidRPr="002A38EF">
        <w:rPr>
          <w:rFonts w:ascii="Arial" w:hAnsi="Arial" w:cs="Arial"/>
          <w:i/>
          <w:iCs/>
          <w:sz w:val="20"/>
          <w:szCs w:val="20"/>
        </w:rPr>
        <w:t>Herrmann</w:t>
      </w:r>
      <w:r w:rsidRPr="008E048A">
        <w:rPr>
          <w:rFonts w:ascii="Arial" w:hAnsi="Arial" w:cs="Arial"/>
          <w:sz w:val="20"/>
          <w:szCs w:val="20"/>
        </w:rPr>
        <w:t xml:space="preserve"> and </w:t>
      </w:r>
      <w:r w:rsidRPr="002A38EF">
        <w:rPr>
          <w:rFonts w:ascii="Arial" w:hAnsi="Arial" w:cs="Arial"/>
          <w:i/>
          <w:iCs/>
          <w:sz w:val="20"/>
          <w:szCs w:val="20"/>
        </w:rPr>
        <w:t>Drake</w:t>
      </w:r>
      <w:r w:rsidR="002A38EF">
        <w:rPr>
          <w:rFonts w:ascii="Arial" w:hAnsi="Arial" w:cs="Arial"/>
          <w:sz w:val="20"/>
          <w:szCs w:val="20"/>
        </w:rPr>
        <w:t xml:space="preserve"> </w:t>
      </w:r>
      <w:r w:rsidR="002A38EF" w:rsidRPr="002A38EF">
        <w:rPr>
          <w:rFonts w:ascii="Arial" w:hAnsi="Arial" w:cs="Arial"/>
          <w:sz w:val="20"/>
          <w:szCs w:val="20"/>
        </w:rPr>
        <w:t>[2019] VSCA 203</w:t>
      </w:r>
      <w:r w:rsidR="002A38EF">
        <w:rPr>
          <w:rFonts w:ascii="Arial" w:hAnsi="Arial" w:cs="Arial"/>
          <w:sz w:val="20"/>
          <w:szCs w:val="20"/>
        </w:rPr>
        <w:t xml:space="preserve"> at [49]</w:t>
      </w:r>
      <w:r w:rsidRPr="008E048A">
        <w:rPr>
          <w:rFonts w:ascii="Arial" w:hAnsi="Arial" w:cs="Arial"/>
          <w:sz w:val="20"/>
          <w:szCs w:val="20"/>
        </w:rPr>
        <w:t xml:space="preserve">, we are satisfied that the judge’s statement that he took </w:t>
      </w:r>
      <w:r w:rsidRPr="002A38EF">
        <w:rPr>
          <w:rFonts w:ascii="Arial" w:hAnsi="Arial" w:cs="Arial"/>
          <w:i/>
          <w:iCs/>
          <w:sz w:val="20"/>
          <w:szCs w:val="20"/>
        </w:rPr>
        <w:t>Bugmy</w:t>
      </w:r>
      <w:r w:rsidRPr="008E048A">
        <w:rPr>
          <w:rFonts w:ascii="Arial" w:hAnsi="Arial" w:cs="Arial"/>
          <w:sz w:val="20"/>
          <w:szCs w:val="20"/>
        </w:rPr>
        <w:t xml:space="preserve"> considerations into account ‘generally’, means that his Honour also considered the effects of the applicant’s deprived childhood when making a judgement about the extent of his blameworthiness. The judge did not specify the extent to which childhood deprivation reduced the applicant’s blameworthiness over and above the reduction attributable to his cognitive deficits and mental health factors, but he did not need to. He was required to take into account the evidence of the applicant’s deprived background and mental impairments to arrive at a single assessment of moral culpability, which he did.</w:t>
      </w:r>
    </w:p>
    <w:p w14:paraId="5B49C724" w14:textId="6D0255F9" w:rsidR="008E048A" w:rsidRDefault="008E048A" w:rsidP="008E048A">
      <w:pPr>
        <w:spacing w:before="80"/>
        <w:ind w:left="567" w:right="567"/>
        <w:jc w:val="both"/>
        <w:rPr>
          <w:rFonts w:ascii="Arial" w:hAnsi="Arial" w:cs="Arial"/>
          <w:sz w:val="20"/>
          <w:szCs w:val="20"/>
        </w:rPr>
      </w:pPr>
      <w:r>
        <w:rPr>
          <w:rFonts w:ascii="Arial" w:hAnsi="Arial" w:cs="Arial"/>
          <w:sz w:val="20"/>
          <w:szCs w:val="20"/>
        </w:rPr>
        <w:t xml:space="preserve">[87] </w:t>
      </w:r>
      <w:r w:rsidRPr="008E048A">
        <w:rPr>
          <w:rFonts w:ascii="Arial" w:hAnsi="Arial" w:cs="Arial"/>
          <w:sz w:val="20"/>
          <w:szCs w:val="20"/>
        </w:rPr>
        <w:t xml:space="preserve">In this context, however, the judge also made it clear that the applicant’s criminal history, his pattern of reoffending, and his guarded prospects of rehabilitation, raised other sentencing considerations. His Honour ‘exposed’ the </w:t>
      </w:r>
      <w:r w:rsidRPr="002A38EF">
        <w:rPr>
          <w:rFonts w:ascii="Arial" w:hAnsi="Arial" w:cs="Arial"/>
          <w:i/>
          <w:iCs/>
          <w:sz w:val="20"/>
          <w:szCs w:val="20"/>
        </w:rPr>
        <w:t>Bugmy</w:t>
      </w:r>
      <w:r w:rsidRPr="008E048A">
        <w:rPr>
          <w:rFonts w:ascii="Arial" w:hAnsi="Arial" w:cs="Arial"/>
          <w:sz w:val="20"/>
          <w:szCs w:val="20"/>
        </w:rPr>
        <w:t xml:space="preserve"> principles by reference to passages in </w:t>
      </w:r>
      <w:r w:rsidRPr="002A38EF">
        <w:rPr>
          <w:rFonts w:ascii="Arial" w:hAnsi="Arial" w:cs="Arial"/>
          <w:i/>
          <w:iCs/>
          <w:sz w:val="20"/>
          <w:szCs w:val="20"/>
        </w:rPr>
        <w:t>L’Eveille</w:t>
      </w:r>
      <w:r w:rsidRPr="008E048A">
        <w:rPr>
          <w:rFonts w:ascii="Arial" w:hAnsi="Arial" w:cs="Arial"/>
          <w:sz w:val="20"/>
          <w:szCs w:val="20"/>
        </w:rPr>
        <w:t xml:space="preserve"> </w:t>
      </w:r>
      <w:r w:rsidR="002A38EF" w:rsidRPr="002A38EF">
        <w:rPr>
          <w:rFonts w:ascii="Arial" w:hAnsi="Arial" w:cs="Arial"/>
          <w:sz w:val="20"/>
          <w:szCs w:val="20"/>
        </w:rPr>
        <w:t>[2018] VSCA 60</w:t>
      </w:r>
      <w:r w:rsidR="002A38EF">
        <w:rPr>
          <w:rFonts w:ascii="Arial" w:hAnsi="Arial" w:cs="Arial"/>
          <w:sz w:val="20"/>
          <w:szCs w:val="20"/>
        </w:rPr>
        <w:t xml:space="preserve"> at</w:t>
      </w:r>
      <w:r w:rsidR="002A38EF" w:rsidRPr="002A38EF">
        <w:rPr>
          <w:rFonts w:ascii="Arial" w:hAnsi="Arial" w:cs="Arial"/>
          <w:sz w:val="20"/>
          <w:szCs w:val="20"/>
        </w:rPr>
        <w:t xml:space="preserve"> [26]</w:t>
      </w:r>
      <w:r w:rsidR="002A38EF">
        <w:rPr>
          <w:rFonts w:ascii="Arial" w:hAnsi="Arial" w:cs="Arial"/>
          <w:sz w:val="20"/>
          <w:szCs w:val="20"/>
        </w:rPr>
        <w:t xml:space="preserve"> &amp;</w:t>
      </w:r>
      <w:r w:rsidR="002A38EF" w:rsidRPr="002A38EF">
        <w:rPr>
          <w:rFonts w:ascii="Arial" w:hAnsi="Arial" w:cs="Arial"/>
          <w:sz w:val="20"/>
          <w:szCs w:val="20"/>
        </w:rPr>
        <w:t xml:space="preserve"> [29]</w:t>
      </w:r>
      <w:r w:rsidR="002A38EF">
        <w:rPr>
          <w:rFonts w:ascii="Arial" w:hAnsi="Arial" w:cs="Arial"/>
          <w:sz w:val="20"/>
          <w:szCs w:val="20"/>
        </w:rPr>
        <w:t>-</w:t>
      </w:r>
      <w:r w:rsidR="002A38EF" w:rsidRPr="002A38EF">
        <w:rPr>
          <w:rFonts w:ascii="Arial" w:hAnsi="Arial" w:cs="Arial"/>
          <w:sz w:val="20"/>
          <w:szCs w:val="20"/>
        </w:rPr>
        <w:t xml:space="preserve">[30] </w:t>
      </w:r>
      <w:r w:rsidRPr="008E048A">
        <w:rPr>
          <w:rFonts w:ascii="Arial" w:hAnsi="Arial" w:cs="Arial"/>
          <w:sz w:val="20"/>
          <w:szCs w:val="20"/>
        </w:rPr>
        <w:t xml:space="preserve">which, on examination, emphasise the point made by the High Court in </w:t>
      </w:r>
      <w:r w:rsidRPr="002A38EF">
        <w:rPr>
          <w:rFonts w:ascii="Arial" w:hAnsi="Arial" w:cs="Arial"/>
          <w:i/>
          <w:iCs/>
          <w:sz w:val="20"/>
          <w:szCs w:val="20"/>
        </w:rPr>
        <w:t>Bugmy</w:t>
      </w:r>
      <w:r w:rsidRPr="008E048A">
        <w:rPr>
          <w:rFonts w:ascii="Arial" w:hAnsi="Arial" w:cs="Arial"/>
          <w:sz w:val="20"/>
          <w:szCs w:val="20"/>
        </w:rPr>
        <w:t xml:space="preserve"> that while childhood exposure to extreme violence and alcohol abuse may explain an offender’s recourse to violence when frustrated, such that their moral culpability for the inability to control that impulse may be substantially reduced, this might also increase the importance of community protection as a sentencing consideration.</w:t>
      </w:r>
      <w:r>
        <w:rPr>
          <w:rFonts w:ascii="Arial" w:hAnsi="Arial" w:cs="Arial"/>
          <w:sz w:val="20"/>
          <w:szCs w:val="20"/>
        </w:rPr>
        <w:t>”</w:t>
      </w:r>
    </w:p>
    <w:p w14:paraId="386A9990" w14:textId="77777777" w:rsidR="008E048A" w:rsidRDefault="008E048A" w:rsidP="002D5EBC">
      <w:pPr>
        <w:jc w:val="both"/>
        <w:rPr>
          <w:rFonts w:ascii="Arial" w:hAnsi="Arial" w:cs="Arial"/>
          <w:sz w:val="20"/>
          <w:szCs w:val="20"/>
        </w:rPr>
      </w:pPr>
    </w:p>
    <w:p w14:paraId="311921DC" w14:textId="6270CBD2" w:rsidR="00A9590F" w:rsidRDefault="00F81F16" w:rsidP="003B4D22">
      <w:pPr>
        <w:spacing w:before="20" w:after="20"/>
        <w:jc w:val="both"/>
        <w:rPr>
          <w:rFonts w:ascii="Arial" w:hAnsi="Arial" w:cs="Arial"/>
          <w:sz w:val="20"/>
        </w:rPr>
      </w:pPr>
      <w:r>
        <w:rPr>
          <w:rFonts w:ascii="Arial" w:hAnsi="Arial" w:cs="Arial"/>
          <w:sz w:val="20"/>
        </w:rPr>
        <w:t xml:space="preserve">In relation to </w:t>
      </w:r>
      <w:r w:rsidR="00A14C3B">
        <w:rPr>
          <w:rFonts w:ascii="Arial" w:hAnsi="Arial" w:cs="Arial"/>
          <w:sz w:val="20"/>
        </w:rPr>
        <w:t xml:space="preserve">application of </w:t>
      </w:r>
      <w:r>
        <w:rPr>
          <w:rFonts w:ascii="Arial" w:hAnsi="Arial" w:cs="Arial"/>
          <w:sz w:val="20"/>
        </w:rPr>
        <w:t xml:space="preserve">the </w:t>
      </w:r>
      <w:r w:rsidRPr="00E91892">
        <w:rPr>
          <w:rFonts w:ascii="Arial" w:hAnsi="Arial" w:cs="Arial"/>
          <w:i/>
          <w:iCs/>
          <w:sz w:val="20"/>
        </w:rPr>
        <w:t>Bugmy</w:t>
      </w:r>
      <w:r>
        <w:rPr>
          <w:rFonts w:ascii="Arial" w:hAnsi="Arial" w:cs="Arial"/>
          <w:sz w:val="20"/>
        </w:rPr>
        <w:t xml:space="preserve">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r w:rsidR="00886D2B" w:rsidRPr="00D52290">
        <w:rPr>
          <w:rFonts w:ascii="Arial" w:hAnsi="Arial" w:cs="Arial"/>
          <w:i/>
          <w:iCs/>
          <w:color w:val="000000"/>
          <w:sz w:val="20"/>
        </w:rPr>
        <w:t>Gencev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r w:rsidR="00F56FF4" w:rsidRPr="00D639D4">
        <w:rPr>
          <w:rFonts w:ascii="Arial" w:hAnsi="Arial" w:cs="Arial"/>
          <w:i/>
          <w:iCs/>
          <w:color w:val="000000"/>
          <w:sz w:val="20"/>
          <w:szCs w:val="20"/>
        </w:rPr>
        <w:t>Kehayias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r w:rsidR="00A959DE" w:rsidRPr="00D639D4">
        <w:rPr>
          <w:rFonts w:ascii="Arial" w:hAnsi="Arial" w:cs="Arial"/>
          <w:i/>
          <w:iCs/>
          <w:color w:val="000000"/>
          <w:sz w:val="20"/>
          <w:szCs w:val="20"/>
        </w:rPr>
        <w:t>Eser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r w:rsidR="00572865" w:rsidRPr="00111697">
        <w:rPr>
          <w:rFonts w:ascii="Arial" w:hAnsi="Arial" w:cs="Arial"/>
          <w:i/>
          <w:iCs/>
          <w:sz w:val="20"/>
          <w:szCs w:val="20"/>
        </w:rPr>
        <w:t>Makieng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R v Fiscalini</w:t>
      </w:r>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[2022] VSC 358</w:t>
      </w:r>
      <w:r w:rsidR="008C624F">
        <w:rPr>
          <w:rFonts w:ascii="Arial" w:hAnsi="Arial" w:cs="Arial"/>
          <w:color w:val="000000"/>
          <w:sz w:val="20"/>
        </w:rPr>
        <w:t xml:space="preserve">; </w:t>
      </w:r>
      <w:r w:rsidR="008C624F" w:rsidRPr="008C624F">
        <w:rPr>
          <w:rFonts w:ascii="Arial" w:hAnsi="Arial" w:cs="Arial"/>
          <w:i/>
          <w:iCs/>
          <w:color w:val="000000"/>
          <w:sz w:val="20"/>
        </w:rPr>
        <w:t>Tyson Ralph v The Queen</w:t>
      </w:r>
      <w:r w:rsidR="008C624F">
        <w:rPr>
          <w:rFonts w:ascii="Arial" w:hAnsi="Arial" w:cs="Arial"/>
          <w:color w:val="000000"/>
          <w:sz w:val="20"/>
        </w:rPr>
        <w:t xml:space="preserve"> [2022] VSCA 185 at [46]-[4</w:t>
      </w:r>
      <w:r w:rsidR="004F4A4F">
        <w:rPr>
          <w:rFonts w:ascii="Arial" w:hAnsi="Arial" w:cs="Arial"/>
          <w:color w:val="000000"/>
          <w:sz w:val="20"/>
        </w:rPr>
        <w:t>9</w:t>
      </w:r>
      <w:r w:rsidR="008C624F">
        <w:rPr>
          <w:rFonts w:ascii="Arial" w:hAnsi="Arial" w:cs="Arial"/>
          <w:color w:val="000000"/>
          <w:sz w:val="20"/>
        </w:rPr>
        <w:t>]</w:t>
      </w:r>
      <w:r w:rsidR="006F1EF6">
        <w:rPr>
          <w:rFonts w:ascii="Arial" w:hAnsi="Arial" w:cs="Arial"/>
          <w:color w:val="000000"/>
          <w:sz w:val="20"/>
        </w:rPr>
        <w:t xml:space="preserve">; </w:t>
      </w:r>
      <w:r w:rsidR="006F1EF6">
        <w:rPr>
          <w:rFonts w:ascii="Arial" w:hAnsi="Arial" w:cs="Arial"/>
          <w:i/>
          <w:iCs/>
          <w:color w:val="000000"/>
          <w:sz w:val="20"/>
          <w:szCs w:val="20"/>
        </w:rPr>
        <w:t xml:space="preserve">R v Johnson </w:t>
      </w:r>
      <w:r w:rsidR="006F1EF6" w:rsidRPr="00EC7DEF">
        <w:rPr>
          <w:rFonts w:ascii="Arial" w:hAnsi="Arial" w:cs="Arial"/>
          <w:color w:val="000000"/>
          <w:sz w:val="20"/>
          <w:szCs w:val="20"/>
        </w:rPr>
        <w:t>[2022] VSC 681</w:t>
      </w:r>
      <w:r w:rsidR="006F1EF6">
        <w:rPr>
          <w:rFonts w:ascii="Arial" w:hAnsi="Arial" w:cs="Arial"/>
          <w:color w:val="000000"/>
          <w:sz w:val="20"/>
          <w:szCs w:val="20"/>
        </w:rPr>
        <w:t xml:space="preserve"> at [37]</w:t>
      </w:r>
      <w:r w:rsidR="009B2107">
        <w:rPr>
          <w:rFonts w:ascii="Arial" w:hAnsi="Arial" w:cs="Arial"/>
          <w:color w:val="000000"/>
          <w:sz w:val="20"/>
          <w:szCs w:val="20"/>
        </w:rPr>
        <w:t xml:space="preserve">; </w:t>
      </w:r>
      <w:r w:rsidR="009B2107">
        <w:rPr>
          <w:rFonts w:ascii="Arial" w:hAnsi="Arial" w:cs="Arial"/>
          <w:i/>
          <w:iCs/>
          <w:color w:val="000000"/>
          <w:sz w:val="20"/>
        </w:rPr>
        <w:t xml:space="preserve">DPP v Ledlin </w:t>
      </w:r>
      <w:r w:rsidR="009B2107" w:rsidRPr="00D72FC5">
        <w:rPr>
          <w:rFonts w:ascii="Arial" w:hAnsi="Arial" w:cs="Arial"/>
          <w:color w:val="000000"/>
          <w:sz w:val="20"/>
        </w:rPr>
        <w:t xml:space="preserve">[2022] VSC </w:t>
      </w:r>
      <w:r w:rsidR="009B2107">
        <w:rPr>
          <w:rFonts w:ascii="Arial" w:hAnsi="Arial" w:cs="Arial"/>
          <w:color w:val="000000"/>
          <w:sz w:val="20"/>
        </w:rPr>
        <w:t>826 at [66]-[70]</w:t>
      </w:r>
      <w:r w:rsidR="00736B1A">
        <w:rPr>
          <w:rFonts w:ascii="Arial" w:hAnsi="Arial" w:cs="Arial"/>
          <w:color w:val="000000"/>
          <w:sz w:val="20"/>
        </w:rPr>
        <w:t xml:space="preserve">; </w:t>
      </w:r>
      <w:r w:rsidR="00736B1A" w:rsidRPr="00736B1A">
        <w:rPr>
          <w:rFonts w:ascii="Arial" w:hAnsi="Arial" w:cs="Arial"/>
          <w:i/>
          <w:iCs/>
          <w:color w:val="000000"/>
          <w:sz w:val="20"/>
        </w:rPr>
        <w:t>McKay v The King [No 2]</w:t>
      </w:r>
      <w:r w:rsidR="00736B1A">
        <w:rPr>
          <w:rFonts w:ascii="Arial" w:hAnsi="Arial" w:cs="Arial"/>
          <w:color w:val="000000"/>
          <w:sz w:val="20"/>
        </w:rPr>
        <w:t xml:space="preserve"> [2023] VSCA 8</w:t>
      </w:r>
      <w:r w:rsidR="003B4D22">
        <w:rPr>
          <w:rFonts w:ascii="Arial" w:hAnsi="Arial" w:cs="Arial"/>
          <w:color w:val="000000"/>
          <w:sz w:val="20"/>
        </w:rPr>
        <w:t xml:space="preserve">; </w:t>
      </w:r>
      <w:r w:rsidR="003B4D22" w:rsidRPr="003B4D22">
        <w:rPr>
          <w:rFonts w:ascii="Arial" w:hAnsi="Arial" w:cs="Arial"/>
          <w:i/>
          <w:iCs/>
          <w:color w:val="000000"/>
          <w:sz w:val="20"/>
        </w:rPr>
        <w:t>Newton (a pseudonym) v The King</w:t>
      </w:r>
      <w:r w:rsidR="003B4D22">
        <w:rPr>
          <w:rFonts w:ascii="Arial" w:hAnsi="Arial" w:cs="Arial"/>
          <w:color w:val="000000"/>
          <w:sz w:val="20"/>
        </w:rPr>
        <w:t xml:space="preserve"> [2023] VSCA 22 </w:t>
      </w:r>
      <w:r w:rsidR="003B4D22">
        <w:rPr>
          <w:rFonts w:ascii="Arial" w:hAnsi="Arial" w:cs="Arial"/>
          <w:sz w:val="20"/>
        </w:rPr>
        <w:t>at [36]-[47]</w:t>
      </w:r>
      <w:r w:rsidR="00A819F8">
        <w:rPr>
          <w:rFonts w:ascii="Arial" w:hAnsi="Arial" w:cs="Arial"/>
          <w:sz w:val="20"/>
        </w:rPr>
        <w:t xml:space="preserve">; </w:t>
      </w:r>
      <w:r w:rsidR="00A819F8" w:rsidRPr="00A819F8">
        <w:rPr>
          <w:rFonts w:ascii="Arial" w:hAnsi="Arial" w:cs="Arial"/>
          <w:i/>
          <w:iCs/>
          <w:sz w:val="20"/>
        </w:rPr>
        <w:t>Magee v The King</w:t>
      </w:r>
      <w:r w:rsidR="00A819F8">
        <w:rPr>
          <w:rFonts w:ascii="Arial" w:hAnsi="Arial" w:cs="Arial"/>
          <w:sz w:val="20"/>
        </w:rPr>
        <w:t xml:space="preserve"> [2023] VSCA 80 at [37]-[43]</w:t>
      </w:r>
      <w:r w:rsidR="008C5A97">
        <w:rPr>
          <w:rFonts w:ascii="Arial" w:hAnsi="Arial" w:cs="Arial"/>
          <w:sz w:val="20"/>
        </w:rPr>
        <w:t xml:space="preserve">; </w:t>
      </w:r>
      <w:r w:rsidR="00581AEC">
        <w:rPr>
          <w:rFonts w:ascii="Arial" w:hAnsi="Arial" w:cs="Arial"/>
          <w:i/>
          <w:iCs/>
          <w:sz w:val="20"/>
        </w:rPr>
        <w:t>James C</w:t>
      </w:r>
      <w:r w:rsidR="00B1035F" w:rsidRPr="00392918">
        <w:rPr>
          <w:rFonts w:ascii="Arial" w:hAnsi="Arial" w:cs="Arial"/>
          <w:i/>
          <w:iCs/>
          <w:sz w:val="20"/>
        </w:rPr>
        <w:t>larke (a pseudonym) v The King</w:t>
      </w:r>
      <w:r w:rsidR="00B1035F">
        <w:rPr>
          <w:rFonts w:ascii="Arial" w:hAnsi="Arial" w:cs="Arial"/>
          <w:sz w:val="20"/>
        </w:rPr>
        <w:t xml:space="preserve"> [2023] VSCA 103 at [</w:t>
      </w:r>
      <w:r w:rsidR="00392918">
        <w:rPr>
          <w:rFonts w:ascii="Arial" w:hAnsi="Arial" w:cs="Arial"/>
          <w:sz w:val="20"/>
        </w:rPr>
        <w:t>49</w:t>
      </w:r>
      <w:r w:rsidR="00B1035F">
        <w:rPr>
          <w:rFonts w:ascii="Arial" w:hAnsi="Arial" w:cs="Arial"/>
          <w:sz w:val="20"/>
        </w:rPr>
        <w:t>]-[</w:t>
      </w:r>
      <w:r w:rsidR="00392918">
        <w:rPr>
          <w:rFonts w:ascii="Arial" w:hAnsi="Arial" w:cs="Arial"/>
          <w:sz w:val="20"/>
        </w:rPr>
        <w:t>53</w:t>
      </w:r>
      <w:r w:rsidR="00B1035F">
        <w:rPr>
          <w:rFonts w:ascii="Arial" w:hAnsi="Arial" w:cs="Arial"/>
          <w:sz w:val="20"/>
        </w:rPr>
        <w:t>]</w:t>
      </w:r>
      <w:r w:rsidR="00392918">
        <w:rPr>
          <w:rFonts w:ascii="Arial" w:hAnsi="Arial" w:cs="Arial"/>
          <w:sz w:val="20"/>
        </w:rPr>
        <w:t xml:space="preserve">; </w:t>
      </w:r>
      <w:r w:rsidR="008C5A97">
        <w:rPr>
          <w:rFonts w:ascii="Arial" w:hAnsi="Arial" w:cs="Arial"/>
          <w:i/>
          <w:iCs/>
          <w:color w:val="000000"/>
          <w:sz w:val="20"/>
          <w:szCs w:val="20"/>
        </w:rPr>
        <w:t xml:space="preserve">DPP v Newell </w:t>
      </w:r>
      <w:r w:rsidR="008C5A97" w:rsidRPr="004E3353">
        <w:rPr>
          <w:rFonts w:ascii="Arial" w:hAnsi="Arial" w:cs="Arial"/>
          <w:color w:val="000000"/>
          <w:sz w:val="20"/>
          <w:szCs w:val="20"/>
        </w:rPr>
        <w:t>[2023] VSC 237</w:t>
      </w:r>
      <w:r w:rsidR="005A6235">
        <w:rPr>
          <w:rFonts w:ascii="Arial" w:hAnsi="Arial" w:cs="Arial"/>
          <w:color w:val="000000"/>
          <w:sz w:val="20"/>
          <w:szCs w:val="20"/>
        </w:rPr>
        <w:t xml:space="preserve"> at [59]-[63]</w:t>
      </w:r>
      <w:r w:rsidR="00037F69">
        <w:rPr>
          <w:rFonts w:ascii="Arial" w:hAnsi="Arial" w:cs="Arial"/>
          <w:color w:val="000000"/>
          <w:sz w:val="20"/>
          <w:szCs w:val="20"/>
        </w:rPr>
        <w:t xml:space="preserve">; </w:t>
      </w:r>
      <w:r w:rsidR="00037F69" w:rsidRPr="003619C4">
        <w:rPr>
          <w:rFonts w:ascii="Arial" w:hAnsi="Arial" w:cs="Arial"/>
          <w:i/>
          <w:iCs/>
          <w:color w:val="000000"/>
          <w:sz w:val="20"/>
        </w:rPr>
        <w:t>Kellway (a pseudonym) v The King</w:t>
      </w:r>
      <w:r w:rsidR="00037F69">
        <w:rPr>
          <w:rFonts w:ascii="Arial" w:hAnsi="Arial" w:cs="Arial"/>
          <w:color w:val="000000"/>
          <w:sz w:val="20"/>
        </w:rPr>
        <w:t xml:space="preserve">; </w:t>
      </w:r>
      <w:r w:rsidR="00037F69" w:rsidRPr="003619C4">
        <w:rPr>
          <w:rFonts w:ascii="Arial" w:hAnsi="Arial" w:cs="Arial"/>
          <w:i/>
          <w:iCs/>
          <w:color w:val="000000"/>
          <w:sz w:val="20"/>
        </w:rPr>
        <w:t>Donald (a</w:t>
      </w:r>
      <w:r w:rsidR="00037F69">
        <w:rPr>
          <w:rFonts w:ascii="Arial" w:hAnsi="Arial" w:cs="Arial"/>
          <w:i/>
          <w:iCs/>
          <w:color w:val="000000"/>
          <w:sz w:val="20"/>
        </w:rPr>
        <w:t> </w:t>
      </w:r>
      <w:r w:rsidR="00037F69" w:rsidRPr="003619C4">
        <w:rPr>
          <w:rFonts w:ascii="Arial" w:hAnsi="Arial" w:cs="Arial"/>
          <w:i/>
          <w:iCs/>
          <w:color w:val="000000"/>
          <w:sz w:val="20"/>
        </w:rPr>
        <w:t>pseudonym) v The King</w:t>
      </w:r>
      <w:r w:rsidR="00037F69">
        <w:rPr>
          <w:rFonts w:ascii="Arial" w:hAnsi="Arial" w:cs="Arial"/>
          <w:color w:val="000000"/>
          <w:sz w:val="20"/>
        </w:rPr>
        <w:t xml:space="preserve"> [2023] VSCA 109 at [80]-[98]</w:t>
      </w:r>
      <w:r w:rsidR="00E91892">
        <w:rPr>
          <w:rFonts w:ascii="Arial" w:hAnsi="Arial" w:cs="Arial"/>
          <w:color w:val="000000"/>
          <w:sz w:val="20"/>
        </w:rPr>
        <w:t xml:space="preserve">; </w:t>
      </w:r>
      <w:r w:rsidR="00C177E2" w:rsidRPr="00FF0DF7">
        <w:rPr>
          <w:rFonts w:ascii="Arial" w:hAnsi="Arial" w:cs="Arial"/>
          <w:i/>
          <w:iCs/>
          <w:color w:val="000000"/>
          <w:sz w:val="20"/>
        </w:rPr>
        <w:t>Kruger v The King</w:t>
      </w:r>
      <w:r w:rsidR="00C177E2">
        <w:rPr>
          <w:rFonts w:ascii="Arial" w:hAnsi="Arial" w:cs="Arial"/>
          <w:color w:val="000000"/>
          <w:sz w:val="20"/>
        </w:rPr>
        <w:t xml:space="preserve"> [2023] VSCA 149 at [</w:t>
      </w:r>
      <w:r w:rsidR="00FF0DF7">
        <w:rPr>
          <w:rFonts w:ascii="Arial" w:hAnsi="Arial" w:cs="Arial"/>
          <w:color w:val="000000"/>
          <w:sz w:val="20"/>
        </w:rPr>
        <w:t>38</w:t>
      </w:r>
      <w:r w:rsidR="00C177E2">
        <w:rPr>
          <w:rFonts w:ascii="Arial" w:hAnsi="Arial" w:cs="Arial"/>
          <w:color w:val="000000"/>
          <w:sz w:val="20"/>
        </w:rPr>
        <w:t>]-[</w:t>
      </w:r>
      <w:r w:rsidR="00FF0DF7">
        <w:rPr>
          <w:rFonts w:ascii="Arial" w:hAnsi="Arial" w:cs="Arial"/>
          <w:color w:val="000000"/>
          <w:sz w:val="20"/>
        </w:rPr>
        <w:t>43</w:t>
      </w:r>
      <w:r w:rsidR="00C177E2">
        <w:rPr>
          <w:rFonts w:ascii="Arial" w:hAnsi="Arial" w:cs="Arial"/>
          <w:color w:val="000000"/>
          <w:sz w:val="20"/>
        </w:rPr>
        <w:t xml:space="preserve">]; </w:t>
      </w:r>
      <w:r w:rsidR="00E91892" w:rsidRPr="00E91892">
        <w:rPr>
          <w:rFonts w:ascii="Arial" w:hAnsi="Arial" w:cs="Arial"/>
          <w:i/>
          <w:iCs/>
          <w:color w:val="000000"/>
          <w:sz w:val="20"/>
        </w:rPr>
        <w:t>DPP v Payne</w:t>
      </w:r>
      <w:r w:rsidR="00E91892">
        <w:rPr>
          <w:rFonts w:ascii="Arial" w:hAnsi="Arial" w:cs="Arial"/>
          <w:color w:val="000000"/>
          <w:sz w:val="20"/>
        </w:rPr>
        <w:t xml:space="preserve"> [2023] VSC 286 </w:t>
      </w:r>
      <w:r w:rsidR="00E91892">
        <w:rPr>
          <w:rFonts w:ascii="Arial" w:hAnsi="Arial" w:cs="Arial"/>
          <w:color w:val="000000"/>
          <w:sz w:val="20"/>
        </w:rPr>
        <w:lastRenderedPageBreak/>
        <w:t>at [68]-[72]</w:t>
      </w:r>
      <w:r w:rsidR="00A10A99">
        <w:rPr>
          <w:rFonts w:ascii="Arial" w:hAnsi="Arial" w:cs="Arial"/>
          <w:color w:val="000000"/>
          <w:sz w:val="20"/>
        </w:rPr>
        <w:t xml:space="preserve">; </w:t>
      </w:r>
      <w:r w:rsidR="00A10A99" w:rsidRPr="00577C77">
        <w:rPr>
          <w:rFonts w:ascii="Arial" w:hAnsi="Arial" w:cs="Arial"/>
          <w:i/>
          <w:iCs/>
          <w:color w:val="000000"/>
          <w:sz w:val="20"/>
          <w:szCs w:val="20"/>
        </w:rPr>
        <w:t>DPP v Rider &amp; Ong</w:t>
      </w:r>
      <w:r w:rsidR="00A10A99">
        <w:rPr>
          <w:rFonts w:ascii="Arial" w:hAnsi="Arial" w:cs="Arial"/>
          <w:color w:val="000000"/>
          <w:sz w:val="20"/>
          <w:szCs w:val="20"/>
        </w:rPr>
        <w:t xml:space="preserve"> [2023] VSC 466 at [67]-[71]</w:t>
      </w:r>
      <w:r w:rsidR="00AE7198">
        <w:rPr>
          <w:rFonts w:ascii="Arial" w:hAnsi="Arial" w:cs="Arial"/>
          <w:color w:val="000000"/>
          <w:sz w:val="20"/>
          <w:szCs w:val="20"/>
        </w:rPr>
        <w:t xml:space="preserve">; </w:t>
      </w:r>
      <w:r w:rsidR="00AE7198" w:rsidRPr="00AE7198">
        <w:rPr>
          <w:rFonts w:ascii="Arial" w:hAnsi="Arial" w:cs="Arial"/>
          <w:i/>
          <w:iCs/>
          <w:color w:val="000000"/>
          <w:sz w:val="20"/>
          <w:szCs w:val="20"/>
        </w:rPr>
        <w:t>Wilson (a pseudonym) v The King</w:t>
      </w:r>
      <w:r w:rsidR="00AE7198">
        <w:rPr>
          <w:rFonts w:ascii="Arial" w:hAnsi="Arial" w:cs="Arial"/>
          <w:color w:val="000000"/>
          <w:sz w:val="20"/>
          <w:szCs w:val="20"/>
        </w:rPr>
        <w:t xml:space="preserve"> [2023] VSCA 276 at [80]-[83]</w:t>
      </w:r>
      <w:r w:rsidR="004F58A8">
        <w:rPr>
          <w:rFonts w:ascii="Arial" w:hAnsi="Arial" w:cs="Arial"/>
          <w:color w:val="000000"/>
          <w:sz w:val="20"/>
          <w:szCs w:val="20"/>
        </w:rPr>
        <w:t xml:space="preserve">; </w:t>
      </w:r>
      <w:r w:rsidR="004F58A8" w:rsidRPr="004F58A8">
        <w:rPr>
          <w:rFonts w:ascii="Arial" w:hAnsi="Arial" w:cs="Arial"/>
          <w:i/>
          <w:iCs/>
          <w:color w:val="000000"/>
          <w:sz w:val="20"/>
          <w:szCs w:val="20"/>
        </w:rPr>
        <w:t>Hurst v The King</w:t>
      </w:r>
      <w:r w:rsidR="004F58A8">
        <w:rPr>
          <w:rFonts w:ascii="Arial" w:hAnsi="Arial" w:cs="Arial"/>
          <w:color w:val="000000"/>
          <w:sz w:val="20"/>
          <w:szCs w:val="20"/>
        </w:rPr>
        <w:t xml:space="preserve"> [2023] VSCA 286 at [65]-[79]</w:t>
      </w:r>
      <w:r w:rsidR="00C81490">
        <w:rPr>
          <w:rFonts w:ascii="Arial" w:hAnsi="Arial" w:cs="Arial"/>
          <w:color w:val="000000"/>
          <w:sz w:val="20"/>
          <w:szCs w:val="20"/>
        </w:rPr>
        <w:t xml:space="preserve">; </w:t>
      </w:r>
      <w:r w:rsidR="00C81490" w:rsidRPr="0022654A">
        <w:rPr>
          <w:rFonts w:ascii="Arial" w:hAnsi="Arial" w:cs="Arial"/>
          <w:i/>
          <w:iCs/>
          <w:color w:val="000000"/>
          <w:sz w:val="20"/>
          <w:szCs w:val="20"/>
        </w:rPr>
        <w:t>DPP v Atkinson</w:t>
      </w:r>
      <w:r w:rsidR="00C81490">
        <w:rPr>
          <w:rFonts w:ascii="Arial" w:hAnsi="Arial" w:cs="Arial"/>
          <w:color w:val="000000"/>
          <w:sz w:val="20"/>
          <w:szCs w:val="20"/>
        </w:rPr>
        <w:t xml:space="preserve"> [2024] VSC 286 at [63]-[66]</w:t>
      </w:r>
      <w:r w:rsidR="00F20F38">
        <w:rPr>
          <w:rFonts w:ascii="Arial" w:hAnsi="Arial" w:cs="Arial"/>
          <w:color w:val="000000"/>
          <w:sz w:val="20"/>
          <w:szCs w:val="20"/>
        </w:rPr>
        <w:t xml:space="preserve">; </w:t>
      </w:r>
      <w:r w:rsidR="00F20F38">
        <w:rPr>
          <w:rFonts w:ascii="Arial" w:hAnsi="Arial" w:cs="Arial"/>
          <w:i/>
          <w:iCs/>
          <w:color w:val="000000"/>
          <w:sz w:val="20"/>
        </w:rPr>
        <w:t xml:space="preserve">DPP v Bell </w:t>
      </w:r>
      <w:r w:rsidR="00F20F38" w:rsidRPr="00EA76E9">
        <w:rPr>
          <w:rFonts w:ascii="Arial" w:hAnsi="Arial" w:cs="Arial"/>
          <w:color w:val="000000"/>
          <w:sz w:val="20"/>
        </w:rPr>
        <w:t xml:space="preserve">[2024] VSC </w:t>
      </w:r>
      <w:r w:rsidR="00F20F38">
        <w:rPr>
          <w:rFonts w:ascii="Arial" w:hAnsi="Arial" w:cs="Arial"/>
          <w:color w:val="000000"/>
          <w:sz w:val="20"/>
        </w:rPr>
        <w:t>576 at [44]-[48].</w:t>
      </w:r>
    </w:p>
    <w:p w14:paraId="07999AD4" w14:textId="77777777" w:rsidR="00D90BDA" w:rsidRDefault="00D90BDA" w:rsidP="00D90BDA">
      <w:pPr>
        <w:jc w:val="both"/>
        <w:rPr>
          <w:rFonts w:ascii="Arial" w:hAnsi="Arial" w:cs="Arial"/>
          <w:color w:val="000000"/>
          <w:sz w:val="20"/>
        </w:rPr>
      </w:pPr>
    </w:p>
    <w:p w14:paraId="2AD577D5" w14:textId="77777777" w:rsidR="00D90BDA" w:rsidRPr="00DD24BF" w:rsidRDefault="00D90BDA" w:rsidP="00D90BD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A62DE6D" w14:textId="77777777" w:rsidR="00D90BDA" w:rsidRPr="007B6500" w:rsidRDefault="00D90BDA" w:rsidP="00D90BDA">
      <w:pPr>
        <w:pStyle w:val="Heading2"/>
        <w:tabs>
          <w:tab w:val="left" w:pos="567"/>
        </w:tabs>
        <w:spacing w:line="240" w:lineRule="auto"/>
        <w:ind w:left="567" w:hanging="567"/>
        <w:rPr>
          <w:rFonts w:ascii="Arial" w:hAnsi="Arial" w:cs="Arial"/>
          <w:color w:val="000000"/>
          <w:sz w:val="20"/>
        </w:rPr>
      </w:pPr>
    </w:p>
    <w:p w14:paraId="1DFBD058" w14:textId="77777777" w:rsidR="00D90BDA" w:rsidRDefault="00D90BDA" w:rsidP="00D90BDA">
      <w:pPr>
        <w:rPr>
          <w:rFonts w:ascii="Arial" w:hAnsi="Arial" w:cs="Arial"/>
          <w:b/>
          <w:color w:val="000000"/>
          <w:kern w:val="28"/>
          <w:sz w:val="20"/>
          <w:szCs w:val="20"/>
          <w:lang w:val="en-GB"/>
        </w:rPr>
      </w:pPr>
      <w:r>
        <w:rPr>
          <w:rFonts w:ascii="Arial" w:hAnsi="Arial" w:cs="Arial"/>
          <w:b/>
          <w:color w:val="000000"/>
          <w:sz w:val="20"/>
        </w:rPr>
        <w:br w:type="page"/>
      </w:r>
    </w:p>
    <w:p w14:paraId="2C34CEC3" w14:textId="6D9CBA38"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7" w:name="_11.2.13_Effect_of"/>
      <w:bookmarkEnd w:id="617"/>
      <w:r w:rsidRPr="001C6E0E">
        <w:rPr>
          <w:rFonts w:ascii="Arial" w:hAnsi="Arial" w:cs="Arial"/>
          <w:b/>
          <w:bCs/>
          <w:color w:val="000000"/>
          <w:sz w:val="20"/>
        </w:rPr>
        <w:lastRenderedPageBreak/>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13"/>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r w:rsidRPr="001C6E0E">
        <w:rPr>
          <w:rFonts w:ascii="Arial" w:hAnsi="Arial" w:cs="Arial"/>
          <w:i/>
          <w:color w:val="000000"/>
          <w:sz w:val="20"/>
        </w:rPr>
        <w:t>Boxtel</w:t>
      </w:r>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Chernov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r w:rsidR="00205436" w:rsidRPr="001C6E0E">
        <w:rPr>
          <w:rFonts w:ascii="Arial" w:hAnsi="Arial" w:cs="Arial"/>
          <w:color w:val="000000"/>
          <w:sz w:val="20"/>
        </w:rPr>
        <w:t xml:space="preserve">Coldrey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18"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Default="00671FA7" w:rsidP="0089224B">
      <w:pPr>
        <w:jc w:val="both"/>
        <w:rPr>
          <w:rFonts w:ascii="Arial" w:hAnsi="Arial" w:cs="Arial"/>
          <w:color w:val="000000"/>
          <w:sz w:val="20"/>
        </w:rPr>
      </w:pPr>
    </w:p>
    <w:p w14:paraId="2EEE2565" w14:textId="5BECF55A" w:rsidR="00992A33" w:rsidRDefault="00992A33" w:rsidP="0089224B">
      <w:pPr>
        <w:jc w:val="both"/>
        <w:rPr>
          <w:rFonts w:ascii="Arial" w:hAnsi="Arial" w:cs="Arial"/>
          <w:color w:val="000000"/>
          <w:sz w:val="20"/>
        </w:rPr>
      </w:pPr>
      <w:r>
        <w:rPr>
          <w:rFonts w:ascii="Arial" w:hAnsi="Arial" w:cs="Arial"/>
          <w:color w:val="000000"/>
          <w:sz w:val="20"/>
        </w:rPr>
        <w:t xml:space="preserve">In </w:t>
      </w:r>
      <w:r w:rsidRPr="00DD7C8D">
        <w:rPr>
          <w:rFonts w:ascii="Arial" w:hAnsi="Arial" w:cs="Arial"/>
          <w:i/>
          <w:iCs/>
          <w:color w:val="000000"/>
          <w:sz w:val="20"/>
        </w:rPr>
        <w:t>R v Belbruno</w:t>
      </w:r>
      <w:r>
        <w:rPr>
          <w:rFonts w:ascii="Arial" w:hAnsi="Arial" w:cs="Arial"/>
          <w:color w:val="000000"/>
          <w:sz w:val="20"/>
        </w:rPr>
        <w:t xml:space="preserve"> </w:t>
      </w:r>
      <w:r w:rsidR="00DD7C8D">
        <w:rPr>
          <w:rFonts w:ascii="Arial" w:hAnsi="Arial" w:cs="Arial"/>
          <w:color w:val="000000"/>
          <w:sz w:val="20"/>
        </w:rPr>
        <w:t xml:space="preserve">(2000) 117 A Crim R 150, 153 [9] – cited with approval by Orr JA in </w:t>
      </w:r>
      <w:r w:rsidR="00DD7C8D" w:rsidRPr="00DD7C8D">
        <w:rPr>
          <w:rFonts w:ascii="Arial" w:hAnsi="Arial" w:cs="Arial"/>
          <w:i/>
          <w:iCs/>
          <w:color w:val="000000"/>
          <w:sz w:val="20"/>
        </w:rPr>
        <w:t>Long (a pseudonym) v The King</w:t>
      </w:r>
      <w:r w:rsidR="00DD7C8D">
        <w:rPr>
          <w:rFonts w:ascii="Arial" w:hAnsi="Arial" w:cs="Arial"/>
          <w:color w:val="000000"/>
          <w:sz w:val="20"/>
        </w:rPr>
        <w:t xml:space="preserve"> [2025] VSCA 15 at [52] – the Court of Appeal said:</w:t>
      </w:r>
    </w:p>
    <w:p w14:paraId="4E941FE9" w14:textId="10FEF119" w:rsidR="00DD7C8D" w:rsidRPr="001C6E0E" w:rsidRDefault="00DD7C8D" w:rsidP="00DD7C8D">
      <w:pPr>
        <w:spacing w:before="60"/>
        <w:ind w:left="567" w:right="567"/>
        <w:jc w:val="both"/>
        <w:rPr>
          <w:rFonts w:ascii="Arial" w:hAnsi="Arial" w:cs="Arial"/>
          <w:color w:val="000000"/>
          <w:sz w:val="20"/>
        </w:rPr>
      </w:pPr>
      <w:r>
        <w:rPr>
          <w:rFonts w:ascii="Arial" w:hAnsi="Arial" w:cs="Arial"/>
          <w:color w:val="000000"/>
          <w:sz w:val="20"/>
        </w:rPr>
        <w:t>“</w:t>
      </w:r>
      <w:r w:rsidRPr="00992A33">
        <w:rPr>
          <w:rFonts w:ascii="Arial" w:hAnsi="Arial" w:cs="Arial"/>
          <w:color w:val="000000"/>
          <w:sz w:val="20"/>
        </w:rPr>
        <w:t>Age, whether young or old, will, of course, always be a factor relevant to the sentencing discretion, but those of advancing years who commit crimes as serious as these were</w:t>
      </w:r>
      <w:r>
        <w:rPr>
          <w:rFonts w:ascii="Arial" w:hAnsi="Arial" w:cs="Arial"/>
          <w:color w:val="000000"/>
          <w:sz w:val="20"/>
        </w:rPr>
        <w:t xml:space="preserve"> [namely </w:t>
      </w:r>
      <w:r w:rsidRPr="00992A33">
        <w:rPr>
          <w:rFonts w:ascii="Arial" w:hAnsi="Arial" w:cs="Arial"/>
          <w:color w:val="000000"/>
          <w:sz w:val="20"/>
        </w:rPr>
        <w:t>trafficking of commercial quantities of heroin and cannabis</w:t>
      </w:r>
      <w:r>
        <w:rPr>
          <w:rFonts w:ascii="Arial" w:hAnsi="Arial" w:cs="Arial"/>
          <w:color w:val="000000"/>
          <w:sz w:val="20"/>
        </w:rPr>
        <w:t>]</w:t>
      </w:r>
      <w:r w:rsidRPr="00992A33">
        <w:rPr>
          <w:rFonts w:ascii="Arial" w:hAnsi="Arial" w:cs="Arial"/>
          <w:color w:val="000000"/>
          <w:sz w:val="20"/>
        </w:rPr>
        <w:t>, cannot expect to escape appropriate punishment by reason of that factor alone.</w:t>
      </w:r>
      <w:r>
        <w:rPr>
          <w:rFonts w:ascii="Arial" w:hAnsi="Arial" w:cs="Arial"/>
          <w:color w:val="000000"/>
          <w:sz w:val="20"/>
        </w:rPr>
        <w:t>”</w:t>
      </w:r>
    </w:p>
    <w:p w14:paraId="5EAFA6B8" w14:textId="77777777" w:rsidR="00992A33" w:rsidRPr="001C6E0E" w:rsidRDefault="00992A33"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lastRenderedPageBreak/>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19" w:name="Heading189"/>
      <w:bookmarkEnd w:id="619"/>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R v Van Boxtel</w:t>
      </w:r>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(Winneke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(Winneke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r w:rsidRPr="00913AB9">
        <w:rPr>
          <w:rFonts w:ascii="Arial" w:hAnsi="Arial" w:cs="Arial"/>
          <w:i/>
          <w:iCs/>
          <w:color w:val="000000"/>
          <w:sz w:val="20"/>
        </w:rPr>
        <w:t>Bufton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Gaudron, McHugh, Gummow, Kirby, Hayne and Callinan JJ); </w:t>
      </w:r>
      <w:r w:rsidRPr="00913AB9">
        <w:rPr>
          <w:rFonts w:ascii="Arial" w:hAnsi="Arial" w:cs="Arial"/>
          <w:i/>
          <w:iCs/>
          <w:sz w:val="20"/>
          <w:szCs w:val="20"/>
        </w:rPr>
        <w:t>Leimonitis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Southwell and Ashley JJ agreeing).”</w:t>
      </w:r>
    </w:p>
    <w:p w14:paraId="0C19052D" w14:textId="1D677FE5" w:rsidR="00913AB9" w:rsidRPr="00913AB9" w:rsidRDefault="00913AB9" w:rsidP="0089224B">
      <w:pPr>
        <w:jc w:val="both"/>
        <w:rPr>
          <w:rFonts w:ascii="Arial" w:hAnsi="Arial" w:cs="Arial"/>
          <w:color w:val="000000"/>
          <w:sz w:val="20"/>
        </w:rPr>
      </w:pPr>
    </w:p>
    <w:p w14:paraId="3AAA5983" w14:textId="02D3779B"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Bollen </w:t>
      </w:r>
      <w:r w:rsidRPr="00F86035">
        <w:rPr>
          <w:rFonts w:ascii="Arial" w:hAnsi="Arial" w:cs="Arial"/>
          <w:color w:val="000000"/>
          <w:sz w:val="20"/>
          <w:szCs w:val="20"/>
        </w:rPr>
        <w:t xml:space="preserve">[2014] VSC 651 Lasry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w:t>
      </w:r>
      <w:r w:rsidR="009B5377" w:rsidRPr="00F86035">
        <w:rPr>
          <w:rFonts w:ascii="Arial" w:hAnsi="Arial" w:cs="Arial"/>
          <w:color w:val="000000"/>
          <w:sz w:val="20"/>
          <w:szCs w:val="20"/>
        </w:rPr>
        <w:t>negligently</w:t>
      </w:r>
      <w:r w:rsidR="00E63753" w:rsidRPr="00F86035">
        <w:rPr>
          <w:rFonts w:ascii="Arial" w:hAnsi="Arial" w:cs="Arial"/>
          <w:color w:val="000000"/>
          <w:sz w:val="20"/>
          <w:szCs w:val="20"/>
        </w:rPr>
        <w:t xml:space="preserve">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r w:rsidRPr="00F86035">
        <w:rPr>
          <w:rFonts w:ascii="Arial" w:hAnsi="Arial" w:cs="Arial"/>
          <w:i/>
          <w:color w:val="000000"/>
          <w:sz w:val="20"/>
          <w:szCs w:val="20"/>
        </w:rPr>
        <w:t>Okutgen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R v Barci and Asling</w:t>
      </w:r>
      <w:r>
        <w:rPr>
          <w:rFonts w:ascii="Arial" w:hAnsi="Arial" w:cs="Arial"/>
          <w:color w:val="000000"/>
          <w:sz w:val="20"/>
        </w:rPr>
        <w:t xml:space="preserve"> (1994) 76 A Crim R 103 the Court of Criminal Appeal (Southwell, Hampel &amp; Hansen JJ) held that even where an offender brought his injuries upon himself, if they were directly </w:t>
      </w:r>
      <w:r>
        <w:rPr>
          <w:rFonts w:ascii="Arial" w:hAnsi="Arial" w:cs="Arial"/>
          <w:color w:val="000000"/>
          <w:sz w:val="20"/>
        </w:rPr>
        <w:lastRenderedPageBreak/>
        <w:t xml:space="preserve">resultant from the commission of the crime itself, “they must fairly be regarded as constituting some 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in the stomach in the aftermath of the offending.  As a result he had various surgeries and complications had arisen.  At [45]-[49] Taylor J discussed the relevance of this injury and held:</w:t>
      </w:r>
    </w:p>
    <w:p w14:paraId="35C034F0" w14:textId="77777777" w:rsidR="004A4740" w:rsidRDefault="004A4740" w:rsidP="005967BB">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D90BDA">
      <w:pPr>
        <w:pStyle w:val="Normal-Indent"/>
        <w:widowControl/>
        <w:spacing w:before="60" w:line="240" w:lineRule="auto"/>
        <w:ind w:left="567" w:right="567"/>
        <w:rPr>
          <w:rFonts w:ascii="Arial" w:hAnsi="Arial" w:cs="Arial"/>
          <w:color w:val="000000"/>
          <w:sz w:val="20"/>
        </w:rPr>
      </w:pPr>
      <w:r w:rsidRPr="004A4740">
        <w:rPr>
          <w:rFonts w:ascii="Arial" w:hAnsi="Arial" w:cs="Arial"/>
          <w:color w:val="000000"/>
          <w:sz w:val="20"/>
        </w:rPr>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43CBD855"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r w:rsidR="00FC1354" w:rsidRPr="00F86035">
        <w:rPr>
          <w:rFonts w:ascii="Arial" w:hAnsi="Arial" w:cs="Arial"/>
          <w:i/>
          <w:color w:val="000000"/>
          <w:sz w:val="20"/>
        </w:rPr>
        <w:t>Strezovski</w:t>
      </w:r>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R v K</w:t>
      </w:r>
      <w:r w:rsidR="00A34022" w:rsidRPr="00F86035">
        <w:rPr>
          <w:rFonts w:ascii="Arial" w:hAnsi="Arial" w:cs="Arial"/>
          <w:i/>
          <w:color w:val="000000"/>
          <w:sz w:val="20"/>
        </w:rPr>
        <w:t>uo</w:t>
      </w:r>
      <w:r w:rsidR="0099334D" w:rsidRPr="00F86035">
        <w:rPr>
          <w:rFonts w:ascii="Arial" w:hAnsi="Arial" w:cs="Arial"/>
          <w:i/>
          <w:color w:val="000000"/>
          <w:sz w:val="20"/>
        </w:rPr>
        <w:t>th</w:t>
      </w:r>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 xml:space="preserve">Director of Public Prosecutions (Cth) v Barbaro &amp; Zirilli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8351A6">
        <w:rPr>
          <w:rFonts w:ascii="Arial" w:hAnsi="Arial" w:cs="Arial"/>
          <w:color w:val="000000"/>
          <w:sz w:val="20"/>
          <w:szCs w:val="20"/>
        </w:rPr>
        <w:t xml:space="preserve">; </w:t>
      </w:r>
      <w:r w:rsidR="008351A6" w:rsidRPr="000A6838">
        <w:rPr>
          <w:rFonts w:ascii="Arial" w:hAnsi="Arial" w:cs="Arial"/>
          <w:i/>
          <w:iCs/>
          <w:color w:val="000000"/>
          <w:sz w:val="20"/>
          <w:szCs w:val="20"/>
        </w:rPr>
        <w:t>Wilson (a</w:t>
      </w:r>
      <w:r w:rsidR="006E1BC7">
        <w:rPr>
          <w:rFonts w:ascii="Arial" w:hAnsi="Arial" w:cs="Arial"/>
          <w:i/>
          <w:iCs/>
          <w:color w:val="000000"/>
          <w:sz w:val="20"/>
          <w:szCs w:val="20"/>
        </w:rPr>
        <w:t> </w:t>
      </w:r>
      <w:r w:rsidR="008351A6" w:rsidRPr="000A6838">
        <w:rPr>
          <w:rFonts w:ascii="Arial" w:hAnsi="Arial" w:cs="Arial"/>
          <w:i/>
          <w:iCs/>
          <w:color w:val="000000"/>
          <w:sz w:val="20"/>
          <w:szCs w:val="20"/>
        </w:rPr>
        <w:t>pseudonym) v The King</w:t>
      </w:r>
      <w:r w:rsidR="008351A6">
        <w:rPr>
          <w:rFonts w:ascii="Arial" w:hAnsi="Arial" w:cs="Arial"/>
          <w:color w:val="000000"/>
          <w:sz w:val="20"/>
          <w:szCs w:val="20"/>
        </w:rPr>
        <w:t xml:space="preserve"> [2023] VSC 276 at [88]-[103]</w:t>
      </w:r>
      <w:r w:rsidR="00AF1611">
        <w:rPr>
          <w:rFonts w:ascii="Arial" w:hAnsi="Arial" w:cs="Arial"/>
          <w:color w:val="000000"/>
          <w:sz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0" w:name="_11.2.14_Effect_of"/>
      <w:bookmarkEnd w:id="620"/>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18"/>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Tiburcy &amp; Ors</w:t>
      </w:r>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Chernov JA in </w:t>
      </w:r>
      <w:r w:rsidRPr="001C6E0E">
        <w:rPr>
          <w:rFonts w:ascii="Arial" w:hAnsi="Arial" w:cs="Arial"/>
          <w:i/>
          <w:color w:val="000000"/>
          <w:sz w:val="20"/>
        </w:rPr>
        <w:t>R v Cockerell</w:t>
      </w:r>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r w:rsidRPr="001C6E0E">
        <w:rPr>
          <w:rFonts w:ascii="Arial" w:hAnsi="Arial" w:cs="Arial"/>
          <w:i/>
          <w:color w:val="000000"/>
          <w:sz w:val="20"/>
        </w:rPr>
        <w:t xml:space="preserve">Schwabegger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Nikodjevic</w:t>
      </w:r>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21" w:name="JD_BC200408427fntxt9ref"/>
      <w:bookmarkEnd w:id="621"/>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22" w:name="JD_BC200408427fntxt10ref"/>
      <w:bookmarkEnd w:id="622"/>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23" w:name="JD_BC200408427fntxt11ref"/>
      <w:bookmarkEnd w:id="623"/>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w:t>
      </w:r>
      <w:r w:rsidRPr="001C6E0E">
        <w:rPr>
          <w:rFonts w:ascii="Arial" w:hAnsi="Arial" w:cs="Arial"/>
          <w:color w:val="000000"/>
          <w:sz w:val="20"/>
          <w:szCs w:val="20"/>
        </w:rPr>
        <w:lastRenderedPageBreak/>
        <w:t xml:space="preserve">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t xml:space="preserve">[22] </w:t>
      </w:r>
      <w:r w:rsidR="00BF52E5" w:rsidRPr="001C6E0E">
        <w:rPr>
          <w:rFonts w:ascii="Arial" w:hAnsi="Arial" w:cs="Arial"/>
          <w:color w:val="000000"/>
          <w:sz w:val="20"/>
        </w:rPr>
        <w:t>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City">
        <w:smartTag w:uri="urn:schemas-microsoft-com:office:smarttags" w:element="place">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R v Nikodjevic</w:t>
      </w:r>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[2007] VSCA 1 Maxwell P (with whom Chernov JA &amp; Habersberger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Schwabegger loc cit; R v Cockerell </w:t>
      </w:r>
      <w:r w:rsidR="002E4C49" w:rsidRPr="002E4C49">
        <w:rPr>
          <w:rFonts w:ascii="Arial" w:hAnsi="Arial" w:cs="Arial"/>
          <w:sz w:val="20"/>
          <w:szCs w:val="20"/>
        </w:rPr>
        <w:t xml:space="preserve">(2001) 126 A Crim R 444 at 447 [10] per Chernov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Schwabegger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Cockerell </w:t>
      </w:r>
      <w:r w:rsidR="00CB6FFC" w:rsidRPr="001C6E0E">
        <w:rPr>
          <w:rFonts w:ascii="Arial" w:hAnsi="Arial" w:cs="Arial"/>
          <w:color w:val="000000"/>
          <w:sz w:val="20"/>
        </w:rPr>
        <w:t>(2001) 126 A Crim R 444 at [10] per Chernov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r w:rsidRPr="00BE448B">
        <w:rPr>
          <w:rFonts w:ascii="Arial" w:hAnsi="Arial" w:cs="Arial"/>
          <w:i/>
          <w:color w:val="000000"/>
          <w:sz w:val="20"/>
          <w:szCs w:val="20"/>
        </w:rPr>
        <w:t>Stalio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w:t>
      </w:r>
      <w:r w:rsidRPr="00BE448B">
        <w:rPr>
          <w:rFonts w:ascii="Arial" w:hAnsi="Arial" w:cs="Arial"/>
          <w:sz w:val="20"/>
          <w:szCs w:val="20"/>
        </w:rPr>
        <w:lastRenderedPageBreak/>
        <w:t xml:space="preserve">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1A3A1DEB" w:rsidR="00BF52E5" w:rsidRPr="00F761AA" w:rsidRDefault="00BF52E5" w:rsidP="00246EA3">
      <w:pPr>
        <w:jc w:val="both"/>
        <w:rPr>
          <w:rFonts w:ascii="Arial" w:hAnsi="Arial" w:cs="Arial"/>
          <w:color w:val="000000"/>
          <w:sz w:val="20"/>
          <w:szCs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R v Lanteri</w:t>
      </w:r>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R v Tezer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R v Cavkic, Athanasi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Zancan</w:t>
      </w:r>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C53DC9" w:rsidRPr="00C53DC9">
        <w:rPr>
          <w:rFonts w:ascii="Arial" w:hAnsi="Arial" w:cs="Arial"/>
          <w:i/>
          <w:iCs/>
          <w:color w:val="000000"/>
          <w:sz w:val="20"/>
        </w:rPr>
        <w:t>Talia v The Queen</w:t>
      </w:r>
      <w:r w:rsidR="00C53DC9">
        <w:rPr>
          <w:rFonts w:ascii="Arial" w:hAnsi="Arial" w:cs="Arial"/>
          <w:color w:val="000000"/>
          <w:sz w:val="20"/>
        </w:rPr>
        <w:t xml:space="preserve"> [2009] VSCA 260 at [22];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R v Chandler &amp; Paksoy</w:t>
      </w:r>
      <w:r w:rsidR="005E57C5" w:rsidRPr="001C6E0E">
        <w:rPr>
          <w:rFonts w:ascii="Arial" w:hAnsi="Arial" w:cs="Arial"/>
          <w:color w:val="000000"/>
          <w:sz w:val="20"/>
        </w:rPr>
        <w:t xml:space="preserve"> [2010] VSCA 338 at [16]</w:t>
      </w:r>
      <w:r w:rsidR="00C53DC9">
        <w:rPr>
          <w:rFonts w:ascii="Arial" w:hAnsi="Arial" w:cs="Arial"/>
          <w:color w:val="000000"/>
          <w:sz w:val="20"/>
        </w:rPr>
        <w:t>-[19]</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r w:rsidR="00C53DC9" w:rsidRPr="00C53DC9">
        <w:rPr>
          <w:rFonts w:ascii="Arial" w:hAnsi="Arial" w:cs="Arial"/>
          <w:i/>
          <w:iCs/>
          <w:color w:val="000000"/>
          <w:sz w:val="20"/>
        </w:rPr>
        <w:t>Arthars v The Queen</w:t>
      </w:r>
      <w:r w:rsidR="00C53DC9">
        <w:rPr>
          <w:rFonts w:ascii="Arial" w:hAnsi="Arial" w:cs="Arial"/>
          <w:color w:val="000000"/>
          <w:sz w:val="20"/>
        </w:rPr>
        <w:t xml:space="preserve"> (2013) 39 VR 613, 628</w:t>
      </w:r>
      <w:r w:rsidR="00E02FBC">
        <w:rPr>
          <w:rFonts w:ascii="Arial" w:hAnsi="Arial" w:cs="Arial"/>
          <w:color w:val="000000"/>
          <w:sz w:val="20"/>
        </w:rPr>
        <w:t xml:space="preserve"> </w:t>
      </w:r>
      <w:r w:rsidR="00C53DC9">
        <w:rPr>
          <w:rFonts w:ascii="Arial" w:hAnsi="Arial" w:cs="Arial"/>
          <w:color w:val="000000"/>
          <w:sz w:val="20"/>
        </w:rPr>
        <w:t xml:space="preserve">[28];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C53DC9" w:rsidRPr="00C53DC9">
        <w:rPr>
          <w:rFonts w:ascii="Arial" w:hAnsi="Arial" w:cs="Arial"/>
          <w:i/>
          <w:iCs/>
          <w:color w:val="000000"/>
          <w:sz w:val="20"/>
        </w:rPr>
        <w:t>Hicks v The Queen</w:t>
      </w:r>
      <w:r w:rsidR="00C53DC9">
        <w:rPr>
          <w:rFonts w:ascii="Arial" w:hAnsi="Arial" w:cs="Arial"/>
          <w:color w:val="000000"/>
          <w:sz w:val="20"/>
        </w:rPr>
        <w:t xml:space="preserve"> [2016] VSCA 154 at [23];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C53DC9" w:rsidRPr="00C53DC9">
        <w:rPr>
          <w:rFonts w:ascii="Arial" w:hAnsi="Arial" w:cs="Arial"/>
          <w:i/>
          <w:iCs/>
          <w:color w:val="000000"/>
          <w:sz w:val="20"/>
          <w:szCs w:val="20"/>
        </w:rPr>
        <w:t>Arthur v The Queen</w:t>
      </w:r>
      <w:r w:rsidR="00C53DC9">
        <w:rPr>
          <w:rFonts w:ascii="Arial" w:hAnsi="Arial" w:cs="Arial"/>
          <w:color w:val="000000"/>
          <w:sz w:val="20"/>
          <w:szCs w:val="20"/>
        </w:rPr>
        <w:t xml:space="preserve"> [2018] VSCA 58 at [33];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r w:rsidR="0081049C" w:rsidRPr="0081049C">
        <w:rPr>
          <w:rFonts w:ascii="Arial" w:hAnsi="Arial" w:cs="Arial"/>
          <w:i/>
          <w:iCs/>
          <w:color w:val="000000"/>
          <w:sz w:val="20"/>
        </w:rPr>
        <w:t>Nicos Kir</w:t>
      </w:r>
      <w:r w:rsidR="0081049C">
        <w:rPr>
          <w:rFonts w:ascii="Arial" w:hAnsi="Arial" w:cs="Arial"/>
          <w:i/>
          <w:iCs/>
          <w:color w:val="000000"/>
          <w:sz w:val="20"/>
        </w:rPr>
        <w:t>i</w:t>
      </w:r>
      <w:r w:rsidR="0081049C" w:rsidRPr="0081049C">
        <w:rPr>
          <w:rFonts w:ascii="Arial" w:hAnsi="Arial" w:cs="Arial"/>
          <w:i/>
          <w:iCs/>
          <w:color w:val="000000"/>
          <w:sz w:val="20"/>
        </w:rPr>
        <w:t xml:space="preserve">l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24"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24"/>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 at [27]-[28] &amp; [38]-[39]</w:t>
      </w:r>
      <w:r w:rsidR="00933A1B">
        <w:rPr>
          <w:rFonts w:ascii="Arial" w:hAnsi="Arial" w:cs="Arial"/>
          <w:color w:val="000000"/>
          <w:sz w:val="20"/>
          <w:szCs w:val="20"/>
        </w:rPr>
        <w:t xml:space="preserve">; </w:t>
      </w:r>
      <w:r w:rsidR="00933A1B" w:rsidRPr="00D10746">
        <w:rPr>
          <w:rFonts w:ascii="Arial" w:hAnsi="Arial" w:cs="Arial"/>
          <w:i/>
          <w:iCs/>
          <w:color w:val="000000"/>
          <w:sz w:val="20"/>
        </w:rPr>
        <w:t>DPP</w:t>
      </w:r>
      <w:r w:rsidR="00933A1B">
        <w:rPr>
          <w:rFonts w:ascii="Arial" w:hAnsi="Arial" w:cs="Arial"/>
          <w:i/>
          <w:iCs/>
          <w:color w:val="000000"/>
          <w:sz w:val="20"/>
        </w:rPr>
        <w:t> </w:t>
      </w:r>
      <w:r w:rsidR="00933A1B" w:rsidRPr="00D10746">
        <w:rPr>
          <w:rFonts w:ascii="Arial" w:hAnsi="Arial" w:cs="Arial"/>
          <w:i/>
          <w:iCs/>
          <w:color w:val="000000"/>
          <w:sz w:val="20"/>
        </w:rPr>
        <w:t>v Mathiei &amp; Ors</w:t>
      </w:r>
      <w:r w:rsidR="00933A1B">
        <w:rPr>
          <w:rFonts w:ascii="Arial" w:hAnsi="Arial" w:cs="Arial"/>
          <w:color w:val="000000"/>
          <w:sz w:val="20"/>
        </w:rPr>
        <w:t xml:space="preserve"> [2023] VSC 123 at [142]-[143]</w:t>
      </w:r>
      <w:r w:rsidR="003E00DE">
        <w:rPr>
          <w:rFonts w:ascii="Arial" w:hAnsi="Arial" w:cs="Arial"/>
          <w:color w:val="000000"/>
          <w:sz w:val="20"/>
        </w:rPr>
        <w:t xml:space="preserve">; </w:t>
      </w:r>
      <w:r w:rsidR="00722A3F" w:rsidRPr="00773BC3">
        <w:rPr>
          <w:rFonts w:ascii="Arial" w:hAnsi="Arial" w:cs="Arial"/>
          <w:i/>
          <w:iCs/>
          <w:sz w:val="20"/>
          <w:szCs w:val="20"/>
        </w:rPr>
        <w:t>DPP v Harvey</w:t>
      </w:r>
      <w:r w:rsidR="00722A3F">
        <w:rPr>
          <w:rFonts w:ascii="Arial" w:hAnsi="Arial" w:cs="Arial"/>
          <w:sz w:val="20"/>
          <w:szCs w:val="20"/>
        </w:rPr>
        <w:t xml:space="preserve"> [2023] VSCA 234 at [53]-[55]</w:t>
      </w:r>
      <w:r w:rsidR="00977C47">
        <w:rPr>
          <w:rFonts w:ascii="Arial" w:hAnsi="Arial" w:cs="Arial"/>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[44]-[49]</w:t>
      </w:r>
      <w:r w:rsidR="00C53DC9">
        <w:rPr>
          <w:rFonts w:ascii="Arial" w:hAnsi="Arial" w:cs="Arial"/>
          <w:sz w:val="20"/>
          <w:szCs w:val="20"/>
        </w:rPr>
        <w:t xml:space="preserve">; </w:t>
      </w:r>
      <w:r w:rsidR="00C53DC9" w:rsidRPr="00C53DC9">
        <w:rPr>
          <w:rFonts w:ascii="Arial" w:hAnsi="Arial" w:cs="Arial"/>
          <w:i/>
          <w:iCs/>
          <w:sz w:val="20"/>
          <w:szCs w:val="20"/>
        </w:rPr>
        <w:t>Weatherburn v The King</w:t>
      </w:r>
      <w:r w:rsidR="00C53DC9">
        <w:rPr>
          <w:rFonts w:ascii="Arial" w:hAnsi="Arial" w:cs="Arial"/>
          <w:sz w:val="20"/>
          <w:szCs w:val="20"/>
        </w:rPr>
        <w:t xml:space="preserve"> [2023] VSCA 283 at </w:t>
      </w:r>
      <w:r w:rsidR="00C53DC9" w:rsidRPr="00F761AA">
        <w:rPr>
          <w:rFonts w:ascii="Arial" w:hAnsi="Arial" w:cs="Arial"/>
          <w:sz w:val="20"/>
          <w:szCs w:val="20"/>
        </w:rPr>
        <w:t>[37]-[50]</w:t>
      </w:r>
      <w:r w:rsidR="00F761AA" w:rsidRPr="00F761AA">
        <w:rPr>
          <w:rFonts w:ascii="Arial" w:hAnsi="Arial" w:cs="Arial"/>
          <w:sz w:val="20"/>
          <w:szCs w:val="20"/>
        </w:rPr>
        <w:t xml:space="preserve">; </w:t>
      </w:r>
      <w:bookmarkStart w:id="625" w:name="_Hlk163800836"/>
      <w:r w:rsidR="00F761AA" w:rsidRPr="00F761AA">
        <w:rPr>
          <w:rFonts w:ascii="Arial" w:hAnsi="Arial" w:cs="Arial"/>
          <w:i/>
          <w:iCs/>
          <w:sz w:val="20"/>
          <w:szCs w:val="20"/>
          <w:lang w:val="en-US"/>
        </w:rPr>
        <w:t>Barbaro v The King</w:t>
      </w:r>
      <w:r w:rsidR="00F761AA" w:rsidRPr="00F761AA">
        <w:rPr>
          <w:rFonts w:ascii="Arial" w:hAnsi="Arial" w:cs="Arial"/>
          <w:sz w:val="20"/>
          <w:szCs w:val="20"/>
          <w:lang w:val="en-US"/>
        </w:rPr>
        <w:t xml:space="preserve"> [2024] VSCA 54 at [23]</w:t>
      </w:r>
      <w:r w:rsidR="00F761AA">
        <w:rPr>
          <w:rFonts w:ascii="Arial" w:hAnsi="Arial" w:cs="Arial"/>
          <w:sz w:val="20"/>
          <w:szCs w:val="20"/>
          <w:lang w:val="en-US"/>
        </w:rPr>
        <w:t>-</w:t>
      </w:r>
      <w:r w:rsidR="00F761AA" w:rsidRPr="00F761AA">
        <w:rPr>
          <w:rFonts w:ascii="Arial" w:hAnsi="Arial" w:cs="Arial"/>
          <w:sz w:val="20"/>
          <w:szCs w:val="20"/>
          <w:lang w:val="en-US"/>
        </w:rPr>
        <w:t>[48]</w:t>
      </w:r>
      <w:r w:rsidR="00AA3B60">
        <w:rPr>
          <w:rFonts w:ascii="Arial" w:hAnsi="Arial" w:cs="Arial"/>
          <w:sz w:val="20"/>
          <w:szCs w:val="20"/>
          <w:lang w:val="en-US"/>
        </w:rPr>
        <w:t xml:space="preserve">; </w:t>
      </w:r>
      <w:r w:rsidR="00AA3B60" w:rsidRPr="00AA3B60">
        <w:rPr>
          <w:rFonts w:ascii="Arial" w:hAnsi="Arial" w:cs="Arial"/>
          <w:i/>
          <w:iCs/>
          <w:sz w:val="20"/>
          <w:szCs w:val="20"/>
          <w:lang w:val="en-US"/>
        </w:rPr>
        <w:t>Tori v The King</w:t>
      </w:r>
      <w:r w:rsidR="00AA3B60">
        <w:rPr>
          <w:rFonts w:ascii="Arial" w:hAnsi="Arial" w:cs="Arial"/>
          <w:sz w:val="20"/>
          <w:szCs w:val="20"/>
          <w:lang w:val="en-US"/>
        </w:rPr>
        <w:t xml:space="preserve"> [2024] VSCA 162, [32]</w:t>
      </w:r>
      <w:r w:rsidR="00AA3B60">
        <w:rPr>
          <w:rFonts w:ascii="Arial" w:hAnsi="Arial" w:cs="Arial"/>
          <w:sz w:val="20"/>
          <w:szCs w:val="20"/>
          <w:lang w:val="en-US"/>
        </w:rPr>
        <w:noBreakHyphen/>
        <w:t>[37]</w:t>
      </w:r>
      <w:r w:rsidR="00F761AA" w:rsidRPr="00F761AA">
        <w:rPr>
          <w:rFonts w:ascii="Arial" w:hAnsi="Arial" w:cs="Arial"/>
          <w:sz w:val="20"/>
          <w:szCs w:val="20"/>
          <w:lang w:val="en-US"/>
        </w:rPr>
        <w:t>.</w:t>
      </w:r>
      <w:bookmarkEnd w:id="625"/>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6" w:name="_11.2.15_Relevance_of"/>
      <w:bookmarkStart w:id="627" w:name="_Toc107101759"/>
      <w:bookmarkEnd w:id="626"/>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612"/>
      <w:bookmarkEnd w:id="627"/>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Raddino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Luong &amp; Ors</w:t>
      </w:r>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Winneke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Chernov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(1994) 74 A Crim R 252, Southwell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r w:rsidRPr="001C6E0E">
        <w:rPr>
          <w:rFonts w:ascii="Arial" w:hAnsi="Arial" w:cs="Arial"/>
          <w:i/>
          <w:color w:val="000000"/>
          <w:sz w:val="20"/>
          <w:szCs w:val="20"/>
        </w:rPr>
        <w:t>Dawsan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lastRenderedPageBreak/>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R v Dawsan</w:t>
      </w:r>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Bulfin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Winneke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Pr="001C6E0E"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3BD1384A" w:rsidR="0083434A" w:rsidRDefault="004660CF" w:rsidP="00990324">
      <w:pPr>
        <w:jc w:val="both"/>
        <w:rPr>
          <w:rFonts w:ascii="Arial" w:hAnsi="Arial" w:cs="Arial"/>
          <w:bCs/>
          <w:color w:val="000000"/>
          <w:sz w:val="20"/>
        </w:rPr>
      </w:pPr>
      <w:r w:rsidRPr="001C6E0E">
        <w:rPr>
          <w:rFonts w:ascii="Arial" w:hAnsi="Arial" w:cs="Arial"/>
          <w:color w:val="000000"/>
          <w:sz w:val="20"/>
        </w:rPr>
        <w:t xml:space="preserve">See </w:t>
      </w:r>
      <w:r w:rsidRPr="001C6E0E">
        <w:rPr>
          <w:rFonts w:ascii="Arial" w:hAnsi="Arial" w:cs="Arial"/>
          <w:bCs/>
          <w:i/>
          <w:color w:val="000000"/>
          <w:sz w:val="20"/>
        </w:rPr>
        <w:t>R v Yi Yi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8" w:name="_11.2.16_Relevance_of"/>
      <w:bookmarkStart w:id="629" w:name="_Toc107101760"/>
      <w:bookmarkEnd w:id="628"/>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29"/>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“[E]ven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w:t>
      </w:r>
      <w:r w:rsidRPr="001C6E0E">
        <w:rPr>
          <w:rFonts w:ascii="Arial" w:hAnsi="Arial" w:cs="Arial"/>
          <w:color w:val="000000"/>
          <w:sz w:val="20"/>
        </w:rPr>
        <w:lastRenderedPageBreak/>
        <w:t>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Eastway </w:t>
      </w:r>
      <w:r w:rsidRPr="001C6E0E">
        <w:rPr>
          <w:rFonts w:ascii="Arial" w:hAnsi="Arial" w:cs="Arial"/>
          <w:color w:val="000000"/>
          <w:sz w:val="20"/>
        </w:rPr>
        <w:t>NSWCCA, 19/05/1992; BC 9202732 at 7.  He had the choice to remain in custody or to go fee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Winneke P pointed out in </w:t>
      </w:r>
      <w:r w:rsidRPr="001C6E0E">
        <w:rPr>
          <w:rFonts w:ascii="Arial" w:hAnsi="Arial" w:cs="Arial"/>
          <w:i/>
          <w:color w:val="000000"/>
          <w:sz w:val="20"/>
          <w:szCs w:val="20"/>
        </w:rPr>
        <w:t xml:space="preserve">R v Reddrop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Taslik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place">
        <w:smartTag w:uri="urn:schemas-microsoft-com:office:smarttags" w:element="City">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3A2A23" w:rsidRDefault="007C1E6E"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  The motive for the commission of the crimes was the appellant</w:t>
      </w:r>
      <w:r w:rsidR="005B2ED9" w:rsidRPr="003A2A23">
        <w:rPr>
          <w:rFonts w:ascii="Arial" w:hAnsi="Arial" w:cs="Arial"/>
          <w:color w:val="000000"/>
          <w:sz w:val="18"/>
          <w:szCs w:val="18"/>
        </w:rPr>
        <w:t>s’</w:t>
      </w:r>
      <w:r w:rsidRPr="003A2A23">
        <w:rPr>
          <w:rFonts w:ascii="Arial" w:hAnsi="Arial" w:cs="Arial"/>
          <w:color w:val="000000"/>
          <w:sz w:val="18"/>
          <w:szCs w:val="18"/>
        </w:rPr>
        <w:t xml:space="preserve"> need for money with which to buy heroin to feed their addiction.  According to the Court of Criminal Appeal in </w:t>
      </w:r>
      <w:smartTag w:uri="urn:schemas-microsoft-com:office:smarttags" w:element="place">
        <w:smartTag w:uri="urn:schemas-microsoft-com:office:smarttags" w:element="State">
          <w:r w:rsidRPr="003A2A23">
            <w:rPr>
              <w:rFonts w:ascii="Arial" w:hAnsi="Arial" w:cs="Arial"/>
              <w:color w:val="000000"/>
              <w:sz w:val="18"/>
              <w:szCs w:val="18"/>
            </w:rPr>
            <w:t>New South Wales</w:t>
          </w:r>
        </w:smartTag>
      </w:smartTag>
      <w:r w:rsidRPr="003A2A23">
        <w:rPr>
          <w:rFonts w:ascii="Arial" w:hAnsi="Arial" w:cs="Arial"/>
          <w:color w:val="000000"/>
          <w:sz w:val="18"/>
          <w:szCs w:val="18"/>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lastRenderedPageBreak/>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Spigelman CJ said:</w:t>
      </w:r>
    </w:p>
    <w:p w14:paraId="63E5B305" w14:textId="77777777" w:rsidR="005B2ED9" w:rsidRPr="003A2A23" w:rsidRDefault="005B2ED9"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30" w:name="para13"/>
      <w:bookmarkEnd w:id="630"/>
      <w:r w:rsidRPr="001C6E0E">
        <w:rPr>
          <w:rFonts w:ascii="Arial" w:hAnsi="Arial" w:cs="Arial"/>
          <w:color w:val="000000"/>
          <w:sz w:val="20"/>
        </w:rPr>
        <w:t xml:space="preserve">[20] </w:t>
      </w:r>
      <w:r w:rsidRPr="001C6E0E">
        <w:rPr>
          <w:rFonts w:ascii="Arial" w:hAnsi="Arial" w:cs="Arial"/>
          <w:color w:val="000000"/>
          <w:sz w:val="20"/>
          <w:lang w:eastAsia="en-AU"/>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Jamel Mohtadi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R v Koumis</w:t>
      </w:r>
      <w:r>
        <w:rPr>
          <w:rFonts w:ascii="Arial" w:hAnsi="Arial" w:cs="Arial"/>
          <w:color w:val="000000"/>
          <w:sz w:val="20"/>
        </w:rPr>
        <w:t xml:space="preserve"> (2008) 18 VR 434, the Court analysed the relevance of an offender’s drug addiction to the issue of moral culpability, stating at [53], [56]:</w:t>
      </w:r>
    </w:p>
    <w:p w14:paraId="79CAFA6C" w14:textId="0B93E1D3" w:rsidR="00AF0A56" w:rsidRDefault="00F57504" w:rsidP="00E31619">
      <w:pPr>
        <w:spacing w:before="80"/>
        <w:ind w:left="1134" w:right="1134"/>
        <w:jc w:val="both"/>
        <w:rPr>
          <w:sz w:val="22"/>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r w:rsidR="00E31619">
        <w:rPr>
          <w:rFonts w:ascii="Arial" w:hAnsi="Arial" w:cs="Arial"/>
          <w:sz w:val="18"/>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Katelis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As noted, the applicant’s offending was well above that of a street level driven by desperation to traffick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R v Giannioudis</w:t>
      </w:r>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083C08E7" w:rsidR="006764DC" w:rsidRDefault="006764DC" w:rsidP="006764DC">
      <w:pPr>
        <w:jc w:val="both"/>
        <w:rPr>
          <w:rFonts w:ascii="Arial" w:hAnsi="Arial" w:cs="Arial"/>
          <w:sz w:val="20"/>
          <w:szCs w:val="20"/>
          <w:lang w:eastAsia="en-AU"/>
        </w:rPr>
      </w:pPr>
    </w:p>
    <w:p w14:paraId="31068887" w14:textId="254969A7" w:rsidR="00D04885" w:rsidRPr="00C53DC9" w:rsidRDefault="00D04885" w:rsidP="00C53DC9">
      <w:pPr>
        <w:spacing w:after="120"/>
        <w:rPr>
          <w:rFonts w:ascii="Arial" w:hAnsi="Arial" w:cs="Arial"/>
          <w:sz w:val="20"/>
          <w:szCs w:val="20"/>
          <w:lang w:eastAsia="en-AU"/>
        </w:rPr>
      </w:pPr>
      <w:bookmarkStart w:id="631" w:name="_11.2.17_Relevance_of"/>
      <w:bookmarkStart w:id="632" w:name="_Toc107101761"/>
      <w:bookmarkEnd w:id="631"/>
      <w:r w:rsidRPr="001C6E0E">
        <w:rPr>
          <w:rFonts w:ascii="Arial" w:hAnsi="Arial" w:cs="Arial"/>
          <w:b/>
          <w:bCs/>
          <w:color w:val="000000"/>
          <w:sz w:val="20"/>
        </w:rPr>
        <w:t>11.2.17</w:t>
      </w:r>
      <w:r w:rsidRPr="001C6E0E">
        <w:rPr>
          <w:rFonts w:ascii="Arial" w:hAnsi="Arial" w:cs="Arial"/>
          <w:b/>
          <w:bCs/>
          <w:color w:val="000000"/>
          <w:sz w:val="20"/>
        </w:rPr>
        <w:tab/>
        <w:t>Relevance of intoxication</w:t>
      </w:r>
      <w:r w:rsidR="00F35D0B">
        <w:rPr>
          <w:rFonts w:ascii="Arial" w:hAnsi="Arial" w:cs="Arial"/>
          <w:b/>
          <w:bCs/>
          <w:color w:val="000000"/>
          <w:sz w:val="20"/>
        </w:rPr>
        <w:t>/</w:t>
      </w:r>
      <w:r w:rsidR="00997A0B">
        <w:rPr>
          <w:rFonts w:ascii="Arial" w:hAnsi="Arial" w:cs="Arial"/>
          <w:b/>
          <w:bCs/>
          <w:color w:val="000000"/>
          <w:sz w:val="20"/>
        </w:rPr>
        <w:t>drug</w:t>
      </w:r>
      <w:r w:rsidR="00AC4840">
        <w:rPr>
          <w:rFonts w:ascii="Arial" w:hAnsi="Arial" w:cs="Arial"/>
          <w:b/>
          <w:bCs/>
          <w:color w:val="000000"/>
          <w:sz w:val="20"/>
        </w:rPr>
        <w:t xml:space="preserve"> </w:t>
      </w:r>
      <w:r w:rsidR="001E4D5B">
        <w:rPr>
          <w:rFonts w:ascii="Arial" w:hAnsi="Arial" w:cs="Arial"/>
          <w:b/>
          <w:bCs/>
          <w:color w:val="000000"/>
          <w:sz w:val="20"/>
        </w:rPr>
        <w:t>ingestion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place">
        <w:smartTag w:uri="urn:schemas-microsoft-com:office:smarttags" w:element="City">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a matter which will generally, let alone always, go in mitigation.  I refer particularly to the judgment of Hayne JA (with whom Southwell AJA substantially agreed) in </w:t>
      </w:r>
      <w:smartTag w:uri="urn:schemas-microsoft-com:office:smarttags" w:element="City">
        <w:smartTag w:uri="urn:schemas-microsoft-com:office:smarttags" w:element="place">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Leng Khem</w:t>
      </w:r>
      <w:r w:rsidRPr="001C6E0E">
        <w:rPr>
          <w:rFonts w:ascii="Arial" w:hAnsi="Arial" w:cs="Arial"/>
          <w:color w:val="000000"/>
          <w:sz w:val="20"/>
        </w:rPr>
        <w:t xml:space="preserve"> [2008] VSCA 136 at [36]-[40], Pagone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74 at [15]-[16] per Vincent JA with whom Ashley &amp; Dodds-Street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City">
        <w:smartTag w:uri="urn:schemas-microsoft-com:office:smarttags" w:element="place">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 xml:space="preserve">[2010] VSCA 352 at [20]–[35] the Court of Appeal (Maxwell P, Redlich &amp; Harper JJA) reviewed the state of the law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R v Rosenberger; ex parte Attorney-General (Qld)</w:t>
      </w:r>
      <w:r w:rsidR="001A26E7" w:rsidRPr="001C6E0E">
        <w:rPr>
          <w:rFonts w:ascii="Arial" w:hAnsi="Arial" w:cs="Arial"/>
          <w:color w:val="000000"/>
          <w:sz w:val="20"/>
          <w:szCs w:val="20"/>
        </w:rPr>
        <w:t xml:space="preserve"> [1995] 1 Qd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 xml:space="preserve">R v </w:t>
      </w:r>
      <w:r w:rsidR="001A26E7" w:rsidRPr="001C6E0E">
        <w:rPr>
          <w:rFonts w:ascii="Arial" w:hAnsi="Arial" w:cs="Arial"/>
          <w:i/>
          <w:color w:val="000000"/>
          <w:sz w:val="20"/>
          <w:szCs w:val="20"/>
        </w:rPr>
        <w:lastRenderedPageBreak/>
        <w:t>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Winneke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Arvanitidis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Shafik-Eid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C1FD512" w14:textId="77777777" w:rsidR="00302CF8" w:rsidRPr="001C6E0E" w:rsidRDefault="00330691" w:rsidP="00302CF8">
      <w:pPr>
        <w:jc w:val="both"/>
        <w:rPr>
          <w:rFonts w:ascii="Arial" w:hAnsi="Arial" w:cs="Arial"/>
          <w:color w:val="000000"/>
          <w:sz w:val="20"/>
          <w:szCs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2E2D6E">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 xml:space="preserve">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w:t>
      </w:r>
      <w:r w:rsidRPr="00F86035">
        <w:rPr>
          <w:rFonts w:ascii="Arial" w:hAnsi="Arial" w:cs="Arial"/>
          <w:color w:val="000000"/>
          <w:sz w:val="20"/>
          <w:szCs w:val="20"/>
        </w:rPr>
        <w:lastRenderedPageBreak/>
        <w:t>to the Liu family was powerful.  I am prepared to say in your case that intoxication does reduce your moral culpability, but that has to be seen in the light of the very clear resentment that you bore to [the victim].”</w:t>
      </w:r>
    </w:p>
    <w:p w14:paraId="6F5A56C2" w14:textId="77777777" w:rsidR="00302CF8" w:rsidRDefault="00302CF8" w:rsidP="00302CF8">
      <w:pPr>
        <w:spacing w:before="120"/>
        <w:jc w:val="both"/>
        <w:rPr>
          <w:rFonts w:ascii="Arial" w:hAnsi="Arial" w:cs="Arial"/>
          <w:color w:val="000000"/>
          <w:sz w:val="20"/>
        </w:rPr>
      </w:pPr>
    </w:p>
    <w:p w14:paraId="63232821" w14:textId="2CE8859B" w:rsidR="00302CF8" w:rsidRPr="001C6E0E" w:rsidRDefault="004E764E" w:rsidP="00DD7C8D">
      <w:pPr>
        <w:keepNext/>
        <w:keepLines/>
        <w:jc w:val="both"/>
        <w:rPr>
          <w:rFonts w:ascii="Arial" w:hAnsi="Arial" w:cs="Arial"/>
          <w:color w:val="000000"/>
          <w:sz w:val="20"/>
          <w:szCs w:val="20"/>
        </w:rPr>
      </w:pPr>
      <w:r>
        <w:rPr>
          <w:rFonts w:ascii="Arial" w:hAnsi="Arial" w:cs="Arial"/>
          <w:color w:val="000000"/>
          <w:sz w:val="20"/>
        </w:rPr>
        <w:t xml:space="preserve">In </w:t>
      </w:r>
      <w:r w:rsidRPr="00E31619">
        <w:rPr>
          <w:rFonts w:ascii="Arial" w:hAnsi="Arial" w:cs="Arial"/>
          <w:i/>
          <w:iCs/>
          <w:color w:val="000000"/>
          <w:sz w:val="20"/>
        </w:rPr>
        <w:t>R v Martin</w:t>
      </w:r>
      <w:r w:rsidRPr="00E31619">
        <w:rPr>
          <w:rFonts w:ascii="Arial" w:hAnsi="Arial" w:cs="Arial"/>
          <w:color w:val="000000"/>
          <w:sz w:val="20"/>
        </w:rPr>
        <w:t xml:space="preserve"> </w:t>
      </w:r>
      <w:r>
        <w:rPr>
          <w:rFonts w:ascii="Arial" w:hAnsi="Arial" w:cs="Arial"/>
          <w:color w:val="000000"/>
          <w:sz w:val="20"/>
        </w:rPr>
        <w:t>[2007] VSCA 291 the Court of Appeal (Maxwell P, Nettle &amp; Redlich JJA) said at [19]-[21]:</w:t>
      </w:r>
    </w:p>
    <w:p w14:paraId="4DCC0470" w14:textId="77777777" w:rsidR="004E764E" w:rsidRDefault="004E764E" w:rsidP="004E764E">
      <w:pPr>
        <w:spacing w:before="60"/>
        <w:ind w:left="567" w:right="567"/>
        <w:jc w:val="both"/>
        <w:rPr>
          <w:rFonts w:ascii="Arial" w:hAnsi="Arial" w:cs="Arial"/>
          <w:sz w:val="20"/>
          <w:szCs w:val="16"/>
        </w:rPr>
      </w:pPr>
      <w:r>
        <w:rPr>
          <w:rFonts w:ascii="Arial" w:hAnsi="Arial" w:cs="Arial"/>
          <w:color w:val="000000"/>
          <w:sz w:val="20"/>
        </w:rPr>
        <w:t>“</w:t>
      </w:r>
      <w:r w:rsidRPr="004E764E">
        <w:rPr>
          <w:rFonts w:ascii="Arial" w:hAnsi="Arial" w:cs="Arial"/>
          <w:sz w:val="20"/>
          <w:szCs w:val="16"/>
        </w:rPr>
        <w:t>We respectfully agree with his Honour’s conclusion that, in the circumstances of this case, the applicant’s moral culpability is not reduced by reason of his psychotic state.  We would not, however, endorse the general proposition which underpins this conclusion – that psychosis (or other mental illness) which is drug induced can never be a mitigating factor because it is the result of the offender’s own (illegal) act.</w:t>
      </w:r>
    </w:p>
    <w:p w14:paraId="26D31BC6" w14:textId="77E2979E" w:rsidR="004E764E" w:rsidRDefault="004E764E" w:rsidP="004E764E">
      <w:pPr>
        <w:spacing w:before="60"/>
        <w:ind w:left="567" w:right="567"/>
        <w:jc w:val="both"/>
        <w:rPr>
          <w:rFonts w:ascii="Arial" w:hAnsi="Arial" w:cs="Arial"/>
          <w:sz w:val="20"/>
          <w:szCs w:val="16"/>
        </w:rPr>
      </w:pPr>
      <w:r w:rsidRPr="004E764E">
        <w:rPr>
          <w:rFonts w:ascii="Arial" w:hAnsi="Arial" w:cs="Arial"/>
          <w:sz w:val="20"/>
          <w:szCs w:val="16"/>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4E764E">
        <w:rPr>
          <w:rFonts w:ascii="Arial" w:hAnsi="Arial" w:cs="Arial"/>
          <w:i/>
          <w:sz w:val="20"/>
          <w:szCs w:val="16"/>
        </w:rPr>
        <w:t>Sebalj</w:t>
      </w:r>
      <w:r w:rsidRPr="004E764E">
        <w:rPr>
          <w:rFonts w:ascii="Arial" w:hAnsi="Arial" w:cs="Arial"/>
          <w:sz w:val="20"/>
          <w:szCs w:val="16"/>
        </w:rPr>
        <w:t xml:space="preserve"> </w:t>
      </w:r>
      <w:r w:rsidRPr="001C6E0E">
        <w:rPr>
          <w:rFonts w:ascii="Arial" w:hAnsi="Arial" w:cs="Arial"/>
          <w:color w:val="000000"/>
          <w:sz w:val="20"/>
        </w:rPr>
        <w:t xml:space="preserve">[2006] VSCA 106 </w:t>
      </w:r>
      <w:r w:rsidRPr="004E764E">
        <w:rPr>
          <w:rFonts w:ascii="Arial" w:hAnsi="Arial" w:cs="Arial"/>
          <w:sz w:val="20"/>
          <w:szCs w:val="16"/>
        </w:rPr>
        <w:t xml:space="preserve">– the psychosis might occur in the course of the offender’s attempts to withdraw from the use of the drug which was, nevertheless, the cause of the psychosis.  In </w:t>
      </w:r>
      <w:r w:rsidRPr="004E764E">
        <w:rPr>
          <w:rFonts w:ascii="Arial" w:hAnsi="Arial" w:cs="Arial"/>
          <w:i/>
          <w:sz w:val="20"/>
          <w:szCs w:val="16"/>
        </w:rPr>
        <w:t>Sebalj</w:t>
      </w:r>
      <w:r w:rsidRPr="004E764E">
        <w:rPr>
          <w:rFonts w:ascii="Arial" w:hAnsi="Arial" w:cs="Arial"/>
          <w:sz w:val="20"/>
          <w:szCs w:val="16"/>
        </w:rPr>
        <w:t>, the drug-induced psychosis was seen as substantially reducing the offender’s level of culpability for what he did while under the influence of paranoid delusions.</w:t>
      </w:r>
    </w:p>
    <w:p w14:paraId="0BDD41AA" w14:textId="77777777" w:rsidR="004E764E" w:rsidRPr="00F86035" w:rsidRDefault="004E764E" w:rsidP="004E764E">
      <w:pPr>
        <w:spacing w:before="60"/>
        <w:ind w:left="567" w:right="567"/>
        <w:jc w:val="both"/>
        <w:rPr>
          <w:rFonts w:ascii="Arial" w:hAnsi="Arial" w:cs="Arial"/>
          <w:color w:val="000000"/>
          <w:sz w:val="20"/>
        </w:rPr>
      </w:pPr>
      <w:r w:rsidRPr="004E764E">
        <w:rPr>
          <w:rFonts w:ascii="Arial" w:hAnsi="Arial" w:cs="Arial"/>
          <w:sz w:val="20"/>
          <w:szCs w:val="16"/>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r>
        <w:rPr>
          <w:rFonts w:ascii="Arial" w:hAnsi="Arial" w:cs="Arial"/>
          <w:sz w:val="20"/>
          <w:szCs w:val="16"/>
        </w:rPr>
        <w:t>”</w:t>
      </w:r>
    </w:p>
    <w:p w14:paraId="422CDC37" w14:textId="77777777" w:rsidR="004E764E" w:rsidRDefault="004E764E" w:rsidP="004E764E">
      <w:pPr>
        <w:pStyle w:val="Heading1"/>
        <w:numPr>
          <w:ilvl w:val="0"/>
          <w:numId w:val="0"/>
        </w:numPr>
        <w:spacing w:before="0" w:line="240" w:lineRule="auto"/>
        <w:ind w:left="720" w:hanging="720"/>
        <w:rPr>
          <w:rFonts w:ascii="Arial" w:hAnsi="Arial" w:cs="Arial"/>
          <w:color w:val="000000"/>
          <w:sz w:val="20"/>
        </w:rPr>
      </w:pPr>
    </w:p>
    <w:p w14:paraId="58947AD9" w14:textId="77777777" w:rsidR="002B5E35" w:rsidRDefault="002B5E35" w:rsidP="004E764E">
      <w:pPr>
        <w:jc w:val="both"/>
        <w:rPr>
          <w:rFonts w:ascii="Arial" w:hAnsi="Arial" w:cs="Arial"/>
          <w:color w:val="000000"/>
          <w:sz w:val="20"/>
        </w:rPr>
      </w:pPr>
      <w:r>
        <w:rPr>
          <w:rFonts w:ascii="Arial" w:hAnsi="Arial" w:cs="Arial"/>
          <w:color w:val="000000"/>
          <w:sz w:val="20"/>
        </w:rPr>
        <w:t>i</w:t>
      </w:r>
      <w:r w:rsidRPr="001C6E0E">
        <w:rPr>
          <w:rFonts w:ascii="Arial" w:hAnsi="Arial" w:cs="Arial"/>
          <w:color w:val="000000"/>
          <w:sz w:val="20"/>
        </w:rPr>
        <w:t xml:space="preserve">n </w:t>
      </w:r>
      <w:r w:rsidRPr="001C6E0E">
        <w:rPr>
          <w:rFonts w:ascii="Arial" w:hAnsi="Arial" w:cs="Arial"/>
          <w:i/>
          <w:color w:val="000000"/>
          <w:sz w:val="20"/>
        </w:rPr>
        <w:t>DPP v Arvanitidis</w:t>
      </w:r>
      <w:r w:rsidRPr="001C6E0E">
        <w:rPr>
          <w:rFonts w:ascii="Arial" w:hAnsi="Arial" w:cs="Arial"/>
          <w:color w:val="000000"/>
          <w:sz w:val="20"/>
        </w:rPr>
        <w:t xml:space="preserve"> [2008] VSCA 189</w:t>
      </w:r>
      <w:r>
        <w:rPr>
          <w:rFonts w:ascii="Arial" w:hAnsi="Arial" w:cs="Arial"/>
          <w:color w:val="000000"/>
          <w:sz w:val="20"/>
        </w:rPr>
        <w:t xml:space="preserve"> </w:t>
      </w:r>
      <w:r w:rsidRPr="001C6E0E">
        <w:rPr>
          <w:rFonts w:ascii="Arial" w:hAnsi="Arial" w:cs="Arial"/>
          <w:color w:val="000000"/>
          <w:sz w:val="20"/>
        </w:rPr>
        <w:t xml:space="preserve">Redlich JA (with whom Buchanan &amp; Nettle JJA agreed) said at [29] that dicta in </w:t>
      </w:r>
      <w:r w:rsidRPr="001C6E0E">
        <w:rPr>
          <w:rFonts w:ascii="Arial" w:hAnsi="Arial" w:cs="Arial"/>
          <w:i/>
          <w:color w:val="000000"/>
          <w:sz w:val="20"/>
        </w:rPr>
        <w:t>R v Martin</w:t>
      </w:r>
      <w:r w:rsidRPr="001C6E0E">
        <w:rPr>
          <w:rFonts w:ascii="Arial" w:hAnsi="Arial" w:cs="Arial"/>
          <w:color w:val="000000"/>
          <w:sz w:val="20"/>
        </w:rPr>
        <w:t xml:space="preserve"> made it clear that when a psychiatric illness had been induced by the defendant’s ingestion of a particular drug, the Court must consider the probable consequences of the ingestion of that drug by that offender and whether the offender foresaw those consequences.</w:t>
      </w:r>
      <w:r>
        <w:rPr>
          <w:rFonts w:ascii="Arial" w:hAnsi="Arial" w:cs="Arial"/>
          <w:color w:val="000000"/>
          <w:sz w:val="20"/>
        </w:rPr>
        <w:t xml:space="preserve">  </w:t>
      </w:r>
      <w:r w:rsidRPr="001C6E0E">
        <w:rPr>
          <w:rFonts w:ascii="Arial" w:hAnsi="Arial" w:cs="Arial"/>
          <w:color w:val="000000"/>
          <w:sz w:val="20"/>
        </w:rPr>
        <w:t>See</w:t>
      </w:r>
      <w:r>
        <w:rPr>
          <w:rFonts w:ascii="Arial" w:hAnsi="Arial" w:cs="Arial"/>
          <w:color w:val="000000"/>
          <w:sz w:val="20"/>
        </w:rPr>
        <w:t> </w:t>
      </w:r>
      <w:r w:rsidRPr="001C6E0E">
        <w:rPr>
          <w:rFonts w:ascii="Arial" w:hAnsi="Arial" w:cs="Arial"/>
          <w:color w:val="000000"/>
          <w:sz w:val="20"/>
        </w:rPr>
        <w:t xml:space="preserve">also the discussion by the Court of Appeal about reckless intoxication in </w:t>
      </w:r>
      <w:r w:rsidRPr="001C6E0E">
        <w:rPr>
          <w:rFonts w:ascii="Arial" w:hAnsi="Arial" w:cs="Arial"/>
          <w:i/>
          <w:color w:val="000000"/>
          <w:sz w:val="20"/>
        </w:rPr>
        <w:t xml:space="preserve">R v Hay </w:t>
      </w:r>
      <w:r w:rsidRPr="001C6E0E">
        <w:rPr>
          <w:rFonts w:ascii="Arial" w:hAnsi="Arial" w:cs="Arial"/>
          <w:color w:val="000000"/>
          <w:sz w:val="20"/>
        </w:rPr>
        <w:t xml:space="preserve">[2007] VSCA 147 at [33] and about self-induced intoxication in </w:t>
      </w:r>
      <w:r w:rsidRPr="001C6E0E">
        <w:rPr>
          <w:rFonts w:ascii="Arial" w:hAnsi="Arial" w:cs="Arial"/>
          <w:i/>
          <w:color w:val="000000"/>
          <w:sz w:val="20"/>
        </w:rPr>
        <w:t>R v Sebalj</w:t>
      </w:r>
      <w:r w:rsidRPr="001C6E0E">
        <w:rPr>
          <w:rFonts w:ascii="Arial" w:hAnsi="Arial" w:cs="Arial"/>
          <w:color w:val="000000"/>
          <w:sz w:val="20"/>
        </w:rPr>
        <w:t xml:space="preserve"> [2006] VSCA 106 at [14]</w:t>
      </w:r>
      <w:r>
        <w:rPr>
          <w:rFonts w:ascii="Arial" w:hAnsi="Arial" w:cs="Arial"/>
          <w:color w:val="000000"/>
          <w:sz w:val="20"/>
        </w:rPr>
        <w:t>.</w:t>
      </w:r>
    </w:p>
    <w:p w14:paraId="69101313" w14:textId="77777777" w:rsidR="002B5E35" w:rsidRDefault="002B5E35" w:rsidP="004E764E">
      <w:pPr>
        <w:jc w:val="both"/>
        <w:rPr>
          <w:rFonts w:ascii="Arial" w:hAnsi="Arial" w:cs="Arial"/>
          <w:color w:val="000000"/>
          <w:sz w:val="20"/>
        </w:rPr>
      </w:pPr>
    </w:p>
    <w:p w14:paraId="7DCFD3BE" w14:textId="4824BA82" w:rsidR="002B5E35" w:rsidRDefault="002B5E35" w:rsidP="004E764E">
      <w:pPr>
        <w:jc w:val="both"/>
        <w:rPr>
          <w:rFonts w:ascii="Arial" w:hAnsi="Arial" w:cs="Arial"/>
          <w:color w:val="000000"/>
          <w:sz w:val="20"/>
        </w:rPr>
      </w:pPr>
      <w:r>
        <w:rPr>
          <w:rFonts w:ascii="Arial" w:hAnsi="Arial" w:cs="Arial"/>
          <w:color w:val="000000"/>
          <w:sz w:val="20"/>
        </w:rPr>
        <w:t xml:space="preserve">In </w:t>
      </w:r>
      <w:r w:rsidRPr="002B5E35">
        <w:rPr>
          <w:rFonts w:ascii="Arial" w:hAnsi="Arial" w:cs="Arial"/>
          <w:i/>
          <w:iCs/>
          <w:color w:val="000000"/>
          <w:sz w:val="20"/>
        </w:rPr>
        <w:t>DPP v PS</w:t>
      </w:r>
      <w:r>
        <w:rPr>
          <w:rFonts w:ascii="Arial" w:hAnsi="Arial" w:cs="Arial"/>
          <w:color w:val="000000"/>
          <w:sz w:val="20"/>
        </w:rPr>
        <w:t xml:space="preserve"> [2023] VSC 85 the accused – who had stabbed his wife and younger daughter to death while in a drug induced psychosis – pleaded guilty to 2 counts of murder.  In the course of sentencing him to a TES IMP27</w:t>
      </w:r>
      <w:r w:rsidR="00B1564E">
        <w:rPr>
          <w:rFonts w:ascii="Arial" w:hAnsi="Arial" w:cs="Arial"/>
          <w:color w:val="000000"/>
          <w:sz w:val="20"/>
        </w:rPr>
        <w:t>y</w:t>
      </w:r>
      <w:r>
        <w:rPr>
          <w:rFonts w:ascii="Arial" w:hAnsi="Arial" w:cs="Arial"/>
          <w:color w:val="000000"/>
          <w:sz w:val="20"/>
        </w:rPr>
        <w:t xml:space="preserve">/19y, at [56]-[75] Hollingworth J discussed and elaborated on the ratio in </w:t>
      </w:r>
      <w:r w:rsidRPr="001C6E0E">
        <w:rPr>
          <w:rFonts w:ascii="Arial" w:hAnsi="Arial" w:cs="Arial"/>
          <w:i/>
          <w:color w:val="000000"/>
          <w:sz w:val="20"/>
        </w:rPr>
        <w:t>DPP v Arvanitidis</w:t>
      </w:r>
      <w:r w:rsidRPr="002B5E35">
        <w:rPr>
          <w:rFonts w:ascii="Arial" w:hAnsi="Arial" w:cs="Arial"/>
          <w:iCs/>
          <w:color w:val="000000"/>
          <w:sz w:val="20"/>
        </w:rPr>
        <w:t>:</w:t>
      </w:r>
    </w:p>
    <w:p w14:paraId="7100199D" w14:textId="1CE9A5A5" w:rsidR="002B5E35" w:rsidRDefault="002B5E35" w:rsidP="002B5E35">
      <w:pPr>
        <w:spacing w:before="60"/>
        <w:ind w:left="567" w:right="567"/>
        <w:jc w:val="both"/>
        <w:rPr>
          <w:rFonts w:ascii="Arial" w:hAnsi="Arial" w:cs="Arial"/>
          <w:sz w:val="20"/>
          <w:szCs w:val="20"/>
        </w:rPr>
      </w:pPr>
      <w:r>
        <w:rPr>
          <w:rFonts w:ascii="Arial" w:hAnsi="Arial" w:cs="Arial"/>
          <w:sz w:val="20"/>
          <w:szCs w:val="16"/>
        </w:rPr>
        <w:t>[56] “</w:t>
      </w:r>
      <w:r w:rsidRPr="002B5E35">
        <w:rPr>
          <w:rFonts w:ascii="Arial" w:hAnsi="Arial" w:cs="Arial"/>
          <w:sz w:val="20"/>
          <w:szCs w:val="20"/>
        </w:rPr>
        <w:t>There is no dispute that you committed these terrible acts because you were in a drug</w:t>
      </w:r>
      <w:r w:rsidR="00941F9C">
        <w:rPr>
          <w:rFonts w:ascii="Arial" w:hAnsi="Arial" w:cs="Arial"/>
          <w:sz w:val="20"/>
          <w:szCs w:val="20"/>
        </w:rPr>
        <w:t>-</w:t>
      </w:r>
      <w:r w:rsidRPr="002B5E35">
        <w:rPr>
          <w:rFonts w:ascii="Arial" w:hAnsi="Arial" w:cs="Arial"/>
          <w:sz w:val="20"/>
          <w:szCs w:val="20"/>
        </w:rPr>
        <w:t>induced psychosis, after using ice. The expert evidence is that your actions were driven by underlying psychotic beliefs, which would have impaired your judgment to make reasonable decisions, and your understanding of the wrongfulness of your actions. Had your state of mind been caused by an organic or underlying psychiatric illness, rather than by drugs, a defence of mental impairment would have been open to you.</w:t>
      </w:r>
    </w:p>
    <w:p w14:paraId="701F768B" w14:textId="5637E663"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[57] </w:t>
      </w:r>
      <w:r w:rsidRPr="002B5E35">
        <w:rPr>
          <w:rFonts w:ascii="Arial" w:hAnsi="Arial" w:cs="Arial"/>
          <w:sz w:val="20"/>
          <w:szCs w:val="20"/>
        </w:rPr>
        <w:t>That offending occurred whilst the offender was in a drug-induced psychosis may have an aggravating or mitigating effect on the offender’s sentence, depending on the particular circumstances of the case.</w:t>
      </w:r>
    </w:p>
    <w:p w14:paraId="398E40A7" w14:textId="4294701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[58] </w:t>
      </w:r>
      <w:r w:rsidRPr="002B5E35">
        <w:rPr>
          <w:rFonts w:ascii="Arial" w:hAnsi="Arial" w:cs="Arial"/>
          <w:sz w:val="20"/>
          <w:szCs w:val="20"/>
        </w:rPr>
        <w:t>If the offender knows that using the particular drug causes a propensity to violence, that can be an aggravating factor. The prosecution does not suggest that your drug use is an aggravating feature in this case.</w:t>
      </w:r>
    </w:p>
    <w:p w14:paraId="539BFA71" w14:textId="4413DDA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[59] </w:t>
      </w:r>
      <w:r w:rsidRPr="002B5E35">
        <w:rPr>
          <w:rFonts w:ascii="Arial" w:hAnsi="Arial" w:cs="Arial"/>
          <w:sz w:val="20"/>
          <w:szCs w:val="20"/>
        </w:rPr>
        <w:t>However, your counsel argued that the fact that this offending occurred whilst you were in a drug-induced psychosis should have a mitigatory effect.</w:t>
      </w:r>
    </w:p>
    <w:p w14:paraId="492A1924" w14:textId="73C0C57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[60] </w:t>
      </w:r>
      <w:r w:rsidRPr="002B5E35">
        <w:rPr>
          <w:rFonts w:ascii="Arial" w:hAnsi="Arial" w:cs="Arial"/>
          <w:sz w:val="20"/>
          <w:szCs w:val="20"/>
        </w:rPr>
        <w:t>Ordinarily, an offender’s moral culpability is not reduced by reason of the fact that they committed the offence while under the influence of a drug-induced psychosis. The origin of that principle is that where a condition is self-induced, it is not regarded as mitigatory, as the offender is morally responsible for the condition they suffer at the time of the offending.</w:t>
      </w:r>
    </w:p>
    <w:p w14:paraId="456540C6" w14:textId="7904D82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[61] </w:t>
      </w:r>
      <w:r w:rsidRPr="002B5E35">
        <w:rPr>
          <w:rFonts w:ascii="Arial" w:hAnsi="Arial" w:cs="Arial"/>
          <w:sz w:val="20"/>
          <w:szCs w:val="20"/>
        </w:rPr>
        <w:t xml:space="preserve">In some circumstances, the offender’s drug-induced psychosis can attract the principles in </w:t>
      </w:r>
      <w:r w:rsidR="00D83726" w:rsidRPr="00D83726">
        <w:rPr>
          <w:rFonts w:ascii="Arial" w:hAnsi="Arial" w:cs="Arial"/>
          <w:i/>
          <w:iCs/>
          <w:sz w:val="20"/>
          <w:szCs w:val="20"/>
        </w:rPr>
        <w:t>R v Verdins, Buckley &amp; Vo</w:t>
      </w:r>
      <w:r w:rsidR="00D83726" w:rsidRPr="002B5E35">
        <w:rPr>
          <w:rFonts w:ascii="Arial" w:hAnsi="Arial" w:cs="Arial"/>
          <w:sz w:val="20"/>
          <w:szCs w:val="20"/>
        </w:rPr>
        <w:t xml:space="preserve"> [2007] VSCA 102</w:t>
      </w:r>
      <w:r w:rsidRPr="002B5E35">
        <w:rPr>
          <w:rFonts w:ascii="Arial" w:hAnsi="Arial" w:cs="Arial"/>
          <w:sz w:val="20"/>
          <w:szCs w:val="20"/>
        </w:rPr>
        <w:t xml:space="preserve">. </w:t>
      </w:r>
      <w:r w:rsidR="00D83726">
        <w:rPr>
          <w:rFonts w:ascii="Arial" w:hAnsi="Arial" w:cs="Arial"/>
          <w:sz w:val="20"/>
          <w:szCs w:val="20"/>
        </w:rPr>
        <w:t xml:space="preserve"> </w:t>
      </w:r>
      <w:r w:rsidRPr="002B5E35">
        <w:rPr>
          <w:rFonts w:ascii="Arial" w:hAnsi="Arial" w:cs="Arial"/>
          <w:sz w:val="20"/>
          <w:szCs w:val="20"/>
        </w:rPr>
        <w:t xml:space="preserve">However, that will not be the </w:t>
      </w:r>
      <w:r w:rsidRPr="002B5E35">
        <w:rPr>
          <w:rFonts w:ascii="Arial" w:hAnsi="Arial" w:cs="Arial"/>
          <w:sz w:val="20"/>
          <w:szCs w:val="20"/>
        </w:rPr>
        <w:lastRenderedPageBreak/>
        <w:t>case if the offender had foreknowledge of the probable consequences to their mental health of voluntary drug use.</w:t>
      </w:r>
    </w:p>
    <w:p w14:paraId="63F475DD" w14:textId="30D6C19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[62] </w:t>
      </w:r>
      <w:r w:rsidRPr="002B5E35">
        <w:rPr>
          <w:rFonts w:ascii="Arial" w:hAnsi="Arial" w:cs="Arial"/>
          <w:sz w:val="20"/>
          <w:szCs w:val="20"/>
        </w:rPr>
        <w:t xml:space="preserve">In the case of </w:t>
      </w:r>
      <w:r w:rsidR="00941F9C">
        <w:rPr>
          <w:rFonts w:ascii="Arial" w:hAnsi="Arial" w:cs="Arial"/>
          <w:i/>
          <w:iCs/>
          <w:sz w:val="20"/>
          <w:szCs w:val="20"/>
        </w:rPr>
        <w:t>DPP v A</w:t>
      </w:r>
      <w:r w:rsidRPr="00B1564E">
        <w:rPr>
          <w:rFonts w:ascii="Arial" w:hAnsi="Arial" w:cs="Arial"/>
          <w:i/>
          <w:iCs/>
          <w:sz w:val="20"/>
          <w:szCs w:val="20"/>
        </w:rPr>
        <w:t>rvanitidis</w:t>
      </w:r>
      <w:r>
        <w:rPr>
          <w:rFonts w:ascii="Arial" w:hAnsi="Arial" w:cs="Arial"/>
          <w:i/>
          <w:iCs/>
          <w:sz w:val="20"/>
          <w:szCs w:val="20"/>
        </w:rPr>
        <w:t xml:space="preserve"> </w:t>
      </w:r>
      <w:r w:rsidRPr="002B5E35">
        <w:rPr>
          <w:rFonts w:ascii="Arial" w:hAnsi="Arial" w:cs="Arial"/>
          <w:sz w:val="20"/>
          <w:szCs w:val="20"/>
        </w:rPr>
        <w:t>[2008] VSCA 189,</w:t>
      </w:r>
      <w:r>
        <w:rPr>
          <w:rFonts w:ascii="Arial" w:hAnsi="Arial" w:cs="Arial"/>
          <w:sz w:val="20"/>
          <w:szCs w:val="20"/>
        </w:rPr>
        <w:t xml:space="preserve"> </w:t>
      </w:r>
      <w:r w:rsidRPr="002B5E35">
        <w:rPr>
          <w:rFonts w:ascii="Arial" w:hAnsi="Arial" w:cs="Arial"/>
          <w:sz w:val="20"/>
          <w:szCs w:val="20"/>
        </w:rPr>
        <w:t xml:space="preserve">the Court of Appeal said </w:t>
      </w:r>
      <w:r>
        <w:rPr>
          <w:rFonts w:ascii="Arial" w:hAnsi="Arial" w:cs="Arial"/>
          <w:sz w:val="20"/>
          <w:szCs w:val="20"/>
        </w:rPr>
        <w:t xml:space="preserve">at [34] </w:t>
      </w:r>
      <w:r w:rsidRPr="002B5E35">
        <w:rPr>
          <w:rFonts w:ascii="Arial" w:hAnsi="Arial" w:cs="Arial"/>
          <w:sz w:val="20"/>
          <w:szCs w:val="20"/>
        </w:rPr>
        <w:t xml:space="preserve">that in order to lose the benefit of </w:t>
      </w:r>
      <w:r w:rsidRPr="00B1564E">
        <w:rPr>
          <w:rFonts w:ascii="Arial" w:hAnsi="Arial" w:cs="Arial"/>
          <w:i/>
          <w:iCs/>
          <w:sz w:val="20"/>
          <w:szCs w:val="20"/>
        </w:rPr>
        <w:t>Verdins</w:t>
      </w:r>
      <w:r w:rsidRPr="002B5E35">
        <w:rPr>
          <w:rFonts w:ascii="Arial" w:hAnsi="Arial" w:cs="Arial"/>
          <w:sz w:val="20"/>
          <w:szCs w:val="20"/>
        </w:rPr>
        <w:t>, it was not necessary that the offender have foreknowledge that the psychotic symptoms would cause him to behave in the precise manner in which he offended, or make him generally dangerous and violent. If the offender was aware that, by taking the drug, his judgment would be so affected that he would behave irrationally, or that it would affect his ability to exercise control, his self-induced mental state would not constitute a mitigating circumstance. The court also noted that it is for the offender to establish, on the balance of probabilities, that he did not know that the drug would have such effects.</w:t>
      </w:r>
    </w:p>
    <w:p w14:paraId="755E8265" w14:textId="04EA53D1"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[63] </w:t>
      </w:r>
      <w:r w:rsidRPr="002B5E35">
        <w:rPr>
          <w:rFonts w:ascii="Arial" w:hAnsi="Arial" w:cs="Arial"/>
          <w:sz w:val="20"/>
          <w:szCs w:val="20"/>
        </w:rPr>
        <w:t xml:space="preserve">In the </w:t>
      </w:r>
      <w:r w:rsidRPr="00B1564E">
        <w:rPr>
          <w:rFonts w:ascii="Arial" w:hAnsi="Arial" w:cs="Arial"/>
          <w:i/>
          <w:iCs/>
          <w:sz w:val="20"/>
          <w:szCs w:val="20"/>
        </w:rPr>
        <w:t>Arvanitidis</w:t>
      </w:r>
      <w:r w:rsidRPr="002B5E35">
        <w:rPr>
          <w:rFonts w:ascii="Arial" w:hAnsi="Arial" w:cs="Arial"/>
          <w:sz w:val="20"/>
          <w:szCs w:val="20"/>
        </w:rPr>
        <w:t xml:space="preserve"> case, the offender did not know that ice would cause him to become dangerously psychotic and violent. However, his foreknowledge of the potential for ice to cause him to experience paranoia, persecutory delusions and other forms of disorganised thought, were sufficient to exclude the </w:t>
      </w:r>
      <w:r w:rsidRPr="00B1564E">
        <w:rPr>
          <w:rFonts w:ascii="Arial" w:hAnsi="Arial" w:cs="Arial"/>
          <w:i/>
          <w:iCs/>
          <w:sz w:val="20"/>
          <w:szCs w:val="20"/>
        </w:rPr>
        <w:t>Verdins</w:t>
      </w:r>
      <w:r w:rsidRPr="002B5E35">
        <w:rPr>
          <w:rFonts w:ascii="Arial" w:hAnsi="Arial" w:cs="Arial"/>
          <w:sz w:val="20"/>
          <w:szCs w:val="20"/>
        </w:rPr>
        <w:t xml:space="preserve"> principles.</w:t>
      </w:r>
    </w:p>
    <w:p w14:paraId="15934193" w14:textId="7E9CE32A"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[64] </w:t>
      </w:r>
      <w:r w:rsidRPr="002B5E35">
        <w:rPr>
          <w:rFonts w:ascii="Arial" w:hAnsi="Arial" w:cs="Arial"/>
          <w:sz w:val="20"/>
          <w:szCs w:val="20"/>
        </w:rPr>
        <w:t xml:space="preserve">I accept your counsel’s submission that some other cases seem to have adopted a more flexible approach than </w:t>
      </w:r>
      <w:r w:rsidRPr="00941F9C">
        <w:rPr>
          <w:rFonts w:ascii="Arial" w:hAnsi="Arial" w:cs="Arial"/>
          <w:i/>
          <w:iCs/>
          <w:sz w:val="20"/>
          <w:szCs w:val="20"/>
        </w:rPr>
        <w:t>Arvanitidis</w:t>
      </w:r>
      <w:r w:rsidRPr="002B5E35">
        <w:rPr>
          <w:rFonts w:ascii="Arial" w:hAnsi="Arial" w:cs="Arial"/>
          <w:sz w:val="20"/>
          <w:szCs w:val="20"/>
        </w:rPr>
        <w:t xml:space="preserve">. For example, in the cases of </w:t>
      </w:r>
      <w:r w:rsidRPr="00B1564E">
        <w:rPr>
          <w:rFonts w:ascii="Arial" w:hAnsi="Arial" w:cs="Arial"/>
          <w:i/>
          <w:iCs/>
          <w:sz w:val="20"/>
          <w:szCs w:val="20"/>
        </w:rPr>
        <w:t>Alexander v R</w:t>
      </w:r>
      <w:r w:rsidRPr="002B5E35">
        <w:rPr>
          <w:rFonts w:ascii="Arial" w:hAnsi="Arial" w:cs="Arial"/>
          <w:sz w:val="20"/>
          <w:szCs w:val="20"/>
        </w:rPr>
        <w:t xml:space="preserve"> [2021] VSCA 217 at [43]</w:t>
      </w:r>
      <w:r>
        <w:rPr>
          <w:rFonts w:ascii="Arial" w:hAnsi="Arial" w:cs="Arial"/>
          <w:sz w:val="20"/>
          <w:szCs w:val="20"/>
        </w:rPr>
        <w:t xml:space="preserve"> </w:t>
      </w:r>
      <w:r w:rsidRPr="002B5E35">
        <w:rPr>
          <w:rFonts w:ascii="Arial" w:hAnsi="Arial" w:cs="Arial"/>
          <w:sz w:val="20"/>
          <w:szCs w:val="20"/>
        </w:rPr>
        <w:t xml:space="preserve">and </w:t>
      </w:r>
      <w:r w:rsidRPr="00B1564E">
        <w:rPr>
          <w:rFonts w:ascii="Arial" w:hAnsi="Arial" w:cs="Arial"/>
          <w:i/>
          <w:iCs/>
          <w:sz w:val="20"/>
          <w:szCs w:val="20"/>
        </w:rPr>
        <w:t>R v Martin</w:t>
      </w:r>
      <w:r w:rsidRPr="002B5E35">
        <w:rPr>
          <w:rFonts w:ascii="Arial" w:hAnsi="Arial" w:cs="Arial"/>
          <w:sz w:val="20"/>
          <w:szCs w:val="20"/>
        </w:rPr>
        <w:t xml:space="preserve"> [2007] VSCA 291 at [21], the Court of Appeal said that the critical factor in determining how to treat a druginduced psychosis for sentencing purposes is the degree of foreknowledge on the part of the offender. That is to say, it is not an all-or-nothing exercise.</w:t>
      </w:r>
    </w:p>
    <w:p w14:paraId="3B298CAE" w14:textId="3BFE2587"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[65] </w:t>
      </w:r>
      <w:r w:rsidRPr="002B5E35">
        <w:rPr>
          <w:rFonts w:ascii="Arial" w:hAnsi="Arial" w:cs="Arial"/>
          <w:sz w:val="20"/>
          <w:szCs w:val="20"/>
        </w:rPr>
        <w:t xml:space="preserve">However, the facts of those two cases are not analogous to yours. In </w:t>
      </w:r>
      <w:r w:rsidRPr="00B1564E">
        <w:rPr>
          <w:rFonts w:ascii="Arial" w:hAnsi="Arial" w:cs="Arial"/>
          <w:i/>
          <w:iCs/>
          <w:sz w:val="20"/>
          <w:szCs w:val="20"/>
        </w:rPr>
        <w:t>Alexander</w:t>
      </w:r>
      <w:r w:rsidRPr="002B5E35">
        <w:rPr>
          <w:rFonts w:ascii="Arial" w:hAnsi="Arial" w:cs="Arial"/>
          <w:sz w:val="20"/>
          <w:szCs w:val="20"/>
        </w:rPr>
        <w:t>, there was no evidence that the offender had ever experienced psychotic symptoms before, notwithstanding a lengthy history of substance abuse; the offender’s moral culpability</w:t>
      </w:r>
      <w:r>
        <w:rPr>
          <w:rFonts w:ascii="Arial" w:hAnsi="Arial" w:cs="Arial"/>
          <w:sz w:val="20"/>
          <w:szCs w:val="20"/>
        </w:rPr>
        <w:t xml:space="preserve"> </w:t>
      </w:r>
      <w:r w:rsidRPr="002B5E35">
        <w:rPr>
          <w:rFonts w:ascii="Arial" w:hAnsi="Arial" w:cs="Arial"/>
          <w:sz w:val="20"/>
          <w:szCs w:val="20"/>
        </w:rPr>
        <w:t xml:space="preserve">was therefore reduced slightly. In </w:t>
      </w:r>
      <w:r w:rsidRPr="00B1564E">
        <w:rPr>
          <w:rFonts w:ascii="Arial" w:hAnsi="Arial" w:cs="Arial"/>
          <w:i/>
          <w:iCs/>
          <w:sz w:val="20"/>
          <w:szCs w:val="20"/>
        </w:rPr>
        <w:t>Martin</w:t>
      </w:r>
      <w:r w:rsidRPr="002B5E35">
        <w:rPr>
          <w:rFonts w:ascii="Arial" w:hAnsi="Arial" w:cs="Arial"/>
          <w:sz w:val="20"/>
          <w:szCs w:val="20"/>
        </w:rPr>
        <w:t>, the offenders’ moral culpability was increased, not decreased, because he had foreknowledge that consuming drugs caused him to become dangerously psychotic.</w:t>
      </w:r>
    </w:p>
    <w:p w14:paraId="1FF28D3A" w14:textId="47EA9D7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[66] </w:t>
      </w:r>
      <w:r w:rsidRPr="002B5E35">
        <w:rPr>
          <w:rFonts w:ascii="Arial" w:hAnsi="Arial" w:cs="Arial"/>
          <w:sz w:val="20"/>
          <w:szCs w:val="20"/>
        </w:rPr>
        <w:t xml:space="preserve">The Court of Appeal decision in </w:t>
      </w:r>
      <w:r w:rsidRPr="00B1564E">
        <w:rPr>
          <w:rFonts w:ascii="Arial" w:hAnsi="Arial" w:cs="Arial"/>
          <w:i/>
          <w:iCs/>
          <w:sz w:val="20"/>
          <w:szCs w:val="20"/>
        </w:rPr>
        <w:t>Marks</w:t>
      </w:r>
      <w:r w:rsidR="00D83726">
        <w:rPr>
          <w:rFonts w:ascii="Arial" w:hAnsi="Arial" w:cs="Arial"/>
          <w:i/>
          <w:iCs/>
          <w:sz w:val="20"/>
          <w:szCs w:val="20"/>
        </w:rPr>
        <w:t xml:space="preserve"> </w:t>
      </w:r>
      <w:r w:rsidR="00D83726" w:rsidRPr="00D83726">
        <w:rPr>
          <w:rFonts w:ascii="Arial" w:hAnsi="Arial" w:cs="Arial"/>
          <w:i/>
          <w:iCs/>
          <w:sz w:val="20"/>
          <w:szCs w:val="20"/>
        </w:rPr>
        <w:t>v DPP (Cth)</w:t>
      </w:r>
      <w:r w:rsidR="00D83726" w:rsidRPr="002B5E35">
        <w:rPr>
          <w:rFonts w:ascii="Arial" w:hAnsi="Arial" w:cs="Arial"/>
          <w:sz w:val="20"/>
          <w:szCs w:val="20"/>
        </w:rPr>
        <w:t xml:space="preserve"> [2019] VSCA 253</w:t>
      </w:r>
      <w:r w:rsidRPr="002B5E35">
        <w:rPr>
          <w:rFonts w:ascii="Arial" w:hAnsi="Arial" w:cs="Arial"/>
          <w:sz w:val="20"/>
          <w:szCs w:val="20"/>
        </w:rPr>
        <w:t xml:space="preserve"> is a better illustration of the more flexible approach. In that case, at the time of offending, the offender was in the early stages of recovery from one of a number of earlier psychotic episodes, which would have made him particularly sensitive to the psychosis-inducing effect of ice. Although the offender had experienced paranoid delusions, and been hospitalised for drug-induced psychoses, on several previous occasions, the expert evidence was that he would not have known or anticipated the likely degree of the consequences of taking ice on this particular occasion. The court held that the offender’s moral culpability should be reduced to some extent.</w:t>
      </w:r>
    </w:p>
    <w:p w14:paraId="3B348DB2" w14:textId="014819B9"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[67] </w:t>
      </w:r>
      <w:r w:rsidRPr="002B5E35">
        <w:rPr>
          <w:rFonts w:ascii="Arial" w:hAnsi="Arial" w:cs="Arial"/>
          <w:sz w:val="20"/>
          <w:szCs w:val="20"/>
        </w:rPr>
        <w:t>It is therefore necessary for me to have regard to your drug use and mental health history, to consider what foreknowledge you had.</w:t>
      </w:r>
    </w:p>
    <w:p w14:paraId="460F6EF3" w14:textId="3B4E2BB8"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[68] </w:t>
      </w:r>
      <w:r w:rsidRPr="002B5E35">
        <w:rPr>
          <w:rFonts w:ascii="Arial" w:hAnsi="Arial" w:cs="Arial"/>
          <w:sz w:val="20"/>
          <w:szCs w:val="20"/>
        </w:rPr>
        <w:t>You started using ice in 2019. There is some suggestion that you may have started using it as a way to deal with stress. It seems that you used it fairly regularly from then until this offending.</w:t>
      </w:r>
    </w:p>
    <w:p w14:paraId="40F00457" w14:textId="5AE4F08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[69] </w:t>
      </w:r>
      <w:r w:rsidRPr="002B5E35">
        <w:rPr>
          <w:rFonts w:ascii="Arial" w:hAnsi="Arial" w:cs="Arial"/>
          <w:sz w:val="20"/>
          <w:szCs w:val="20"/>
        </w:rPr>
        <w:t xml:space="preserve">You first displayed psychotic symptoms caused by ice use around April 2021, some nine months before this offending. At the time, you thought you were in some sort of danger and should kill yourself. As a result of your increasingly paranoid and erratic behaviour, you were taken into custody under the </w:t>
      </w:r>
      <w:r w:rsidRPr="003F6EAE">
        <w:rPr>
          <w:rFonts w:ascii="Arial" w:hAnsi="Arial" w:cs="Arial"/>
          <w:i/>
          <w:iCs/>
          <w:sz w:val="20"/>
          <w:szCs w:val="20"/>
        </w:rPr>
        <w:t>Mental Health Act 2014</w:t>
      </w:r>
      <w:r w:rsidRPr="002B5E35">
        <w:rPr>
          <w:rFonts w:ascii="Arial" w:hAnsi="Arial" w:cs="Arial"/>
          <w:sz w:val="20"/>
          <w:szCs w:val="20"/>
        </w:rPr>
        <w:t>, and admitted to hospital for assessment. You were detained in hospital for about one week. You were diagnosed with a drug-induced psychosis.</w:t>
      </w:r>
    </w:p>
    <w:p w14:paraId="1BEC20C5" w14:textId="063D473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[70] </w:t>
      </w:r>
      <w:r w:rsidRPr="002B5E35">
        <w:rPr>
          <w:rFonts w:ascii="Arial" w:hAnsi="Arial" w:cs="Arial"/>
          <w:sz w:val="20"/>
          <w:szCs w:val="20"/>
        </w:rPr>
        <w:t>Although you exhibited paranoia and anxiety whilst in the 2021 drug-induced psychosis, there is no evidence that you harboured thoughts of harming anybody other than yourself, or behaved violently towards anyone.</w:t>
      </w:r>
    </w:p>
    <w:p w14:paraId="23D8CF87" w14:textId="1DE87274"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[71] </w:t>
      </w:r>
      <w:r w:rsidRPr="002B5E35">
        <w:rPr>
          <w:rFonts w:ascii="Arial" w:hAnsi="Arial" w:cs="Arial"/>
          <w:sz w:val="20"/>
          <w:szCs w:val="20"/>
        </w:rPr>
        <w:t>You started using ice again only a few months after that first psychotic episode.</w:t>
      </w:r>
    </w:p>
    <w:p w14:paraId="797B9B09" w14:textId="760D1FCB"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[72] </w:t>
      </w:r>
      <w:r w:rsidRPr="002B5E35">
        <w:rPr>
          <w:rFonts w:ascii="Arial" w:hAnsi="Arial" w:cs="Arial"/>
          <w:sz w:val="20"/>
          <w:szCs w:val="20"/>
        </w:rPr>
        <w:t>In the weeks leading up to this offending, you had been experiencing persecutory delusions, perceptual disturbances and disorganised behaviour. But you had not been violent towards anyone. On the day of the offending, your wife was still telling people that you had never been violent to them, and believed you would never harm them.</w:t>
      </w:r>
    </w:p>
    <w:p w14:paraId="7089A175" w14:textId="42A83F5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[73] </w:t>
      </w:r>
      <w:r w:rsidRPr="002B5E35">
        <w:rPr>
          <w:rFonts w:ascii="Arial" w:hAnsi="Arial" w:cs="Arial"/>
          <w:sz w:val="20"/>
          <w:szCs w:val="20"/>
        </w:rPr>
        <w:t>Even though they were told about the drug-induced paranoia and delusions that you were experiencing, the police and paramedics who visited your home earlier on the day of this offending did not assess you as presenting a risk to anyone.</w:t>
      </w:r>
    </w:p>
    <w:p w14:paraId="4B92A76C" w14:textId="1107553C" w:rsidR="00B1564E" w:rsidRDefault="00B1564E" w:rsidP="002B5E35">
      <w:pPr>
        <w:spacing w:before="60"/>
        <w:ind w:left="567" w:right="567"/>
        <w:jc w:val="both"/>
        <w:rPr>
          <w:rFonts w:ascii="Arial" w:hAnsi="Arial" w:cs="Arial"/>
          <w:sz w:val="20"/>
          <w:szCs w:val="20"/>
        </w:rPr>
      </w:pPr>
      <w:r>
        <w:rPr>
          <w:rFonts w:ascii="Arial" w:hAnsi="Arial" w:cs="Arial"/>
          <w:sz w:val="20"/>
          <w:szCs w:val="20"/>
        </w:rPr>
        <w:lastRenderedPageBreak/>
        <w:t xml:space="preserve">[74] </w:t>
      </w:r>
      <w:r w:rsidRPr="002B5E35">
        <w:rPr>
          <w:rFonts w:ascii="Arial" w:hAnsi="Arial" w:cs="Arial"/>
          <w:sz w:val="20"/>
          <w:szCs w:val="20"/>
        </w:rPr>
        <w:t>You told police in your record of interview that you had not slept for a couple of days before the offending because of your ice use; you said that had happened on two previous occasions. You also admitted that, when that happened, it made you feel paranoid and experience hallucinations.</w:t>
      </w:r>
    </w:p>
    <w:p w14:paraId="615D9A37" w14:textId="6FFA4CC7" w:rsidR="00B1564E" w:rsidRDefault="00B1564E" w:rsidP="002B5E35">
      <w:pPr>
        <w:spacing w:before="60"/>
        <w:ind w:left="567" w:right="567"/>
        <w:jc w:val="both"/>
        <w:rPr>
          <w:rFonts w:ascii="Arial" w:hAnsi="Arial" w:cs="Arial"/>
          <w:sz w:val="20"/>
          <w:szCs w:val="16"/>
        </w:rPr>
      </w:pPr>
      <w:r>
        <w:rPr>
          <w:rFonts w:ascii="Arial" w:hAnsi="Arial" w:cs="Arial"/>
          <w:sz w:val="20"/>
          <w:szCs w:val="20"/>
        </w:rPr>
        <w:t xml:space="preserve">[75] </w:t>
      </w:r>
      <w:r w:rsidRPr="002B5E35">
        <w:rPr>
          <w:rFonts w:ascii="Arial" w:hAnsi="Arial" w:cs="Arial"/>
          <w:sz w:val="20"/>
          <w:szCs w:val="20"/>
        </w:rPr>
        <w:t xml:space="preserve">I am satisfied that you had no foreknowledge that you had any propensity for violence when drug-affected. I am satisfied that you had some foreknowledge, from your experience the previous year, that taking ice could make you feel paranoid and experience hallucinations. But, as in the </w:t>
      </w:r>
      <w:r w:rsidRPr="00B86158">
        <w:rPr>
          <w:rFonts w:ascii="Arial" w:hAnsi="Arial" w:cs="Arial"/>
          <w:i/>
          <w:iCs/>
          <w:sz w:val="20"/>
          <w:szCs w:val="20"/>
        </w:rPr>
        <w:t>Marks</w:t>
      </w:r>
      <w:r w:rsidRPr="002B5E35">
        <w:rPr>
          <w:rFonts w:ascii="Arial" w:hAnsi="Arial" w:cs="Arial"/>
          <w:sz w:val="20"/>
          <w:szCs w:val="20"/>
        </w:rPr>
        <w:t xml:space="preserve"> case, there is no evidence that you would have known or anticipated the likely degree of the consequences of taking ice on this particular occasion. In the circumstances, your moral culpability should be reduced slightly.</w:t>
      </w:r>
      <w:r w:rsidR="00D83726">
        <w:rPr>
          <w:rFonts w:ascii="Arial" w:hAnsi="Arial" w:cs="Arial"/>
          <w:sz w:val="20"/>
          <w:szCs w:val="20"/>
        </w:rPr>
        <w:t>”</w:t>
      </w:r>
    </w:p>
    <w:p w14:paraId="40061B8C" w14:textId="77777777" w:rsidR="00D83726" w:rsidRDefault="00D83726" w:rsidP="009C2A60">
      <w:pPr>
        <w:jc w:val="both"/>
        <w:rPr>
          <w:rFonts w:ascii="Arial" w:hAnsi="Arial" w:cs="Arial"/>
          <w:color w:val="000000"/>
          <w:sz w:val="20"/>
        </w:rPr>
      </w:pPr>
    </w:p>
    <w:p w14:paraId="034F871C" w14:textId="094BE7BE" w:rsidR="009C2A60" w:rsidRPr="001C6E0E" w:rsidRDefault="009C2A60" w:rsidP="009C2A6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Dodds-Streeton JA &amp; Maxwell P agreed, held at [14] that in this case the respondent’s drug-taking was an aggravating factor:</w:t>
      </w:r>
    </w:p>
    <w:p w14:paraId="1CFEFBD0" w14:textId="77777777"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It may be that the respondent was affected by Xanax tablets at the time of the offence, and it may be perhaps that he would not have behaved as he did if he had not taken the tablets.  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Southwell AJA agreed); </w:t>
      </w:r>
      <w:r w:rsidRPr="001C6E0E">
        <w:rPr>
          <w:rFonts w:ascii="Arial" w:hAnsi="Arial" w:cs="Arial"/>
          <w:i/>
          <w:color w:val="000000"/>
          <w:sz w:val="20"/>
          <w:szCs w:val="20"/>
        </w:rPr>
        <w:t>R v Groome</w:t>
      </w:r>
      <w:r w:rsidRPr="001C6E0E">
        <w:rPr>
          <w:rFonts w:ascii="Arial" w:hAnsi="Arial" w:cs="Arial"/>
          <w:color w:val="000000"/>
          <w:sz w:val="20"/>
          <w:szCs w:val="20"/>
        </w:rPr>
        <w:t xml:space="preserve"> [1999] 2 VR 159, 164 [23]-[24] per Batt JA with whom Tadgell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7D0F2EB5" w14:textId="77777777" w:rsidR="009C2A60" w:rsidRPr="001C6E0E" w:rsidRDefault="009C2A60" w:rsidP="009C2A60">
      <w:pPr>
        <w:jc w:val="both"/>
        <w:rPr>
          <w:rFonts w:ascii="Arial" w:hAnsi="Arial" w:cs="Arial"/>
          <w:color w:val="000000"/>
          <w:sz w:val="20"/>
        </w:rPr>
      </w:pPr>
      <w:r w:rsidRPr="001C6E0E">
        <w:rPr>
          <w:rFonts w:ascii="Arial" w:hAnsi="Arial" w:cs="Arial"/>
          <w:color w:val="000000"/>
          <w:sz w:val="20"/>
        </w:rPr>
        <w:t>At [24]-[26] Maxwell P was particularly critical of the characterization by counsel for the respondent of his client as belonging to “the world of small-time drug addicts”:</w:t>
      </w:r>
    </w:p>
    <w:p w14:paraId="4A7FC5EC" w14:textId="70212904"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20"/>
          <w:szCs w:val="20"/>
        </w:rPr>
        <w:t xml:space="preserve">“At the end of his submission, </w:t>
      </w:r>
      <w:r w:rsidR="008B3B4B">
        <w:rPr>
          <w:rFonts w:ascii="Arial" w:hAnsi="Arial" w:cs="Arial"/>
          <w:color w:val="000000"/>
          <w:sz w:val="20"/>
          <w:szCs w:val="20"/>
        </w:rPr>
        <w:t>[counsel]</w:t>
      </w:r>
      <w:r w:rsidRPr="001C6E0E">
        <w:rPr>
          <w:rFonts w:ascii="Arial" w:hAnsi="Arial" w:cs="Arial"/>
          <w:color w:val="000000"/>
          <w:sz w:val="20"/>
          <w:szCs w:val="20"/>
        </w:rPr>
        <w:t xml:space="preserve"> made a contention to this effect:  ‘The niceties of human behaviour need to be qualified or moderated by reference to the realities of the world of small-time drug addicts.’  </w:t>
      </w:r>
      <w:r w:rsidR="008B3B4B">
        <w:rPr>
          <w:rFonts w:ascii="Arial" w:hAnsi="Arial" w:cs="Arial"/>
          <w:color w:val="000000"/>
          <w:sz w:val="20"/>
          <w:szCs w:val="20"/>
        </w:rPr>
        <w:t>[Counsel]</w:t>
      </w:r>
      <w:r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w:t>
      </w:r>
      <w:r w:rsidR="008B3B4B">
        <w:rPr>
          <w:rFonts w:ascii="Arial" w:hAnsi="Arial" w:cs="Arial"/>
          <w:color w:val="000000"/>
          <w:sz w:val="20"/>
          <w:szCs w:val="20"/>
        </w:rPr>
        <w:t>[counsel]</w:t>
      </w:r>
      <w:r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Pr="001C6E0E">
        <w:rPr>
          <w:rFonts w:ascii="Arial" w:hAnsi="Arial" w:cs="Arial"/>
          <w:color w:val="000000"/>
          <w:sz w:val="16"/>
        </w:rPr>
        <w:t xml:space="preserve"> </w:t>
      </w:r>
    </w:p>
    <w:p w14:paraId="22D8C56E" w14:textId="77777777" w:rsidR="009C2A60" w:rsidRPr="001C6E0E" w:rsidRDefault="009C2A60" w:rsidP="009C2A60">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11AC681" w14:textId="77777777" w:rsidR="009C2A60" w:rsidRPr="001C6E0E" w:rsidRDefault="009C2A60" w:rsidP="008B3B4B">
      <w:pPr>
        <w:spacing w:before="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2DDE296F" w14:textId="77777777" w:rsidR="0039262C" w:rsidRPr="00F86035" w:rsidRDefault="0039262C" w:rsidP="0039262C">
      <w:pPr>
        <w:jc w:val="both"/>
        <w:rPr>
          <w:rFonts w:ascii="Arial" w:hAnsi="Arial" w:cs="Arial"/>
          <w:color w:val="000000"/>
          <w:sz w:val="20"/>
        </w:rPr>
      </w:pPr>
    </w:p>
    <w:p w14:paraId="3EE849DC" w14:textId="77777777" w:rsidR="0039262C" w:rsidRPr="00F86035" w:rsidRDefault="0039262C" w:rsidP="0039262C">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70666226" w14:textId="77777777" w:rsidR="0039262C" w:rsidRPr="00F86035" w:rsidRDefault="0039262C" w:rsidP="008B3B4B">
      <w:pPr>
        <w:spacing w:before="6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22D034DB" w14:textId="77777777" w:rsidR="0039262C" w:rsidRPr="00F86035" w:rsidRDefault="0039262C" w:rsidP="008B3B4B">
      <w:pPr>
        <w:spacing w:before="60"/>
        <w:ind w:left="567" w:right="567"/>
        <w:jc w:val="both"/>
        <w:rPr>
          <w:rFonts w:ascii="Arial" w:hAnsi="Arial" w:cs="Arial"/>
          <w:color w:val="000000"/>
          <w:sz w:val="20"/>
          <w:szCs w:val="20"/>
        </w:rPr>
      </w:pPr>
      <w:r w:rsidRPr="00F86035">
        <w:rPr>
          <w:rFonts w:ascii="Arial" w:hAnsi="Arial" w:cs="Arial"/>
          <w:color w:val="000000"/>
          <w:sz w:val="20"/>
        </w:rPr>
        <w:t xml:space="preserve">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w:t>
      </w:r>
      <w:r w:rsidRPr="00F86035">
        <w:rPr>
          <w:rFonts w:ascii="Arial" w:hAnsi="Arial" w:cs="Arial"/>
          <w:color w:val="000000"/>
          <w:sz w:val="20"/>
        </w:rPr>
        <w:lastRenderedPageBreak/>
        <w:t>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28888283" w14:textId="77777777" w:rsidR="0039262C" w:rsidRPr="00F86035" w:rsidRDefault="0039262C" w:rsidP="0039262C">
      <w:pPr>
        <w:spacing w:before="120"/>
        <w:ind w:left="567" w:right="567"/>
        <w:jc w:val="both"/>
        <w:rPr>
          <w:rFonts w:ascii="Arial" w:hAnsi="Arial" w:cs="Arial"/>
          <w:color w:val="000000"/>
          <w:sz w:val="20"/>
          <w:szCs w:val="20"/>
        </w:rPr>
      </w:pPr>
      <w:r w:rsidRPr="00F86035">
        <w:rPr>
          <w:rFonts w:ascii="Arial" w:hAnsi="Arial" w:cs="Arial"/>
          <w:color w:val="000000"/>
          <w:sz w:val="20"/>
          <w:szCs w:val="20"/>
        </w:rPr>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3F6115AA" w14:textId="77777777" w:rsidR="0039262C" w:rsidRDefault="0039262C" w:rsidP="0039262C">
      <w:pPr>
        <w:pStyle w:val="Heading1"/>
        <w:numPr>
          <w:ilvl w:val="0"/>
          <w:numId w:val="0"/>
        </w:numPr>
        <w:spacing w:before="0" w:line="240" w:lineRule="auto"/>
        <w:ind w:left="720" w:hanging="720"/>
        <w:rPr>
          <w:rFonts w:ascii="Arial" w:hAnsi="Arial" w:cs="Arial"/>
          <w:color w:val="000000"/>
          <w:sz w:val="20"/>
        </w:rPr>
      </w:pPr>
    </w:p>
    <w:p w14:paraId="0A88E8E9" w14:textId="77777777" w:rsidR="0039262C" w:rsidRPr="001C6E0E" w:rsidRDefault="0039262C" w:rsidP="0039262C">
      <w:pPr>
        <w:jc w:val="both"/>
        <w:rPr>
          <w:rFonts w:ascii="Arial" w:hAnsi="Arial" w:cs="Arial"/>
          <w:color w:val="000000"/>
          <w:sz w:val="20"/>
        </w:rPr>
      </w:pPr>
      <w:r w:rsidRPr="00F86035">
        <w:rPr>
          <w:rFonts w:ascii="Arial" w:hAnsi="Arial" w:cs="Arial"/>
          <w:color w:val="000000"/>
          <w:sz w:val="20"/>
        </w:rPr>
        <w:t xml:space="preserve">See also </w:t>
      </w:r>
      <w:r w:rsidRPr="00F86035">
        <w:rPr>
          <w:rFonts w:ascii="Arial" w:hAnsi="Arial" w:cs="Arial"/>
          <w:i/>
          <w:color w:val="000000"/>
          <w:sz w:val="20"/>
        </w:rPr>
        <w:t xml:space="preserve">R v Morrison </w:t>
      </w:r>
      <w:r w:rsidRPr="00F86035">
        <w:rPr>
          <w:rFonts w:ascii="Arial" w:hAnsi="Arial" w:cs="Arial"/>
          <w:color w:val="000000"/>
          <w:sz w:val="20"/>
        </w:rPr>
        <w:t xml:space="preserve">[2012] VSCA 222 at [15]-[21] &amp; [24]-[25]; </w:t>
      </w:r>
      <w:r w:rsidRPr="00F86035">
        <w:rPr>
          <w:rFonts w:ascii="Arial" w:hAnsi="Arial" w:cs="Arial"/>
          <w:i/>
          <w:color w:val="000000"/>
          <w:sz w:val="20"/>
        </w:rPr>
        <w:t xml:space="preserve">R v Grant </w:t>
      </w:r>
      <w:r w:rsidRPr="00F86035">
        <w:rPr>
          <w:rFonts w:ascii="Arial" w:hAnsi="Arial" w:cs="Arial"/>
          <w:color w:val="000000"/>
          <w:sz w:val="20"/>
        </w:rPr>
        <w:t>[2013] VSC 53 at [32]-[41]</w:t>
      </w:r>
      <w:r>
        <w:rPr>
          <w:rFonts w:ascii="Arial" w:hAnsi="Arial" w:cs="Arial"/>
          <w:color w:val="000000"/>
          <w:sz w:val="20"/>
        </w:rPr>
        <w:t xml:space="preserve">; </w:t>
      </w:r>
      <w:r w:rsidRPr="00EB79C1">
        <w:rPr>
          <w:rFonts w:ascii="Arial" w:hAnsi="Arial" w:cs="Arial"/>
          <w:i/>
          <w:iCs/>
          <w:color w:val="000000"/>
          <w:sz w:val="20"/>
        </w:rPr>
        <w:t>R v Duca</w:t>
      </w:r>
      <w:r>
        <w:rPr>
          <w:rFonts w:ascii="Arial" w:hAnsi="Arial" w:cs="Arial"/>
          <w:color w:val="000000"/>
          <w:sz w:val="20"/>
        </w:rPr>
        <w:t xml:space="preserve"> [2019] VSC 371 at [45]-[54]; </w:t>
      </w:r>
      <w:r w:rsidRPr="00821956">
        <w:rPr>
          <w:rFonts w:ascii="Arial" w:hAnsi="Arial" w:cs="Arial"/>
          <w:i/>
          <w:iCs/>
          <w:color w:val="000000"/>
          <w:sz w:val="20"/>
        </w:rPr>
        <w:t>Alexander v The Queen</w:t>
      </w:r>
      <w:r>
        <w:rPr>
          <w:rFonts w:ascii="Arial" w:hAnsi="Arial" w:cs="Arial"/>
          <w:color w:val="000000"/>
          <w:sz w:val="20"/>
        </w:rPr>
        <w:t xml:space="preserve"> [2021] VSCA 140 at [34]; </w:t>
      </w:r>
      <w:r w:rsidRPr="00DD1EC0">
        <w:rPr>
          <w:rFonts w:ascii="Arial" w:hAnsi="Arial" w:cs="Arial"/>
          <w:i/>
          <w:iCs/>
          <w:color w:val="000000"/>
          <w:sz w:val="20"/>
        </w:rPr>
        <w:t>Hope v The Queen</w:t>
      </w:r>
      <w:r>
        <w:rPr>
          <w:rFonts w:ascii="Arial" w:hAnsi="Arial" w:cs="Arial"/>
          <w:color w:val="000000"/>
          <w:sz w:val="20"/>
        </w:rPr>
        <w:t xml:space="preserve"> [2021] VSCA 177 at [36] &amp; [55].</w:t>
      </w:r>
    </w:p>
    <w:p w14:paraId="05022C10" w14:textId="77777777" w:rsidR="0039262C" w:rsidRPr="00F86035" w:rsidRDefault="0039262C"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3" w:name="_11.2.18_Relevance_of"/>
      <w:bookmarkEnd w:id="633"/>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32"/>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Winneke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"[16]  I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of  that hardship suffered by your children are so exceptional as to justify a wholly suspended sentence as submitted is appropriate by your counsel.  As the </w:t>
      </w:r>
      <w:smartTag w:uri="urn:schemas-microsoft-com:office:smarttags" w:element="place">
        <w:smartTag w:uri="urn:schemas-microsoft-com:office:smarttags" w:element="Stat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 xml:space="preserve">[18]  As Winneke P said in </w:t>
      </w:r>
      <w:r w:rsidRPr="001C6E0E">
        <w:rPr>
          <w:rFonts w:ascii="Arial" w:hAnsi="Arial" w:cs="Arial"/>
          <w:i/>
          <w:iCs/>
          <w:color w:val="000000"/>
          <w:sz w:val="20"/>
        </w:rPr>
        <w:t>Panuccio</w:t>
      </w:r>
      <w:r w:rsidRPr="001C6E0E">
        <w:rPr>
          <w:rFonts w:ascii="Arial" w:hAnsi="Arial" w:cs="Arial"/>
          <w:color w:val="000000"/>
          <w:sz w:val="20"/>
        </w:rPr>
        <w:t xml:space="preserve"> [unreported, Court of Appeal Vic, 04/05/1998]:</w:t>
      </w:r>
    </w:p>
    <w:p w14:paraId="62E87179" w14:textId="77777777" w:rsidR="00BF52E5" w:rsidRPr="001C6E0E" w:rsidRDefault="00BF52E5" w:rsidP="00685718">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w:t>
      </w:r>
      <w:r w:rsidRPr="001C6E0E">
        <w:rPr>
          <w:rFonts w:ascii="Arial" w:hAnsi="Arial" w:cs="Arial"/>
          <w:color w:val="000000"/>
          <w:sz w:val="20"/>
        </w:rPr>
        <w:lastRenderedPageBreak/>
        <w:t xml:space="preserve">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R v Thao Thi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Thi Loang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theie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Southwell &amp; Coldrey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(Cth)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Tadgell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Tadgell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Gaw</w:t>
      </w:r>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R v Togias</w:t>
      </w:r>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“Hardship to an offender’s family or dependants must be truly exceptional…Hardship, even exceptional hardship, to children or other dependants is not a passport to freedom.  </w:t>
      </w:r>
      <w:r w:rsidRPr="001C6E0E">
        <w:rPr>
          <w:rFonts w:ascii="Arial" w:hAnsi="Arial" w:cs="Arial"/>
          <w:color w:val="000000"/>
          <w:sz w:val="20"/>
        </w:rPr>
        <w:lastRenderedPageBreak/>
        <w:t>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30B2A1E4"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Nagul</w:t>
      </w:r>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w:t>
      </w:r>
      <w:r w:rsidR="00AC09DC">
        <w:rPr>
          <w:rFonts w:ascii="Arial" w:hAnsi="Arial" w:cs="Arial"/>
          <w:color w:val="000000"/>
          <w:sz w:val="20"/>
        </w:rPr>
        <w:t>(</w:t>
      </w:r>
      <w:r w:rsidR="00A254BD" w:rsidRPr="001C6E0E">
        <w:rPr>
          <w:rFonts w:ascii="Arial" w:hAnsi="Arial" w:cs="Arial"/>
          <w:color w:val="000000"/>
          <w:sz w:val="20"/>
        </w:rPr>
        <w:t xml:space="preserve">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Tadgell JA and at 594 per Charles JA.; </w:t>
      </w:r>
      <w:r w:rsidR="00A254BD" w:rsidRPr="001C6E0E">
        <w:rPr>
          <w:rFonts w:ascii="Arial" w:hAnsi="Arial" w:cs="Arial"/>
          <w:i/>
          <w:color w:val="000000"/>
          <w:sz w:val="20"/>
          <w:szCs w:val="20"/>
        </w:rPr>
        <w:t xml:space="preserve">DPP v. </w:t>
      </w:r>
      <w:r w:rsidR="00DD7C8D" w:rsidRPr="001C6E0E">
        <w:rPr>
          <w:rFonts w:ascii="Arial" w:hAnsi="Arial" w:cs="Arial"/>
          <w:i/>
          <w:color w:val="000000"/>
          <w:sz w:val="20"/>
          <w:szCs w:val="20"/>
        </w:rPr>
        <w:t>Carter</w:t>
      </w:r>
      <w:r w:rsidR="00A254BD" w:rsidRPr="001C6E0E">
        <w:rPr>
          <w:rFonts w:ascii="Arial" w:hAnsi="Arial" w:cs="Arial"/>
          <w:i/>
          <w:color w:val="000000"/>
          <w:sz w:val="20"/>
          <w:szCs w:val="20"/>
        </w:rPr>
        <w:t xml:space="preserve">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Chernov JA, with whom Maxwell P &amp; Habersberger AJA agreed, referred with approval </w:t>
      </w:r>
      <w:r w:rsidR="00AC09DC">
        <w:rPr>
          <w:rFonts w:ascii="Arial" w:hAnsi="Arial" w:cs="Arial"/>
          <w:color w:val="000000"/>
          <w:sz w:val="20"/>
        </w:rPr>
        <w:t xml:space="preserve">at [44] </w:t>
      </w:r>
      <w:r w:rsidR="00A254BD" w:rsidRPr="001C6E0E">
        <w:rPr>
          <w:rFonts w:ascii="Arial" w:hAnsi="Arial" w:cs="Arial"/>
          <w:color w:val="000000"/>
          <w:sz w:val="20"/>
        </w:rPr>
        <w:t xml:space="preserve">to dicta of King CJ in </w:t>
      </w:r>
      <w:r w:rsidR="00A254BD" w:rsidRPr="001C6E0E">
        <w:rPr>
          <w:rFonts w:ascii="Arial" w:hAnsi="Arial" w:cs="Arial"/>
          <w:i/>
          <w:color w:val="000000"/>
          <w:sz w:val="20"/>
        </w:rPr>
        <w:t xml:space="preserve">R v Osenkowski </w:t>
      </w:r>
      <w:r w:rsidR="00A254BD" w:rsidRPr="001C6E0E">
        <w:rPr>
          <w:rFonts w:ascii="Arial" w:hAnsi="Arial" w:cs="Arial"/>
          <w:color w:val="000000"/>
          <w:sz w:val="20"/>
        </w:rPr>
        <w:t>(1982) 30 SASR 21</w:t>
      </w:r>
      <w:r w:rsidR="00AC09DC">
        <w:rPr>
          <w:rFonts w:ascii="Arial" w:hAnsi="Arial" w:cs="Arial"/>
          <w:color w:val="000000"/>
          <w:sz w:val="20"/>
        </w:rPr>
        <w:t>2 at 212-213:</w:t>
      </w:r>
    </w:p>
    <w:p w14:paraId="70E23844" w14:textId="77777777" w:rsidR="00A254BD" w:rsidRPr="001C6E0E" w:rsidRDefault="00A254BD" w:rsidP="00C177E2">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t xml:space="preserve">However, in </w:t>
      </w:r>
      <w:r w:rsidRPr="00F86035">
        <w:rPr>
          <w:rFonts w:ascii="Arial" w:hAnsi="Arial" w:cs="Arial"/>
          <w:i/>
          <w:color w:val="000000"/>
          <w:sz w:val="20"/>
        </w:rPr>
        <w:t>R v Markovic &amp; Pantelic</w:t>
      </w:r>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lastRenderedPageBreak/>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refused to grant the applicant leave on this ground since the psychological evidence did not provide support for the contention that the applicant’s “anguish at being unable to care for a family member...will make the experience of imprisonment more burdensome or that it materially affects the assessment of the need for specific deterremce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El-Hage</w:t>
      </w:r>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El-Hage’s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“Not only did Mrs El-Hage’s </w:t>
      </w:r>
      <w:r w:rsidR="00A416C6" w:rsidRPr="00F86035">
        <w:rPr>
          <w:rFonts w:ascii="Arial" w:hAnsi="Arial" w:cs="Arial"/>
          <w:color w:val="000000"/>
          <w:sz w:val="20"/>
        </w:rPr>
        <w:t>severe mental illness mean that the two boys were effectively without any parental care, but she herself had become suicidal and the younger boy had 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R v Markovic &amp; Pantelic</w:t>
      </w:r>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(Cth) v Gaw</w:t>
      </w:r>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w:t>
      </w:r>
      <w:r w:rsidR="001A4DEC">
        <w:rPr>
          <w:rFonts w:ascii="Arial" w:hAnsi="Arial" w:cs="Arial"/>
          <w:color w:val="000000"/>
          <w:sz w:val="20"/>
        </w:rPr>
        <w:lastRenderedPageBreak/>
        <w:t xml:space="preserve">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behavior,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upon her children, particularly </w:t>
      </w:r>
      <w:r>
        <w:rPr>
          <w:rFonts w:ascii="Arial" w:hAnsi="Arial" w:cs="Arial"/>
          <w:sz w:val="20"/>
          <w:szCs w:val="20"/>
        </w:rPr>
        <w:t>[her son, now aged 8]</w:t>
      </w:r>
      <w:r w:rsidR="004C1E89" w:rsidRPr="00F7600C">
        <w:rPr>
          <w:rFonts w:ascii="Arial" w:hAnsi="Arial" w:cs="Arial"/>
          <w:sz w:val="20"/>
          <w:szCs w:val="20"/>
        </w:rPr>
        <w:t>. Unquestionably, the hardship flowing to the applicant’s family as a result of the judge returning her to prison was, as we 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0D472342" w14:textId="0964451D"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Stanisavljevic</w:t>
      </w:r>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R v Ienco</w:t>
      </w:r>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R v Vipulkumar Gajjar</w:t>
      </w:r>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DPP v Bourozikas</w:t>
      </w:r>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El-Hage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Ors </w:t>
      </w:r>
      <w:r w:rsidR="00354C26" w:rsidRPr="00F86035">
        <w:rPr>
          <w:rFonts w:ascii="Arial" w:hAnsi="Arial" w:cs="Arial"/>
          <w:iCs/>
          <w:color w:val="000000"/>
          <w:sz w:val="20"/>
          <w:szCs w:val="20"/>
          <w:lang w:eastAsia="en-AU"/>
        </w:rPr>
        <w:t xml:space="preserve">[2011] VSCA 427 at [68]-[71]; </w:t>
      </w:r>
      <w:r w:rsidR="00354C26" w:rsidRPr="00F86035">
        <w:rPr>
          <w:rFonts w:ascii="Arial" w:hAnsi="Arial" w:cs="Arial"/>
          <w:i/>
          <w:iCs/>
          <w:color w:val="000000"/>
          <w:sz w:val="20"/>
          <w:szCs w:val="20"/>
          <w:lang w:eastAsia="en-AU"/>
        </w:rPr>
        <w:t>Ramezanian v The Queen</w:t>
      </w:r>
      <w:r w:rsidR="00354C26" w:rsidRPr="00F86035">
        <w:rPr>
          <w:rFonts w:ascii="Arial" w:hAnsi="Arial" w:cs="Arial"/>
          <w:iCs/>
          <w:color w:val="000000"/>
          <w:sz w:val="20"/>
          <w:szCs w:val="20"/>
          <w:lang w:eastAsia="en-AU"/>
        </w:rPr>
        <w:t xml:space="preserve"> [2013]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FA15A7">
        <w:rPr>
          <w:rFonts w:ascii="Arial" w:hAnsi="Arial" w:cs="Arial"/>
          <w:color w:val="000000"/>
          <w:sz w:val="20"/>
          <w:szCs w:val="20"/>
        </w:rPr>
        <w:t xml:space="preserve">; </w:t>
      </w:r>
      <w:r w:rsidR="00FA15A7" w:rsidRPr="002B643F">
        <w:rPr>
          <w:rFonts w:ascii="Arial" w:hAnsi="Arial" w:cs="Arial"/>
          <w:i/>
          <w:iCs/>
          <w:color w:val="000000"/>
          <w:sz w:val="20"/>
          <w:szCs w:val="20"/>
        </w:rPr>
        <w:t>DPP v Hill (a pseudonym)</w:t>
      </w:r>
      <w:r w:rsidR="00FA15A7">
        <w:rPr>
          <w:rFonts w:ascii="Arial" w:hAnsi="Arial" w:cs="Arial"/>
          <w:color w:val="000000"/>
          <w:sz w:val="20"/>
          <w:szCs w:val="20"/>
        </w:rPr>
        <w:t xml:space="preserve"> [2023] VSCA 56 at [20]-[23]</w:t>
      </w:r>
      <w:r w:rsidR="00FA15A7">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Sifris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a five member bench of this Court reviewed the position at common law with respect to family hardship as a sentencing consideration. The Court reaffirmed the established position at common law, that family hardship could only be regarded as a mitigating factor in exceptional circumstances.</w:t>
      </w:r>
    </w:p>
    <w:p w14:paraId="4C1C1C10" w14:textId="31EFDCE0"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dependants’. </w:t>
      </w:r>
      <w:r w:rsidRPr="008468A0">
        <w:rPr>
          <w:rFonts w:ascii="Arial" w:hAnsi="Arial" w:cs="Arial"/>
          <w:sz w:val="20"/>
        </w:rPr>
        <w:t xml:space="preserve">Until the recent decision in </w:t>
      </w:r>
      <w:r w:rsidRPr="008468A0">
        <w:rPr>
          <w:rFonts w:ascii="Arial" w:hAnsi="Arial" w:cs="Arial"/>
          <w:i/>
          <w:iCs/>
          <w:sz w:val="20"/>
        </w:rPr>
        <w:t>Totaan</w:t>
      </w:r>
      <w:r w:rsidRPr="008468A0">
        <w:rPr>
          <w:rFonts w:ascii="Arial" w:hAnsi="Arial" w:cs="Arial"/>
          <w:sz w:val="20"/>
        </w:rPr>
        <w:t xml:space="preserve"> </w:t>
      </w:r>
      <w:r w:rsidR="008468A0" w:rsidRPr="008468A0">
        <w:rPr>
          <w:rFonts w:ascii="Arial" w:hAnsi="Arial" w:cs="Arial"/>
          <w:sz w:val="20"/>
        </w:rPr>
        <w:t>[2022] NSWCCA 75</w:t>
      </w:r>
      <w:r w:rsidR="008468A0">
        <w:rPr>
          <w:rFonts w:ascii="Arial" w:hAnsi="Arial" w:cs="Arial"/>
          <w:sz w:val="20"/>
        </w:rPr>
        <w:t xml:space="preserve">, </w:t>
      </w:r>
      <w:r w:rsidRPr="008468A0">
        <w:rPr>
          <w:rFonts w:ascii="Arial" w:hAnsi="Arial" w:cs="Arial"/>
          <w:sz w:val="20"/>
        </w:rPr>
        <w:t>courts in all Australian</w:t>
      </w:r>
      <w:r w:rsidRPr="00AA44B8">
        <w:rPr>
          <w:rFonts w:ascii="Arial" w:hAnsi="Arial" w:cs="Arial"/>
          <w:sz w:val="20"/>
        </w:rPr>
        <w:t xml:space="preserve">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r w:rsidRPr="00AA44B8">
        <w:rPr>
          <w:rFonts w:ascii="Arial" w:hAnsi="Arial" w:cs="Arial"/>
          <w:i/>
          <w:iCs/>
          <w:sz w:val="20"/>
        </w:rPr>
        <w:t>Totaan</w:t>
      </w:r>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r w:rsidRPr="00BC2A14">
        <w:rPr>
          <w:rFonts w:ascii="Arial" w:hAnsi="Arial" w:cs="Arial"/>
          <w:i/>
          <w:iCs/>
          <w:sz w:val="20"/>
          <w:szCs w:val="16"/>
        </w:rPr>
        <w:t>Totaan</w:t>
      </w:r>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r w:rsidRPr="00BC2A14">
        <w:rPr>
          <w:rFonts w:ascii="Arial" w:hAnsi="Arial" w:cs="Arial"/>
          <w:i/>
          <w:iCs/>
          <w:sz w:val="18"/>
          <w:szCs w:val="14"/>
        </w:rPr>
        <w:t>Totaan</w:t>
      </w:r>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Totaan, s 16A(2)(p) should be applied according to its terms.</w:t>
      </w:r>
      <w:r>
        <w:rPr>
          <w:rFonts w:ascii="Arial" w:hAnsi="Arial" w:cs="Arial"/>
          <w:sz w:val="18"/>
          <w:szCs w:val="14"/>
        </w:rPr>
        <w:t>’</w:t>
      </w:r>
    </w:p>
    <w:p w14:paraId="01395E81"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w:t>
      </w:r>
      <w:r w:rsidRPr="00BC2A14">
        <w:rPr>
          <w:rFonts w:ascii="Arial" w:hAnsi="Arial" w:cs="Arial"/>
          <w:sz w:val="20"/>
        </w:rPr>
        <w:lastRenderedPageBreak/>
        <w:t>accepts that, in resentencing, ‘some, albeit minimal weight’ should be given to the probable hardship his family will experience.</w:t>
      </w:r>
    </w:p>
    <w:p w14:paraId="2A82C417"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act on those concessions. As already indicated, we had separately concluded — for reasons of totality — that this appeal must succeed and that the applicant must be resentenced. Since on a resentencing the Court must take into account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086C5534" w14:textId="6C5A5198" w:rsidR="008D531D" w:rsidRDefault="007B4B9A" w:rsidP="00322B31">
      <w:pPr>
        <w:pStyle w:val="Quote1Char"/>
        <w:spacing w:before="0"/>
        <w:ind w:left="0" w:right="0" w:firstLine="0"/>
        <w:rPr>
          <w:rFonts w:ascii="Arial" w:hAnsi="Arial" w:cs="Arial"/>
          <w:sz w:val="20"/>
        </w:rPr>
      </w:pPr>
      <w:r>
        <w:rPr>
          <w:rFonts w:ascii="Arial" w:hAnsi="Arial" w:cs="Arial"/>
          <w:color w:val="000000"/>
          <w:sz w:val="20"/>
        </w:rPr>
        <w:t xml:space="preserve">In </w:t>
      </w:r>
      <w:bookmarkStart w:id="634" w:name="_Hlk193091123"/>
      <w:r w:rsidRPr="007B4B9A">
        <w:rPr>
          <w:rFonts w:ascii="Arial" w:hAnsi="Arial" w:cs="Arial"/>
          <w:i/>
          <w:iCs/>
          <w:color w:val="000000"/>
          <w:sz w:val="20"/>
        </w:rPr>
        <w:t>Hooimeyer v The King</w:t>
      </w:r>
      <w:r>
        <w:rPr>
          <w:rFonts w:ascii="Arial" w:hAnsi="Arial" w:cs="Arial"/>
          <w:color w:val="000000"/>
          <w:sz w:val="20"/>
        </w:rPr>
        <w:t xml:space="preserve"> [2025] VSCA 37 </w:t>
      </w:r>
      <w:bookmarkEnd w:id="634"/>
      <w:r>
        <w:rPr>
          <w:rFonts w:ascii="Arial" w:hAnsi="Arial" w:cs="Arial"/>
          <w:color w:val="000000"/>
          <w:sz w:val="20"/>
        </w:rPr>
        <w:t>the 23 year old applicant had pleaded guilty to charges of obtaining a financial advantage of $160</w:t>
      </w:r>
      <w:r w:rsidR="008D531D">
        <w:rPr>
          <w:rFonts w:ascii="Arial" w:hAnsi="Arial" w:cs="Arial"/>
          <w:color w:val="000000"/>
          <w:sz w:val="20"/>
        </w:rPr>
        <w:t>,</w:t>
      </w:r>
      <w:r>
        <w:rPr>
          <w:rFonts w:ascii="Arial" w:hAnsi="Arial" w:cs="Arial"/>
          <w:color w:val="000000"/>
          <w:sz w:val="20"/>
        </w:rPr>
        <w:t xml:space="preserve">102 from a Commonwealth entity by lodging business activity statements containing false information. </w:t>
      </w:r>
      <w:r w:rsidR="00322B31">
        <w:rPr>
          <w:rFonts w:ascii="Arial" w:hAnsi="Arial" w:cs="Arial"/>
          <w:color w:val="000000"/>
          <w:sz w:val="20"/>
        </w:rPr>
        <w:t>She had been sentenced to TES IMP</w:t>
      </w:r>
      <w:r w:rsidR="00322B31" w:rsidRPr="00322B31">
        <w:rPr>
          <w:rFonts w:ascii="Arial" w:hAnsi="Arial" w:cs="Arial"/>
          <w:sz w:val="20"/>
        </w:rPr>
        <w:t>18</w:t>
      </w:r>
      <w:r w:rsidR="00322B31">
        <w:rPr>
          <w:rFonts w:ascii="Arial" w:hAnsi="Arial" w:cs="Arial"/>
          <w:sz w:val="20"/>
        </w:rPr>
        <w:t>m</w:t>
      </w:r>
      <w:r w:rsidR="00322B31" w:rsidRPr="00322B31">
        <w:rPr>
          <w:rFonts w:ascii="Arial" w:hAnsi="Arial" w:cs="Arial"/>
          <w:sz w:val="20"/>
        </w:rPr>
        <w:t xml:space="preserve"> </w:t>
      </w:r>
      <w:r w:rsidR="00322B31">
        <w:rPr>
          <w:rFonts w:ascii="Arial" w:hAnsi="Arial" w:cs="Arial"/>
          <w:sz w:val="20"/>
        </w:rPr>
        <w:t xml:space="preserve">with a $500 2y RRO after serving IMP8m. </w:t>
      </w:r>
      <w:r>
        <w:rPr>
          <w:rFonts w:ascii="Arial" w:hAnsi="Arial" w:cs="Arial"/>
          <w:color w:val="000000"/>
          <w:sz w:val="20"/>
        </w:rPr>
        <w:t xml:space="preserve">The applicant </w:t>
      </w:r>
      <w:r w:rsidR="007546C6">
        <w:rPr>
          <w:rFonts w:ascii="Arial" w:hAnsi="Arial" w:cs="Arial"/>
          <w:color w:val="000000"/>
          <w:sz w:val="20"/>
        </w:rPr>
        <w:t xml:space="preserve">– who had a history of depression and social anxiety – </w:t>
      </w:r>
      <w:r>
        <w:rPr>
          <w:rFonts w:ascii="Arial" w:hAnsi="Arial" w:cs="Arial"/>
          <w:color w:val="000000"/>
          <w:sz w:val="20"/>
        </w:rPr>
        <w:t>was</w:t>
      </w:r>
      <w:r w:rsidR="007546C6">
        <w:rPr>
          <w:rFonts w:ascii="Arial" w:hAnsi="Arial" w:cs="Arial"/>
          <w:color w:val="000000"/>
          <w:sz w:val="20"/>
        </w:rPr>
        <w:t xml:space="preserve"> </w:t>
      </w:r>
      <w:r>
        <w:rPr>
          <w:rFonts w:ascii="Arial" w:hAnsi="Arial" w:cs="Arial"/>
          <w:color w:val="000000"/>
          <w:sz w:val="20"/>
        </w:rPr>
        <w:t>the primary carer of a 15</w:t>
      </w:r>
      <w:r w:rsidR="008D531D">
        <w:rPr>
          <w:rFonts w:ascii="Arial" w:hAnsi="Arial" w:cs="Arial"/>
          <w:color w:val="000000"/>
          <w:sz w:val="20"/>
        </w:rPr>
        <w:t>-</w:t>
      </w:r>
      <w:r>
        <w:rPr>
          <w:rFonts w:ascii="Arial" w:hAnsi="Arial" w:cs="Arial"/>
          <w:color w:val="000000"/>
          <w:sz w:val="20"/>
        </w:rPr>
        <w:t xml:space="preserve">month old child and was pregnant at the time of sentencing. </w:t>
      </w:r>
      <w:r w:rsidRPr="007B4B9A">
        <w:rPr>
          <w:rFonts w:ascii="Arial" w:hAnsi="Arial" w:cs="Arial"/>
          <w:color w:val="000000"/>
          <w:sz w:val="20"/>
        </w:rPr>
        <w:t xml:space="preserve">The applicant’s relationship with the </w:t>
      </w:r>
      <w:r w:rsidR="00605AD8">
        <w:rPr>
          <w:rFonts w:ascii="Arial" w:hAnsi="Arial" w:cs="Arial"/>
          <w:color w:val="000000"/>
          <w:sz w:val="20"/>
        </w:rPr>
        <w:t xml:space="preserve">child’s </w:t>
      </w:r>
      <w:r w:rsidRPr="007B4B9A">
        <w:rPr>
          <w:rFonts w:ascii="Arial" w:hAnsi="Arial" w:cs="Arial"/>
          <w:color w:val="000000"/>
          <w:sz w:val="20"/>
        </w:rPr>
        <w:t>father had ended in the context of his ‘excessive alcohol use and verbally abusive behaviour’</w:t>
      </w:r>
      <w:r w:rsidR="007546C6">
        <w:rPr>
          <w:rFonts w:ascii="Arial" w:hAnsi="Arial" w:cs="Arial"/>
          <w:color w:val="000000"/>
          <w:sz w:val="20"/>
        </w:rPr>
        <w:t xml:space="preserve"> and t</w:t>
      </w:r>
      <w:r w:rsidRPr="007B4B9A">
        <w:rPr>
          <w:rFonts w:ascii="Arial" w:hAnsi="Arial" w:cs="Arial"/>
          <w:color w:val="000000"/>
          <w:sz w:val="20"/>
        </w:rPr>
        <w:t xml:space="preserve">he applicant and her </w:t>
      </w:r>
      <w:r w:rsidR="00605AD8">
        <w:rPr>
          <w:rFonts w:ascii="Arial" w:hAnsi="Arial" w:cs="Arial"/>
          <w:color w:val="000000"/>
          <w:sz w:val="20"/>
        </w:rPr>
        <w:t>child</w:t>
      </w:r>
      <w:r w:rsidRPr="007B4B9A">
        <w:rPr>
          <w:rFonts w:ascii="Arial" w:hAnsi="Arial" w:cs="Arial"/>
          <w:color w:val="000000"/>
          <w:sz w:val="20"/>
        </w:rPr>
        <w:t xml:space="preserve"> were living with the applicant’s parents</w:t>
      </w:r>
      <w:r w:rsidR="000D6BB8">
        <w:rPr>
          <w:rFonts w:ascii="Arial" w:hAnsi="Arial" w:cs="Arial"/>
          <w:color w:val="000000"/>
          <w:sz w:val="20"/>
        </w:rPr>
        <w:t>.</w:t>
      </w:r>
      <w:r w:rsidRPr="007B4B9A">
        <w:rPr>
          <w:rFonts w:ascii="Arial" w:hAnsi="Arial" w:cs="Arial"/>
          <w:color w:val="000000"/>
          <w:sz w:val="20"/>
        </w:rPr>
        <w:t xml:space="preserve"> </w:t>
      </w:r>
      <w:r w:rsidR="008D531D">
        <w:rPr>
          <w:rFonts w:ascii="Arial" w:hAnsi="Arial" w:cs="Arial"/>
          <w:color w:val="000000"/>
          <w:sz w:val="20"/>
        </w:rPr>
        <w:t xml:space="preserve">Granting leave to appeal and allowing the appeal, </w:t>
      </w:r>
      <w:r w:rsidR="00322B31">
        <w:rPr>
          <w:rFonts w:ascii="Arial" w:hAnsi="Arial" w:cs="Arial"/>
          <w:color w:val="000000"/>
          <w:sz w:val="20"/>
        </w:rPr>
        <w:t>the Court of Appeal</w:t>
      </w:r>
      <w:r w:rsidR="008D531D">
        <w:rPr>
          <w:rFonts w:ascii="Arial" w:hAnsi="Arial" w:cs="Arial"/>
          <w:color w:val="000000"/>
          <w:sz w:val="20"/>
        </w:rPr>
        <w:t xml:space="preserve"> held that the sentencing judge had erred by reducing the mitigatory weight to be given to hardship flowing from the </w:t>
      </w:r>
      <w:r w:rsidR="008D531D" w:rsidRPr="008D531D">
        <w:rPr>
          <w:rFonts w:ascii="Arial" w:hAnsi="Arial" w:cs="Arial"/>
          <w:color w:val="000000"/>
          <w:sz w:val="20"/>
        </w:rPr>
        <w:t xml:space="preserve">applicant’s separation from </w:t>
      </w:r>
      <w:r w:rsidR="00CA4F2D">
        <w:rPr>
          <w:rFonts w:ascii="Arial" w:hAnsi="Arial" w:cs="Arial"/>
          <w:color w:val="000000"/>
          <w:sz w:val="20"/>
        </w:rPr>
        <w:t xml:space="preserve">her </w:t>
      </w:r>
      <w:r w:rsidR="008D531D" w:rsidRPr="008D531D">
        <w:rPr>
          <w:rFonts w:ascii="Arial" w:hAnsi="Arial" w:cs="Arial"/>
          <w:color w:val="000000"/>
          <w:sz w:val="20"/>
        </w:rPr>
        <w:t xml:space="preserve">15-month old child because she had not applied to have </w:t>
      </w:r>
      <w:r w:rsidR="00A775F6">
        <w:rPr>
          <w:rFonts w:ascii="Arial" w:hAnsi="Arial" w:cs="Arial"/>
          <w:color w:val="000000"/>
          <w:sz w:val="20"/>
        </w:rPr>
        <w:t xml:space="preserve">the </w:t>
      </w:r>
      <w:r w:rsidR="008D531D" w:rsidRPr="008D531D">
        <w:rPr>
          <w:rFonts w:ascii="Arial" w:hAnsi="Arial" w:cs="Arial"/>
          <w:color w:val="000000"/>
          <w:sz w:val="20"/>
        </w:rPr>
        <w:t>child with her in custody</w:t>
      </w:r>
      <w:r w:rsidR="008D531D">
        <w:rPr>
          <w:rFonts w:ascii="Arial" w:hAnsi="Arial" w:cs="Arial"/>
          <w:color w:val="000000"/>
          <w:sz w:val="20"/>
        </w:rPr>
        <w:t xml:space="preserve">. </w:t>
      </w:r>
      <w:r w:rsidR="00322B31">
        <w:rPr>
          <w:rFonts w:ascii="Arial" w:hAnsi="Arial" w:cs="Arial"/>
          <w:sz w:val="20"/>
        </w:rPr>
        <w:t>Orr &amp; T</w:t>
      </w:r>
      <w:r w:rsidR="007546C6">
        <w:rPr>
          <w:rFonts w:ascii="Arial" w:hAnsi="Arial" w:cs="Arial"/>
          <w:sz w:val="20"/>
        </w:rPr>
        <w:t> </w:t>
      </w:r>
      <w:r w:rsidR="00322B31">
        <w:rPr>
          <w:rFonts w:ascii="Arial" w:hAnsi="Arial" w:cs="Arial"/>
          <w:sz w:val="20"/>
        </w:rPr>
        <w:t xml:space="preserve">Forrest </w:t>
      </w:r>
      <w:r w:rsidR="002A1008">
        <w:rPr>
          <w:rFonts w:ascii="Arial" w:hAnsi="Arial" w:cs="Arial"/>
          <w:sz w:val="20"/>
        </w:rPr>
        <w:t>J</w:t>
      </w:r>
      <w:r w:rsidR="00322B31">
        <w:rPr>
          <w:rFonts w:ascii="Arial" w:hAnsi="Arial" w:cs="Arial"/>
          <w:sz w:val="20"/>
        </w:rPr>
        <w:t xml:space="preserve">JA held at </w:t>
      </w:r>
      <w:r w:rsidR="0082273B">
        <w:rPr>
          <w:rFonts w:ascii="Arial" w:hAnsi="Arial" w:cs="Arial"/>
          <w:sz w:val="20"/>
        </w:rPr>
        <w:t>[14]</w:t>
      </w:r>
      <w:r w:rsidR="00CA4F2D">
        <w:rPr>
          <w:rFonts w:ascii="Arial" w:hAnsi="Arial" w:cs="Arial"/>
          <w:sz w:val="20"/>
        </w:rPr>
        <w:t>-</w:t>
      </w:r>
      <w:r w:rsidR="000D6BB8">
        <w:rPr>
          <w:rFonts w:ascii="Arial" w:hAnsi="Arial" w:cs="Arial"/>
          <w:sz w:val="20"/>
        </w:rPr>
        <w:t>[15]</w:t>
      </w:r>
      <w:r w:rsidR="0082273B">
        <w:rPr>
          <w:rFonts w:ascii="Arial" w:hAnsi="Arial" w:cs="Arial"/>
          <w:sz w:val="20"/>
        </w:rPr>
        <w:t xml:space="preserve"> &amp; </w:t>
      </w:r>
      <w:r w:rsidR="00322B31">
        <w:rPr>
          <w:rFonts w:ascii="Arial" w:hAnsi="Arial" w:cs="Arial"/>
          <w:sz w:val="20"/>
        </w:rPr>
        <w:t>[22]:</w:t>
      </w:r>
    </w:p>
    <w:p w14:paraId="06B83B32" w14:textId="00102F0C" w:rsidR="000D6BB8" w:rsidRDefault="0082273B" w:rsidP="00322B31">
      <w:pPr>
        <w:pStyle w:val="Quote1Char"/>
        <w:spacing w:before="60"/>
        <w:ind w:left="567" w:right="567" w:firstLine="0"/>
        <w:rPr>
          <w:rFonts w:ascii="Arial" w:hAnsi="Arial" w:cs="Arial"/>
          <w:sz w:val="20"/>
        </w:rPr>
      </w:pPr>
      <w:bookmarkStart w:id="635" w:name="_Hlk193089214"/>
      <w:r>
        <w:rPr>
          <w:rFonts w:ascii="Arial" w:hAnsi="Arial" w:cs="Arial"/>
          <w:sz w:val="20"/>
        </w:rPr>
        <w:t>[14] “</w:t>
      </w:r>
      <w:r w:rsidRPr="0082273B">
        <w:rPr>
          <w:rFonts w:ascii="Arial" w:hAnsi="Arial" w:cs="Arial"/>
          <w:sz w:val="20"/>
        </w:rPr>
        <w:t xml:space="preserve">Section 16A(2)(m) of the </w:t>
      </w:r>
      <w:r w:rsidRPr="0082273B">
        <w:rPr>
          <w:rFonts w:ascii="Arial" w:hAnsi="Arial" w:cs="Arial"/>
          <w:i/>
          <w:iCs/>
          <w:sz w:val="20"/>
        </w:rPr>
        <w:t>Crimes Act 1914</w:t>
      </w:r>
      <w:r w:rsidRPr="0082273B">
        <w:rPr>
          <w:rFonts w:ascii="Arial" w:hAnsi="Arial" w:cs="Arial"/>
          <w:sz w:val="20"/>
        </w:rPr>
        <w:t xml:space="preserve"> (Cth) provides that a sentencing court must take into account ‘the character, antecedents, age, means and physical or mental condition of the person’ being sentenced. Section 16A(2)(p) requires a court to take into account ‘the probable effect that any sentence or order under consideration would have on any of the person’s family or dependents’. In </w:t>
      </w:r>
      <w:r w:rsidRPr="0082273B">
        <w:rPr>
          <w:rFonts w:ascii="Arial" w:hAnsi="Arial" w:cs="Arial"/>
          <w:i/>
          <w:iCs/>
          <w:sz w:val="20"/>
        </w:rPr>
        <w:t>Totaan v The Queen</w:t>
      </w:r>
      <w:r w:rsidRPr="0082273B">
        <w:rPr>
          <w:rFonts w:ascii="Arial" w:hAnsi="Arial" w:cs="Arial"/>
          <w:sz w:val="20"/>
        </w:rPr>
        <w:t xml:space="preserve"> </w:t>
      </w:r>
      <w:r w:rsidRPr="008468A0">
        <w:rPr>
          <w:rFonts w:ascii="Arial" w:hAnsi="Arial" w:cs="Arial"/>
          <w:sz w:val="20"/>
        </w:rPr>
        <w:t>[2022] NSWCCA 75</w:t>
      </w:r>
      <w:r w:rsidRPr="0082273B">
        <w:rPr>
          <w:rFonts w:ascii="Arial" w:hAnsi="Arial" w:cs="Arial"/>
          <w:sz w:val="20"/>
        </w:rPr>
        <w:t>, the New South Wales Court of Criminal Appeal held that s 16A(2)(p) did not require a sentencing court to be satisfied that there were exceptional circumstances before taking probable hardship into account.</w:t>
      </w:r>
      <w:r w:rsidR="000D6BB8">
        <w:rPr>
          <w:rFonts w:ascii="Arial" w:hAnsi="Arial" w:cs="Arial"/>
          <w:sz w:val="20"/>
        </w:rPr>
        <w:t>..</w:t>
      </w:r>
    </w:p>
    <w:p w14:paraId="0608C138" w14:textId="37E072EB" w:rsidR="0082273B" w:rsidRDefault="000D6BB8" w:rsidP="00322B31">
      <w:pPr>
        <w:pStyle w:val="Quote1Char"/>
        <w:spacing w:before="60"/>
        <w:ind w:left="567" w:right="567" w:firstLine="0"/>
        <w:rPr>
          <w:rFonts w:ascii="Arial" w:hAnsi="Arial" w:cs="Arial"/>
          <w:sz w:val="20"/>
        </w:rPr>
      </w:pPr>
      <w:r>
        <w:rPr>
          <w:rFonts w:ascii="Arial" w:hAnsi="Arial" w:cs="Arial"/>
          <w:sz w:val="20"/>
        </w:rPr>
        <w:t xml:space="preserve">[15] </w:t>
      </w:r>
      <w:r w:rsidRPr="000D6BB8">
        <w:rPr>
          <w:rFonts w:ascii="Arial" w:hAnsi="Arial" w:cs="Arial"/>
          <w:i/>
          <w:iCs/>
          <w:sz w:val="20"/>
        </w:rPr>
        <w:t>Totaan</w:t>
      </w:r>
      <w:r w:rsidRPr="000D6BB8">
        <w:rPr>
          <w:rFonts w:ascii="Arial" w:hAnsi="Arial" w:cs="Arial"/>
          <w:sz w:val="20"/>
        </w:rPr>
        <w:t xml:space="preserve"> has been followed in Victoria since 5 August 2022</w:t>
      </w:r>
      <w:r>
        <w:rPr>
          <w:rFonts w:ascii="Arial" w:hAnsi="Arial" w:cs="Arial"/>
          <w:sz w:val="20"/>
        </w:rPr>
        <w:t xml:space="preserve">: </w:t>
      </w:r>
      <w:r w:rsidRPr="000D6BB8">
        <w:rPr>
          <w:rFonts w:ascii="Arial" w:hAnsi="Arial" w:cs="Arial"/>
          <w:i/>
          <w:iCs/>
          <w:sz w:val="20"/>
        </w:rPr>
        <w:t>Rodgerson v R (No 2)</w:t>
      </w:r>
      <w:r w:rsidRPr="000D6BB8">
        <w:rPr>
          <w:rFonts w:ascii="Arial" w:hAnsi="Arial" w:cs="Arial"/>
          <w:sz w:val="20"/>
        </w:rPr>
        <w:t xml:space="preserve"> [2022] VSCA 154, [73]</w:t>
      </w:r>
      <w:r>
        <w:rPr>
          <w:rFonts w:ascii="Arial" w:hAnsi="Arial" w:cs="Arial"/>
          <w:sz w:val="20"/>
        </w:rPr>
        <w:t>.”</w:t>
      </w:r>
    </w:p>
    <w:bookmarkEnd w:id="635"/>
    <w:p w14:paraId="5E42483E" w14:textId="20AD4E05" w:rsidR="00322B31" w:rsidRDefault="0082273B" w:rsidP="00322B31">
      <w:pPr>
        <w:pStyle w:val="Quote1Char"/>
        <w:spacing w:before="60"/>
        <w:ind w:left="567" w:right="567" w:firstLine="0"/>
        <w:rPr>
          <w:rFonts w:ascii="Arial" w:hAnsi="Arial" w:cs="Arial"/>
          <w:sz w:val="20"/>
          <w:szCs w:val="16"/>
        </w:rPr>
      </w:pPr>
      <w:r>
        <w:rPr>
          <w:rFonts w:ascii="Arial" w:hAnsi="Arial" w:cs="Arial"/>
          <w:sz w:val="20"/>
        </w:rPr>
        <w:t xml:space="preserve">[22] </w:t>
      </w:r>
      <w:r w:rsidR="00322B31">
        <w:rPr>
          <w:rFonts w:ascii="Arial" w:hAnsi="Arial" w:cs="Arial"/>
          <w:sz w:val="20"/>
        </w:rPr>
        <w:t>“</w:t>
      </w:r>
      <w:r w:rsidR="00322B31" w:rsidRPr="00322B31">
        <w:rPr>
          <w:rFonts w:ascii="Arial" w:hAnsi="Arial" w:cs="Arial"/>
          <w:sz w:val="20"/>
        </w:rPr>
        <w:t>There is no statutory mandate nor sentencing principle to support the proposition that the probable effect of hardship on an offender, or a dependant, should be reduced or moderated based on what actions he or she has taken in an attempt to mitigate that hardship. Section 16A(2)(p) is a straightforward section that should be applied according to its terms. So should s 16A(2)(m).</w:t>
      </w:r>
      <w:r w:rsidR="00322B31">
        <w:rPr>
          <w:rFonts w:ascii="Arial" w:hAnsi="Arial" w:cs="Arial"/>
          <w:sz w:val="20"/>
        </w:rPr>
        <w:t>”</w:t>
      </w:r>
    </w:p>
    <w:p w14:paraId="3BFBFC67" w14:textId="6CF89EA2" w:rsidR="008D531D" w:rsidRDefault="00322B31" w:rsidP="00322B31">
      <w:pPr>
        <w:pStyle w:val="Quote1Char"/>
        <w:spacing w:before="60"/>
        <w:ind w:left="0" w:right="567" w:firstLine="0"/>
        <w:rPr>
          <w:rFonts w:ascii="Arial" w:hAnsi="Arial" w:cs="Arial"/>
          <w:sz w:val="20"/>
        </w:rPr>
      </w:pPr>
      <w:r>
        <w:rPr>
          <w:rFonts w:ascii="Arial" w:hAnsi="Arial" w:cs="Arial"/>
          <w:sz w:val="20"/>
        </w:rPr>
        <w:t>The applicant was re-sentenced to TES IMP12m with a $500 18m RRO after serving IMP4m.</w:t>
      </w:r>
    </w:p>
    <w:p w14:paraId="323CEE9A" w14:textId="60DD364F" w:rsidR="007B4B9A" w:rsidRDefault="007B4B9A" w:rsidP="00AA44B8">
      <w:pPr>
        <w:pStyle w:val="Quote1Char"/>
        <w:spacing w:before="0"/>
        <w:ind w:left="0" w:right="567" w:firstLine="0"/>
        <w:rPr>
          <w:rFonts w:ascii="Arial" w:hAnsi="Arial" w:cs="Arial"/>
          <w:color w:val="000000"/>
          <w:sz w:val="20"/>
        </w:rPr>
      </w:pPr>
    </w:p>
    <w:p w14:paraId="5F5BBB6A" w14:textId="29564678"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r w:rsidRPr="006C3429">
        <w:rPr>
          <w:rFonts w:ascii="Arial" w:hAnsi="Arial" w:cs="Arial"/>
          <w:i/>
          <w:iCs/>
          <w:color w:val="000000"/>
          <w:sz w:val="20"/>
        </w:rPr>
        <w:t>Rodgerson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r w:rsidR="00081AFC">
        <w:rPr>
          <w:rFonts w:ascii="Arial" w:hAnsi="Arial" w:cs="Arial"/>
          <w:color w:val="000000"/>
          <w:sz w:val="20"/>
        </w:rPr>
        <w:t xml:space="preserve">; </w:t>
      </w:r>
      <w:r w:rsidR="00E86BCB" w:rsidRPr="00E86BCB">
        <w:rPr>
          <w:rFonts w:ascii="Arial" w:hAnsi="Arial" w:cs="Arial"/>
          <w:i/>
          <w:iCs/>
          <w:color w:val="000000"/>
          <w:sz w:val="20"/>
        </w:rPr>
        <w:t>El Masri v The King</w:t>
      </w:r>
      <w:r w:rsidR="00E86BCB">
        <w:rPr>
          <w:rFonts w:ascii="Arial" w:hAnsi="Arial" w:cs="Arial"/>
          <w:color w:val="000000"/>
          <w:sz w:val="20"/>
        </w:rPr>
        <w:t xml:space="preserve"> [2023] VSCA </w:t>
      </w:r>
      <w:r w:rsidR="00157BC0">
        <w:rPr>
          <w:rFonts w:ascii="Arial" w:hAnsi="Arial" w:cs="Arial"/>
          <w:color w:val="000000"/>
          <w:sz w:val="20"/>
        </w:rPr>
        <w:t xml:space="preserve">93 </w:t>
      </w:r>
      <w:r w:rsidR="006824B2">
        <w:rPr>
          <w:rFonts w:ascii="Arial" w:hAnsi="Arial" w:cs="Arial"/>
          <w:color w:val="000000"/>
          <w:sz w:val="20"/>
        </w:rPr>
        <w:t>at [44]-[60]</w:t>
      </w:r>
      <w:r w:rsidR="005E20F7">
        <w:rPr>
          <w:rFonts w:ascii="Arial" w:hAnsi="Arial" w:cs="Arial"/>
          <w:color w:val="000000"/>
          <w:sz w:val="20"/>
        </w:rPr>
        <w:t xml:space="preserve">; </w:t>
      </w:r>
      <w:r w:rsidR="005E20F7"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w:t>
      </w:r>
      <w:r w:rsidR="005E20F7">
        <w:rPr>
          <w:rFonts w:ascii="Arial" w:hAnsi="Arial" w:cs="Arial"/>
          <w:bCs/>
          <w:i/>
          <w:iCs/>
          <w:color w:val="000000"/>
          <w:sz w:val="20"/>
          <w:lang w:val="en-US"/>
        </w:rPr>
        <w:t xml:space="preserve"> </w:t>
      </w:r>
      <w:r w:rsidR="00664FD0">
        <w:rPr>
          <w:rFonts w:ascii="Arial" w:hAnsi="Arial" w:cs="Arial"/>
          <w:bCs/>
          <w:i/>
          <w:iCs/>
          <w:color w:val="000000"/>
          <w:sz w:val="20"/>
          <w:lang w:val="en-US"/>
        </w:rPr>
        <w:t>[</w:t>
      </w:r>
      <w:r w:rsidR="005E20F7">
        <w:rPr>
          <w:rFonts w:ascii="Arial" w:hAnsi="Arial" w:cs="Arial"/>
          <w:bCs/>
          <w:i/>
          <w:iCs/>
          <w:color w:val="000000"/>
          <w:sz w:val="20"/>
          <w:lang w:val="en-US"/>
        </w:rPr>
        <w:t>No 2</w:t>
      </w:r>
      <w:r w:rsidR="00664FD0">
        <w:rPr>
          <w:rFonts w:ascii="Arial" w:hAnsi="Arial" w:cs="Arial"/>
          <w:bCs/>
          <w:i/>
          <w:iCs/>
          <w:color w:val="000000"/>
          <w:sz w:val="20"/>
          <w:lang w:val="en-US"/>
        </w:rPr>
        <w:t>]</w:t>
      </w:r>
      <w:r w:rsidR="005E20F7">
        <w:rPr>
          <w:rFonts w:ascii="Arial" w:hAnsi="Arial" w:cs="Arial"/>
          <w:bCs/>
          <w:color w:val="000000"/>
          <w:sz w:val="20"/>
          <w:lang w:val="en-US"/>
        </w:rPr>
        <w:t xml:space="preserve"> [2022] VSCA 177 at [15]-[30]</w:t>
      </w:r>
      <w:r w:rsidR="00C45000">
        <w:rPr>
          <w:rFonts w:ascii="Arial" w:hAnsi="Arial" w:cs="Arial"/>
          <w:bCs/>
          <w:color w:val="000000"/>
          <w:sz w:val="20"/>
          <w:lang w:val="en-US"/>
        </w:rPr>
        <w:t xml:space="preserve">; </w:t>
      </w:r>
      <w:r w:rsidR="00C45000" w:rsidRPr="00F7798B">
        <w:rPr>
          <w:rFonts w:ascii="Arial" w:hAnsi="Arial" w:cs="Arial"/>
          <w:bCs/>
          <w:i/>
          <w:iCs/>
          <w:color w:val="000000"/>
          <w:sz w:val="20"/>
          <w:lang w:val="en-US"/>
        </w:rPr>
        <w:t>Chaarani v The King</w:t>
      </w:r>
      <w:r w:rsidR="00C45000">
        <w:rPr>
          <w:rFonts w:ascii="Arial" w:hAnsi="Arial" w:cs="Arial"/>
          <w:bCs/>
          <w:color w:val="000000"/>
          <w:sz w:val="20"/>
          <w:lang w:val="en-US"/>
        </w:rPr>
        <w:t xml:space="preserve"> [2023] VSCA 275 at [</w:t>
      </w:r>
      <w:r w:rsidR="003026A0">
        <w:rPr>
          <w:rFonts w:ascii="Arial" w:hAnsi="Arial" w:cs="Arial"/>
          <w:bCs/>
          <w:color w:val="000000"/>
          <w:sz w:val="20"/>
          <w:lang w:val="en-US"/>
        </w:rPr>
        <w:t>17</w:t>
      </w:r>
      <w:r w:rsidR="00C45000">
        <w:rPr>
          <w:rFonts w:ascii="Arial" w:hAnsi="Arial" w:cs="Arial"/>
          <w:bCs/>
          <w:color w:val="000000"/>
          <w:sz w:val="20"/>
          <w:lang w:val="en-US"/>
        </w:rPr>
        <w:t>]-[</w:t>
      </w:r>
      <w:r w:rsidR="003026A0">
        <w:rPr>
          <w:rFonts w:ascii="Arial" w:hAnsi="Arial" w:cs="Arial"/>
          <w:bCs/>
          <w:color w:val="000000"/>
          <w:sz w:val="20"/>
          <w:lang w:val="en-US"/>
        </w:rPr>
        <w:t>23</w:t>
      </w:r>
      <w:r w:rsidR="00C45000">
        <w:rPr>
          <w:rFonts w:ascii="Arial" w:hAnsi="Arial" w:cs="Arial"/>
          <w:bCs/>
          <w:color w:val="000000"/>
          <w:sz w:val="20"/>
          <w:lang w:val="en-US"/>
        </w:rPr>
        <w:t>]</w:t>
      </w:r>
      <w:r w:rsidR="00A400F8">
        <w:rPr>
          <w:rFonts w:ascii="Arial" w:hAnsi="Arial" w:cs="Arial"/>
          <w:color w:val="000000"/>
          <w:sz w:val="20"/>
        </w:rPr>
        <w:t xml:space="preserve">; </w:t>
      </w:r>
      <w:r w:rsidR="00A400F8" w:rsidRPr="00A400F8">
        <w:rPr>
          <w:rFonts w:ascii="Arial" w:hAnsi="Arial" w:cs="Arial"/>
          <w:i/>
          <w:iCs/>
          <w:color w:val="000000"/>
          <w:sz w:val="20"/>
        </w:rPr>
        <w:t>Farshchi v The King</w:t>
      </w:r>
      <w:r w:rsidR="00A400F8">
        <w:rPr>
          <w:rFonts w:ascii="Arial" w:hAnsi="Arial" w:cs="Arial"/>
          <w:color w:val="000000"/>
          <w:sz w:val="20"/>
        </w:rPr>
        <w:t xml:space="preserve"> [2024] VSCA 235 at [67]-[73].</w:t>
      </w:r>
    </w:p>
    <w:p w14:paraId="72BD8D96" w14:textId="77777777" w:rsidR="004651B1" w:rsidRPr="009F607D" w:rsidRDefault="004651B1" w:rsidP="004651B1">
      <w:pPr>
        <w:jc w:val="both"/>
        <w:rPr>
          <w:rFonts w:ascii="Arial" w:hAnsi="Arial" w:cs="Arial"/>
          <w:color w:val="000000"/>
          <w:sz w:val="20"/>
          <w:szCs w:val="22"/>
        </w:rPr>
      </w:pPr>
    </w:p>
    <w:p w14:paraId="6CEDA322" w14:textId="77777777" w:rsidR="004651B1" w:rsidRPr="001E6BE9" w:rsidRDefault="004651B1" w:rsidP="004651B1">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984210" w14:textId="77777777" w:rsidR="004651B1" w:rsidRPr="001C6E0E" w:rsidRDefault="004651B1" w:rsidP="004651B1">
      <w:pPr>
        <w:rPr>
          <w:rFonts w:ascii="Arial" w:hAnsi="Arial" w:cs="Arial"/>
          <w:color w:val="000000"/>
          <w:sz w:val="20"/>
        </w:rPr>
      </w:pPr>
    </w:p>
    <w:p w14:paraId="34C65E49" w14:textId="77777777" w:rsidR="004651B1" w:rsidRDefault="004651B1">
      <w:pPr>
        <w:rPr>
          <w:rFonts w:ascii="Arial" w:hAnsi="Arial" w:cs="Arial"/>
          <w:b/>
          <w:bCs/>
          <w:color w:val="000000"/>
          <w:kern w:val="28"/>
          <w:sz w:val="20"/>
          <w:szCs w:val="20"/>
          <w:lang w:val="en-GB"/>
        </w:rPr>
      </w:pPr>
      <w:bookmarkStart w:id="636" w:name="_11.2.19_Relevance_of"/>
      <w:bookmarkStart w:id="637" w:name="_Toc57964463"/>
      <w:bookmarkStart w:id="638" w:name="_Toc107101762"/>
      <w:bookmarkEnd w:id="603"/>
      <w:bookmarkEnd w:id="636"/>
      <w:r>
        <w:rPr>
          <w:rFonts w:ascii="Arial" w:hAnsi="Arial" w:cs="Arial"/>
          <w:b/>
          <w:bCs/>
          <w:color w:val="000000"/>
          <w:sz w:val="20"/>
        </w:rPr>
        <w:br w:type="page"/>
      </w:r>
    </w:p>
    <w:p w14:paraId="5EF80113" w14:textId="756EBFF0"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French CJ, Hayne, Crennan, Kiefel,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place">
        <w:smartTag w:uri="urn:schemas-microsoft-com:office:smarttags" w:element="City">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79. To ignore factors personal to the applicant ,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 xml:space="preserve">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w:t>
      </w:r>
      <w:r w:rsidRPr="001C6E0E">
        <w:rPr>
          <w:rFonts w:ascii="Arial" w:hAnsi="Arial" w:cs="Arial"/>
          <w:color w:val="000000"/>
          <w:sz w:val="20"/>
        </w:rPr>
        <w:lastRenderedPageBreak/>
        <w:t>identified, and not be overlooked. Exactly the same approach should be adopted when 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‘The same sentencing principles are to be applied, of course, in every case, irrespective of the identity of the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9" w:name="_11.2.20_Relevance_of"/>
      <w:bookmarkEnd w:id="639"/>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r w:rsidR="00E122E4">
        <w:rPr>
          <w:rFonts w:ascii="Arial" w:hAnsi="Arial" w:cs="Arial"/>
          <w:i/>
          <w:color w:val="000000"/>
          <w:sz w:val="20"/>
        </w:rPr>
        <w:t>ffan</w:t>
      </w:r>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R v Piacentino</w:t>
      </w:r>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0" w:name="_11.2.21_Relevance_of"/>
      <w:bookmarkEnd w:id="640"/>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Le's house and his car.  It was plainly open in these circumstances for his Honour to have regard to the likely forfeiture of Le's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lastRenderedPageBreak/>
        <w:t xml:space="preserve">[2005] VSCA 112 at [7], [10], [13] &amp; [14]..  The nature of automatic forfeiture pursuant to this Act is that it will not occur until after conviction, but will occur thereafter as a matter 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R v Tabone</w:t>
      </w:r>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R v Filipovic; R v Gelevski</w:t>
      </w:r>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R v HAT &amp; Ors</w:t>
      </w:r>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41" w:name="_11.2.22_Sentencing_for"/>
      <w:bookmarkEnd w:id="641"/>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37"/>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38"/>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R v Perera</w:t>
      </w:r>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Maretas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R v Talj</w:t>
      </w:r>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R v Tipas</w:t>
      </w:r>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Ors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R v Khoder</w:t>
      </w:r>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&amp; Ors</w:t>
      </w:r>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R v Athuai</w:t>
      </w:r>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42" w:name="_11.2.22.1__"/>
      <w:bookmarkEnd w:id="642"/>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Mohamed &amp; Ors</w:t>
      </w:r>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r w:rsidR="00D67B0A" w:rsidRPr="001C6E0E">
        <w:rPr>
          <w:rFonts w:ascii="Arial" w:hAnsi="Arial" w:cs="Arial"/>
          <w:i/>
          <w:iCs/>
          <w:color w:val="000000"/>
          <w:sz w:val="20"/>
        </w:rPr>
        <w:t xml:space="preserve">Timbu Kolian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Osip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 xml:space="preserve">R v </w:t>
      </w:r>
      <w:r w:rsidR="00D67B0A" w:rsidRPr="001C6E0E">
        <w:rPr>
          <w:rFonts w:ascii="Arial" w:hAnsi="Arial" w:cs="Arial"/>
          <w:i/>
          <w:iCs/>
          <w:color w:val="000000"/>
          <w:sz w:val="20"/>
        </w:rPr>
        <w:lastRenderedPageBreak/>
        <w:t>Blacklidge</w:t>
      </w:r>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the manslaughter of which you, Sharmake Aidid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r w:rsidRPr="001C6E0E">
        <w:rPr>
          <w:rFonts w:ascii="Arial" w:hAnsi="Arial" w:cs="Arial"/>
          <w:i/>
          <w:color w:val="000000"/>
          <w:sz w:val="20"/>
        </w:rPr>
        <w:t xml:space="preserve">Okutgen </w:t>
      </w:r>
      <w:r w:rsidRPr="001C6E0E">
        <w:rPr>
          <w:rFonts w:ascii="Arial" w:hAnsi="Arial" w:cs="Arial"/>
          <w:color w:val="000000"/>
          <w:sz w:val="20"/>
        </w:rPr>
        <w:t xml:space="preserve">(1983) 8 A Crim R 262, 264; but cf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The deceased’s drunken behaviour towards you was 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Blacklidge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City">
        <w:smartTag w:uri="urn:schemas-microsoft-com:office:smarttags" w:element="place">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Default="00BF52E5">
      <w:pPr>
        <w:jc w:val="both"/>
        <w:rPr>
          <w:rFonts w:ascii="Arial" w:hAnsi="Arial" w:cs="Arial"/>
          <w:color w:val="000000"/>
          <w:sz w:val="20"/>
        </w:rPr>
      </w:pPr>
    </w:p>
    <w:p w14:paraId="571E69A1" w14:textId="138AACFC" w:rsidR="009621BD" w:rsidRDefault="009F37C6">
      <w:pPr>
        <w:jc w:val="both"/>
        <w:rPr>
          <w:rFonts w:ascii="Arial" w:hAnsi="Arial" w:cs="Arial"/>
          <w:color w:val="000000"/>
          <w:sz w:val="20"/>
        </w:rPr>
      </w:pPr>
      <w:r>
        <w:rPr>
          <w:rFonts w:ascii="Arial" w:hAnsi="Arial" w:cs="Arial"/>
          <w:color w:val="000000"/>
          <w:sz w:val="20"/>
        </w:rPr>
        <w:t xml:space="preserve">In </w:t>
      </w:r>
      <w:r w:rsidRPr="006E461B">
        <w:rPr>
          <w:rFonts w:ascii="Arial" w:hAnsi="Arial" w:cs="Arial"/>
          <w:i/>
          <w:iCs/>
          <w:color w:val="000000"/>
          <w:sz w:val="20"/>
        </w:rPr>
        <w:t>N</w:t>
      </w:r>
      <w:r w:rsidR="006E461B" w:rsidRPr="006E461B">
        <w:rPr>
          <w:rFonts w:ascii="Arial" w:hAnsi="Arial" w:cs="Arial"/>
          <w:i/>
          <w:iCs/>
          <w:color w:val="000000"/>
          <w:sz w:val="20"/>
        </w:rPr>
        <w:t>elis</w:t>
      </w:r>
      <w:r w:rsidRPr="006E461B">
        <w:rPr>
          <w:rFonts w:ascii="Arial" w:hAnsi="Arial" w:cs="Arial"/>
          <w:i/>
          <w:iCs/>
          <w:color w:val="000000"/>
          <w:sz w:val="20"/>
        </w:rPr>
        <w:t xml:space="preserve"> v The King</w:t>
      </w:r>
      <w:r>
        <w:rPr>
          <w:rFonts w:ascii="Arial" w:hAnsi="Arial" w:cs="Arial"/>
          <w:color w:val="000000"/>
          <w:sz w:val="20"/>
        </w:rPr>
        <w:t xml:space="preserve"> [2023] VSCA </w:t>
      </w:r>
      <w:r w:rsidR="006E461B">
        <w:rPr>
          <w:rFonts w:ascii="Arial" w:hAnsi="Arial" w:cs="Arial"/>
          <w:color w:val="000000"/>
          <w:sz w:val="20"/>
        </w:rPr>
        <w:t>128</w:t>
      </w:r>
      <w:r>
        <w:rPr>
          <w:rFonts w:ascii="Arial" w:hAnsi="Arial" w:cs="Arial"/>
          <w:color w:val="000000"/>
          <w:sz w:val="20"/>
        </w:rPr>
        <w:t xml:space="preserve"> the </w:t>
      </w:r>
      <w:r w:rsidR="006E461B">
        <w:rPr>
          <w:rFonts w:ascii="Arial" w:hAnsi="Arial" w:cs="Arial"/>
          <w:color w:val="000000"/>
          <w:sz w:val="20"/>
        </w:rPr>
        <w:t>applicant had pleaded guilty to manslaughter</w:t>
      </w:r>
      <w:r w:rsidR="008E737E">
        <w:rPr>
          <w:rFonts w:ascii="Arial" w:hAnsi="Arial" w:cs="Arial"/>
          <w:color w:val="000000"/>
          <w:sz w:val="20"/>
        </w:rPr>
        <w:t xml:space="preserve"> by </w:t>
      </w:r>
      <w:r w:rsidR="004A2EE0">
        <w:rPr>
          <w:rFonts w:ascii="Arial" w:hAnsi="Arial" w:cs="Arial"/>
          <w:color w:val="000000"/>
          <w:sz w:val="20"/>
        </w:rPr>
        <w:t>gross</w:t>
      </w:r>
      <w:r w:rsidR="008E737E">
        <w:rPr>
          <w:rFonts w:ascii="Arial" w:hAnsi="Arial" w:cs="Arial"/>
          <w:color w:val="000000"/>
          <w:sz w:val="20"/>
        </w:rPr>
        <w:t xml:space="preserve"> negligence and had been sentenced to IMP1</w:t>
      </w:r>
      <w:r w:rsidR="0039770C">
        <w:rPr>
          <w:rFonts w:ascii="Arial" w:hAnsi="Arial" w:cs="Arial"/>
          <w:color w:val="000000"/>
          <w:sz w:val="20"/>
        </w:rPr>
        <w:t>1</w:t>
      </w:r>
      <w:r w:rsidR="008E737E">
        <w:rPr>
          <w:rFonts w:ascii="Arial" w:hAnsi="Arial" w:cs="Arial"/>
          <w:color w:val="000000"/>
          <w:sz w:val="20"/>
        </w:rPr>
        <w:t>y/</w:t>
      </w:r>
      <w:r w:rsidR="0039770C">
        <w:rPr>
          <w:rFonts w:ascii="Arial" w:hAnsi="Arial" w:cs="Arial"/>
          <w:color w:val="000000"/>
          <w:sz w:val="20"/>
        </w:rPr>
        <w:t>8</w:t>
      </w:r>
      <w:r w:rsidR="008E737E">
        <w:rPr>
          <w:rFonts w:ascii="Arial" w:hAnsi="Arial" w:cs="Arial"/>
          <w:color w:val="000000"/>
          <w:sz w:val="20"/>
        </w:rPr>
        <w:t>y</w:t>
      </w:r>
      <w:r w:rsidR="0039770C">
        <w:rPr>
          <w:rFonts w:ascii="Arial" w:hAnsi="Arial" w:cs="Arial"/>
          <w:color w:val="000000"/>
          <w:sz w:val="20"/>
        </w:rPr>
        <w:t xml:space="preserve">. In allowing his appeal on the basis of </w:t>
      </w:r>
      <w:r w:rsidR="004A2EE0">
        <w:rPr>
          <w:rFonts w:ascii="Arial" w:hAnsi="Arial" w:cs="Arial"/>
          <w:color w:val="000000"/>
          <w:sz w:val="20"/>
        </w:rPr>
        <w:t xml:space="preserve">the sentencing judge’s </w:t>
      </w:r>
      <w:r w:rsidR="00FF5DE0">
        <w:rPr>
          <w:rFonts w:ascii="Arial" w:hAnsi="Arial" w:cs="Arial"/>
          <w:color w:val="000000"/>
          <w:sz w:val="20"/>
        </w:rPr>
        <w:t xml:space="preserve">misunderstanding </w:t>
      </w:r>
      <w:r w:rsidR="0013431B">
        <w:rPr>
          <w:rFonts w:ascii="Arial" w:hAnsi="Arial" w:cs="Arial"/>
          <w:color w:val="000000"/>
          <w:sz w:val="20"/>
        </w:rPr>
        <w:t xml:space="preserve">that the offence had a standard sentence of IMP13y, the Court of Appeal </w:t>
      </w:r>
      <w:r w:rsidR="004175F0">
        <w:rPr>
          <w:rFonts w:ascii="Arial" w:hAnsi="Arial" w:cs="Arial"/>
          <w:color w:val="000000"/>
          <w:sz w:val="20"/>
        </w:rPr>
        <w:t>substituted a sentence of IMP9y/6y.  At [</w:t>
      </w:r>
      <w:r w:rsidR="006D2DC5">
        <w:rPr>
          <w:rFonts w:ascii="Arial" w:hAnsi="Arial" w:cs="Arial"/>
          <w:color w:val="000000"/>
          <w:sz w:val="20"/>
        </w:rPr>
        <w:t>28</w:t>
      </w:r>
      <w:r w:rsidR="004175F0">
        <w:rPr>
          <w:rFonts w:ascii="Arial" w:hAnsi="Arial" w:cs="Arial"/>
          <w:color w:val="000000"/>
          <w:sz w:val="20"/>
        </w:rPr>
        <w:t>]-[</w:t>
      </w:r>
      <w:r w:rsidR="006D2DC5">
        <w:rPr>
          <w:rFonts w:ascii="Arial" w:hAnsi="Arial" w:cs="Arial"/>
          <w:color w:val="000000"/>
          <w:sz w:val="20"/>
        </w:rPr>
        <w:t>29</w:t>
      </w:r>
      <w:r w:rsidR="004175F0">
        <w:rPr>
          <w:rFonts w:ascii="Arial" w:hAnsi="Arial" w:cs="Arial"/>
          <w:color w:val="000000"/>
          <w:sz w:val="20"/>
        </w:rPr>
        <w:t xml:space="preserve">] </w:t>
      </w:r>
      <w:r w:rsidR="00D9088C">
        <w:rPr>
          <w:rFonts w:ascii="Arial" w:hAnsi="Arial" w:cs="Arial"/>
          <w:color w:val="000000"/>
          <w:sz w:val="20"/>
        </w:rPr>
        <w:t xml:space="preserve">Priest AP, Niall &amp; Taylor JJA </w:t>
      </w:r>
      <w:r w:rsidR="001C1FEB">
        <w:rPr>
          <w:rFonts w:ascii="Arial" w:hAnsi="Arial" w:cs="Arial"/>
          <w:color w:val="000000"/>
          <w:sz w:val="20"/>
        </w:rPr>
        <w:t xml:space="preserve">quoted with approval dicta </w:t>
      </w:r>
      <w:r w:rsidR="00590D92">
        <w:rPr>
          <w:rFonts w:ascii="Arial" w:hAnsi="Arial" w:cs="Arial"/>
          <w:color w:val="000000"/>
          <w:sz w:val="20"/>
        </w:rPr>
        <w:t>of</w:t>
      </w:r>
      <w:r w:rsidR="001C1FEB">
        <w:rPr>
          <w:rFonts w:ascii="Arial" w:hAnsi="Arial" w:cs="Arial"/>
          <w:color w:val="000000"/>
          <w:sz w:val="20"/>
        </w:rPr>
        <w:t xml:space="preserve"> Weinberg JA </w:t>
      </w:r>
      <w:r w:rsidR="00590D92">
        <w:rPr>
          <w:rFonts w:ascii="Arial" w:hAnsi="Arial" w:cs="Arial"/>
          <w:color w:val="000000"/>
          <w:sz w:val="20"/>
        </w:rPr>
        <w:t xml:space="preserve">in </w:t>
      </w:r>
      <w:r w:rsidR="00590D92" w:rsidRPr="00590D92">
        <w:rPr>
          <w:rFonts w:ascii="Arial" w:hAnsi="Arial" w:cs="Arial"/>
          <w:i/>
          <w:iCs/>
          <w:color w:val="000000"/>
          <w:sz w:val="20"/>
        </w:rPr>
        <w:t>R v Jagroop</w:t>
      </w:r>
      <w:r w:rsidR="00590D92">
        <w:rPr>
          <w:rFonts w:ascii="Arial" w:hAnsi="Arial" w:cs="Arial"/>
          <w:color w:val="000000"/>
          <w:sz w:val="20"/>
        </w:rPr>
        <w:t xml:space="preserve"> [2008] VSC 25; (2009) 22 VR 80 – a case in which the offender had pushed the victim to the ground</w:t>
      </w:r>
      <w:r w:rsidR="00C07D24">
        <w:rPr>
          <w:rFonts w:ascii="Arial" w:hAnsi="Arial" w:cs="Arial"/>
          <w:color w:val="000000"/>
          <w:sz w:val="20"/>
        </w:rPr>
        <w:t xml:space="preserve"> causing him to hit his head and then dragged him to a position of danger and made no call for assistance –</w:t>
      </w:r>
      <w:r w:rsidR="00256B7A">
        <w:rPr>
          <w:rFonts w:ascii="Arial" w:hAnsi="Arial" w:cs="Arial"/>
          <w:color w:val="000000"/>
          <w:sz w:val="20"/>
        </w:rPr>
        <w:t xml:space="preserve"> </w:t>
      </w:r>
      <w:r w:rsidR="001C1FEB">
        <w:rPr>
          <w:rFonts w:ascii="Arial" w:hAnsi="Arial" w:cs="Arial"/>
          <w:color w:val="000000"/>
          <w:sz w:val="20"/>
        </w:rPr>
        <w:t>enuniciat</w:t>
      </w:r>
      <w:r w:rsidR="00256B7A">
        <w:rPr>
          <w:rFonts w:ascii="Arial" w:hAnsi="Arial" w:cs="Arial"/>
          <w:color w:val="000000"/>
          <w:sz w:val="20"/>
        </w:rPr>
        <w:t>ing</w:t>
      </w:r>
      <w:r w:rsidR="001C1FEB">
        <w:rPr>
          <w:rFonts w:ascii="Arial" w:hAnsi="Arial" w:cs="Arial"/>
          <w:color w:val="000000"/>
          <w:sz w:val="20"/>
        </w:rPr>
        <w:t xml:space="preserve"> some principles </w:t>
      </w:r>
      <w:r w:rsidR="00256B7A">
        <w:rPr>
          <w:rFonts w:ascii="Arial" w:hAnsi="Arial" w:cs="Arial"/>
          <w:color w:val="000000"/>
          <w:sz w:val="20"/>
        </w:rPr>
        <w:t xml:space="preserve">which </w:t>
      </w:r>
      <w:r w:rsidR="001C1FEB">
        <w:rPr>
          <w:rFonts w:ascii="Arial" w:hAnsi="Arial" w:cs="Arial"/>
          <w:color w:val="000000"/>
          <w:sz w:val="20"/>
        </w:rPr>
        <w:t>involv</w:t>
      </w:r>
      <w:r w:rsidR="00256B7A">
        <w:rPr>
          <w:rFonts w:ascii="Arial" w:hAnsi="Arial" w:cs="Arial"/>
          <w:color w:val="000000"/>
          <w:sz w:val="20"/>
        </w:rPr>
        <w:t>ed</w:t>
      </w:r>
      <w:r w:rsidR="001C1FEB">
        <w:rPr>
          <w:rFonts w:ascii="Arial" w:hAnsi="Arial" w:cs="Arial"/>
          <w:color w:val="000000"/>
          <w:sz w:val="20"/>
        </w:rPr>
        <w:t xml:space="preserve"> a categorisation of various forms of manslaughter:</w:t>
      </w:r>
    </w:p>
    <w:p w14:paraId="464A1F50" w14:textId="1999A4EC" w:rsidR="005060E2" w:rsidRDefault="00AC75C9" w:rsidP="005060E2">
      <w:pPr>
        <w:spacing w:before="60"/>
        <w:ind w:left="567" w:right="567"/>
        <w:jc w:val="both"/>
        <w:rPr>
          <w:rFonts w:ascii="Arial" w:hAnsi="Arial" w:cs="Arial"/>
          <w:color w:val="000000"/>
          <w:sz w:val="20"/>
          <w:szCs w:val="20"/>
        </w:rPr>
      </w:pPr>
      <w:r>
        <w:rPr>
          <w:rFonts w:ascii="Arial" w:hAnsi="Arial" w:cs="Arial"/>
          <w:color w:val="000000"/>
          <w:sz w:val="20"/>
        </w:rPr>
        <w:t xml:space="preserve">[28] </w:t>
      </w:r>
      <w:r w:rsidR="005060E2">
        <w:rPr>
          <w:rFonts w:ascii="Arial" w:hAnsi="Arial" w:cs="Arial"/>
          <w:color w:val="000000"/>
          <w:sz w:val="20"/>
        </w:rPr>
        <w:t>“</w:t>
      </w:r>
      <w:r w:rsidR="008A559D">
        <w:rPr>
          <w:rFonts w:ascii="Arial" w:hAnsi="Arial" w:cs="Arial"/>
          <w:color w:val="000000"/>
          <w:sz w:val="20"/>
        </w:rPr>
        <w:t>[T]</w:t>
      </w:r>
      <w:r w:rsidR="008A559D" w:rsidRPr="00022279">
        <w:rPr>
          <w:rFonts w:ascii="Arial" w:hAnsi="Arial" w:cs="Arial"/>
          <w:color w:val="000000"/>
          <w:sz w:val="20"/>
          <w:szCs w:val="20"/>
        </w:rPr>
        <w:t>his was not a case of manslaughter by an unlawful and dangerous act.</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Instead, the applicant fell to be sentenced on the basis that he pulled the trigger of the shotgun deliberately, but in the belief that the shotgun was not loaded.</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It was grossly negligent of him to pull the trigger without first checking whether the firearm contained ammunition, but he bore no malice towards Mr Jacobs and had not anticipated that Mr Jacobs might be at risk of harm when he did so.</w:t>
      </w:r>
    </w:p>
    <w:p w14:paraId="5C0FB3E3" w14:textId="6321BD25" w:rsidR="008A559D" w:rsidRPr="001C6E0E" w:rsidRDefault="00AC75C9" w:rsidP="00AC75C9">
      <w:pPr>
        <w:spacing w:before="60"/>
        <w:ind w:left="567" w:right="567"/>
        <w:jc w:val="both"/>
        <w:rPr>
          <w:rFonts w:ascii="Arial" w:hAnsi="Arial" w:cs="Arial"/>
          <w:color w:val="000000"/>
          <w:sz w:val="20"/>
        </w:rPr>
      </w:pPr>
      <w:r>
        <w:rPr>
          <w:rFonts w:ascii="Arial" w:hAnsi="Arial" w:cs="Arial"/>
          <w:color w:val="000000"/>
          <w:sz w:val="20"/>
          <w:szCs w:val="20"/>
        </w:rPr>
        <w:t xml:space="preserve">[29] </w:t>
      </w:r>
      <w:r w:rsidR="008A559D">
        <w:rPr>
          <w:rFonts w:ascii="Arial" w:hAnsi="Arial" w:cs="Arial"/>
          <w:color w:val="000000"/>
          <w:sz w:val="20"/>
          <w:szCs w:val="20"/>
        </w:rPr>
        <w:t>In</w:t>
      </w:r>
      <w:r w:rsidR="00590D92">
        <w:rPr>
          <w:rFonts w:ascii="Arial" w:hAnsi="Arial" w:cs="Arial"/>
          <w:color w:val="000000"/>
          <w:sz w:val="20"/>
          <w:szCs w:val="20"/>
        </w:rPr>
        <w:t xml:space="preserve"> </w:t>
      </w:r>
      <w:r w:rsidR="00EE369C" w:rsidRPr="00CF2EAC">
        <w:rPr>
          <w:rFonts w:ascii="Arial" w:hAnsi="Arial" w:cs="Arial"/>
          <w:i/>
          <w:iCs/>
          <w:color w:val="000000"/>
          <w:sz w:val="20"/>
          <w:szCs w:val="20"/>
        </w:rPr>
        <w:t xml:space="preserve">R v </w:t>
      </w:r>
      <w:r w:rsidR="008A559D" w:rsidRPr="00CF2EAC">
        <w:rPr>
          <w:rFonts w:ascii="Arial" w:hAnsi="Arial" w:cs="Arial"/>
          <w:i/>
          <w:iCs/>
          <w:color w:val="000000"/>
          <w:sz w:val="20"/>
          <w:szCs w:val="20"/>
        </w:rPr>
        <w:t>Jagroop</w:t>
      </w:r>
      <w:r w:rsidR="008A559D">
        <w:rPr>
          <w:rFonts w:ascii="Arial" w:hAnsi="Arial" w:cs="Arial"/>
          <w:color w:val="000000"/>
          <w:sz w:val="20"/>
          <w:szCs w:val="20"/>
        </w:rPr>
        <w:t xml:space="preserve"> </w:t>
      </w:r>
      <w:r w:rsidR="00EE369C">
        <w:rPr>
          <w:rFonts w:ascii="Arial" w:hAnsi="Arial" w:cs="Arial"/>
          <w:color w:val="000000"/>
          <w:sz w:val="20"/>
          <w:szCs w:val="20"/>
        </w:rPr>
        <w:t xml:space="preserve">(2009) 22 </w:t>
      </w:r>
      <w:r w:rsidR="00CF2EAC">
        <w:rPr>
          <w:rFonts w:ascii="Arial" w:hAnsi="Arial" w:cs="Arial"/>
          <w:color w:val="000000"/>
          <w:sz w:val="20"/>
          <w:szCs w:val="20"/>
        </w:rPr>
        <w:t>V</w:t>
      </w:r>
      <w:r w:rsidR="00EE369C">
        <w:rPr>
          <w:rFonts w:ascii="Arial" w:hAnsi="Arial" w:cs="Arial"/>
          <w:color w:val="000000"/>
          <w:sz w:val="20"/>
          <w:szCs w:val="20"/>
        </w:rPr>
        <w:t>R 80</w:t>
      </w:r>
      <w:r w:rsidR="00CF2EAC">
        <w:rPr>
          <w:rFonts w:ascii="Arial" w:hAnsi="Arial" w:cs="Arial"/>
          <w:color w:val="000000"/>
          <w:sz w:val="20"/>
          <w:szCs w:val="20"/>
        </w:rPr>
        <w:t xml:space="preserve"> at [63]-[68], </w:t>
      </w:r>
      <w:r w:rsidR="002B2D7F">
        <w:rPr>
          <w:rFonts w:ascii="Arial" w:hAnsi="Arial" w:cs="Arial"/>
          <w:color w:val="000000"/>
          <w:sz w:val="20"/>
          <w:szCs w:val="20"/>
        </w:rPr>
        <w:t>Weinberg JA made the following pertinent observations concerning the offence of manslaughter</w:t>
      </w:r>
      <w:r w:rsidR="007019D2">
        <w:rPr>
          <w:rFonts w:ascii="Arial" w:hAnsi="Arial" w:cs="Arial"/>
          <w:color w:val="000000"/>
          <w:sz w:val="20"/>
          <w:szCs w:val="20"/>
        </w:rPr>
        <w:t xml:space="preserve"> (citations as in original; emphasis added)</w:t>
      </w:r>
      <w:r w:rsidR="002B2D7F">
        <w:rPr>
          <w:rFonts w:ascii="Arial" w:hAnsi="Arial" w:cs="Arial"/>
          <w:color w:val="000000"/>
          <w:sz w:val="20"/>
          <w:szCs w:val="20"/>
        </w:rPr>
        <w:t>:</w:t>
      </w:r>
    </w:p>
    <w:p w14:paraId="73DFA2CC" w14:textId="1C03F6CC" w:rsidR="00022279" w:rsidRDefault="00590D92" w:rsidP="00590D92">
      <w:pPr>
        <w:pStyle w:val="NormalWeb"/>
        <w:shd w:val="clear" w:color="auto" w:fill="FFFFFF"/>
        <w:spacing w:before="60" w:beforeAutospacing="0" w:after="0" w:afterAutospacing="0"/>
        <w:ind w:left="907" w:right="907"/>
        <w:jc w:val="both"/>
        <w:rPr>
          <w:rFonts w:ascii="Arial" w:hAnsi="Arial" w:cs="Arial"/>
          <w:sz w:val="18"/>
          <w:szCs w:val="18"/>
        </w:rPr>
      </w:pPr>
      <w:r>
        <w:rPr>
          <w:rFonts w:ascii="Arial" w:hAnsi="Arial" w:cs="Arial"/>
          <w:sz w:val="18"/>
          <w:szCs w:val="18"/>
        </w:rPr>
        <w:t>‘</w:t>
      </w:r>
      <w:r w:rsidR="00022279" w:rsidRPr="00B426FB">
        <w:rPr>
          <w:rFonts w:ascii="Arial" w:hAnsi="Arial" w:cs="Arial"/>
          <w:sz w:val="18"/>
          <w:szCs w:val="18"/>
        </w:rPr>
        <w:t xml:space="preserve">It is well established that although manslaughter is one of the more serious crimes known to the law, the circumstances of its commission vary greatly. </w:t>
      </w:r>
      <w:r w:rsidR="0028173F">
        <w:rPr>
          <w:rFonts w:ascii="Arial" w:hAnsi="Arial" w:cs="Arial"/>
          <w:sz w:val="18"/>
          <w:szCs w:val="18"/>
        </w:rPr>
        <w:t xml:space="preserve"> </w:t>
      </w:r>
      <w:r w:rsidR="00022279" w:rsidRPr="00B426FB">
        <w:rPr>
          <w:rFonts w:ascii="Arial" w:hAnsi="Arial" w:cs="Arial"/>
          <w:sz w:val="18"/>
          <w:szCs w:val="18"/>
        </w:rPr>
        <w:t>This makes it impossible to accept any notion of a ‘tariff’ for this offence</w:t>
      </w:r>
      <w:r w:rsidR="00B426FB" w:rsidRPr="00B426FB">
        <w:rPr>
          <w:rFonts w:ascii="Arial" w:hAnsi="Arial" w:cs="Arial"/>
          <w:sz w:val="18"/>
          <w:szCs w:val="18"/>
        </w:rPr>
        <w:t xml:space="preserve">: </w:t>
      </w:r>
      <w:hyperlink r:id="rId24" w:history="1">
        <w:r w:rsidR="00B426FB" w:rsidRPr="00B426FB">
          <w:rPr>
            <w:rStyle w:val="Hyperlink"/>
            <w:rFonts w:ascii="Arial" w:hAnsi="Arial" w:cs="Arial"/>
            <w:i/>
            <w:iCs/>
            <w:color w:val="000000" w:themeColor="text1"/>
            <w:sz w:val="18"/>
            <w:szCs w:val="18"/>
            <w:u w:val="none"/>
          </w:rPr>
          <w:t>R v Williscroft</w:t>
        </w:r>
      </w:hyperlink>
      <w:r w:rsidR="00B426FB" w:rsidRPr="00B426FB">
        <w:rPr>
          <w:rFonts w:ascii="Arial" w:hAnsi="Arial" w:cs="Arial"/>
          <w:color w:val="000000" w:themeColor="text1"/>
          <w:sz w:val="18"/>
          <w:szCs w:val="18"/>
        </w:rPr>
        <w:t> [1975] VR 292 at </w:t>
      </w:r>
      <w:hyperlink r:id="rId25" w:history="1">
        <w:r w:rsidR="00B426FB" w:rsidRPr="00B426FB">
          <w:rPr>
            <w:rStyle w:val="Hyperlink"/>
            <w:rFonts w:ascii="Arial" w:hAnsi="Arial" w:cs="Arial"/>
            <w:color w:val="000000" w:themeColor="text1"/>
            <w:sz w:val="18"/>
            <w:szCs w:val="18"/>
            <w:u w:val="none"/>
          </w:rPr>
          <w:t>299</w:t>
        </w:r>
      </w:hyperlink>
      <w:r w:rsidR="00B426FB" w:rsidRPr="00B426FB">
        <w:rPr>
          <w:rFonts w:ascii="Arial" w:hAnsi="Arial" w:cs="Arial"/>
          <w:color w:val="000000" w:themeColor="text1"/>
          <w:sz w:val="18"/>
          <w:szCs w:val="18"/>
        </w:rPr>
        <w:t> and </w:t>
      </w:r>
      <w:hyperlink r:id="rId26" w:history="1">
        <w:r w:rsidR="00B426FB" w:rsidRPr="00B426FB">
          <w:rPr>
            <w:rStyle w:val="Hyperlink"/>
            <w:rFonts w:ascii="Arial" w:hAnsi="Arial" w:cs="Arial"/>
            <w:i/>
            <w:iCs/>
            <w:color w:val="000000" w:themeColor="text1"/>
            <w:sz w:val="18"/>
            <w:szCs w:val="18"/>
            <w:u w:val="none"/>
          </w:rPr>
          <w:t>R v Papazisis and Bird</w:t>
        </w:r>
      </w:hyperlink>
      <w:r w:rsidR="00B426FB" w:rsidRPr="00B426FB">
        <w:rPr>
          <w:rFonts w:ascii="Arial" w:hAnsi="Arial" w:cs="Arial"/>
          <w:color w:val="000000" w:themeColor="text1"/>
          <w:sz w:val="18"/>
          <w:szCs w:val="18"/>
        </w:rPr>
        <w:t> (1991) 51 A Crim R 242 at </w:t>
      </w:r>
      <w:hyperlink r:id="rId27" w:history="1">
        <w:r w:rsidR="00B426FB" w:rsidRPr="00B426FB">
          <w:rPr>
            <w:rStyle w:val="Hyperlink"/>
            <w:rFonts w:ascii="Arial" w:hAnsi="Arial" w:cs="Arial"/>
            <w:color w:val="000000" w:themeColor="text1"/>
            <w:sz w:val="18"/>
            <w:szCs w:val="18"/>
            <w:u w:val="none"/>
          </w:rPr>
          <w:t>245.</w:t>
        </w:r>
      </w:hyperlink>
      <w:r w:rsidR="00B426FB" w:rsidRPr="00B426FB">
        <w:rPr>
          <w:rFonts w:ascii="Arial" w:hAnsi="Arial" w:cs="Arial"/>
          <w:sz w:val="18"/>
          <w:szCs w:val="18"/>
        </w:rPr>
        <w:t xml:space="preserve">  </w:t>
      </w:r>
      <w:r w:rsidR="00022279" w:rsidRPr="00B426FB">
        <w:rPr>
          <w:rFonts w:ascii="Arial" w:hAnsi="Arial" w:cs="Arial"/>
          <w:sz w:val="18"/>
          <w:szCs w:val="18"/>
        </w:rPr>
        <w:t>Manslaughter is a crime that attracts a wide range of sentences, which can vary from lengthy terms of imprisonment to non-custodial dispositions.</w:t>
      </w:r>
    </w:p>
    <w:p w14:paraId="446B34EC" w14:textId="46902FF7"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None the less, there are some principles that seem to emerge from the cases.</w:t>
      </w:r>
      <w:r w:rsidR="001C1FEB">
        <w:rPr>
          <w:rFonts w:ascii="Arial" w:hAnsi="Arial" w:cs="Arial"/>
          <w:sz w:val="18"/>
          <w:szCs w:val="18"/>
        </w:rPr>
        <w:t xml:space="preserve"> </w:t>
      </w:r>
      <w:r w:rsidRPr="002C5510">
        <w:rPr>
          <w:rFonts w:ascii="Arial" w:hAnsi="Arial" w:cs="Arial"/>
          <w:sz w:val="18"/>
          <w:szCs w:val="18"/>
        </w:rPr>
        <w:t xml:space="preserve"> In the first place, voluntary manslaughter is generally regarded as more culpable than involuntary manslaughter.  In cases of voluntary manslaughter, the offender intends to kill or cause grievous bodily harm, not so in cases of involuntary manslaughter.</w:t>
      </w:r>
    </w:p>
    <w:p w14:paraId="30D180B2" w14:textId="7FBDE8F1"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1C1FEB">
        <w:rPr>
          <w:rFonts w:ascii="Arial" w:hAnsi="Arial" w:cs="Arial"/>
          <w:sz w:val="18"/>
          <w:szCs w:val="18"/>
        </w:rPr>
        <w:t>Manslaughter by unlawful and dangerous act is often regarded as one step down from manslaughter by provocation.  </w:t>
      </w:r>
      <w:r w:rsidRPr="001C1FEB">
        <w:rPr>
          <w:rFonts w:ascii="Arial" w:hAnsi="Arial" w:cs="Arial"/>
          <w:i/>
          <w:iCs/>
          <w:sz w:val="18"/>
          <w:szCs w:val="18"/>
        </w:rPr>
        <w:t>Still further down the scale are those relatively few cases of manslaughter by criminal negligence that have been reported</w:t>
      </w:r>
      <w:r w:rsidRPr="001C1FEB">
        <w:rPr>
          <w:rFonts w:ascii="Arial" w:hAnsi="Arial" w:cs="Arial"/>
          <w:sz w:val="18"/>
          <w:szCs w:val="18"/>
        </w:rPr>
        <w:t>.  </w:t>
      </w:r>
      <w:r w:rsidRPr="001C1FEB">
        <w:rPr>
          <w:rFonts w:ascii="Arial" w:hAnsi="Arial" w:cs="Arial"/>
          <w:i/>
          <w:iCs/>
          <w:sz w:val="18"/>
          <w:szCs w:val="18"/>
        </w:rPr>
        <w:t xml:space="preserve">The reason is plain.  The moral culpability of an offender who has been convicted of manslaughter by criminal negligence is likely to be lower than that of an offender who has killed someone by an </w:t>
      </w:r>
      <w:r w:rsidRPr="001C1FEB">
        <w:rPr>
          <w:rFonts w:ascii="Arial" w:hAnsi="Arial" w:cs="Arial"/>
          <w:i/>
          <w:iCs/>
          <w:sz w:val="18"/>
          <w:szCs w:val="18"/>
        </w:rPr>
        <w:lastRenderedPageBreak/>
        <w:t>unlawful and dangerous act.</w:t>
      </w:r>
      <w:r w:rsidRPr="001C1FEB">
        <w:rPr>
          <w:rFonts w:ascii="Arial" w:hAnsi="Arial" w:cs="Arial"/>
          <w:sz w:val="18"/>
          <w:szCs w:val="18"/>
        </w:rPr>
        <w:t> There is, after all, in most cases of criminal negligence, no intent on the part of the offender to cause any harm whatever to the victim</w:t>
      </w:r>
      <w:r w:rsidR="001C1FEB" w:rsidRPr="001C1FEB">
        <w:rPr>
          <w:rFonts w:ascii="Arial" w:hAnsi="Arial" w:cs="Arial"/>
          <w:sz w:val="18"/>
          <w:szCs w:val="18"/>
        </w:rPr>
        <w:t>. See generally Fox and Freiberg, </w:t>
      </w:r>
      <w:r w:rsidR="001C1FEB" w:rsidRPr="001C1FEB">
        <w:rPr>
          <w:rFonts w:ascii="Arial" w:hAnsi="Arial" w:cs="Arial"/>
          <w:i/>
          <w:iCs/>
          <w:sz w:val="18"/>
          <w:szCs w:val="18"/>
        </w:rPr>
        <w:t>Sentencing: State and Federal Law in Victoria</w:t>
      </w:r>
      <w:r w:rsidR="001C1FEB" w:rsidRPr="001C1FEB">
        <w:rPr>
          <w:rFonts w:ascii="Arial" w:hAnsi="Arial" w:cs="Arial"/>
          <w:sz w:val="18"/>
          <w:szCs w:val="18"/>
        </w:rPr>
        <w:t>, 2</w:t>
      </w:r>
      <w:r w:rsidR="001C1FEB" w:rsidRPr="001C1FEB">
        <w:rPr>
          <w:rFonts w:ascii="Arial" w:hAnsi="Arial" w:cs="Arial"/>
          <w:sz w:val="18"/>
          <w:szCs w:val="18"/>
          <w:vertAlign w:val="superscript"/>
        </w:rPr>
        <w:t>nd</w:t>
      </w:r>
      <w:r w:rsidR="001C1FEB" w:rsidRPr="001C1FEB">
        <w:rPr>
          <w:rFonts w:ascii="Arial" w:hAnsi="Arial" w:cs="Arial"/>
          <w:sz w:val="18"/>
          <w:szCs w:val="18"/>
        </w:rPr>
        <w:t> ed, (1999), [12.214].</w:t>
      </w:r>
    </w:p>
    <w:p w14:paraId="339E58DE" w14:textId="1066669E" w:rsidR="001C1FEB" w:rsidRPr="001C1FEB" w:rsidRDefault="001C1FEB"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 xml:space="preserve">The absence of intention to harm is, in my view, a significant factor in assessing the quality </w:t>
      </w:r>
      <w:r w:rsidRPr="001C1FEB">
        <w:rPr>
          <w:rFonts w:ascii="Arial" w:hAnsi="Arial" w:cs="Arial"/>
          <w:color w:val="000000" w:themeColor="text1"/>
          <w:sz w:val="18"/>
          <w:szCs w:val="18"/>
        </w:rPr>
        <w:t>of an offender’s actions.  The same point was made in </w:t>
      </w:r>
      <w:hyperlink r:id="rId28" w:history="1">
        <w:r w:rsidRPr="001C1FEB">
          <w:rPr>
            <w:rStyle w:val="Hyperlink"/>
            <w:rFonts w:ascii="Arial" w:hAnsi="Arial" w:cs="Arial"/>
            <w:i/>
            <w:iCs/>
            <w:color w:val="000000" w:themeColor="text1"/>
            <w:sz w:val="18"/>
            <w:szCs w:val="18"/>
            <w:u w:val="none"/>
          </w:rPr>
          <w:t>R v Streatfield</w:t>
        </w:r>
      </w:hyperlink>
      <w:r w:rsidRPr="001C1FEB">
        <w:rPr>
          <w:rFonts w:ascii="Arial" w:hAnsi="Arial" w:cs="Arial"/>
          <w:color w:val="000000" w:themeColor="text1"/>
          <w:sz w:val="18"/>
          <w:szCs w:val="18"/>
        </w:rPr>
        <w:t xml:space="preserve"> </w:t>
      </w:r>
      <w:hyperlink r:id="rId29" w:history="1">
        <w:r w:rsidRPr="001C1FEB">
          <w:rPr>
            <w:rStyle w:val="Hyperlink"/>
            <w:rFonts w:ascii="Arial" w:hAnsi="Arial" w:cs="Arial"/>
            <w:color w:val="000000" w:themeColor="text1"/>
            <w:sz w:val="18"/>
            <w:szCs w:val="18"/>
            <w:u w:val="none"/>
          </w:rPr>
          <w:t>(1991) 53 A Crim R 320</w:t>
        </w:r>
      </w:hyperlink>
      <w:r>
        <w:rPr>
          <w:rFonts w:ascii="Arial" w:hAnsi="Arial" w:cs="Arial"/>
          <w:sz w:val="18"/>
          <w:szCs w:val="18"/>
        </w:rPr>
        <w:t xml:space="preserve"> </w:t>
      </w:r>
      <w:r w:rsidRPr="002C5510">
        <w:rPr>
          <w:rFonts w:ascii="Arial" w:hAnsi="Arial" w:cs="Arial"/>
          <w:sz w:val="18"/>
          <w:szCs w:val="18"/>
        </w:rPr>
        <w:t xml:space="preserve">where the offender was convicted, after a trial, of the manslaughter of his wife through criminal negligence. </w:t>
      </w:r>
      <w:r>
        <w:rPr>
          <w:rFonts w:ascii="Arial" w:hAnsi="Arial" w:cs="Arial"/>
          <w:sz w:val="18"/>
          <w:szCs w:val="18"/>
        </w:rPr>
        <w:t xml:space="preserve"> </w:t>
      </w:r>
      <w:r w:rsidRPr="002C5510">
        <w:rPr>
          <w:rFonts w:ascii="Arial" w:hAnsi="Arial" w:cs="Arial"/>
          <w:sz w:val="18"/>
          <w:szCs w:val="18"/>
        </w:rPr>
        <w:t>He had discharged a gun while pointing it at her, mistakenly believing it to be unloaded. Thomas J, as his Honour then was, said</w:t>
      </w:r>
      <w:r w:rsidR="00590D92">
        <w:rPr>
          <w:rFonts w:ascii="Arial" w:hAnsi="Arial" w:cs="Arial"/>
          <w:sz w:val="18"/>
          <w:szCs w:val="18"/>
        </w:rPr>
        <w:t xml:space="preserve"> at 326-327</w:t>
      </w:r>
      <w:r w:rsidRPr="002C5510">
        <w:rPr>
          <w:rFonts w:ascii="Arial" w:hAnsi="Arial" w:cs="Arial"/>
          <w:sz w:val="18"/>
          <w:szCs w:val="18"/>
        </w:rPr>
        <w:t>:</w:t>
      </w:r>
    </w:p>
    <w:p w14:paraId="6173514B" w14:textId="6CC5D720" w:rsidR="00022279" w:rsidRPr="001C1FEB" w:rsidRDefault="001C1FEB" w:rsidP="00590D92">
      <w:pPr>
        <w:pStyle w:val="NormalWeb"/>
        <w:shd w:val="clear" w:color="auto" w:fill="FFFFFF"/>
        <w:spacing w:before="60" w:beforeAutospacing="0" w:after="0" w:afterAutospacing="0"/>
        <w:ind w:left="1247" w:right="1247"/>
        <w:jc w:val="both"/>
        <w:rPr>
          <w:rFonts w:ascii="Arial" w:hAnsi="Arial" w:cs="Arial"/>
          <w:sz w:val="16"/>
          <w:szCs w:val="16"/>
        </w:rPr>
      </w:pPr>
      <w:r w:rsidRPr="001C1FEB">
        <w:rPr>
          <w:rFonts w:ascii="Arial" w:hAnsi="Arial" w:cs="Arial"/>
          <w:sz w:val="16"/>
          <w:szCs w:val="16"/>
          <w:shd w:val="clear" w:color="auto" w:fill="FFFFFF"/>
        </w:rPr>
        <w:t>In the present case stupidity is revealed rather than wickedness.  Malice is nowhere to be found.  In this respect the case must be less seriously regarded than the ordinary domestic killings where there is a distinct intention to harm, albeit a fleeting one which may have been provoked by the injured party.</w:t>
      </w:r>
    </w:p>
    <w:p w14:paraId="3D6BD4A3" w14:textId="21309183" w:rsidR="00590D92" w:rsidRPr="00590D92" w:rsidRDefault="00022279" w:rsidP="00590D92">
      <w:pPr>
        <w:pStyle w:val="NormalWeb"/>
        <w:shd w:val="clear" w:color="auto" w:fill="FFFFFF"/>
        <w:spacing w:before="60" w:beforeAutospacing="0" w:after="0" w:afterAutospacing="0"/>
        <w:ind w:left="907" w:right="907"/>
        <w:jc w:val="both"/>
        <w:rPr>
          <w:rFonts w:ascii="Arial" w:hAnsi="Arial" w:cs="Arial"/>
          <w:color w:val="000000" w:themeColor="text1"/>
          <w:sz w:val="18"/>
          <w:szCs w:val="18"/>
        </w:rPr>
      </w:pPr>
      <w:r w:rsidRPr="002C5510">
        <w:rPr>
          <w:rFonts w:ascii="Arial" w:hAnsi="Arial" w:cs="Arial"/>
          <w:sz w:val="18"/>
          <w:szCs w:val="18"/>
        </w:rPr>
        <w:t xml:space="preserve">That is not to say that it is an inflexible rule that sentences for manslaughter by criminal negligence should be lower than those for other forms of manslaughter. Everything must turn upon the particular circumstances of the case.  Some cases, of which the present is an example, have aggravating factors that make it appropriate to impose more significant punishment. A search of the literature indicates that sentences for manslaughter by criminal negligence, in Victoria, have generally been more lenient than those other forms of </w:t>
      </w:r>
      <w:r w:rsidRPr="00590D92">
        <w:rPr>
          <w:rFonts w:ascii="Arial" w:hAnsi="Arial" w:cs="Arial"/>
          <w:color w:val="000000" w:themeColor="text1"/>
          <w:sz w:val="18"/>
          <w:szCs w:val="18"/>
        </w:rPr>
        <w:t xml:space="preserve">manslaughter. </w:t>
      </w:r>
      <w:r w:rsidR="00590D92" w:rsidRPr="00590D92">
        <w:rPr>
          <w:rFonts w:ascii="Arial" w:hAnsi="Arial" w:cs="Arial"/>
          <w:color w:val="000000" w:themeColor="text1"/>
          <w:sz w:val="18"/>
          <w:szCs w:val="18"/>
        </w:rPr>
        <w:t xml:space="preserve"> </w:t>
      </w:r>
      <w:r w:rsidRPr="00590D92">
        <w:rPr>
          <w:rFonts w:ascii="Arial" w:hAnsi="Arial" w:cs="Arial"/>
          <w:color w:val="000000" w:themeColor="text1"/>
          <w:sz w:val="18"/>
          <w:szCs w:val="18"/>
        </w:rPr>
        <w:t>That has long been the case.</w:t>
      </w:r>
      <w:bookmarkStart w:id="643" w:name="_ftnref16"/>
      <w:r w:rsidR="00590D92" w:rsidRPr="00590D92">
        <w:rPr>
          <w:rFonts w:ascii="Arial" w:hAnsi="Arial" w:cs="Arial"/>
          <w:color w:val="000000" w:themeColor="text1"/>
          <w:sz w:val="18"/>
          <w:szCs w:val="18"/>
        </w:rPr>
        <w:t xml:space="preserve">  See generally Carter, </w:t>
      </w:r>
      <w:r w:rsidR="00590D92" w:rsidRPr="00590D92">
        <w:rPr>
          <w:rFonts w:ascii="Arial" w:hAnsi="Arial" w:cs="Arial"/>
          <w:i/>
          <w:iCs/>
          <w:color w:val="000000" w:themeColor="text1"/>
          <w:sz w:val="18"/>
          <w:szCs w:val="18"/>
        </w:rPr>
        <w:t>Australian Sentencing Digest</w:t>
      </w:r>
      <w:r w:rsidR="00590D92" w:rsidRPr="00590D92">
        <w:rPr>
          <w:rFonts w:ascii="Arial" w:hAnsi="Arial" w:cs="Arial"/>
          <w:color w:val="000000" w:themeColor="text1"/>
          <w:sz w:val="18"/>
          <w:szCs w:val="18"/>
        </w:rPr>
        <w:t>, (1985), pp 268–75 and particularly 271 and 275. Carter refers to</w:t>
      </w:r>
      <w:r w:rsidR="00590D92">
        <w:rPr>
          <w:rFonts w:ascii="Arial" w:hAnsi="Arial" w:cs="Arial"/>
          <w:color w:val="000000" w:themeColor="text1"/>
          <w:sz w:val="18"/>
          <w:szCs w:val="18"/>
        </w:rPr>
        <w:t xml:space="preserve"> </w:t>
      </w:r>
      <w:hyperlink r:id="rId30" w:history="1">
        <w:r w:rsidR="00590D92" w:rsidRPr="00590D92">
          <w:rPr>
            <w:rStyle w:val="Hyperlink"/>
            <w:rFonts w:ascii="Arial" w:hAnsi="Arial" w:cs="Arial"/>
            <w:i/>
            <w:iCs/>
            <w:color w:val="000000" w:themeColor="text1"/>
            <w:sz w:val="18"/>
            <w:szCs w:val="18"/>
            <w:u w:val="none"/>
          </w:rPr>
          <w:t>R v Redman</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(unreported, Court of Criminal Appeal, 14 December 1977), a case of criminal negligence where a sentence of five years with a three-year minimum was reduced to three years with a 12-month minimum. He also draws attention to</w:t>
      </w:r>
      <w:r w:rsidR="00590D92">
        <w:rPr>
          <w:rFonts w:ascii="Arial" w:hAnsi="Arial" w:cs="Arial"/>
          <w:color w:val="000000" w:themeColor="text1"/>
          <w:sz w:val="18"/>
          <w:szCs w:val="18"/>
        </w:rPr>
        <w:t xml:space="preserve"> </w:t>
      </w:r>
      <w:hyperlink r:id="rId31" w:history="1">
        <w:r w:rsidR="00590D92" w:rsidRPr="00590D92">
          <w:rPr>
            <w:rStyle w:val="Hyperlink"/>
            <w:rFonts w:ascii="Arial" w:hAnsi="Arial" w:cs="Arial"/>
            <w:i/>
            <w:iCs/>
            <w:color w:val="000000" w:themeColor="text1"/>
            <w:sz w:val="18"/>
            <w:szCs w:val="18"/>
            <w:u w:val="none"/>
          </w:rPr>
          <w:t>R v Taylor</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(1983) 9 A Crim R 358, in which a sentence of 18 months with a non-parole period of six months was permitted to stand in a case where a mother had caused her six-year-old son’s death by overdosing him on a liquid sleeping medication.</w:t>
      </w:r>
      <w:r w:rsidR="00590D92">
        <w:rPr>
          <w:rFonts w:ascii="Arial" w:hAnsi="Arial" w:cs="Arial"/>
          <w:color w:val="000000" w:themeColor="text1"/>
          <w:sz w:val="18"/>
          <w:szCs w:val="18"/>
        </w:rPr>
        <w:t>’”</w:t>
      </w:r>
    </w:p>
    <w:bookmarkEnd w:id="643"/>
    <w:p w14:paraId="4C9AB8CD" w14:textId="77777777" w:rsidR="009621BD" w:rsidRPr="001C6E0E" w:rsidRDefault="009621BD">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Winneke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R v Misokka</w:t>
      </w:r>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Tipas</w:t>
      </w:r>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w:t>
      </w:r>
      <w:r w:rsidRPr="001C6E0E">
        <w:rPr>
          <w:rFonts w:ascii="Arial" w:hAnsi="Arial" w:cs="Arial"/>
          <w:color w:val="000000"/>
          <w:sz w:val="20"/>
        </w:rPr>
        <w:lastRenderedPageBreak/>
        <w:t xml:space="preserve">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Bongiorno J disagreed at [25] "essentially, but not entirely, because the offender in that case was significantly younger…and you had armed yourself with a knife at a somewhat earlier stage of the offence than he did."  In 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R v Simpas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r w:rsidRPr="001C6E0E">
        <w:rPr>
          <w:rFonts w:ascii="Arial" w:hAnsi="Arial" w:cs="Arial"/>
          <w:i/>
          <w:iCs/>
          <w:color w:val="000000"/>
          <w:sz w:val="20"/>
        </w:rPr>
        <w:t>Giorgianni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xml:space="preserve">. ... The necessary intent is absent if the person alleged to be a secondary participant does not know or believe that what he is assisting or encouraging is something which goes to make up the facts which constitute the commission of the relevant criminal offence. He need not </w:t>
      </w:r>
      <w:r w:rsidRPr="001C6E0E">
        <w:rPr>
          <w:rFonts w:ascii="Arial" w:hAnsi="Arial" w:cs="Arial"/>
          <w:color w:val="000000"/>
          <w:sz w:val="20"/>
        </w:rPr>
        <w:lastRenderedPageBreak/>
        <w:t>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it. But that to which each appellant was willing to admit was a very serious offence. Nowhere in his remarks on sentence did Bongiorno J spell out in detail the effect of the admissions necessarily involved in the pleas of guilty, in the circumstances of this case. When those admissions are examined in the light of what was said in </w:t>
      </w:r>
      <w:r w:rsidRPr="001C6E0E">
        <w:rPr>
          <w:rFonts w:ascii="Arial" w:hAnsi="Arial" w:cs="Arial"/>
          <w:i/>
          <w:iCs/>
          <w:color w:val="000000"/>
          <w:sz w:val="20"/>
        </w:rPr>
        <w:t>Giorgianni</w:t>
      </w:r>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Stavreski</w:t>
      </w:r>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R v Osip</w:t>
      </w:r>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R v Williscroft</w:t>
      </w:r>
      <w:r w:rsidRPr="001C6E0E">
        <w:rPr>
          <w:rFonts w:ascii="Arial" w:hAnsi="Arial" w:cs="Arial"/>
          <w:color w:val="000000"/>
          <w:sz w:val="20"/>
        </w:rPr>
        <w:t xml:space="preserve"> </w:t>
      </w:r>
      <w:r w:rsidRPr="001C6E0E">
        <w:rPr>
          <w:rFonts w:ascii="Arial" w:hAnsi="Arial" w:cs="Arial"/>
          <w:i/>
          <w:color w:val="000000"/>
          <w:sz w:val="20"/>
        </w:rPr>
        <w:t>&amp; Ors</w:t>
      </w:r>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r w:rsidRPr="001C6E0E">
        <w:rPr>
          <w:rFonts w:ascii="Arial" w:hAnsi="Arial" w:cs="Arial"/>
          <w:i/>
          <w:color w:val="000000"/>
          <w:sz w:val="20"/>
        </w:rPr>
        <w:t>Papazisis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[20]  There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R v Southwell</w:t>
      </w:r>
      <w:r w:rsidRPr="001C6E0E">
        <w:rPr>
          <w:rFonts w:ascii="Arial" w:hAnsi="Arial" w:cs="Arial"/>
          <w:color w:val="000000"/>
          <w:sz w:val="20"/>
        </w:rPr>
        <w:t xml:space="preserve"> [2002] VSC 526;  </w:t>
      </w:r>
      <w:r w:rsidRPr="001C6E0E">
        <w:rPr>
          <w:rFonts w:ascii="Arial" w:hAnsi="Arial" w:cs="Arial"/>
          <w:i/>
          <w:color w:val="000000"/>
          <w:sz w:val="20"/>
        </w:rPr>
        <w:t>R v Gazdovic</w:t>
      </w:r>
      <w:r w:rsidRPr="001C6E0E">
        <w:rPr>
          <w:rFonts w:ascii="Arial" w:hAnsi="Arial" w:cs="Arial"/>
          <w:color w:val="000000"/>
          <w:sz w:val="20"/>
        </w:rPr>
        <w:t xml:space="preserve"> [2002] VSC 588;  </w:t>
      </w:r>
      <w:r w:rsidRPr="001C6E0E">
        <w:rPr>
          <w:rFonts w:ascii="Arial" w:hAnsi="Arial" w:cs="Arial"/>
          <w:i/>
          <w:color w:val="000000"/>
          <w:sz w:val="20"/>
        </w:rPr>
        <w:t>R v Makike</w:t>
      </w:r>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R v Bunnett</w:t>
      </w:r>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Bogunovich</w:t>
      </w:r>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And at [27] Redlich J held that there were such exceptional circumstances in this case: "Provocation or excessive self-defence manslaughter is a serious offence and the Court must be seen to uphold the sanctity of life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Natan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the offender’s age and very significant mitigating factors, Bongiorno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 xml:space="preserve">an offender who was aged 15y4m at the time of the offence was found guilty after trial of one count of manslaughter arising from the stabbing of a family friend.  Taking into account BTP’s age, significant intellectual disability and remorse and noting the importance of </w:t>
      </w:r>
      <w:r w:rsidR="0065793F" w:rsidRPr="001C6E0E">
        <w:rPr>
          <w:rFonts w:ascii="Arial" w:hAnsi="Arial" w:cs="Arial"/>
          <w:color w:val="000000"/>
          <w:sz w:val="20"/>
        </w:rPr>
        <w:lastRenderedPageBreak/>
        <w:t>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lang w:val="fr-FR"/>
        </w:rPr>
        <w:t>DPP v Samson-Rimoni (Sentence)</w:t>
      </w:r>
      <w:r w:rsidRPr="001C6E0E">
        <w:rPr>
          <w:rFonts w:ascii="Arial" w:hAnsi="Arial" w:cs="Arial"/>
          <w:color w:val="000000"/>
          <w:sz w:val="20"/>
          <w:szCs w:val="20"/>
        </w:rPr>
        <w:t xml:space="preserve"> [2010] VSC 111 a 19 year old offender had been found not guilty of murder but guilty of manslaughter arising from a stabbing.  Lasry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“I can only hope that the real lesson from this tragedy is a greater and clearer understanding of how easily and quickly the production of even a small domestic knife in a minor 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Arney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Kalanj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Boaza</w:t>
      </w:r>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 xml:space="preserve">77 A Crim R 139, 140-1 (Fitzgerald P), 146 (Dowsett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Reglis</w:t>
      </w:r>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Sypott </w:t>
      </w:r>
      <w:r w:rsidRPr="001C6E0E">
        <w:rPr>
          <w:rFonts w:ascii="Arial" w:hAnsi="Arial" w:cs="Arial"/>
          <w:color w:val="000000"/>
          <w:sz w:val="20"/>
        </w:rPr>
        <w:t xml:space="preserve">[2004] VSCA 9; and, </w:t>
      </w:r>
      <w:r w:rsidRPr="001C6E0E">
        <w:rPr>
          <w:rFonts w:ascii="Arial" w:hAnsi="Arial" w:cs="Arial"/>
          <w:i/>
          <w:color w:val="000000"/>
          <w:sz w:val="20"/>
        </w:rPr>
        <w:t>R v Robert John Osip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w:t>
      </w:r>
      <w:r w:rsidR="00894747" w:rsidRPr="001C6E0E">
        <w:rPr>
          <w:rFonts w:ascii="Arial" w:hAnsi="Arial" w:cs="Arial"/>
          <w:bCs/>
          <w:color w:val="000000"/>
          <w:sz w:val="20"/>
        </w:rPr>
        <w:lastRenderedPageBreak/>
        <w:t xml:space="preserve">described by counsel as “the sternest head sentence ever imposed for the offence of manslaughter in </w:t>
      </w:r>
      <w:smartTag w:uri="urn:schemas-microsoft-com:office:smarttags" w:element="place">
        <w:smartTag w:uri="urn:schemas-microsoft-com:office:smarttags" w:element="Stat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‘W]ith an instance of [an offence]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Pyrczak</w:t>
      </w:r>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R v Nurdag &amp; Ors</w:t>
      </w:r>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(Buchanan JA &amp; Hollingworth AJA, Bongiorno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Sifris AJA dissenting) – focussing on dicta 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Ors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R v Aliti</w:t>
      </w:r>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w:t>
      </w:r>
      <w:r>
        <w:rPr>
          <w:rFonts w:ascii="Arial" w:hAnsi="Arial" w:cs="Arial"/>
          <w:color w:val="000000"/>
          <w:sz w:val="20"/>
          <w:szCs w:val="20"/>
        </w:rPr>
        <w:lastRenderedPageBreak/>
        <w:t xml:space="preserve">the fight.  LA then came to the scene in response to an earlier call for help from a friend in the rival group,  LA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There 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displaye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was immature and impressionable </w:t>
      </w:r>
      <w:r w:rsidR="00346D50" w:rsidRPr="00B06EF8">
        <w:rPr>
          <w:rFonts w:ascii="Arial" w:hAnsi="Arial" w:cs="Arial"/>
          <w:sz w:val="20"/>
          <w:szCs w:val="20"/>
        </w:rPr>
        <w:t>and likely to be subjected to 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15 year old offender </w:t>
      </w:r>
      <w:r w:rsidR="00DE58E2">
        <w:rPr>
          <w:rFonts w:ascii="Arial" w:hAnsi="Arial" w:cs="Arial"/>
          <w:sz w:val="20"/>
          <w:szCs w:val="20"/>
        </w:rPr>
        <w:t xml:space="preserve">fatally </w:t>
      </w:r>
      <w:r>
        <w:rPr>
          <w:rFonts w:ascii="Arial" w:hAnsi="Arial" w:cs="Arial"/>
          <w:sz w:val="20"/>
          <w:szCs w:val="20"/>
        </w:rPr>
        <w:t xml:space="preserve">stabbed a 17 year old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R v Mohamed &amp; Ors</w:t>
      </w:r>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I am satisfied that if you are sentenced to detention in a YJC you have reasonable prospects of rehabilitation whereas if you are sentenced to imprisonment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commuinty’s.  As Nettle JA said in </w:t>
      </w:r>
      <w:r w:rsidRPr="00DE58E2">
        <w:rPr>
          <w:rFonts w:ascii="Arial" w:hAnsi="Arial" w:cs="Arial"/>
          <w:i/>
          <w:iCs/>
          <w:color w:val="000000"/>
          <w:sz w:val="20"/>
          <w:szCs w:val="20"/>
        </w:rPr>
        <w:t>R v Mohamed &amp; Ors</w:t>
      </w:r>
      <w:r>
        <w:rPr>
          <w:rFonts w:ascii="Arial" w:hAnsi="Arial" w:cs="Arial"/>
          <w:color w:val="000000"/>
          <w:sz w:val="20"/>
          <w:szCs w:val="20"/>
        </w:rPr>
        <w:t xml:space="preserve"> at [40]</w:t>
      </w:r>
      <w:r w:rsidR="00DE58E2">
        <w:rPr>
          <w:rFonts w:ascii="Arial" w:hAnsi="Arial" w:cs="Arial"/>
          <w:color w:val="000000"/>
          <w:sz w:val="20"/>
          <w:szCs w:val="20"/>
        </w:rPr>
        <w:t>, ‘It appears to me that there would be very little to gain and in all probability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46D3E661" w:rsidR="00DE58E2" w:rsidRDefault="00DE58E2" w:rsidP="008063D9">
      <w:pPr>
        <w:jc w:val="both"/>
        <w:rPr>
          <w:rFonts w:ascii="Arial" w:hAnsi="Arial" w:cs="Arial"/>
          <w:sz w:val="20"/>
          <w:szCs w:val="20"/>
        </w:rPr>
      </w:pPr>
    </w:p>
    <w:p w14:paraId="3919C39E" w14:textId="25A5E83F" w:rsidR="000C5F9F" w:rsidRDefault="000C5F9F" w:rsidP="008063D9">
      <w:pPr>
        <w:jc w:val="both"/>
        <w:rPr>
          <w:rFonts w:ascii="Arial" w:hAnsi="Arial" w:cs="Arial"/>
          <w:sz w:val="20"/>
          <w:szCs w:val="20"/>
        </w:rPr>
      </w:pPr>
      <w:r>
        <w:rPr>
          <w:rFonts w:ascii="Arial" w:hAnsi="Arial" w:cs="Arial"/>
          <w:sz w:val="20"/>
          <w:szCs w:val="20"/>
        </w:rPr>
        <w:t xml:space="preserve">In </w:t>
      </w:r>
      <w:r w:rsidRPr="000C5F9F">
        <w:rPr>
          <w:rFonts w:ascii="Arial" w:hAnsi="Arial" w:cs="Arial"/>
          <w:i/>
          <w:iCs/>
          <w:sz w:val="20"/>
          <w:szCs w:val="20"/>
        </w:rPr>
        <w:t>DPP v McDonough</w:t>
      </w:r>
      <w:r>
        <w:rPr>
          <w:rFonts w:ascii="Arial" w:hAnsi="Arial" w:cs="Arial"/>
          <w:sz w:val="20"/>
          <w:szCs w:val="20"/>
        </w:rPr>
        <w:t xml:space="preserve"> [2023] VSC 352 the offender had entered an early plea to manslaughter of his domestic partner who was attempting to leave the relationship – he had an extensive criminal history,  poor prospects of rehabilitation and limited remorse – in imposing a sentence of IMP11y6m/8y6m Fox J said at [47]-[48]:</w:t>
      </w:r>
    </w:p>
    <w:p w14:paraId="33A95A2D" w14:textId="765148A6" w:rsidR="000C5F9F" w:rsidRDefault="000C5F9F" w:rsidP="000C5F9F">
      <w:pPr>
        <w:spacing w:before="60"/>
        <w:ind w:left="567" w:right="567"/>
        <w:jc w:val="both"/>
        <w:rPr>
          <w:rFonts w:ascii="Arial" w:hAnsi="Arial" w:cs="Arial"/>
          <w:sz w:val="20"/>
          <w:szCs w:val="20"/>
        </w:rPr>
      </w:pPr>
      <w:r>
        <w:rPr>
          <w:rFonts w:ascii="Arial" w:hAnsi="Arial" w:cs="Arial"/>
          <w:color w:val="000000"/>
          <w:sz w:val="20"/>
          <w:szCs w:val="20"/>
        </w:rPr>
        <w:t>[47] “</w:t>
      </w:r>
      <w:r w:rsidRPr="000C5F9F">
        <w:rPr>
          <w:rFonts w:ascii="Arial" w:hAnsi="Arial" w:cs="Arial"/>
          <w:sz w:val="20"/>
          <w:szCs w:val="20"/>
        </w:rPr>
        <w:t xml:space="preserve">The unlawful and dangerous act causing death did not involve a weapon; there was a single strike, which caused the deceased to fall and hit her head. However, that single strike cannot be viewed in isolation. A most serious aspect of your offending is that it occurred in the context of ongoing family violence. </w:t>
      </w:r>
      <w:r>
        <w:rPr>
          <w:rFonts w:ascii="Arial" w:hAnsi="Arial" w:cs="Arial"/>
          <w:sz w:val="20"/>
          <w:szCs w:val="20"/>
        </w:rPr>
        <w:t>[Your partner]</w:t>
      </w:r>
      <w:r w:rsidRPr="000C5F9F">
        <w:rPr>
          <w:rFonts w:ascii="Arial" w:hAnsi="Arial" w:cs="Arial"/>
          <w:sz w:val="20"/>
          <w:szCs w:val="20"/>
        </w:rPr>
        <w:t xml:space="preserve"> was attempting to end the relationship, and you knew that. You also knew she was scared of you. </w:t>
      </w:r>
      <w:r w:rsidR="001F27BE">
        <w:rPr>
          <w:rFonts w:ascii="Arial" w:hAnsi="Arial" w:cs="Arial"/>
          <w:sz w:val="20"/>
          <w:szCs w:val="20"/>
        </w:rPr>
        <w:t xml:space="preserve">[Your partner] </w:t>
      </w:r>
      <w:r w:rsidRPr="000C5F9F">
        <w:rPr>
          <w:rFonts w:ascii="Arial" w:hAnsi="Arial" w:cs="Arial"/>
          <w:sz w:val="20"/>
          <w:szCs w:val="20"/>
        </w:rPr>
        <w:t xml:space="preserve">understood the danger you presented to her life and she had every right to leave you. But when she tried to flee on this day, you caught her and used your greater strength and size to physically throw her into your unit. Once she was inside, you violently assaulted her and, ultimately, struck a blow to her face that caused her death. This is a serious </w:t>
      </w:r>
      <w:r w:rsidRPr="000C5F9F">
        <w:rPr>
          <w:rFonts w:ascii="Arial" w:hAnsi="Arial" w:cs="Arial"/>
          <w:sz w:val="20"/>
          <w:szCs w:val="20"/>
        </w:rPr>
        <w:lastRenderedPageBreak/>
        <w:t>example of family violence committed against a young woman who was trying to escape from her life with you.</w:t>
      </w:r>
    </w:p>
    <w:p w14:paraId="275D1206" w14:textId="7A567620" w:rsidR="001F27BE" w:rsidRPr="00F86035" w:rsidRDefault="001F27BE" w:rsidP="000C5F9F">
      <w:pPr>
        <w:spacing w:before="60"/>
        <w:ind w:left="567" w:right="567"/>
        <w:jc w:val="both"/>
        <w:rPr>
          <w:rFonts w:ascii="Arial" w:hAnsi="Arial" w:cs="Arial"/>
          <w:color w:val="000000"/>
          <w:sz w:val="20"/>
          <w:szCs w:val="20"/>
        </w:rPr>
      </w:pPr>
      <w:r>
        <w:rPr>
          <w:rFonts w:ascii="Arial" w:hAnsi="Arial" w:cs="Arial"/>
          <w:sz w:val="20"/>
          <w:szCs w:val="20"/>
        </w:rPr>
        <w:t xml:space="preserve">[48] </w:t>
      </w:r>
      <w:r w:rsidRPr="000C5F9F">
        <w:rPr>
          <w:rFonts w:ascii="Arial" w:hAnsi="Arial" w:cs="Arial"/>
          <w:sz w:val="20"/>
          <w:szCs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szCs w:val="20"/>
        </w:rPr>
        <w:t>[your partner]</w:t>
      </w:r>
      <w:r w:rsidRPr="000C5F9F">
        <w:rPr>
          <w:rFonts w:ascii="Arial" w:hAnsi="Arial" w:cs="Arial"/>
          <w:sz w:val="20"/>
          <w:szCs w:val="20"/>
        </w:rPr>
        <w:t>.</w:t>
      </w:r>
      <w:r w:rsidR="00657EC0">
        <w:rPr>
          <w:rFonts w:ascii="Arial" w:hAnsi="Arial" w:cs="Arial"/>
          <w:sz w:val="20"/>
          <w:szCs w:val="20"/>
        </w:rPr>
        <w:t>”</w:t>
      </w:r>
    </w:p>
    <w:p w14:paraId="4CAC72C4" w14:textId="1B8EC1A0" w:rsidR="000C5F9F" w:rsidRDefault="000C5F9F" w:rsidP="008063D9">
      <w:pPr>
        <w:jc w:val="both"/>
        <w:rPr>
          <w:rFonts w:ascii="Arial" w:hAnsi="Arial" w:cs="Arial"/>
          <w:sz w:val="20"/>
          <w:szCs w:val="20"/>
        </w:rPr>
      </w:pPr>
    </w:p>
    <w:p w14:paraId="37CBDA1A" w14:textId="35B096DE" w:rsidR="00AC503C" w:rsidRDefault="00A525FC" w:rsidP="008063D9">
      <w:pPr>
        <w:jc w:val="both"/>
        <w:rPr>
          <w:rFonts w:ascii="Arial" w:hAnsi="Arial" w:cs="Arial"/>
          <w:sz w:val="20"/>
          <w:szCs w:val="20"/>
        </w:rPr>
      </w:pPr>
      <w:r>
        <w:rPr>
          <w:rFonts w:ascii="Arial" w:hAnsi="Arial" w:cs="Arial"/>
          <w:sz w:val="20"/>
          <w:szCs w:val="20"/>
        </w:rPr>
        <w:t xml:space="preserve">In </w:t>
      </w:r>
      <w:r w:rsidRPr="00A525FC">
        <w:rPr>
          <w:rFonts w:ascii="Arial" w:hAnsi="Arial" w:cs="Arial"/>
          <w:i/>
          <w:iCs/>
          <w:sz w:val="20"/>
          <w:szCs w:val="20"/>
        </w:rPr>
        <w:t>DPP v Rickerby (No 2)</w:t>
      </w:r>
      <w:r>
        <w:rPr>
          <w:rFonts w:ascii="Arial" w:hAnsi="Arial" w:cs="Arial"/>
          <w:sz w:val="20"/>
          <w:szCs w:val="20"/>
        </w:rPr>
        <w:t xml:space="preserve"> [2024] VSC </w:t>
      </w:r>
      <w:r w:rsidR="00657EC0">
        <w:rPr>
          <w:rFonts w:ascii="Arial" w:hAnsi="Arial" w:cs="Arial"/>
          <w:sz w:val="20"/>
          <w:szCs w:val="20"/>
        </w:rPr>
        <w:t xml:space="preserve">334 </w:t>
      </w:r>
      <w:r>
        <w:rPr>
          <w:rFonts w:ascii="Arial" w:hAnsi="Arial" w:cs="Arial"/>
          <w:sz w:val="20"/>
          <w:szCs w:val="20"/>
        </w:rPr>
        <w:t xml:space="preserve">the </w:t>
      </w:r>
      <w:r w:rsidR="00AC503C">
        <w:rPr>
          <w:rFonts w:ascii="Arial" w:hAnsi="Arial" w:cs="Arial"/>
          <w:sz w:val="20"/>
          <w:szCs w:val="20"/>
        </w:rPr>
        <w:t xml:space="preserve">26 year old </w:t>
      </w:r>
      <w:r>
        <w:rPr>
          <w:rFonts w:ascii="Arial" w:hAnsi="Arial" w:cs="Arial"/>
          <w:sz w:val="20"/>
          <w:szCs w:val="20"/>
        </w:rPr>
        <w:t xml:space="preserve">offender had belatedly pleaded guilty to manslaughter of his domestic partner by unlawful and dangerous act.  </w:t>
      </w:r>
      <w:r w:rsidR="00AC503C">
        <w:rPr>
          <w:rFonts w:ascii="Arial" w:hAnsi="Arial" w:cs="Arial"/>
          <w:sz w:val="20"/>
          <w:szCs w:val="20"/>
        </w:rPr>
        <w:t xml:space="preserve">In imposing a sentence of </w:t>
      </w:r>
      <w:r w:rsidR="002639DC">
        <w:rPr>
          <w:rFonts w:ascii="Arial" w:hAnsi="Arial" w:cs="Arial"/>
          <w:sz w:val="20"/>
          <w:szCs w:val="20"/>
        </w:rPr>
        <w:t xml:space="preserve">IMP15y6m/11y Elliott J </w:t>
      </w:r>
      <w:r w:rsidR="00657EC0">
        <w:rPr>
          <w:rFonts w:ascii="Arial" w:hAnsi="Arial" w:cs="Arial"/>
          <w:sz w:val="20"/>
          <w:szCs w:val="20"/>
        </w:rPr>
        <w:t>said at [54]:</w:t>
      </w:r>
    </w:p>
    <w:p w14:paraId="55BCC941" w14:textId="529896F1" w:rsidR="00657EC0" w:rsidRPr="00F86035" w:rsidRDefault="00657EC0" w:rsidP="00657EC0">
      <w:pPr>
        <w:spacing w:before="60"/>
        <w:ind w:left="567" w:right="567"/>
        <w:jc w:val="both"/>
        <w:rPr>
          <w:rFonts w:ascii="Arial" w:hAnsi="Arial" w:cs="Arial"/>
          <w:color w:val="000000"/>
          <w:sz w:val="20"/>
          <w:szCs w:val="20"/>
        </w:rPr>
      </w:pPr>
      <w:r>
        <w:rPr>
          <w:rFonts w:ascii="Arial" w:hAnsi="Arial" w:cs="Arial"/>
          <w:color w:val="000000"/>
          <w:sz w:val="20"/>
          <w:szCs w:val="20"/>
        </w:rPr>
        <w:t>“</w:t>
      </w:r>
      <w:r w:rsidRPr="00657EC0">
        <w:rPr>
          <w:rFonts w:ascii="Arial" w:hAnsi="Arial" w:cs="Arial"/>
          <w:sz w:val="20"/>
          <w:szCs w:val="20"/>
        </w:rPr>
        <w:t>The court must ensure just punishment. What is just in part depends upon the nature and gravity of the offending. Manslaughter by unlawful and dangerous act is self</w:t>
      </w:r>
      <w:r>
        <w:rPr>
          <w:rFonts w:ascii="Arial" w:hAnsi="Arial" w:cs="Arial"/>
          <w:sz w:val="20"/>
          <w:szCs w:val="20"/>
        </w:rPr>
        <w:t>-</w:t>
      </w:r>
      <w:r w:rsidRPr="00657EC0">
        <w:rPr>
          <w:rFonts w:ascii="Arial" w:hAnsi="Arial" w:cs="Arial"/>
          <w:sz w:val="20"/>
          <w:szCs w:val="20"/>
        </w:rPr>
        <w:t>evidently a very serious offence. As for the gravity of your offending, the circumstances of this case are truly shocking. Inexplicably, by your vicious assault through multiple acts of aggression, you have brutally taken the life of someone who trusted you and who had moved far away from her family to be with you. Jessica was also particularly vulnerable given her mental health issues, and you knew of her vulnerability and that she relied on you for support and care. The taking of a domestic partner’s life undermines the foundations of personal relationships and family trust upon which our society rests</w:t>
      </w:r>
      <w:r>
        <w:rPr>
          <w:rFonts w:ascii="Arial" w:hAnsi="Arial" w:cs="Arial"/>
          <w:sz w:val="20"/>
          <w:szCs w:val="20"/>
        </w:rPr>
        <w:t xml:space="preserve">: </w:t>
      </w:r>
      <w:r w:rsidRPr="00657EC0">
        <w:rPr>
          <w:rFonts w:ascii="Arial" w:hAnsi="Arial" w:cs="Arial"/>
          <w:i/>
          <w:iCs/>
          <w:sz w:val="20"/>
          <w:szCs w:val="20"/>
        </w:rPr>
        <w:t>Felicite v The Queen</w:t>
      </w:r>
      <w:r w:rsidRPr="00657EC0">
        <w:rPr>
          <w:rFonts w:ascii="Arial" w:hAnsi="Arial" w:cs="Arial"/>
          <w:sz w:val="20"/>
          <w:szCs w:val="20"/>
        </w:rPr>
        <w:t xml:space="preserve"> (2011) 37 VR 329, 333 [20], citing </w:t>
      </w:r>
      <w:r w:rsidRPr="00657EC0">
        <w:rPr>
          <w:rFonts w:ascii="Arial" w:hAnsi="Arial" w:cs="Arial"/>
          <w:i/>
          <w:iCs/>
          <w:sz w:val="20"/>
          <w:szCs w:val="20"/>
        </w:rPr>
        <w:t>Diver v The Queen</w:t>
      </w:r>
      <w:r w:rsidRPr="00657EC0">
        <w:rPr>
          <w:rFonts w:ascii="Arial" w:hAnsi="Arial" w:cs="Arial"/>
          <w:sz w:val="20"/>
          <w:szCs w:val="20"/>
        </w:rPr>
        <w:t xml:space="preserve"> [2010] VSCA 254, [41]</w:t>
      </w:r>
      <w:r>
        <w:rPr>
          <w:rFonts w:ascii="Arial" w:hAnsi="Arial" w:cs="Arial"/>
          <w:sz w:val="20"/>
          <w:szCs w:val="20"/>
        </w:rPr>
        <w:t>.</w:t>
      </w:r>
      <w:r w:rsidRPr="00657EC0">
        <w:rPr>
          <w:rFonts w:ascii="Arial" w:hAnsi="Arial" w:cs="Arial"/>
          <w:sz w:val="20"/>
          <w:szCs w:val="20"/>
        </w:rPr>
        <w:t xml:space="preserve"> The sanctity of human life must be taken into account, as well as society’s abhorrence towards violence against vulnerable and trusting partners who could legitimately have expected the offender to be the protector, not the perpetrator of violent abuse</w:t>
      </w:r>
      <w:r>
        <w:rPr>
          <w:rFonts w:ascii="Arial" w:hAnsi="Arial" w:cs="Arial"/>
          <w:sz w:val="20"/>
          <w:szCs w:val="20"/>
        </w:rPr>
        <w:t xml:space="preserve">: </w:t>
      </w:r>
      <w:r w:rsidRPr="00657EC0">
        <w:rPr>
          <w:rFonts w:ascii="Arial" w:hAnsi="Arial" w:cs="Arial"/>
          <w:i/>
          <w:iCs/>
          <w:sz w:val="20"/>
          <w:szCs w:val="20"/>
        </w:rPr>
        <w:t>Ibid</w:t>
      </w:r>
      <w:r w:rsidRPr="00657EC0">
        <w:rPr>
          <w:rFonts w:ascii="Arial" w:hAnsi="Arial" w:cs="Arial"/>
          <w:sz w:val="20"/>
          <w:szCs w:val="20"/>
        </w:rPr>
        <w:t>.</w:t>
      </w:r>
      <w:r>
        <w:rPr>
          <w:rFonts w:ascii="Arial" w:hAnsi="Arial" w:cs="Arial"/>
          <w:sz w:val="20"/>
          <w:szCs w:val="20"/>
        </w:rPr>
        <w:t>”</w:t>
      </w:r>
    </w:p>
    <w:p w14:paraId="60427DCE" w14:textId="77777777" w:rsidR="00AC503C" w:rsidRDefault="00AC503C"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4AE61B9A" w:rsidR="00A1353E" w:rsidRPr="001B70BA" w:rsidRDefault="00A1353E">
      <w:pPr>
        <w:jc w:val="both"/>
        <w:rPr>
          <w:rFonts w:ascii="Arial" w:hAnsi="Arial" w:cs="Arial"/>
          <w:color w:val="000000"/>
          <w:sz w:val="20"/>
          <w:szCs w:val="20"/>
        </w:rPr>
      </w:pPr>
    </w:p>
    <w:p w14:paraId="249E0297" w14:textId="021BA1C3" w:rsidR="004976B4" w:rsidRDefault="0053259B">
      <w:pPr>
        <w:jc w:val="both"/>
        <w:rPr>
          <w:rFonts w:ascii="Arial" w:hAnsi="Arial" w:cs="Arial"/>
          <w:color w:val="000000"/>
          <w:sz w:val="20"/>
          <w:szCs w:val="20"/>
        </w:rPr>
      </w:pPr>
      <w:r w:rsidRPr="0053259B">
        <w:rPr>
          <w:rFonts w:ascii="Arial" w:hAnsi="Arial" w:cs="Arial"/>
          <w:color w:val="000000"/>
          <w:sz w:val="20"/>
          <w:szCs w:val="20"/>
        </w:rPr>
        <w:t xml:space="preserve">In </w:t>
      </w:r>
      <w:r w:rsidRPr="0053259B">
        <w:rPr>
          <w:rFonts w:ascii="Arial" w:hAnsi="Arial" w:cs="Arial"/>
          <w:i/>
          <w:iCs/>
          <w:color w:val="000000"/>
          <w:sz w:val="20"/>
          <w:szCs w:val="20"/>
        </w:rPr>
        <w:t>R v K</w:t>
      </w:r>
      <w:r w:rsidRPr="0053259B">
        <w:rPr>
          <w:rFonts w:ascii="Arial" w:hAnsi="Arial" w:cs="Arial"/>
          <w:color w:val="000000"/>
          <w:sz w:val="20"/>
          <w:szCs w:val="20"/>
        </w:rPr>
        <w:t xml:space="preserve">Y [2022] VSC 805 </w:t>
      </w:r>
      <w:r w:rsidR="00F618C8">
        <w:rPr>
          <w:rFonts w:ascii="Arial" w:hAnsi="Arial" w:cs="Arial"/>
          <w:color w:val="000000"/>
          <w:sz w:val="20"/>
          <w:szCs w:val="20"/>
        </w:rPr>
        <w:t xml:space="preserve">the offender – who was aged 16 at the time of the offence and 19 at the time of sentence – pleaded guilty just prior to trial to one count of manslaughter.  </w:t>
      </w:r>
      <w:r w:rsidR="004976B4">
        <w:rPr>
          <w:rFonts w:ascii="Arial" w:hAnsi="Arial" w:cs="Arial"/>
          <w:color w:val="000000"/>
          <w:sz w:val="20"/>
          <w:szCs w:val="20"/>
        </w:rPr>
        <w:t xml:space="preserve">The deceased had been struck with a baseball bat by another person (subsequently acquitted of manslaughter by a jury after a trial that lasted several weeks), causing the deceased to fall heavily onto the roadway and fracturing his skull.  KY had then kicked and stomped on the severely injured victim’s head, thereby contributing to the victim’s death.  </w:t>
      </w:r>
      <w:r w:rsidR="00ED1208">
        <w:rPr>
          <w:rFonts w:ascii="Arial" w:hAnsi="Arial" w:cs="Arial"/>
          <w:color w:val="000000"/>
          <w:sz w:val="20"/>
          <w:szCs w:val="20"/>
        </w:rPr>
        <w:t>At [71] Jane Dixon J said to KY:</w:t>
      </w:r>
    </w:p>
    <w:p w14:paraId="3F53B7B5" w14:textId="6993B817" w:rsidR="00ED1208" w:rsidRDefault="00ED1208" w:rsidP="00ED1208">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“Following receipt of [the pre-sentence report, the prosecutor] made the entirely fair concession that </w:t>
      </w:r>
      <w:r w:rsidRPr="00ED1208">
        <w:rPr>
          <w:rFonts w:ascii="Arial" w:hAnsi="Arial" w:cs="Arial"/>
          <w:sz w:val="20"/>
          <w:szCs w:val="20"/>
        </w:rPr>
        <w:t xml:space="preserve">exceptional circumstances could be made out in </w:t>
      </w:r>
      <w:r>
        <w:rPr>
          <w:rFonts w:ascii="Arial" w:hAnsi="Arial" w:cs="Arial"/>
          <w:sz w:val="20"/>
          <w:szCs w:val="20"/>
        </w:rPr>
        <w:t>your</w:t>
      </w:r>
      <w:r w:rsidRPr="00ED1208">
        <w:rPr>
          <w:rFonts w:ascii="Arial" w:hAnsi="Arial" w:cs="Arial"/>
          <w:sz w:val="20"/>
          <w:szCs w:val="20"/>
        </w:rPr>
        <w:t xml:space="preserve"> case. He referred to the impulsive nature of your offending, your lack of criminal history or pending charges, the peer presence that provided a context to the offending, your young age at the time of the offence, your improved behaviour in the three years since the offence including increased victim empathy, abstinence from drugs and avoidance of negative peer associations, gainful employment, and the support of your family and JT’s family, along with your adjustment disorder and history of trauma within your own family. It was accepted by the Crown that both ss 32(1)(a) and (b) of the Sentencing Act were made out in your case.</w:t>
      </w:r>
      <w:r>
        <w:rPr>
          <w:rFonts w:ascii="Arial" w:hAnsi="Arial" w:cs="Arial"/>
          <w:sz w:val="20"/>
          <w:szCs w:val="20"/>
        </w:rPr>
        <w:t>”</w:t>
      </w:r>
    </w:p>
    <w:p w14:paraId="1FC4ACF1" w14:textId="6D009A96" w:rsidR="004976B4" w:rsidRDefault="00ED1208">
      <w:pPr>
        <w:jc w:val="both"/>
        <w:rPr>
          <w:rFonts w:ascii="Arial" w:hAnsi="Arial" w:cs="Arial"/>
          <w:color w:val="000000"/>
          <w:sz w:val="20"/>
          <w:szCs w:val="20"/>
        </w:rPr>
      </w:pPr>
      <w:r>
        <w:rPr>
          <w:rFonts w:ascii="Arial" w:hAnsi="Arial" w:cs="Arial"/>
          <w:color w:val="000000"/>
          <w:sz w:val="20"/>
          <w:szCs w:val="20"/>
        </w:rPr>
        <w:t xml:space="preserve">At [72]-[82] her Honour concurred with the prosecutor’s concession, detailing nine matters which support a finding of ‘exceptional circumstances’.  These </w:t>
      </w:r>
      <w:r w:rsidR="001B70BA">
        <w:rPr>
          <w:rFonts w:ascii="Arial" w:hAnsi="Arial" w:cs="Arial"/>
          <w:color w:val="000000"/>
          <w:sz w:val="20"/>
          <w:szCs w:val="20"/>
        </w:rPr>
        <w:t xml:space="preserve">matters </w:t>
      </w:r>
      <w:r>
        <w:rPr>
          <w:rFonts w:ascii="Arial" w:hAnsi="Arial" w:cs="Arial"/>
          <w:color w:val="000000"/>
          <w:sz w:val="20"/>
          <w:szCs w:val="20"/>
        </w:rPr>
        <w:t>included the offender’s</w:t>
      </w:r>
      <w:r w:rsidR="001B70BA">
        <w:rPr>
          <w:rFonts w:ascii="Arial" w:hAnsi="Arial" w:cs="Arial"/>
          <w:color w:val="000000"/>
          <w:sz w:val="20"/>
          <w:szCs w:val="20"/>
        </w:rPr>
        <w:t xml:space="preserve"> youth, remorse, lack of </w:t>
      </w:r>
      <w:r w:rsidR="00A82210">
        <w:rPr>
          <w:rFonts w:ascii="Arial" w:hAnsi="Arial" w:cs="Arial"/>
          <w:color w:val="000000"/>
          <w:sz w:val="20"/>
          <w:szCs w:val="20"/>
        </w:rPr>
        <w:t>criminal antecedents</w:t>
      </w:r>
      <w:r w:rsidR="005D29C0">
        <w:rPr>
          <w:rFonts w:ascii="Arial" w:hAnsi="Arial" w:cs="Arial"/>
          <w:color w:val="000000"/>
          <w:sz w:val="20"/>
          <w:szCs w:val="20"/>
        </w:rPr>
        <w:t xml:space="preserve">, his increased awareness of the gravity of his offending </w:t>
      </w:r>
      <w:r w:rsidR="001B70BA">
        <w:rPr>
          <w:rFonts w:ascii="Arial" w:hAnsi="Arial" w:cs="Arial"/>
          <w:color w:val="000000"/>
          <w:sz w:val="20"/>
          <w:szCs w:val="20"/>
        </w:rPr>
        <w:t xml:space="preserve">and </w:t>
      </w:r>
      <w:r w:rsidR="005D29C0">
        <w:rPr>
          <w:rFonts w:ascii="Arial" w:hAnsi="Arial" w:cs="Arial"/>
          <w:color w:val="000000"/>
          <w:sz w:val="20"/>
          <w:szCs w:val="20"/>
        </w:rPr>
        <w:t xml:space="preserve">his </w:t>
      </w:r>
      <w:r w:rsidR="001B70BA">
        <w:rPr>
          <w:rFonts w:ascii="Arial" w:hAnsi="Arial" w:cs="Arial"/>
          <w:color w:val="000000"/>
          <w:sz w:val="20"/>
          <w:szCs w:val="20"/>
        </w:rPr>
        <w:t>very good prospects for rehabilitation.</w:t>
      </w:r>
      <w:r w:rsidR="005D29C0">
        <w:rPr>
          <w:rFonts w:ascii="Arial" w:hAnsi="Arial" w:cs="Arial"/>
          <w:color w:val="000000"/>
          <w:sz w:val="20"/>
          <w:szCs w:val="20"/>
        </w:rPr>
        <w:t xml:space="preserve">  The consequence of the finding of ‘exceptional circumstances’ was that although manslaughter is a Category A serious youth offence, s.32(2C) of the </w:t>
      </w:r>
      <w:r w:rsidR="005D29C0" w:rsidRPr="005D29C0">
        <w:rPr>
          <w:rFonts w:ascii="Arial" w:hAnsi="Arial" w:cs="Arial"/>
          <w:i/>
          <w:iCs/>
          <w:color w:val="000000"/>
          <w:sz w:val="20"/>
          <w:szCs w:val="20"/>
        </w:rPr>
        <w:t>Sentencing Act 1991</w:t>
      </w:r>
      <w:r w:rsidR="005D29C0">
        <w:rPr>
          <w:rFonts w:ascii="Arial" w:hAnsi="Arial" w:cs="Arial"/>
          <w:color w:val="000000"/>
          <w:sz w:val="20"/>
          <w:szCs w:val="20"/>
        </w:rPr>
        <w:t xml:space="preserve"> – read in conjunction with ss.</w:t>
      </w:r>
      <w:r w:rsidR="005D29C0" w:rsidRPr="00ED1208">
        <w:rPr>
          <w:rFonts w:ascii="Arial" w:hAnsi="Arial" w:cs="Arial"/>
          <w:sz w:val="20"/>
          <w:szCs w:val="20"/>
        </w:rPr>
        <w:t>32(1)(a) and (b)</w:t>
      </w:r>
      <w:r w:rsidR="005D29C0">
        <w:rPr>
          <w:rFonts w:ascii="Arial" w:hAnsi="Arial" w:cs="Arial"/>
          <w:sz w:val="20"/>
          <w:szCs w:val="20"/>
        </w:rPr>
        <w:t xml:space="preserve"> – did not prevent her Honour from imposing a YJC sentence.  In ultimately sentencing KY to </w:t>
      </w:r>
      <w:r w:rsidR="005D29C0">
        <w:rPr>
          <w:rFonts w:ascii="Arial" w:hAnsi="Arial" w:cs="Arial"/>
          <w:color w:val="000000"/>
          <w:sz w:val="20"/>
          <w:szCs w:val="20"/>
        </w:rPr>
        <w:t>2y YJC detention, her Honour said at [</w:t>
      </w:r>
      <w:r w:rsidR="00CD4B0C">
        <w:rPr>
          <w:rFonts w:ascii="Arial" w:hAnsi="Arial" w:cs="Arial"/>
          <w:color w:val="000000"/>
          <w:sz w:val="20"/>
          <w:szCs w:val="20"/>
        </w:rPr>
        <w:t>84</w:t>
      </w:r>
      <w:r w:rsidR="005D29C0">
        <w:rPr>
          <w:rFonts w:ascii="Arial" w:hAnsi="Arial" w:cs="Arial"/>
          <w:color w:val="000000"/>
          <w:sz w:val="20"/>
          <w:szCs w:val="20"/>
        </w:rPr>
        <w:t>]-[</w:t>
      </w:r>
      <w:r w:rsidR="00CD4B0C">
        <w:rPr>
          <w:rFonts w:ascii="Arial" w:hAnsi="Arial" w:cs="Arial"/>
          <w:color w:val="000000"/>
          <w:sz w:val="20"/>
          <w:szCs w:val="20"/>
        </w:rPr>
        <w:t>86</w:t>
      </w:r>
      <w:r w:rsidR="005D29C0">
        <w:rPr>
          <w:rFonts w:ascii="Arial" w:hAnsi="Arial" w:cs="Arial"/>
          <w:color w:val="000000"/>
          <w:sz w:val="20"/>
          <w:szCs w:val="20"/>
        </w:rPr>
        <w:t>]:</w:t>
      </w:r>
    </w:p>
    <w:p w14:paraId="213FD7D0" w14:textId="279EBA06" w:rsidR="005D29C0" w:rsidRDefault="005D29C0" w:rsidP="005D29C0">
      <w:pPr>
        <w:spacing w:before="60" w:after="60"/>
        <w:ind w:left="567" w:right="567"/>
        <w:jc w:val="both"/>
        <w:rPr>
          <w:rFonts w:ascii="Arial" w:hAnsi="Arial" w:cs="Arial"/>
          <w:sz w:val="20"/>
          <w:szCs w:val="20"/>
        </w:rPr>
      </w:pPr>
      <w:r>
        <w:rPr>
          <w:rFonts w:ascii="Arial" w:hAnsi="Arial" w:cs="Arial"/>
          <w:color w:val="000000"/>
          <w:sz w:val="20"/>
          <w:szCs w:val="20"/>
        </w:rPr>
        <w:t>“</w:t>
      </w:r>
      <w:r w:rsidR="00CD4B0C" w:rsidRPr="00CD4B0C">
        <w:rPr>
          <w:rFonts w:ascii="Arial" w:hAnsi="Arial" w:cs="Arial"/>
          <w:sz w:val="20"/>
          <w:szCs w:val="20"/>
        </w:rPr>
        <w:t>Whilst the nature of the offence to which you have pleaded guilty is a very serious offence, your age at the time of the offending, your otherwise good character, and your lack of other offending make it appropriate to impose a Youth Justice Centre order rather than a term of imprisonment.</w:t>
      </w:r>
    </w:p>
    <w:p w14:paraId="159E1798" w14:textId="77777777" w:rsidR="00CD4B0C" w:rsidRDefault="00CD4B0C" w:rsidP="005D29C0">
      <w:pPr>
        <w:spacing w:before="60" w:after="60"/>
        <w:ind w:left="567" w:right="567"/>
        <w:jc w:val="both"/>
        <w:rPr>
          <w:rFonts w:ascii="Arial" w:hAnsi="Arial" w:cs="Arial"/>
          <w:sz w:val="20"/>
          <w:szCs w:val="20"/>
        </w:rPr>
      </w:pPr>
      <w:r w:rsidRPr="00CD4B0C">
        <w:rPr>
          <w:rFonts w:ascii="Arial" w:hAnsi="Arial" w:cs="Arial"/>
          <w:sz w:val="20"/>
          <w:szCs w:val="20"/>
        </w:rPr>
        <w:t>I have had regard to the principle of parsimony in s 5(3) of the Sentencing Act 1991.</w:t>
      </w:r>
    </w:p>
    <w:p w14:paraId="0F53388C" w14:textId="69AFDA3F" w:rsidR="00CD4B0C" w:rsidRDefault="00CD4B0C" w:rsidP="005D29C0">
      <w:pPr>
        <w:spacing w:before="60" w:after="60"/>
        <w:ind w:left="567" w:right="567"/>
        <w:jc w:val="both"/>
        <w:rPr>
          <w:rFonts w:ascii="Arial" w:hAnsi="Arial" w:cs="Arial"/>
          <w:color w:val="000000"/>
          <w:sz w:val="20"/>
          <w:szCs w:val="20"/>
        </w:rPr>
      </w:pPr>
      <w:r w:rsidRPr="00CD4B0C">
        <w:rPr>
          <w:rFonts w:ascii="Arial" w:hAnsi="Arial" w:cs="Arial"/>
          <w:sz w:val="20"/>
          <w:szCs w:val="20"/>
        </w:rPr>
        <w:t>Taking into account all of the composite considerations to which I have referred, I am satisfied that the purposes of sentencing and the interests of the community will be served by the imposition of a Youth Justice Centre order in your case.</w:t>
      </w:r>
      <w:r>
        <w:rPr>
          <w:rFonts w:ascii="Arial" w:hAnsi="Arial" w:cs="Arial"/>
          <w:sz w:val="20"/>
          <w:szCs w:val="20"/>
        </w:rPr>
        <w:t>”</w:t>
      </w:r>
    </w:p>
    <w:p w14:paraId="660ED780" w14:textId="68449F20" w:rsidR="00ED1208" w:rsidRDefault="00ED1208">
      <w:pPr>
        <w:jc w:val="both"/>
        <w:rPr>
          <w:rFonts w:ascii="Arial" w:hAnsi="Arial" w:cs="Arial"/>
          <w:sz w:val="20"/>
          <w:szCs w:val="20"/>
        </w:rPr>
      </w:pPr>
    </w:p>
    <w:p w14:paraId="2B996E3C" w14:textId="4DB36058" w:rsidR="00891DE4" w:rsidRDefault="00891DE4">
      <w:pPr>
        <w:jc w:val="both"/>
        <w:rPr>
          <w:rFonts w:ascii="Arial" w:hAnsi="Arial" w:cs="Arial"/>
          <w:sz w:val="20"/>
          <w:szCs w:val="20"/>
        </w:rPr>
      </w:pPr>
      <w:r>
        <w:rPr>
          <w:rFonts w:ascii="Arial" w:hAnsi="Arial" w:cs="Arial"/>
          <w:sz w:val="20"/>
          <w:szCs w:val="20"/>
        </w:rPr>
        <w:lastRenderedPageBreak/>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w:t>
      </w:r>
      <w:r w:rsidR="00431653">
        <w:rPr>
          <w:rFonts w:ascii="Arial" w:hAnsi="Arial" w:cs="Arial"/>
          <w:sz w:val="20"/>
          <w:szCs w:val="20"/>
        </w:rPr>
        <w:t xml:space="preserve">He had no prior criminal history and very good prospects of rehabilitation.  In imposing a sentence of </w:t>
      </w:r>
      <w:r w:rsidR="00431653">
        <w:rPr>
          <w:rFonts w:ascii="Arial" w:hAnsi="Arial" w:cs="Arial"/>
          <w:color w:val="000000"/>
          <w:sz w:val="20"/>
          <w:szCs w:val="20"/>
        </w:rPr>
        <w:t>2y YJC detention</w:t>
      </w:r>
      <w:r w:rsidR="00025736">
        <w:rPr>
          <w:rFonts w:ascii="Arial" w:hAnsi="Arial" w:cs="Arial"/>
          <w:color w:val="000000"/>
          <w:sz w:val="20"/>
          <w:szCs w:val="20"/>
        </w:rPr>
        <w:t xml:space="preserve"> and declaring that 237 days of pre-sentence detention be reckoned as already served</w:t>
      </w:r>
      <w:r w:rsidR="00431653">
        <w:rPr>
          <w:rFonts w:ascii="Arial" w:hAnsi="Arial" w:cs="Arial"/>
          <w:color w:val="000000"/>
          <w:sz w:val="20"/>
          <w:szCs w:val="20"/>
        </w:rPr>
        <w:t>, Fox J said at [</w:t>
      </w:r>
      <w:r w:rsidR="00E44A46">
        <w:rPr>
          <w:rFonts w:ascii="Arial" w:hAnsi="Arial" w:cs="Arial"/>
          <w:color w:val="000000"/>
          <w:sz w:val="20"/>
          <w:szCs w:val="20"/>
        </w:rPr>
        <w:t>45</w:t>
      </w:r>
      <w:r w:rsidR="00431653">
        <w:rPr>
          <w:rFonts w:ascii="Arial" w:hAnsi="Arial" w:cs="Arial"/>
          <w:color w:val="000000"/>
          <w:sz w:val="20"/>
          <w:szCs w:val="20"/>
        </w:rPr>
        <w:t>]</w:t>
      </w:r>
      <w:r w:rsidR="00025736">
        <w:rPr>
          <w:rFonts w:ascii="Arial" w:hAnsi="Arial" w:cs="Arial"/>
          <w:color w:val="000000"/>
          <w:sz w:val="20"/>
          <w:szCs w:val="20"/>
        </w:rPr>
        <w:noBreakHyphen/>
      </w:r>
      <w:r w:rsidR="00431653">
        <w:rPr>
          <w:rFonts w:ascii="Arial" w:hAnsi="Arial" w:cs="Arial"/>
          <w:color w:val="000000"/>
          <w:sz w:val="20"/>
          <w:szCs w:val="20"/>
        </w:rPr>
        <w:t>[</w:t>
      </w:r>
      <w:r w:rsidR="00E44A46">
        <w:rPr>
          <w:rFonts w:ascii="Arial" w:hAnsi="Arial" w:cs="Arial"/>
          <w:color w:val="000000"/>
          <w:sz w:val="20"/>
          <w:szCs w:val="20"/>
        </w:rPr>
        <w:t>4</w:t>
      </w:r>
      <w:r w:rsidR="00025736">
        <w:rPr>
          <w:rFonts w:ascii="Arial" w:hAnsi="Arial" w:cs="Arial"/>
          <w:color w:val="000000"/>
          <w:sz w:val="20"/>
          <w:szCs w:val="20"/>
        </w:rPr>
        <w:t>9</w:t>
      </w:r>
      <w:r w:rsidR="00431653">
        <w:rPr>
          <w:rFonts w:ascii="Arial" w:hAnsi="Arial" w:cs="Arial"/>
          <w:color w:val="000000"/>
          <w:sz w:val="20"/>
          <w:szCs w:val="20"/>
        </w:rPr>
        <w:t>]:</w:t>
      </w:r>
    </w:p>
    <w:p w14:paraId="36F30253" w14:textId="7718D07D" w:rsidR="00E44A46" w:rsidRDefault="00025736" w:rsidP="00431653">
      <w:pPr>
        <w:spacing w:before="60"/>
        <w:ind w:left="567" w:right="567"/>
        <w:jc w:val="both"/>
        <w:rPr>
          <w:rFonts w:ascii="Arial" w:hAnsi="Arial" w:cs="Arial"/>
          <w:sz w:val="20"/>
          <w:szCs w:val="20"/>
        </w:rPr>
      </w:pPr>
      <w:r>
        <w:rPr>
          <w:rFonts w:ascii="Arial" w:hAnsi="Arial" w:cs="Arial"/>
          <w:sz w:val="20"/>
          <w:szCs w:val="20"/>
        </w:rPr>
        <w:t xml:space="preserve">[45] </w:t>
      </w:r>
      <w:r w:rsidR="00431653">
        <w:rPr>
          <w:rFonts w:ascii="Arial" w:hAnsi="Arial" w:cs="Arial"/>
          <w:sz w:val="20"/>
          <w:szCs w:val="20"/>
        </w:rPr>
        <w:t>“</w:t>
      </w:r>
      <w:r w:rsidR="00431653" w:rsidRPr="00431653">
        <w:rPr>
          <w:rFonts w:ascii="Arial" w:hAnsi="Arial" w:cs="Arial"/>
          <w:sz w:val="20"/>
          <w:szCs w:val="20"/>
        </w:rPr>
        <w:t>Manslaughter is a ‘Category A serious youth offence’ as defined in s 3 of the Act. That classification does not dictate any particular sentencing outcome.</w:t>
      </w:r>
      <w:r w:rsidR="00431653">
        <w:rPr>
          <w:rFonts w:ascii="Arial" w:hAnsi="Arial" w:cs="Arial"/>
          <w:sz w:val="20"/>
          <w:szCs w:val="20"/>
        </w:rPr>
        <w:t xml:space="preserve">  </w:t>
      </w:r>
      <w:r w:rsidR="00431653" w:rsidRPr="00431653">
        <w:rPr>
          <w:rFonts w:ascii="Arial" w:hAnsi="Arial" w:cs="Arial"/>
          <w:sz w:val="20"/>
          <w:szCs w:val="20"/>
        </w:rPr>
        <w:t>I note the principle of parsimony found in s 5(3) of the Act is not displaced, unlike when courts are dealing with a Category 2 offence.</w:t>
      </w:r>
      <w:r w:rsidR="00431653">
        <w:rPr>
          <w:rFonts w:ascii="Arial" w:hAnsi="Arial" w:cs="Arial"/>
          <w:sz w:val="20"/>
          <w:szCs w:val="20"/>
        </w:rPr>
        <w:t xml:space="preserve">  </w:t>
      </w:r>
      <w:r w:rsidR="00431653" w:rsidRPr="00431653">
        <w:rPr>
          <w:rFonts w:ascii="Arial" w:hAnsi="Arial" w:cs="Arial"/>
          <w:sz w:val="20"/>
          <w:szCs w:val="20"/>
        </w:rPr>
        <w:t>However, pursuant to s 32(2C), I must not sentence you to a youth justice centre order unless I am satisfied that exceptional circumstances exist. Your counsel submitted that exceptional circumstances exist in your case, but maintained you should not receive any further period of detention. The prosecution conceded it would be open to the court to be satisfied exceptional circumstances exist, and submitted your offending must be punished by some form of further detention or incarceration.</w:t>
      </w:r>
    </w:p>
    <w:p w14:paraId="425E46E3" w14:textId="75DEED38" w:rsidR="00891DE4" w:rsidRDefault="00025736" w:rsidP="00431653">
      <w:pPr>
        <w:spacing w:before="60"/>
        <w:ind w:left="567" w:right="567"/>
        <w:jc w:val="both"/>
        <w:rPr>
          <w:rFonts w:ascii="Arial" w:hAnsi="Arial" w:cs="Arial"/>
          <w:sz w:val="20"/>
          <w:szCs w:val="20"/>
        </w:rPr>
      </w:pPr>
      <w:r>
        <w:rPr>
          <w:rFonts w:ascii="Arial" w:hAnsi="Arial" w:cs="Arial"/>
          <w:sz w:val="20"/>
          <w:szCs w:val="20"/>
        </w:rPr>
        <w:t xml:space="preserve">[46] </w:t>
      </w:r>
      <w:r w:rsidR="00431653" w:rsidRPr="00431653">
        <w:rPr>
          <w:rFonts w:ascii="Arial" w:hAnsi="Arial" w:cs="Arial"/>
          <w:sz w:val="20"/>
          <w:szCs w:val="20"/>
        </w:rPr>
        <w:t>There are a number of factors which, in combination, satisfy me that exceptional circumstances exist here. Those matters include the following: you were a child at the time of the offence, which reduces your moral culpability; you have very good prospects of rehabilitation and strong family support; you have a good work ethic, and plans for the future; for the past 14 months, you have been on bail without any form of Court-ordered supervision, during which time you have performed well and remained offence-free; at the time of the offending, you had no criminal history and any subsequent matters were dealt with by way of a without-conviction bond; and you pleaded guilty to the offence. Additionally, the necessary pre-sentence report was obtained and I am satisfied that both of the alternative requirements of s 32(1) of the Act are met. Specifically, there are reasonable prospects for your rehabilitation, and you are particularly impressionable and immature, and are likely to be subjected to undesirable influences if sent to an adult prison. Finally, while the prosecution’s concession is not determinative, it contributes in part to my finding that exceptional circumstances exist in your case.</w:t>
      </w:r>
      <w:r w:rsidR="00431653">
        <w:rPr>
          <w:rFonts w:ascii="Arial" w:hAnsi="Arial" w:cs="Arial"/>
          <w:sz w:val="20"/>
          <w:szCs w:val="20"/>
        </w:rPr>
        <w:t>”</w:t>
      </w:r>
    </w:p>
    <w:p w14:paraId="043F74DC" w14:textId="476A89DE" w:rsidR="00025736" w:rsidRDefault="00025736" w:rsidP="00431653">
      <w:pPr>
        <w:spacing w:before="60"/>
        <w:ind w:left="567" w:right="567"/>
        <w:jc w:val="both"/>
        <w:rPr>
          <w:rFonts w:ascii="Arial" w:hAnsi="Arial" w:cs="Arial"/>
          <w:sz w:val="20"/>
          <w:szCs w:val="20"/>
        </w:rPr>
      </w:pPr>
      <w:r>
        <w:rPr>
          <w:rFonts w:ascii="Arial" w:hAnsi="Arial" w:cs="Arial"/>
          <w:sz w:val="20"/>
          <w:szCs w:val="20"/>
        </w:rPr>
        <w:t>[47] …</w:t>
      </w:r>
    </w:p>
    <w:p w14:paraId="5D37D420" w14:textId="6399C31F"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[48] </w:t>
      </w:r>
      <w:r w:rsidRPr="00431653">
        <w:rPr>
          <w:rFonts w:ascii="Arial" w:hAnsi="Arial" w:cs="Arial"/>
          <w:sz w:val="20"/>
          <w:szCs w:val="20"/>
        </w:rPr>
        <w:t>Sentencing young offenders who were children at the time they offended is never easy. On the one hand, your successful rehabilitation is an important and achievable sentencing purpose. You are progressing well in Queensland, and there has been no further trouble since you moved there. You have strong family support. You have been working casually with your auntie as a warehouse assistant which you enjoy</w:t>
      </w:r>
      <w:r>
        <w:rPr>
          <w:rFonts w:ascii="Arial" w:hAnsi="Arial" w:cs="Arial"/>
          <w:sz w:val="20"/>
          <w:szCs w:val="20"/>
        </w:rPr>
        <w:t xml:space="preserve">, </w:t>
      </w:r>
      <w:r w:rsidRPr="00431653">
        <w:rPr>
          <w:rFonts w:ascii="Arial" w:hAnsi="Arial" w:cs="Arial"/>
          <w:sz w:val="20"/>
          <w:szCs w:val="20"/>
        </w:rPr>
        <w:t>and you have realistic future goals and plans. If you are returned to detention, your rehabilitation will be interrupted, and you will be in detention in Victoria while your immediate family are in Queensland.</w:t>
      </w:r>
    </w:p>
    <w:p w14:paraId="1CDF63E4" w14:textId="1B9873A8"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[49] </w:t>
      </w:r>
      <w:r w:rsidRPr="00431653">
        <w:rPr>
          <w:rFonts w:ascii="Arial" w:hAnsi="Arial" w:cs="Arial"/>
          <w:sz w:val="20"/>
          <w:szCs w:val="20"/>
        </w:rPr>
        <w:t xml:space="preserve">On the other hand, your rehabilitation is not the only consideration here. The circumstances of this incident appear to be sadly becoming more common. That is, teenagers are bringing knives to fights, with the tragic result that other young people are being killed. General deterrence – that is, the need for the sentence I impose to send a message to other would-be offenders – has some relevance here, despite your young age. It is also necessary to publicly denounce what you did, and punish you for causing the death of </w:t>
      </w:r>
      <w:r>
        <w:rPr>
          <w:rFonts w:ascii="Arial" w:hAnsi="Arial" w:cs="Arial"/>
          <w:sz w:val="20"/>
          <w:szCs w:val="20"/>
        </w:rPr>
        <w:t>[</w:t>
      </w:r>
      <w:r w:rsidRPr="00431653">
        <w:rPr>
          <w:rFonts w:ascii="Arial" w:hAnsi="Arial" w:cs="Arial"/>
          <w:sz w:val="20"/>
          <w:szCs w:val="20"/>
        </w:rPr>
        <w:t>S</w:t>
      </w:r>
      <w:r>
        <w:rPr>
          <w:rFonts w:ascii="Arial" w:hAnsi="Arial" w:cs="Arial"/>
          <w:sz w:val="20"/>
          <w:szCs w:val="20"/>
        </w:rPr>
        <w:t>]</w:t>
      </w:r>
      <w:r w:rsidRPr="00431653">
        <w:rPr>
          <w:rFonts w:ascii="Arial" w:hAnsi="Arial" w:cs="Arial"/>
          <w:sz w:val="20"/>
          <w:szCs w:val="20"/>
        </w:rPr>
        <w:t>. In my view, a sentence that consists of no further period of detention cannot adequately meet all the requirements of sentencing.</w:t>
      </w:r>
      <w:r>
        <w:rPr>
          <w:rFonts w:ascii="Arial" w:hAnsi="Arial" w:cs="Arial"/>
          <w:sz w:val="20"/>
          <w:szCs w:val="20"/>
        </w:rPr>
        <w:t>”</w:t>
      </w:r>
    </w:p>
    <w:p w14:paraId="593C0532" w14:textId="76CF9583" w:rsidR="00025736" w:rsidRDefault="00025736">
      <w:pPr>
        <w:jc w:val="both"/>
        <w:rPr>
          <w:rFonts w:ascii="Arial" w:hAnsi="Arial" w:cs="Arial"/>
          <w:sz w:val="20"/>
          <w:szCs w:val="20"/>
        </w:rPr>
      </w:pPr>
    </w:p>
    <w:p w14:paraId="1B257E1B" w14:textId="42C73D4D" w:rsidR="00F2192F" w:rsidRDefault="00F2192F" w:rsidP="00F2192F">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w:t>
      </w:r>
      <w:r w:rsidR="00C74066">
        <w:rPr>
          <w:rFonts w:ascii="Arial" w:hAnsi="Arial" w:cs="Arial"/>
          <w:sz w:val="20"/>
          <w:szCs w:val="20"/>
        </w:rPr>
        <w:t>Th</w:t>
      </w:r>
      <w:r>
        <w:rPr>
          <w:rFonts w:ascii="Arial" w:hAnsi="Arial" w:cs="Arial"/>
          <w:sz w:val="20"/>
          <w:szCs w:val="20"/>
        </w:rPr>
        <w:t xml:space="preserve">e </w:t>
      </w:r>
      <w:r w:rsidR="00C74066">
        <w:rPr>
          <w:rFonts w:ascii="Arial" w:hAnsi="Arial" w:cs="Arial"/>
          <w:sz w:val="20"/>
          <w:szCs w:val="20"/>
        </w:rPr>
        <w:t xml:space="preserve">offender </w:t>
      </w:r>
      <w:r>
        <w:rPr>
          <w:rFonts w:ascii="Arial" w:hAnsi="Arial" w:cs="Arial"/>
          <w:sz w:val="20"/>
          <w:szCs w:val="20"/>
        </w:rPr>
        <w:t xml:space="preserve">had stabbed the 17 year old deceased once to the head without any warning </w:t>
      </w:r>
      <w:r w:rsidR="00C74066">
        <w:rPr>
          <w:rFonts w:ascii="Arial" w:hAnsi="Arial" w:cs="Arial"/>
          <w:sz w:val="20"/>
          <w:szCs w:val="20"/>
        </w:rPr>
        <w:t>using a screwdriver that he had taken to the party where the offence occurred.  The deceased was not behaving aggressively and had no weapon.  Her Honour added at [18]: “</w:t>
      </w:r>
      <w:r w:rsidR="00C74066" w:rsidRPr="00C74066">
        <w:rPr>
          <w:rFonts w:ascii="Arial" w:hAnsi="Arial" w:cs="Arial"/>
          <w:sz w:val="20"/>
          <w:szCs w:val="20"/>
        </w:rPr>
        <w:t xml:space="preserve">It is also a serious feature of this offending that you stabbed </w:t>
      </w:r>
      <w:r w:rsidR="00C74066">
        <w:rPr>
          <w:rFonts w:ascii="Arial" w:hAnsi="Arial" w:cs="Arial"/>
          <w:sz w:val="20"/>
          <w:szCs w:val="20"/>
        </w:rPr>
        <w:t>[the deceased]</w:t>
      </w:r>
      <w:r w:rsidR="00C74066" w:rsidRPr="00C74066">
        <w:rPr>
          <w:rFonts w:ascii="Arial" w:hAnsi="Arial" w:cs="Arial"/>
          <w:sz w:val="20"/>
          <w:szCs w:val="20"/>
        </w:rPr>
        <w:t xml:space="preserve"> in front of other children and young people.</w:t>
      </w:r>
      <w:r w:rsidR="00C74066">
        <w:rPr>
          <w:rFonts w:ascii="Arial" w:hAnsi="Arial" w:cs="Arial"/>
          <w:sz w:val="20"/>
          <w:szCs w:val="20"/>
        </w:rPr>
        <w:t xml:space="preserve">” The offender had prior convictions and was diagnosed with PTSD, schizophrenia and autism spectrum disorder in custody.  Verdins principles were applicable and the offender had prospects of rehabilitation if suitable treatment and counselling was undertaken.  </w:t>
      </w:r>
      <w:r>
        <w:rPr>
          <w:rFonts w:ascii="Arial" w:hAnsi="Arial" w:cs="Arial"/>
          <w:sz w:val="20"/>
          <w:szCs w:val="20"/>
        </w:rPr>
        <w:t>In imposing a sentence of IMP6y/4y</w:t>
      </w:r>
      <w:r>
        <w:rPr>
          <w:rFonts w:ascii="Arial" w:hAnsi="Arial" w:cs="Arial"/>
          <w:color w:val="000000"/>
          <w:sz w:val="20"/>
          <w:szCs w:val="20"/>
        </w:rPr>
        <w:t>, Hollingworth J said at [67]</w:t>
      </w:r>
      <w:r>
        <w:rPr>
          <w:rFonts w:ascii="Arial" w:hAnsi="Arial" w:cs="Arial"/>
          <w:color w:val="000000"/>
          <w:sz w:val="20"/>
          <w:szCs w:val="20"/>
        </w:rPr>
        <w:noBreakHyphen/>
        <w:t>[68]:</w:t>
      </w:r>
    </w:p>
    <w:p w14:paraId="32A0FAC7" w14:textId="0473C259" w:rsidR="00C74066" w:rsidRDefault="00C74066" w:rsidP="00C74066">
      <w:pPr>
        <w:spacing w:before="60"/>
        <w:ind w:left="567" w:right="567"/>
        <w:jc w:val="both"/>
        <w:rPr>
          <w:rFonts w:ascii="Arial" w:hAnsi="Arial" w:cs="Arial"/>
          <w:sz w:val="20"/>
          <w:szCs w:val="20"/>
        </w:rPr>
      </w:pPr>
      <w:r>
        <w:rPr>
          <w:rFonts w:ascii="Arial" w:hAnsi="Arial" w:cs="Arial"/>
          <w:sz w:val="20"/>
          <w:szCs w:val="20"/>
        </w:rPr>
        <w:t>[67] “</w:t>
      </w:r>
      <w:r w:rsidRPr="00C74066">
        <w:rPr>
          <w:rFonts w:ascii="Arial" w:hAnsi="Arial" w:cs="Arial"/>
          <w:sz w:val="20"/>
          <w:szCs w:val="20"/>
        </w:rPr>
        <w:t xml:space="preserve">Although I have concerns about the prospect of you being sent to an adult prison at this relatively early stage of your treatment for serious mental illnesses, I am not satisfied </w:t>
      </w:r>
      <w:r w:rsidRPr="00C74066">
        <w:rPr>
          <w:rFonts w:ascii="Arial" w:hAnsi="Arial" w:cs="Arial"/>
          <w:sz w:val="20"/>
          <w:szCs w:val="20"/>
        </w:rPr>
        <w:lastRenderedPageBreak/>
        <w:t>that a youth justice centre order is appropriate, given the seriousness of your offending and your past history.</w:t>
      </w:r>
    </w:p>
    <w:p w14:paraId="64C17763" w14:textId="5C9BC997" w:rsidR="00C74066" w:rsidRDefault="00C74066" w:rsidP="00C81A6A">
      <w:pPr>
        <w:spacing w:before="60"/>
        <w:ind w:left="567" w:right="567"/>
        <w:jc w:val="both"/>
        <w:rPr>
          <w:rFonts w:ascii="Arial" w:hAnsi="Arial" w:cs="Arial"/>
          <w:sz w:val="20"/>
          <w:szCs w:val="20"/>
        </w:rPr>
      </w:pPr>
      <w:r>
        <w:rPr>
          <w:rFonts w:ascii="Arial" w:hAnsi="Arial" w:cs="Arial"/>
          <w:sz w:val="20"/>
          <w:szCs w:val="20"/>
        </w:rPr>
        <w:t xml:space="preserve">[68] </w:t>
      </w:r>
      <w:r w:rsidRPr="00C74066">
        <w:rPr>
          <w:rFonts w:ascii="Arial" w:hAnsi="Arial" w:cs="Arial"/>
          <w:sz w:val="20"/>
          <w:szCs w:val="20"/>
        </w:rPr>
        <w:t>However, this is an appropriate case in which to request the Adult Parole Board to consider transferring you to the youth justice system until you are 21</w:t>
      </w:r>
      <w:r>
        <w:rPr>
          <w:rFonts w:ascii="Arial" w:hAnsi="Arial" w:cs="Arial"/>
          <w:sz w:val="20"/>
          <w:szCs w:val="20"/>
        </w:rPr>
        <w:t xml:space="preserve"> u</w:t>
      </w:r>
      <w:r w:rsidRPr="00C74066">
        <w:rPr>
          <w:rFonts w:ascii="Arial" w:hAnsi="Arial" w:cs="Arial"/>
          <w:sz w:val="20"/>
          <w:szCs w:val="20"/>
        </w:rPr>
        <w:t>nder s</w:t>
      </w:r>
      <w:r>
        <w:rPr>
          <w:rFonts w:ascii="Arial" w:hAnsi="Arial" w:cs="Arial"/>
          <w:sz w:val="20"/>
          <w:szCs w:val="20"/>
        </w:rPr>
        <w:t>.</w:t>
      </w:r>
      <w:r w:rsidRPr="00C74066">
        <w:rPr>
          <w:rFonts w:ascii="Arial" w:hAnsi="Arial" w:cs="Arial"/>
          <w:sz w:val="20"/>
          <w:szCs w:val="20"/>
        </w:rPr>
        <w:t xml:space="preserve">471 of the </w:t>
      </w:r>
      <w:r w:rsidRPr="00C74066">
        <w:rPr>
          <w:rFonts w:ascii="Arial" w:hAnsi="Arial" w:cs="Arial"/>
          <w:i/>
          <w:iCs/>
          <w:sz w:val="20"/>
          <w:szCs w:val="20"/>
        </w:rPr>
        <w:t>Children, Youth and Families Act 2005</w:t>
      </w:r>
      <w:r w:rsidRPr="00C74066">
        <w:rPr>
          <w:rFonts w:ascii="Arial" w:hAnsi="Arial" w:cs="Arial"/>
          <w:sz w:val="20"/>
          <w:szCs w:val="20"/>
        </w:rPr>
        <w:t>.</w:t>
      </w:r>
      <w:r>
        <w:rPr>
          <w:rFonts w:ascii="Arial" w:hAnsi="Arial" w:cs="Arial"/>
          <w:sz w:val="20"/>
          <w:szCs w:val="20"/>
        </w:rPr>
        <w:t xml:space="preserve">  </w:t>
      </w:r>
      <w:r w:rsidRPr="00C74066">
        <w:rPr>
          <w:rFonts w:ascii="Arial" w:hAnsi="Arial" w:cs="Arial"/>
          <w:sz w:val="20"/>
          <w:szCs w:val="20"/>
        </w:rPr>
        <w:t xml:space="preserve">In making that recommendation, I strongly urge the Adult Parole Board to have regard to the expert opinion of Dr </w:t>
      </w:r>
      <w:r>
        <w:rPr>
          <w:rFonts w:ascii="Arial" w:hAnsi="Arial" w:cs="Arial"/>
          <w:sz w:val="20"/>
          <w:szCs w:val="20"/>
        </w:rPr>
        <w:t>[</w:t>
      </w:r>
      <w:r w:rsidRPr="00C74066">
        <w:rPr>
          <w:rFonts w:ascii="Arial" w:hAnsi="Arial" w:cs="Arial"/>
          <w:sz w:val="20"/>
          <w:szCs w:val="20"/>
        </w:rPr>
        <w:t>D</w:t>
      </w:r>
      <w:r>
        <w:rPr>
          <w:rFonts w:ascii="Arial" w:hAnsi="Arial" w:cs="Arial"/>
          <w:sz w:val="20"/>
          <w:szCs w:val="20"/>
        </w:rPr>
        <w:t xml:space="preserve">] … </w:t>
      </w:r>
      <w:r w:rsidRPr="00C74066">
        <w:rPr>
          <w:rFonts w:ascii="Arial" w:hAnsi="Arial" w:cs="Arial"/>
          <w:sz w:val="20"/>
          <w:szCs w:val="20"/>
        </w:rPr>
        <w:t>and to focus on your conduct since you returned from TEH rather than during the period when you were not receiving adequate treatment.</w:t>
      </w:r>
      <w:r>
        <w:rPr>
          <w:rFonts w:ascii="Arial" w:hAnsi="Arial" w:cs="Arial"/>
          <w:sz w:val="20"/>
          <w:szCs w:val="20"/>
        </w:rPr>
        <w:t>”</w:t>
      </w:r>
    </w:p>
    <w:p w14:paraId="14A7AAF8" w14:textId="037AA6D8" w:rsidR="00F2192F" w:rsidRDefault="00F2192F">
      <w:pPr>
        <w:jc w:val="both"/>
        <w:rPr>
          <w:rFonts w:ascii="Arial" w:hAnsi="Arial" w:cs="Arial"/>
          <w:sz w:val="20"/>
          <w:szCs w:val="20"/>
        </w:rPr>
      </w:pPr>
    </w:p>
    <w:p w14:paraId="49A76668" w14:textId="69E5EE48" w:rsidR="003A6F54" w:rsidRDefault="003A6F54" w:rsidP="003A6F54">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JA had pleaded guilty to manslaughter arising out of his involvement – as part of a </w:t>
      </w:r>
      <w:r w:rsidR="00042F27">
        <w:rPr>
          <w:rFonts w:ascii="Arial" w:hAnsi="Arial" w:cs="Arial"/>
          <w:sz w:val="20"/>
          <w:szCs w:val="20"/>
        </w:rPr>
        <w:t xml:space="preserve">large </w:t>
      </w:r>
      <w:r>
        <w:rPr>
          <w:rFonts w:ascii="Arial" w:hAnsi="Arial" w:cs="Arial"/>
          <w:sz w:val="20"/>
          <w:szCs w:val="20"/>
        </w:rPr>
        <w:t>group of</w:t>
      </w:r>
      <w:r w:rsidR="00983548">
        <w:rPr>
          <w:rFonts w:ascii="Arial" w:hAnsi="Arial" w:cs="Arial"/>
          <w:sz w:val="20"/>
          <w:szCs w:val="20"/>
        </w:rPr>
        <w:t xml:space="preserve"> </w:t>
      </w:r>
      <w:r>
        <w:rPr>
          <w:rFonts w:ascii="Arial" w:hAnsi="Arial" w:cs="Arial"/>
          <w:sz w:val="20"/>
          <w:szCs w:val="20"/>
        </w:rPr>
        <w:t xml:space="preserve">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w:t>
      </w:r>
      <w:r w:rsidRPr="00E94F6B">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 Hollingworth J imposed a sentence of 4y detention in a youth justice centre.</w:t>
      </w:r>
    </w:p>
    <w:p w14:paraId="5750966B" w14:textId="2DD94805" w:rsidR="003A6F54" w:rsidRDefault="003A6F54">
      <w:pPr>
        <w:jc w:val="both"/>
        <w:rPr>
          <w:rFonts w:ascii="Arial" w:hAnsi="Arial" w:cs="Arial"/>
          <w:sz w:val="20"/>
          <w:szCs w:val="20"/>
        </w:rPr>
      </w:pPr>
    </w:p>
    <w:p w14:paraId="57BBB7FF" w14:textId="36E4DC90" w:rsidR="00B11515" w:rsidRDefault="00620A37">
      <w:pPr>
        <w:jc w:val="both"/>
        <w:rPr>
          <w:rFonts w:ascii="Arial" w:hAnsi="Arial" w:cs="Arial"/>
          <w:sz w:val="20"/>
          <w:szCs w:val="20"/>
        </w:rPr>
      </w:pPr>
      <w:bookmarkStart w:id="644" w:name="_Hlk190159097"/>
      <w:r>
        <w:rPr>
          <w:rFonts w:ascii="Arial" w:hAnsi="Arial" w:cs="Arial"/>
          <w:sz w:val="20"/>
          <w:szCs w:val="20"/>
        </w:rPr>
        <w:t xml:space="preserve">In </w:t>
      </w:r>
      <w:r w:rsidRPr="006A4A17">
        <w:rPr>
          <w:rFonts w:ascii="Arial" w:hAnsi="Arial" w:cs="Arial"/>
          <w:i/>
          <w:iCs/>
          <w:sz w:val="20"/>
          <w:szCs w:val="20"/>
        </w:rPr>
        <w:t>DPP v ZZ</w:t>
      </w:r>
      <w:r>
        <w:rPr>
          <w:rFonts w:ascii="Arial" w:hAnsi="Arial" w:cs="Arial"/>
          <w:sz w:val="20"/>
          <w:szCs w:val="20"/>
        </w:rPr>
        <w:t xml:space="preserve"> [2024] VSC 762 a 15 year old offender ZZ had pleaded guilty to manslaughter by stabbing in the course of a group attack on a 20 year old member</w:t>
      </w:r>
      <w:r w:rsidR="00B87485">
        <w:rPr>
          <w:rFonts w:ascii="Arial" w:hAnsi="Arial" w:cs="Arial"/>
          <w:sz w:val="20"/>
          <w:szCs w:val="20"/>
        </w:rPr>
        <w:t xml:space="preserve"> [H]</w:t>
      </w:r>
      <w:r>
        <w:rPr>
          <w:rFonts w:ascii="Arial" w:hAnsi="Arial" w:cs="Arial"/>
          <w:sz w:val="20"/>
          <w:szCs w:val="20"/>
        </w:rPr>
        <w:t xml:space="preserve"> of a rival gang at the St Kilda foreshore. ZZ had subsequent </w:t>
      </w:r>
      <w:r w:rsidR="00B87485">
        <w:rPr>
          <w:rFonts w:ascii="Arial" w:hAnsi="Arial" w:cs="Arial"/>
          <w:sz w:val="20"/>
          <w:szCs w:val="20"/>
        </w:rPr>
        <w:t xml:space="preserve">Children’s Court </w:t>
      </w:r>
      <w:r>
        <w:rPr>
          <w:rFonts w:ascii="Arial" w:hAnsi="Arial" w:cs="Arial"/>
          <w:sz w:val="20"/>
          <w:szCs w:val="20"/>
        </w:rPr>
        <w:t xml:space="preserve">convictions for which he was close to completing a sentence of 2y detention in a YJC. </w:t>
      </w:r>
      <w:r w:rsidR="00B11515">
        <w:rPr>
          <w:rFonts w:ascii="Arial" w:hAnsi="Arial" w:cs="Arial"/>
          <w:sz w:val="20"/>
          <w:szCs w:val="20"/>
        </w:rPr>
        <w:t>In relation to the high objective gravity of ZZ’s offending, Jane Dixon J said at [31]</w:t>
      </w:r>
      <w:r w:rsidR="00B11515">
        <w:rPr>
          <w:rFonts w:ascii="Arial" w:hAnsi="Arial" w:cs="Arial"/>
          <w:sz w:val="20"/>
          <w:szCs w:val="20"/>
        </w:rPr>
        <w:noBreakHyphen/>
        <w:t>[3</w:t>
      </w:r>
      <w:r w:rsidR="00DD12D5">
        <w:rPr>
          <w:rFonts w:ascii="Arial" w:hAnsi="Arial" w:cs="Arial"/>
          <w:sz w:val="20"/>
          <w:szCs w:val="20"/>
        </w:rPr>
        <w:t>4</w:t>
      </w:r>
      <w:r w:rsidR="00B11515">
        <w:rPr>
          <w:rFonts w:ascii="Arial" w:hAnsi="Arial" w:cs="Arial"/>
          <w:sz w:val="20"/>
          <w:szCs w:val="20"/>
        </w:rPr>
        <w:t>]:</w:t>
      </w:r>
    </w:p>
    <w:p w14:paraId="33A001AB" w14:textId="66D968C6" w:rsidR="00B11515" w:rsidRDefault="00B11515" w:rsidP="00B11515">
      <w:pPr>
        <w:spacing w:before="60"/>
        <w:ind w:left="567" w:right="567"/>
        <w:jc w:val="both"/>
        <w:rPr>
          <w:rFonts w:ascii="Arial" w:hAnsi="Arial" w:cs="Arial"/>
          <w:sz w:val="20"/>
          <w:szCs w:val="20"/>
        </w:rPr>
      </w:pPr>
      <w:r>
        <w:rPr>
          <w:rFonts w:ascii="Arial" w:hAnsi="Arial" w:cs="Arial"/>
          <w:sz w:val="20"/>
          <w:szCs w:val="20"/>
        </w:rPr>
        <w:t>[31] “</w:t>
      </w:r>
      <w:r w:rsidRPr="00B11515">
        <w:rPr>
          <w:rFonts w:ascii="Arial" w:hAnsi="Arial" w:cs="Arial"/>
          <w:sz w:val="20"/>
          <w:szCs w:val="20"/>
        </w:rPr>
        <w:t>The following matters were relied on by the Crown as markers of the high objective gravity of your crime:</w:t>
      </w:r>
    </w:p>
    <w:p w14:paraId="263C7490" w14:textId="277A164D"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B11515">
        <w:rPr>
          <w:rFonts w:ascii="Arial" w:hAnsi="Arial" w:cs="Arial"/>
          <w:sz w:val="20"/>
          <w:szCs w:val="20"/>
        </w:rPr>
        <w:t>The brazenness of the offending occurring during daylight hours in a densely populated seaside area, exposing many members of the public to horrific violence;</w:t>
      </w:r>
    </w:p>
    <w:p w14:paraId="2D2D9993" w14:textId="5E95D984"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B11515">
        <w:rPr>
          <w:rFonts w:ascii="Arial" w:hAnsi="Arial" w:cs="Arial"/>
          <w:sz w:val="20"/>
          <w:szCs w:val="20"/>
        </w:rPr>
        <w:t>The use of knives, including your decision to carry a knife while attending the St Kilda foreshore, in company with others who also were carrying knives, and your resort to using your weapon;</w:t>
      </w:r>
    </w:p>
    <w:p w14:paraId="1D5A324B" w14:textId="2D14283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B11515">
        <w:rPr>
          <w:rFonts w:ascii="Arial" w:hAnsi="Arial" w:cs="Arial"/>
          <w:sz w:val="20"/>
          <w:szCs w:val="20"/>
        </w:rPr>
        <w:t>The offending occurring in company;</w:t>
      </w:r>
    </w:p>
    <w:p w14:paraId="0FE01176" w14:textId="2F846DD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B11515">
        <w:rPr>
          <w:rFonts w:ascii="Arial" w:hAnsi="Arial" w:cs="Arial"/>
          <w:sz w:val="20"/>
          <w:szCs w:val="20"/>
        </w:rPr>
        <w:t>The victim being attacked while he was defenceless on the ground and while outnumbered by members of your group, as well as being unarmed and not one of the initial aggressors from Group 1;</w:t>
      </w:r>
    </w:p>
    <w:p w14:paraId="2492048B" w14:textId="506C2526"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B11515">
        <w:rPr>
          <w:rFonts w:ascii="Arial" w:hAnsi="Arial" w:cs="Arial"/>
          <w:sz w:val="20"/>
          <w:szCs w:val="20"/>
        </w:rPr>
        <w:t>The return of you and your group to the scene soon after the stabbing, with verbal abuse and spitting, which further terrified members of the public and showed disregard for the victim as he lay dying;</w:t>
      </w:r>
    </w:p>
    <w:p w14:paraId="4939B20D" w14:textId="1ABCC07E"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B11515">
        <w:rPr>
          <w:rFonts w:ascii="Arial" w:hAnsi="Arial" w:cs="Arial"/>
          <w:sz w:val="20"/>
          <w:szCs w:val="20"/>
        </w:rPr>
        <w:t>The post-offending pursuit of the lone male afterwards</w:t>
      </w:r>
      <w:r>
        <w:rPr>
          <w:rFonts w:ascii="Arial" w:hAnsi="Arial" w:cs="Arial"/>
          <w:sz w:val="20"/>
          <w:szCs w:val="20"/>
        </w:rPr>
        <w:t>, a 16 year old New Zealander; and</w:t>
      </w:r>
    </w:p>
    <w:p w14:paraId="058CD622" w14:textId="10DD67AA"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B11515">
        <w:rPr>
          <w:rFonts w:ascii="Arial" w:hAnsi="Arial" w:cs="Arial"/>
          <w:sz w:val="20"/>
          <w:szCs w:val="20"/>
        </w:rPr>
        <w:t>Your lies to police about your previous whereabouts when speaking to police after the offending, showing a continuing defiant attitude.</w:t>
      </w:r>
    </w:p>
    <w:p w14:paraId="1B8B88FB" w14:textId="6E0570A3" w:rsidR="00B11515" w:rsidRDefault="00E32504" w:rsidP="00E32504">
      <w:pPr>
        <w:tabs>
          <w:tab w:val="left" w:pos="357"/>
        </w:tabs>
        <w:spacing w:before="60"/>
        <w:ind w:left="567" w:right="567"/>
        <w:jc w:val="both"/>
        <w:rPr>
          <w:rFonts w:ascii="Arial" w:hAnsi="Arial" w:cs="Arial"/>
          <w:sz w:val="20"/>
          <w:szCs w:val="20"/>
        </w:rPr>
      </w:pPr>
      <w:r>
        <w:rPr>
          <w:rFonts w:ascii="Arial" w:hAnsi="Arial" w:cs="Arial"/>
          <w:sz w:val="20"/>
          <w:szCs w:val="20"/>
        </w:rPr>
        <w:t xml:space="preserve">[32] In </w:t>
      </w:r>
      <w:r w:rsidRPr="00B11515">
        <w:rPr>
          <w:rFonts w:ascii="Arial" w:hAnsi="Arial" w:cs="Arial"/>
          <w:sz w:val="20"/>
          <w:szCs w:val="20"/>
        </w:rPr>
        <w:t>considering these matters relied on by the Crown, I note that your behaviour following the commission of the crime, whilst contextually relevant is not part of the offence of manslaughter</w:t>
      </w:r>
      <w:r>
        <w:rPr>
          <w:rFonts w:ascii="Arial" w:hAnsi="Arial" w:cs="Arial"/>
          <w:sz w:val="20"/>
          <w:szCs w:val="20"/>
        </w:rPr>
        <w:t>: s</w:t>
      </w:r>
      <w:r w:rsidRPr="00E32504">
        <w:rPr>
          <w:rFonts w:ascii="Arial" w:hAnsi="Arial" w:cs="Arial"/>
          <w:sz w:val="20"/>
          <w:szCs w:val="20"/>
        </w:rPr>
        <w:t xml:space="preserve">ee, eg, </w:t>
      </w:r>
      <w:r w:rsidRPr="00E32504">
        <w:rPr>
          <w:rFonts w:ascii="Arial" w:hAnsi="Arial" w:cs="Arial"/>
          <w:i/>
          <w:iCs/>
          <w:sz w:val="20"/>
          <w:szCs w:val="20"/>
        </w:rPr>
        <w:t>R v De Simoni</w:t>
      </w:r>
      <w:r w:rsidRPr="00E32504">
        <w:rPr>
          <w:rFonts w:ascii="Arial" w:hAnsi="Arial" w:cs="Arial"/>
          <w:sz w:val="20"/>
          <w:szCs w:val="20"/>
        </w:rPr>
        <w:t xml:space="preserve"> (1981) 147 CLR 383; </w:t>
      </w:r>
      <w:r w:rsidRPr="00E32504">
        <w:rPr>
          <w:rFonts w:ascii="Arial" w:hAnsi="Arial" w:cs="Arial"/>
          <w:i/>
          <w:iCs/>
          <w:sz w:val="20"/>
          <w:szCs w:val="20"/>
        </w:rPr>
        <w:t>DPP v McMaster</w:t>
      </w:r>
      <w:r w:rsidRPr="00E32504">
        <w:rPr>
          <w:rFonts w:ascii="Arial" w:hAnsi="Arial" w:cs="Arial"/>
          <w:sz w:val="20"/>
          <w:szCs w:val="20"/>
        </w:rPr>
        <w:t xml:space="preserve"> (2008) 19 VR 191, 200; </w:t>
      </w:r>
      <w:r w:rsidRPr="00E32504">
        <w:rPr>
          <w:rFonts w:ascii="Arial" w:hAnsi="Arial" w:cs="Arial"/>
          <w:i/>
          <w:iCs/>
          <w:sz w:val="20"/>
          <w:szCs w:val="20"/>
        </w:rPr>
        <w:t>LN v R</w:t>
      </w:r>
      <w:r w:rsidRPr="00E32504">
        <w:rPr>
          <w:rFonts w:ascii="Arial" w:hAnsi="Arial" w:cs="Arial"/>
          <w:sz w:val="20"/>
          <w:szCs w:val="20"/>
        </w:rPr>
        <w:t xml:space="preserve"> [2020] NSWCCA 131, [40]–[41]; </w:t>
      </w:r>
      <w:r w:rsidRPr="00E32504">
        <w:rPr>
          <w:rFonts w:ascii="Arial" w:hAnsi="Arial" w:cs="Arial"/>
          <w:i/>
          <w:iCs/>
          <w:sz w:val="20"/>
          <w:szCs w:val="20"/>
        </w:rPr>
        <w:t>R v Nobile</w:t>
      </w:r>
      <w:r w:rsidRPr="00E32504">
        <w:rPr>
          <w:rFonts w:ascii="Arial" w:hAnsi="Arial" w:cs="Arial"/>
          <w:sz w:val="20"/>
          <w:szCs w:val="20"/>
        </w:rPr>
        <w:t xml:space="preserve"> [2006] VSCA 211, [8]; and the discussion in </w:t>
      </w:r>
      <w:r w:rsidRPr="00E32504">
        <w:rPr>
          <w:rFonts w:ascii="Arial" w:hAnsi="Arial" w:cs="Arial"/>
          <w:i/>
          <w:iCs/>
          <w:sz w:val="20"/>
          <w:szCs w:val="20"/>
        </w:rPr>
        <w:t>Jackson v The Queen</w:t>
      </w:r>
      <w:r w:rsidRPr="00E32504">
        <w:rPr>
          <w:rFonts w:ascii="Arial" w:hAnsi="Arial" w:cs="Arial"/>
          <w:sz w:val="20"/>
          <w:szCs w:val="20"/>
        </w:rPr>
        <w:t xml:space="preserve"> [2020] VSCA 95, [66]</w:t>
      </w:r>
      <w:r>
        <w:rPr>
          <w:rFonts w:ascii="Arial" w:hAnsi="Arial" w:cs="Arial"/>
          <w:sz w:val="20"/>
          <w:szCs w:val="20"/>
        </w:rPr>
        <w:t>; s</w:t>
      </w:r>
      <w:r w:rsidRPr="00E32504">
        <w:rPr>
          <w:rFonts w:ascii="Arial" w:hAnsi="Arial" w:cs="Arial"/>
          <w:sz w:val="20"/>
          <w:szCs w:val="20"/>
        </w:rPr>
        <w:t>ee also, eg, Judicial College of Victoria, Victorian Sentencing Manual (4th ed, 2023) 89–90 [5.2.8.5], 306 [21.3.2].</w:t>
      </w:r>
    </w:p>
    <w:p w14:paraId="7A8812D2" w14:textId="063B8A9F" w:rsidR="00E32504" w:rsidRDefault="00B87485" w:rsidP="00E32504">
      <w:p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I also take into account my assessment as to:</w:t>
      </w:r>
    </w:p>
    <w:p w14:paraId="4DBE362C" w14:textId="7132B3AE" w:rsidR="00B87485" w:rsidRDefault="00B87485" w:rsidP="00B87485">
      <w:pPr>
        <w:pStyle w:val="ListParagraph"/>
        <w:numPr>
          <w:ilvl w:val="0"/>
          <w:numId w:val="145"/>
        </w:num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 xml:space="preserve">The relatively spontaneous and un-premeditated nature in which the conflict erupted and in which </w:t>
      </w:r>
      <w:r>
        <w:rPr>
          <w:rFonts w:ascii="Arial" w:hAnsi="Arial" w:cs="Arial"/>
          <w:sz w:val="20"/>
          <w:szCs w:val="20"/>
        </w:rPr>
        <w:t>[H]</w:t>
      </w:r>
      <w:r w:rsidRPr="00B11515">
        <w:rPr>
          <w:rFonts w:ascii="Arial" w:hAnsi="Arial" w:cs="Arial"/>
          <w:sz w:val="20"/>
          <w:szCs w:val="20"/>
        </w:rPr>
        <w:t xml:space="preserve"> ultimately lost his life;</w:t>
      </w:r>
    </w:p>
    <w:p w14:paraId="4AADEE2C" w14:textId="77777777" w:rsidR="00B87485" w:rsidRPr="00B87485" w:rsidRDefault="00B87485" w:rsidP="00B87485">
      <w:pPr>
        <w:tabs>
          <w:tab w:val="left" w:pos="357"/>
        </w:tabs>
        <w:ind w:left="567" w:right="567"/>
        <w:jc w:val="both"/>
        <w:rPr>
          <w:rFonts w:ascii="Arial" w:hAnsi="Arial" w:cs="Arial"/>
          <w:sz w:val="6"/>
          <w:szCs w:val="6"/>
        </w:rPr>
      </w:pPr>
    </w:p>
    <w:p w14:paraId="529F0C81" w14:textId="1356E345" w:rsidR="00B87485" w:rsidRPr="00B87485" w:rsidRDefault="00B87485" w:rsidP="00B87485">
      <w:pPr>
        <w:pStyle w:val="ListParagraph"/>
        <w:numPr>
          <w:ilvl w:val="0"/>
          <w:numId w:val="145"/>
        </w:numPr>
        <w:tabs>
          <w:tab w:val="left" w:pos="357"/>
        </w:tabs>
        <w:ind w:left="924" w:right="567" w:hanging="357"/>
        <w:jc w:val="both"/>
        <w:rPr>
          <w:rFonts w:ascii="Arial" w:hAnsi="Arial" w:cs="Arial"/>
          <w:sz w:val="20"/>
          <w:szCs w:val="20"/>
        </w:rPr>
      </w:pPr>
      <w:r w:rsidRPr="00B11515">
        <w:rPr>
          <w:rFonts w:ascii="Arial" w:hAnsi="Arial" w:cs="Arial"/>
          <w:sz w:val="20"/>
          <w:szCs w:val="20"/>
        </w:rPr>
        <w:t>The fact that your Group of 7 males was confronted by a much larger group of 13 males, and that it was a member of Group 1 who first produced a knife.</w:t>
      </w:r>
    </w:p>
    <w:p w14:paraId="31516E7E" w14:textId="4118AAEB"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[33] </w:t>
      </w:r>
      <w:r w:rsidRPr="00B11515">
        <w:rPr>
          <w:rFonts w:ascii="Arial" w:hAnsi="Arial" w:cs="Arial"/>
          <w:sz w:val="20"/>
          <w:szCs w:val="20"/>
        </w:rPr>
        <w:t xml:space="preserve">However, these latter aspects provide only slight mitigation of objective gravity. In considering the appalling way in which </w:t>
      </w:r>
      <w:r>
        <w:rPr>
          <w:rFonts w:ascii="Arial" w:hAnsi="Arial" w:cs="Arial"/>
          <w:sz w:val="20"/>
          <w:szCs w:val="20"/>
        </w:rPr>
        <w:t>[H]</w:t>
      </w:r>
      <w:r w:rsidRPr="00B11515">
        <w:rPr>
          <w:rFonts w:ascii="Arial" w:hAnsi="Arial" w:cs="Arial"/>
          <w:sz w:val="20"/>
          <w:szCs w:val="20"/>
        </w:rPr>
        <w:t xml:space="preserve"> lost his life, I endorse the remarks of Taylor J in </w:t>
      </w:r>
      <w:r w:rsidRPr="00B87485">
        <w:rPr>
          <w:rFonts w:ascii="Arial" w:hAnsi="Arial" w:cs="Arial"/>
          <w:i/>
          <w:iCs/>
          <w:sz w:val="20"/>
          <w:szCs w:val="20"/>
        </w:rPr>
        <w:t>R v Tafa</w:t>
      </w:r>
      <w:r w:rsidR="006A4A17">
        <w:rPr>
          <w:rFonts w:ascii="Arial" w:hAnsi="Arial" w:cs="Arial"/>
          <w:sz w:val="20"/>
          <w:szCs w:val="20"/>
        </w:rPr>
        <w:t xml:space="preserve"> [2022] VSC 466 at [47]:</w:t>
      </w:r>
    </w:p>
    <w:p w14:paraId="09EA52C0" w14:textId="23D018CB" w:rsidR="00B87485" w:rsidRPr="006A4A17" w:rsidRDefault="006A4A17" w:rsidP="006A4A17">
      <w:pPr>
        <w:tabs>
          <w:tab w:val="left" w:pos="357"/>
        </w:tabs>
        <w:spacing w:before="60"/>
        <w:ind w:left="1361" w:right="1134"/>
        <w:jc w:val="both"/>
        <w:rPr>
          <w:rFonts w:ascii="Arial" w:hAnsi="Arial" w:cs="Arial"/>
          <w:sz w:val="18"/>
          <w:szCs w:val="18"/>
        </w:rPr>
      </w:pPr>
      <w:r w:rsidRPr="006A4A17">
        <w:rPr>
          <w:rFonts w:ascii="Arial" w:hAnsi="Arial" w:cs="Arial"/>
          <w:sz w:val="18"/>
          <w:szCs w:val="18"/>
        </w:rPr>
        <w:t>Bravery is not demonstrated nor is respect found in pack behaviour. Being a member of a gang masks cowardice. True courage is shown by stepping away from a group bent on unlawful, violent behaviour and indeed, by opposing it.</w:t>
      </w:r>
    </w:p>
    <w:p w14:paraId="2DA7656A" w14:textId="270CED19"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[34] The </w:t>
      </w:r>
      <w:r w:rsidRPr="00B11515">
        <w:rPr>
          <w:rFonts w:ascii="Arial" w:hAnsi="Arial" w:cs="Arial"/>
          <w:sz w:val="20"/>
          <w:szCs w:val="20"/>
        </w:rPr>
        <w:t xml:space="preserve">Crown submitted, and I accept, that despite your youth, general deterrence is an important sentencing purpose because of the frequency of youth knife crime and its </w:t>
      </w:r>
      <w:r w:rsidRPr="00B11515">
        <w:rPr>
          <w:rFonts w:ascii="Arial" w:hAnsi="Arial" w:cs="Arial"/>
          <w:sz w:val="20"/>
          <w:szCs w:val="20"/>
        </w:rPr>
        <w:lastRenderedPageBreak/>
        <w:t>corrosive effect on community safety, amplifying the need for courts to respond appropriately.</w:t>
      </w:r>
    </w:p>
    <w:p w14:paraId="77E139BE" w14:textId="2109A70D" w:rsidR="00620A37" w:rsidRDefault="00620A37" w:rsidP="006A4A17">
      <w:pPr>
        <w:spacing w:before="120"/>
        <w:jc w:val="both"/>
        <w:rPr>
          <w:rFonts w:ascii="Arial" w:hAnsi="Arial" w:cs="Arial"/>
          <w:sz w:val="20"/>
          <w:szCs w:val="20"/>
        </w:rPr>
      </w:pPr>
      <w:r>
        <w:rPr>
          <w:rFonts w:ascii="Arial" w:hAnsi="Arial" w:cs="Arial"/>
          <w:sz w:val="20"/>
          <w:szCs w:val="20"/>
        </w:rPr>
        <w:t>At [</w:t>
      </w:r>
      <w:r w:rsidR="00886454">
        <w:rPr>
          <w:rFonts w:ascii="Arial" w:hAnsi="Arial" w:cs="Arial"/>
          <w:sz w:val="20"/>
          <w:szCs w:val="20"/>
        </w:rPr>
        <w:t>77</w:t>
      </w:r>
      <w:r>
        <w:rPr>
          <w:rFonts w:ascii="Arial" w:hAnsi="Arial" w:cs="Arial"/>
          <w:sz w:val="20"/>
          <w:szCs w:val="20"/>
        </w:rPr>
        <w:t>]</w:t>
      </w:r>
      <w:r w:rsidR="00886454">
        <w:rPr>
          <w:rFonts w:ascii="Arial" w:hAnsi="Arial" w:cs="Arial"/>
          <w:sz w:val="20"/>
          <w:szCs w:val="20"/>
        </w:rPr>
        <w:t>-[8</w:t>
      </w:r>
      <w:r w:rsidR="00F679DE">
        <w:rPr>
          <w:rFonts w:ascii="Arial" w:hAnsi="Arial" w:cs="Arial"/>
          <w:sz w:val="20"/>
          <w:szCs w:val="20"/>
        </w:rPr>
        <w:t>2</w:t>
      </w:r>
      <w:r w:rsidR="00886454">
        <w:rPr>
          <w:rFonts w:ascii="Arial" w:hAnsi="Arial" w:cs="Arial"/>
          <w:sz w:val="20"/>
          <w:szCs w:val="20"/>
        </w:rPr>
        <w:t>]</w:t>
      </w:r>
      <w:r>
        <w:rPr>
          <w:rFonts w:ascii="Arial" w:hAnsi="Arial" w:cs="Arial"/>
          <w:sz w:val="20"/>
          <w:szCs w:val="20"/>
        </w:rPr>
        <w:t xml:space="preserve"> her Honour </w:t>
      </w:r>
      <w:r w:rsidR="006A4A17">
        <w:rPr>
          <w:rFonts w:ascii="Arial" w:hAnsi="Arial" w:cs="Arial"/>
          <w:sz w:val="20"/>
          <w:szCs w:val="20"/>
        </w:rPr>
        <w:t>sai</w:t>
      </w:r>
      <w:r>
        <w:rPr>
          <w:rFonts w:ascii="Arial" w:hAnsi="Arial" w:cs="Arial"/>
          <w:sz w:val="20"/>
          <w:szCs w:val="20"/>
        </w:rPr>
        <w:t xml:space="preserve">d: </w:t>
      </w:r>
    </w:p>
    <w:p w14:paraId="5A3AEA2D" w14:textId="6F01ED99" w:rsidR="00886454" w:rsidRDefault="00886454" w:rsidP="00886454">
      <w:pPr>
        <w:spacing w:before="60"/>
        <w:ind w:left="567" w:right="567"/>
        <w:jc w:val="both"/>
        <w:rPr>
          <w:rFonts w:ascii="Arial" w:hAnsi="Arial" w:cs="Arial"/>
          <w:sz w:val="20"/>
          <w:szCs w:val="20"/>
        </w:rPr>
      </w:pPr>
      <w:r>
        <w:rPr>
          <w:rFonts w:ascii="Arial" w:hAnsi="Arial" w:cs="Arial"/>
          <w:sz w:val="20"/>
          <w:szCs w:val="20"/>
        </w:rPr>
        <w:t xml:space="preserve">[77] “[The prosecutor] </w:t>
      </w:r>
      <w:r w:rsidRPr="00886454">
        <w:rPr>
          <w:rFonts w:ascii="Arial" w:hAnsi="Arial" w:cs="Arial"/>
          <w:sz w:val="20"/>
          <w:szCs w:val="20"/>
        </w:rPr>
        <w:t xml:space="preserve">conceded that youthfulness is relevant to an assessment of subjective culpability and to your rehabilitative prospects. She referred to the recent statements of principle of Hollingworth J in </w:t>
      </w:r>
      <w:r w:rsidRPr="00886454">
        <w:rPr>
          <w:rFonts w:ascii="Arial" w:hAnsi="Arial" w:cs="Arial"/>
          <w:i/>
          <w:iCs/>
          <w:sz w:val="20"/>
          <w:szCs w:val="20"/>
        </w:rPr>
        <w:t>DPP v JA &amp; Ors</w:t>
      </w:r>
      <w:r>
        <w:rPr>
          <w:rFonts w:ascii="Arial" w:hAnsi="Arial" w:cs="Arial"/>
          <w:i/>
          <w:iCs/>
          <w:sz w:val="20"/>
          <w:szCs w:val="20"/>
        </w:rPr>
        <w:t xml:space="preserve"> </w:t>
      </w:r>
      <w:r w:rsidRPr="00886454">
        <w:rPr>
          <w:rFonts w:ascii="Arial" w:hAnsi="Arial" w:cs="Arial"/>
          <w:sz w:val="20"/>
          <w:szCs w:val="20"/>
        </w:rPr>
        <w:t>[2023] VSC 531, [25]</w:t>
      </w:r>
      <w:r>
        <w:rPr>
          <w:rFonts w:ascii="Arial" w:hAnsi="Arial" w:cs="Arial"/>
          <w:sz w:val="20"/>
          <w:szCs w:val="20"/>
        </w:rPr>
        <w:t>-</w:t>
      </w:r>
      <w:r w:rsidRPr="00886454">
        <w:rPr>
          <w:rFonts w:ascii="Arial" w:hAnsi="Arial" w:cs="Arial"/>
          <w:sz w:val="20"/>
          <w:szCs w:val="20"/>
        </w:rPr>
        <w:t>[27], highlighting the delicate balance of factors to be weighed in cases such as yours. This includes recognition that children are understood to be less mature, less able to form moral judgments or control their impulses, and less aware of the seriousness and consequences of their actions, so that youthful actions may be committed impulsively. The Court must consider the public benefit in rehabilitating a young offender whilst also giving weight to offence gravity, since the more serious the offending, the less weight that can be given to youthfulness as a factor in mitigation.</w:t>
      </w:r>
    </w:p>
    <w:p w14:paraId="28B63D3F" w14:textId="1D763D9A"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78</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 xml:space="preserve">[The prosecutor] </w:t>
      </w:r>
      <w:r w:rsidRPr="00886454">
        <w:rPr>
          <w:rFonts w:ascii="Arial" w:hAnsi="Arial" w:cs="Arial"/>
          <w:sz w:val="20"/>
          <w:szCs w:val="20"/>
        </w:rPr>
        <w:t>emphasised the importance of giving prominence to the nature and seriousness of your offence alongside consideration of your age, character and past history, in deciding if a YJC order is warranted</w:t>
      </w:r>
      <w:r>
        <w:rPr>
          <w:rFonts w:ascii="Arial" w:hAnsi="Arial" w:cs="Arial"/>
          <w:sz w:val="20"/>
          <w:szCs w:val="20"/>
        </w:rPr>
        <w:t xml:space="preserve">: </w:t>
      </w:r>
      <w:r w:rsidRPr="00886454">
        <w:rPr>
          <w:rFonts w:ascii="Arial" w:hAnsi="Arial" w:cs="Arial"/>
          <w:i/>
          <w:iCs/>
          <w:sz w:val="20"/>
          <w:szCs w:val="20"/>
        </w:rPr>
        <w:t>Sentencing Act 1991</w:t>
      </w:r>
      <w:r w:rsidRPr="00886454">
        <w:rPr>
          <w:rFonts w:ascii="Arial" w:hAnsi="Arial" w:cs="Arial"/>
          <w:sz w:val="20"/>
          <w:szCs w:val="20"/>
        </w:rPr>
        <w:t xml:space="preserve"> s 32(2).</w:t>
      </w:r>
    </w:p>
    <w:p w14:paraId="753B0EC9" w14:textId="2A1669A1"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79</w:t>
      </w:r>
      <w:r>
        <w:rPr>
          <w:rFonts w:ascii="Arial" w:hAnsi="Arial" w:cs="Arial"/>
          <w:sz w:val="20"/>
          <w:szCs w:val="20"/>
        </w:rPr>
        <w:t>]</w:t>
      </w:r>
      <w:r w:rsidRPr="00886454">
        <w:rPr>
          <w:rFonts w:ascii="Arial" w:hAnsi="Arial" w:cs="Arial"/>
          <w:sz w:val="20"/>
          <w:szCs w:val="20"/>
        </w:rPr>
        <w:t xml:space="preserve"> It was put by the Crown, and I accept, that your sentence should reflect denunciation and just punishment, as well as specific and general deterrence. Community protection was also submitted to be relevant because of the seriousness and public nature of the offence before the Court, grounded as it was in gang rivalry, and also in light of your other offending. In this regard it was also noted that when you were arrested in mid-December you were found in possession of a knife in circumstances where you had been involved in the crime before the Court only 11 days earlier.</w:t>
      </w:r>
    </w:p>
    <w:p w14:paraId="1EE6050F" w14:textId="5774C719" w:rsidR="00620A37"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80</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[The prosecutor]</w:t>
      </w:r>
      <w:r w:rsidRPr="00886454">
        <w:rPr>
          <w:rFonts w:ascii="Arial" w:hAnsi="Arial" w:cs="Arial"/>
          <w:sz w:val="20"/>
          <w:szCs w:val="20"/>
        </w:rPr>
        <w:t xml:space="preserve"> submitted that even if you meet the tests under s 32(1)(a) and/or (b) of the Act, your case does not overcome the need to show exceptional circumstances. You have, after all, accepted guilt of stabbing the deceased even though the Crown does not allege that you inflicted the fatal wound. Reliance was placed on the case of </w:t>
      </w:r>
      <w:r w:rsidRPr="00886454">
        <w:rPr>
          <w:rFonts w:ascii="Arial" w:hAnsi="Arial" w:cs="Arial"/>
          <w:i/>
          <w:iCs/>
          <w:sz w:val="20"/>
          <w:szCs w:val="20"/>
        </w:rPr>
        <w:t>Castillo (a pseudonym) v The King</w:t>
      </w:r>
      <w:r w:rsidRPr="00886454">
        <w:rPr>
          <w:rFonts w:ascii="Arial" w:hAnsi="Arial" w:cs="Arial"/>
          <w:sz w:val="20"/>
          <w:szCs w:val="20"/>
        </w:rPr>
        <w:t xml:space="preserve"> </w:t>
      </w:r>
      <w:r>
        <w:rPr>
          <w:rFonts w:ascii="Arial" w:hAnsi="Arial" w:cs="Arial"/>
          <w:sz w:val="20"/>
          <w:szCs w:val="20"/>
        </w:rPr>
        <w:t>[2023] VSCA 150</w:t>
      </w:r>
      <w:r w:rsidRPr="00886454">
        <w:rPr>
          <w:rFonts w:ascii="Arial" w:hAnsi="Arial" w:cs="Arial"/>
          <w:sz w:val="20"/>
          <w:szCs w:val="20"/>
        </w:rPr>
        <w:t xml:space="preserve">, and it was argued that the combined factors referred to by </w:t>
      </w:r>
      <w:r>
        <w:rPr>
          <w:rFonts w:ascii="Arial" w:hAnsi="Arial" w:cs="Arial"/>
          <w:sz w:val="20"/>
          <w:szCs w:val="20"/>
        </w:rPr>
        <w:t>[defence counsel]</w:t>
      </w:r>
      <w:r w:rsidRPr="00886454">
        <w:rPr>
          <w:rFonts w:ascii="Arial" w:hAnsi="Arial" w:cs="Arial"/>
          <w:sz w:val="20"/>
          <w:szCs w:val="20"/>
        </w:rPr>
        <w:t xml:space="preserve"> to invoke exceptional circumstances were routine, and not exceptional, individually or in combination. However, </w:t>
      </w:r>
      <w:r>
        <w:rPr>
          <w:rFonts w:ascii="Arial" w:hAnsi="Arial" w:cs="Arial"/>
          <w:sz w:val="20"/>
          <w:szCs w:val="20"/>
        </w:rPr>
        <w:t>[the prosecutor]</w:t>
      </w:r>
      <w:r w:rsidRPr="00886454">
        <w:rPr>
          <w:rFonts w:ascii="Arial" w:hAnsi="Arial" w:cs="Arial"/>
          <w:sz w:val="20"/>
          <w:szCs w:val="20"/>
        </w:rPr>
        <w:t xml:space="preserve"> allowed that if the Court were satisfied that exceptional circumstances were made out, then the prerequisite criteria for a YJC order would otherwise leave such a sentence open for the Court to impose. She also conceded that totality was a relevant consideration for the Court.</w:t>
      </w:r>
    </w:p>
    <w:p w14:paraId="376C056D" w14:textId="77777777" w:rsidR="006A4A17" w:rsidRDefault="006A4A17" w:rsidP="006A4A17">
      <w:pPr>
        <w:spacing w:before="60"/>
        <w:ind w:left="567" w:right="567"/>
        <w:jc w:val="both"/>
        <w:rPr>
          <w:rFonts w:ascii="Arial" w:hAnsi="Arial" w:cs="Arial"/>
          <w:sz w:val="20"/>
          <w:szCs w:val="20"/>
        </w:rPr>
      </w:pPr>
      <w:r>
        <w:rPr>
          <w:rFonts w:ascii="Arial" w:hAnsi="Arial" w:cs="Arial"/>
          <w:sz w:val="20"/>
          <w:szCs w:val="20"/>
        </w:rPr>
        <w:t xml:space="preserve">[81] </w:t>
      </w:r>
      <w:r w:rsidRPr="006A4A17">
        <w:rPr>
          <w:rFonts w:ascii="Arial" w:hAnsi="Arial" w:cs="Arial"/>
          <w:sz w:val="20"/>
          <w:szCs w:val="20"/>
        </w:rPr>
        <w:t>In considering each side’s submission on disposition, firstly, I make plain that based on the Newton Report and the Youth Justice report I find that both limbs of s 32(1) of the Act are met in your case, in terms of consideration of an order for YJC.53 I have also had regard to s 32(2), and note that although the nature of the offence is serious, you were only one of a number of young people embroiled in the incident and you are standing sentence for the most serious charge of all those involved. Whilst you have now been sentenced for a series of concerning offences committed prior to 4 December 2022, you had not been dealt with for those matters before being arrested for the current charge. Although the maximum available sentence of YJC is 4 years, that is still a lengthy sentence for a young person who went into youth detention at the age of 15 and who has been in custody for nearly two years and who is yet to commence serving a sentence for the current offence.</w:t>
      </w:r>
    </w:p>
    <w:p w14:paraId="0F714935" w14:textId="3C6270F4" w:rsidR="00B11515" w:rsidRDefault="006A4A17" w:rsidP="00F679DE">
      <w:pPr>
        <w:spacing w:before="60"/>
        <w:ind w:left="567" w:right="567"/>
        <w:jc w:val="both"/>
        <w:rPr>
          <w:rFonts w:ascii="Arial" w:hAnsi="Arial" w:cs="Arial"/>
          <w:sz w:val="20"/>
          <w:szCs w:val="20"/>
        </w:rPr>
      </w:pPr>
      <w:r>
        <w:rPr>
          <w:rFonts w:ascii="Arial" w:hAnsi="Arial" w:cs="Arial"/>
          <w:sz w:val="20"/>
          <w:szCs w:val="20"/>
        </w:rPr>
        <w:t>[</w:t>
      </w:r>
      <w:r w:rsidRPr="006A4A17">
        <w:rPr>
          <w:rFonts w:ascii="Arial" w:hAnsi="Arial" w:cs="Arial"/>
          <w:sz w:val="20"/>
          <w:szCs w:val="20"/>
        </w:rPr>
        <w:t>82</w:t>
      </w:r>
      <w:r>
        <w:rPr>
          <w:rFonts w:ascii="Arial" w:hAnsi="Arial" w:cs="Arial"/>
          <w:sz w:val="20"/>
          <w:szCs w:val="20"/>
        </w:rPr>
        <w:t>]</w:t>
      </w:r>
      <w:r w:rsidRPr="006A4A17">
        <w:rPr>
          <w:rFonts w:ascii="Arial" w:hAnsi="Arial" w:cs="Arial"/>
          <w:sz w:val="20"/>
          <w:szCs w:val="20"/>
        </w:rPr>
        <w:t xml:space="preserve"> Pursuant to s 32(2C) of the Act, I am also satisfied that </w:t>
      </w:r>
      <w:bookmarkStart w:id="645" w:name="_Hlk190160419"/>
      <w:r w:rsidRPr="006A4A17">
        <w:rPr>
          <w:rFonts w:ascii="Arial" w:hAnsi="Arial" w:cs="Arial"/>
          <w:sz w:val="20"/>
          <w:szCs w:val="20"/>
        </w:rPr>
        <w:t xml:space="preserve">exceptional circumstances </w:t>
      </w:r>
      <w:r w:rsidR="00547226">
        <w:rPr>
          <w:rFonts w:ascii="Arial" w:hAnsi="Arial" w:cs="Arial"/>
          <w:sz w:val="20"/>
          <w:szCs w:val="20"/>
        </w:rPr>
        <w:t xml:space="preserve">exist </w:t>
      </w:r>
      <w:r w:rsidR="00547226" w:rsidRPr="00547226">
        <w:rPr>
          <w:rFonts w:ascii="Arial" w:hAnsi="Arial" w:cs="Arial"/>
          <w:sz w:val="20"/>
          <w:szCs w:val="20"/>
        </w:rPr>
        <w:t>justifying the imposition of a YJC order</w:t>
      </w:r>
      <w:r w:rsidR="00547226">
        <w:rPr>
          <w:rFonts w:ascii="Arial" w:hAnsi="Arial" w:cs="Arial"/>
          <w:sz w:val="20"/>
          <w:szCs w:val="20"/>
        </w:rPr>
        <w:t>…”</w:t>
      </w:r>
      <w:bookmarkEnd w:id="645"/>
    </w:p>
    <w:p w14:paraId="145A4FF1" w14:textId="332A6F85" w:rsidR="00F679DE" w:rsidRDefault="00F679DE" w:rsidP="00F679DE">
      <w:pPr>
        <w:spacing w:before="120"/>
        <w:jc w:val="both"/>
        <w:rPr>
          <w:rFonts w:ascii="Arial" w:hAnsi="Arial" w:cs="Arial"/>
          <w:sz w:val="20"/>
          <w:szCs w:val="20"/>
        </w:rPr>
      </w:pPr>
      <w:r>
        <w:rPr>
          <w:rFonts w:ascii="Arial" w:hAnsi="Arial" w:cs="Arial"/>
          <w:sz w:val="20"/>
          <w:szCs w:val="20"/>
        </w:rPr>
        <w:t>Jane Dixon J also noted that–</w:t>
      </w:r>
    </w:p>
    <w:p w14:paraId="251D9D23" w14:textId="081CB4C1" w:rsidR="00F679DE" w:rsidRPr="00F679DE" w:rsidRDefault="00F679DE" w:rsidP="00F679DE">
      <w:pPr>
        <w:numPr>
          <w:ilvl w:val="0"/>
          <w:numId w:val="1"/>
        </w:numPr>
        <w:jc w:val="both"/>
        <w:rPr>
          <w:rFonts w:ascii="Arial" w:hAnsi="Arial" w:cs="Arial"/>
          <w:color w:val="000000"/>
          <w:sz w:val="20"/>
        </w:rPr>
      </w:pPr>
      <w:r>
        <w:rPr>
          <w:rFonts w:ascii="Arial" w:hAnsi="Arial" w:cs="Arial"/>
          <w:sz w:val="20"/>
          <w:szCs w:val="20"/>
        </w:rPr>
        <w:t xml:space="preserve">there were some </w:t>
      </w:r>
      <w:r w:rsidRPr="00620A37">
        <w:rPr>
          <w:rFonts w:ascii="Arial" w:hAnsi="Arial" w:cs="Arial"/>
          <w:i/>
          <w:iCs/>
          <w:sz w:val="20"/>
          <w:szCs w:val="20"/>
        </w:rPr>
        <w:t>Bugmy</w:t>
      </w:r>
      <w:r>
        <w:rPr>
          <w:rFonts w:ascii="Arial" w:hAnsi="Arial" w:cs="Arial"/>
          <w:sz w:val="20"/>
          <w:szCs w:val="20"/>
        </w:rPr>
        <w:t xml:space="preserve"> factors;</w:t>
      </w:r>
    </w:p>
    <w:p w14:paraId="6C8D9D0E" w14:textId="77777777"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ZZ had reasonable prospects of rehabilitation</w:t>
      </w:r>
      <w:r>
        <w:rPr>
          <w:rFonts w:ascii="Arial" w:hAnsi="Arial" w:cs="Arial"/>
          <w:sz w:val="20"/>
          <w:szCs w:val="20"/>
        </w:rPr>
        <w:t>; and</w:t>
      </w:r>
    </w:p>
    <w:p w14:paraId="1B7C7741" w14:textId="15528603"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 xml:space="preserve">the most relevant comparative cases are those of </w:t>
      </w:r>
      <w:r w:rsidRPr="00F679DE">
        <w:rPr>
          <w:rFonts w:ascii="Arial" w:hAnsi="Arial" w:cs="Arial"/>
          <w:i/>
          <w:iCs/>
          <w:sz w:val="20"/>
          <w:szCs w:val="20"/>
        </w:rPr>
        <w:t>R v Chol</w:t>
      </w:r>
      <w:r w:rsidRPr="00F679DE">
        <w:rPr>
          <w:rFonts w:ascii="Arial" w:hAnsi="Arial" w:cs="Arial"/>
          <w:sz w:val="20"/>
          <w:szCs w:val="20"/>
        </w:rPr>
        <w:t xml:space="preserve"> [2022] VSC 341; </w:t>
      </w:r>
      <w:r w:rsidRPr="00F679DE">
        <w:rPr>
          <w:rFonts w:ascii="Arial" w:hAnsi="Arial" w:cs="Arial"/>
          <w:i/>
          <w:iCs/>
          <w:sz w:val="20"/>
          <w:szCs w:val="20"/>
        </w:rPr>
        <w:t xml:space="preserve">DPP v JA &amp; Ors </w:t>
      </w:r>
      <w:r w:rsidRPr="00F679DE">
        <w:rPr>
          <w:rFonts w:ascii="Arial" w:hAnsi="Arial" w:cs="Arial"/>
          <w:sz w:val="20"/>
          <w:szCs w:val="20"/>
        </w:rPr>
        <w:t xml:space="preserve">[2023] VSC 531 and </w:t>
      </w:r>
      <w:r w:rsidRPr="00F679DE">
        <w:rPr>
          <w:rFonts w:ascii="Arial" w:hAnsi="Arial" w:cs="Arial"/>
          <w:i/>
          <w:iCs/>
          <w:sz w:val="20"/>
          <w:szCs w:val="20"/>
        </w:rPr>
        <w:t>DPP v ST</w:t>
      </w:r>
      <w:r w:rsidRPr="00F679DE">
        <w:rPr>
          <w:rFonts w:ascii="Arial" w:hAnsi="Arial" w:cs="Arial"/>
          <w:sz w:val="20"/>
          <w:szCs w:val="20"/>
        </w:rPr>
        <w:t xml:space="preserve"> [2023] VSC 49.</w:t>
      </w:r>
    </w:p>
    <w:p w14:paraId="10F7BA67" w14:textId="7DBBCDF3" w:rsidR="00F679DE" w:rsidRDefault="00F679DE" w:rsidP="00F679DE">
      <w:pPr>
        <w:spacing w:before="120"/>
        <w:jc w:val="both"/>
        <w:rPr>
          <w:rFonts w:ascii="Arial" w:hAnsi="Arial" w:cs="Arial"/>
          <w:sz w:val="20"/>
          <w:szCs w:val="20"/>
        </w:rPr>
      </w:pPr>
      <w:r>
        <w:rPr>
          <w:rFonts w:ascii="Arial" w:hAnsi="Arial" w:cs="Arial"/>
          <w:sz w:val="20"/>
          <w:szCs w:val="20"/>
        </w:rPr>
        <w:t xml:space="preserve">Her Honour imposed a sentence of 4y YJC to be served concurrently with the remainder of the sentence ZZ was currently undergoing.  But for the plea of guilty she would have imposed a sentence of IMP6y/4y. For reasons detailed at [95]-[105] her Honour also ordered that a DNA retention order be made in respect of ZZ pursuant to s.464ZFB(1) of the </w:t>
      </w:r>
      <w:r w:rsidRPr="00F679DE">
        <w:rPr>
          <w:rFonts w:ascii="Arial" w:hAnsi="Arial" w:cs="Arial"/>
          <w:i/>
          <w:iCs/>
          <w:sz w:val="20"/>
          <w:szCs w:val="20"/>
        </w:rPr>
        <w:t>Crimes Act 1958</w:t>
      </w:r>
      <w:r>
        <w:rPr>
          <w:rFonts w:ascii="Arial" w:hAnsi="Arial" w:cs="Arial"/>
          <w:sz w:val="20"/>
          <w:szCs w:val="20"/>
        </w:rPr>
        <w:t>.</w:t>
      </w:r>
    </w:p>
    <w:p w14:paraId="6B51FE8D" w14:textId="77777777" w:rsidR="00F679DE" w:rsidRDefault="00F679DE">
      <w:pPr>
        <w:jc w:val="both"/>
        <w:rPr>
          <w:rFonts w:ascii="Arial" w:hAnsi="Arial" w:cs="Arial"/>
          <w:sz w:val="20"/>
          <w:szCs w:val="20"/>
        </w:rPr>
      </w:pPr>
    </w:p>
    <w:bookmarkEnd w:id="644"/>
    <w:p w14:paraId="21DEA0A0" w14:textId="3C0CA0F8" w:rsidR="00E34BD7" w:rsidRDefault="00E34BD7">
      <w:pPr>
        <w:jc w:val="both"/>
        <w:rPr>
          <w:rFonts w:ascii="Arial" w:hAnsi="Arial" w:cs="Arial"/>
          <w:sz w:val="20"/>
          <w:szCs w:val="20"/>
        </w:rPr>
      </w:pPr>
      <w:r>
        <w:rPr>
          <w:rFonts w:ascii="Arial" w:hAnsi="Arial" w:cs="Arial"/>
          <w:sz w:val="20"/>
          <w:szCs w:val="20"/>
        </w:rPr>
        <w:lastRenderedPageBreak/>
        <w:t xml:space="preserve">In </w:t>
      </w:r>
      <w:r w:rsidRPr="00E34BD7">
        <w:rPr>
          <w:rFonts w:ascii="Arial" w:hAnsi="Arial" w:cs="Arial"/>
          <w:i/>
          <w:iCs/>
          <w:sz w:val="20"/>
          <w:szCs w:val="20"/>
        </w:rPr>
        <w:t>R v MA</w:t>
      </w:r>
      <w:r>
        <w:rPr>
          <w:rFonts w:ascii="Arial" w:hAnsi="Arial" w:cs="Arial"/>
          <w:sz w:val="20"/>
          <w:szCs w:val="20"/>
        </w:rPr>
        <w:t xml:space="preserve"> [2023] VSC 613 a 17 year old offender MA had been charged with murder arising out of him approaching AC (aged 41) at a train station in the wee hours while concealing a large knife.  MA jabbed at </w:t>
      </w:r>
      <w:r w:rsidRPr="00E34BD7">
        <w:rPr>
          <w:rFonts w:ascii="Arial" w:hAnsi="Arial" w:cs="Arial"/>
          <w:sz w:val="20"/>
          <w:szCs w:val="20"/>
        </w:rPr>
        <w:t xml:space="preserve">AC </w:t>
      </w:r>
      <w:r>
        <w:rPr>
          <w:rFonts w:ascii="Arial" w:hAnsi="Arial" w:cs="Arial"/>
          <w:sz w:val="20"/>
          <w:szCs w:val="20"/>
        </w:rPr>
        <w:t xml:space="preserve">with the </w:t>
      </w:r>
      <w:r w:rsidRPr="00E34BD7">
        <w:rPr>
          <w:rFonts w:ascii="Arial" w:hAnsi="Arial" w:cs="Arial"/>
          <w:sz w:val="20"/>
          <w:szCs w:val="20"/>
        </w:rPr>
        <w:t xml:space="preserve">knife, without intending to stab him, but </w:t>
      </w:r>
      <w:r>
        <w:rPr>
          <w:rFonts w:ascii="Arial" w:hAnsi="Arial" w:cs="Arial"/>
          <w:sz w:val="20"/>
          <w:szCs w:val="20"/>
        </w:rPr>
        <w:t xml:space="preserve">the </w:t>
      </w:r>
      <w:r w:rsidRPr="00E34BD7">
        <w:rPr>
          <w:rFonts w:ascii="Arial" w:hAnsi="Arial" w:cs="Arial"/>
          <w:sz w:val="20"/>
          <w:szCs w:val="20"/>
        </w:rPr>
        <w:t xml:space="preserve">blade entered </w:t>
      </w:r>
      <w:r>
        <w:rPr>
          <w:rFonts w:ascii="Arial" w:hAnsi="Arial" w:cs="Arial"/>
          <w:sz w:val="20"/>
          <w:szCs w:val="20"/>
        </w:rPr>
        <w:t xml:space="preserve">AC’s </w:t>
      </w:r>
      <w:r w:rsidRPr="00E34BD7">
        <w:rPr>
          <w:rFonts w:ascii="Arial" w:hAnsi="Arial" w:cs="Arial"/>
          <w:sz w:val="20"/>
          <w:szCs w:val="20"/>
        </w:rPr>
        <w:t>chest accidentally</w:t>
      </w:r>
      <w:r>
        <w:rPr>
          <w:rFonts w:ascii="Arial" w:hAnsi="Arial" w:cs="Arial"/>
          <w:sz w:val="20"/>
          <w:szCs w:val="20"/>
        </w:rPr>
        <w:t xml:space="preserve"> and </w:t>
      </w:r>
      <w:r w:rsidRPr="00E34BD7">
        <w:rPr>
          <w:rFonts w:ascii="Arial" w:hAnsi="Arial" w:cs="Arial"/>
          <w:sz w:val="20"/>
          <w:szCs w:val="20"/>
        </w:rPr>
        <w:t>penetrated ten centimetres, causing internal injuries</w:t>
      </w:r>
      <w:r>
        <w:rPr>
          <w:rFonts w:ascii="Arial" w:hAnsi="Arial" w:cs="Arial"/>
          <w:sz w:val="20"/>
          <w:szCs w:val="20"/>
        </w:rPr>
        <w:t xml:space="preserve">.  AC fled to a friend’s residence nearby but bled to death in a driveway.  The whole incident, except for the moment of stabbing, was captured on CCTV.  MA was originally charged with common law murder on the basis of an alleged intention to cause really serious injury (not death).  DPP rejected MA’s early offer to plead guilty to manslaughter.  Prior to trial MA </w:t>
      </w:r>
      <w:r w:rsidRPr="00E34BD7">
        <w:rPr>
          <w:rFonts w:ascii="Arial" w:hAnsi="Arial" w:cs="Arial"/>
          <w:sz w:val="20"/>
          <w:szCs w:val="20"/>
        </w:rPr>
        <w:t xml:space="preserve">failed to renew </w:t>
      </w:r>
      <w:r>
        <w:rPr>
          <w:rFonts w:ascii="Arial" w:hAnsi="Arial" w:cs="Arial"/>
          <w:sz w:val="20"/>
          <w:szCs w:val="20"/>
        </w:rPr>
        <w:t xml:space="preserve">the </w:t>
      </w:r>
      <w:r w:rsidRPr="00E34BD7">
        <w:rPr>
          <w:rFonts w:ascii="Arial" w:hAnsi="Arial" w:cs="Arial"/>
          <w:sz w:val="20"/>
          <w:szCs w:val="20"/>
        </w:rPr>
        <w:t>plea offer, despite awareness DPP would have accepted then</w:t>
      </w:r>
      <w:r>
        <w:rPr>
          <w:rFonts w:ascii="Arial" w:hAnsi="Arial" w:cs="Arial"/>
          <w:sz w:val="20"/>
          <w:szCs w:val="20"/>
        </w:rPr>
        <w:t xml:space="preserve">.  </w:t>
      </w:r>
      <w:r w:rsidRPr="00E34BD7">
        <w:rPr>
          <w:rFonts w:ascii="Arial" w:hAnsi="Arial" w:cs="Arial"/>
          <w:sz w:val="20"/>
          <w:szCs w:val="20"/>
        </w:rPr>
        <w:t>At trial, judge ruled no case to answer on murder, entered acquittal on that charge, and left manslaughter to jury</w:t>
      </w:r>
      <w:r>
        <w:rPr>
          <w:rFonts w:ascii="Arial" w:hAnsi="Arial" w:cs="Arial"/>
          <w:sz w:val="20"/>
          <w:szCs w:val="20"/>
        </w:rPr>
        <w:t>.</w:t>
      </w:r>
      <w:r w:rsidRPr="00E34BD7">
        <w:rPr>
          <w:rFonts w:ascii="Arial" w:hAnsi="Arial" w:cs="Arial"/>
          <w:sz w:val="20"/>
          <w:szCs w:val="20"/>
        </w:rPr>
        <w:t xml:space="preserve"> MA put prosecution to proof on identity, but accepted perpetrator committed manslaughter</w:t>
      </w:r>
      <w:r>
        <w:rPr>
          <w:rFonts w:ascii="Arial" w:hAnsi="Arial" w:cs="Arial"/>
          <w:sz w:val="20"/>
          <w:szCs w:val="20"/>
        </w:rPr>
        <w:t xml:space="preserve">.  </w:t>
      </w:r>
      <w:r w:rsidRPr="00E34BD7">
        <w:rPr>
          <w:rFonts w:ascii="Arial" w:hAnsi="Arial" w:cs="Arial"/>
          <w:sz w:val="20"/>
          <w:szCs w:val="20"/>
        </w:rPr>
        <w:t>Jury returned verdict of guilty of manslaughter</w:t>
      </w:r>
      <w:r>
        <w:rPr>
          <w:rFonts w:ascii="Arial" w:hAnsi="Arial" w:cs="Arial"/>
          <w:sz w:val="20"/>
          <w:szCs w:val="20"/>
        </w:rPr>
        <w:t xml:space="preserve">.  </w:t>
      </w:r>
      <w:r w:rsidRPr="00E34BD7">
        <w:rPr>
          <w:rFonts w:ascii="Arial" w:hAnsi="Arial" w:cs="Arial"/>
          <w:sz w:val="20"/>
          <w:szCs w:val="20"/>
        </w:rPr>
        <w:t>Offence serious, but less so than many other manslaughters</w:t>
      </w:r>
      <w:r>
        <w:rPr>
          <w:rFonts w:ascii="Arial" w:hAnsi="Arial" w:cs="Arial"/>
          <w:sz w:val="20"/>
          <w:szCs w:val="20"/>
        </w:rPr>
        <w:t xml:space="preserve">.  </w:t>
      </w:r>
      <w:r w:rsidRPr="00E34BD7">
        <w:rPr>
          <w:rFonts w:ascii="Arial" w:hAnsi="Arial" w:cs="Arial"/>
          <w:sz w:val="20"/>
          <w:szCs w:val="20"/>
        </w:rPr>
        <w:t>Profound victim impact</w:t>
      </w:r>
      <w:r>
        <w:rPr>
          <w:rFonts w:ascii="Arial" w:hAnsi="Arial" w:cs="Arial"/>
          <w:sz w:val="20"/>
          <w:szCs w:val="20"/>
        </w:rPr>
        <w:t xml:space="preserve">.  </w:t>
      </w:r>
      <w:r w:rsidRPr="00E34BD7">
        <w:rPr>
          <w:rFonts w:ascii="Arial" w:hAnsi="Arial" w:cs="Arial"/>
          <w:sz w:val="20"/>
          <w:szCs w:val="20"/>
        </w:rPr>
        <w:t>Prior appearances in NSW for offences of violence</w:t>
      </w:r>
      <w:r>
        <w:rPr>
          <w:rFonts w:ascii="Arial" w:hAnsi="Arial" w:cs="Arial"/>
          <w:sz w:val="20"/>
          <w:szCs w:val="20"/>
        </w:rPr>
        <w:t>.  MA was o</w:t>
      </w:r>
      <w:r w:rsidRPr="00E34BD7">
        <w:rPr>
          <w:rFonts w:ascii="Arial" w:hAnsi="Arial" w:cs="Arial"/>
          <w:sz w:val="20"/>
          <w:szCs w:val="20"/>
        </w:rPr>
        <w:t>n youth parole and bail in NSW at time of offence</w:t>
      </w:r>
      <w:r>
        <w:rPr>
          <w:rFonts w:ascii="Arial" w:hAnsi="Arial" w:cs="Arial"/>
          <w:sz w:val="20"/>
          <w:szCs w:val="20"/>
        </w:rPr>
        <w:t xml:space="preserve">. </w:t>
      </w:r>
      <w:r w:rsidRPr="00E34BD7">
        <w:rPr>
          <w:rFonts w:ascii="Arial" w:hAnsi="Arial" w:cs="Arial"/>
          <w:sz w:val="20"/>
          <w:szCs w:val="20"/>
        </w:rPr>
        <w:t xml:space="preserve"> Hardship of custody given pandemic restrictions, ADHD, and family in NSW</w:t>
      </w:r>
      <w:r>
        <w:rPr>
          <w:rFonts w:ascii="Arial" w:hAnsi="Arial" w:cs="Arial"/>
          <w:sz w:val="20"/>
          <w:szCs w:val="20"/>
        </w:rPr>
        <w:t xml:space="preserve">.  </w:t>
      </w:r>
      <w:r w:rsidRPr="00E34BD7">
        <w:rPr>
          <w:rFonts w:ascii="Arial" w:hAnsi="Arial" w:cs="Arial"/>
          <w:sz w:val="20"/>
          <w:szCs w:val="20"/>
        </w:rPr>
        <w:t>MA now 19, but immature and impressionable</w:t>
      </w:r>
      <w:r>
        <w:rPr>
          <w:rFonts w:ascii="Arial" w:hAnsi="Arial" w:cs="Arial"/>
          <w:sz w:val="20"/>
          <w:szCs w:val="20"/>
        </w:rPr>
        <w:t xml:space="preserve">, had reasonable </w:t>
      </w:r>
      <w:r w:rsidRPr="00E34BD7">
        <w:rPr>
          <w:rFonts w:ascii="Arial" w:hAnsi="Arial" w:cs="Arial"/>
          <w:sz w:val="20"/>
          <w:szCs w:val="20"/>
        </w:rPr>
        <w:t>prospects of rehabilitation</w:t>
      </w:r>
      <w:r>
        <w:rPr>
          <w:rFonts w:ascii="Arial" w:hAnsi="Arial" w:cs="Arial"/>
          <w:sz w:val="20"/>
          <w:szCs w:val="20"/>
        </w:rPr>
        <w:t xml:space="preserve">.  Importance of youth.  </w:t>
      </w:r>
      <w:r w:rsidRPr="00E34BD7">
        <w:rPr>
          <w:rFonts w:ascii="Arial" w:hAnsi="Arial" w:cs="Arial"/>
          <w:sz w:val="20"/>
          <w:szCs w:val="20"/>
        </w:rPr>
        <w:t>Relevance of general and specific deterrence, just punishment, denunciation, community protection, and rehabilitation — Parsimony — Current sentencing practices — MA held in youth justice centre (YJC) since arrest in January 2022</w:t>
      </w:r>
      <w:r>
        <w:rPr>
          <w:rFonts w:ascii="Arial" w:hAnsi="Arial" w:cs="Arial"/>
          <w:sz w:val="20"/>
          <w:szCs w:val="20"/>
        </w:rPr>
        <w:t xml:space="preserve">.  </w:t>
      </w:r>
      <w:r w:rsidRPr="00E34BD7">
        <w:rPr>
          <w:rFonts w:ascii="Arial" w:hAnsi="Arial" w:cs="Arial"/>
          <w:sz w:val="20"/>
          <w:szCs w:val="20"/>
        </w:rPr>
        <w:t>MA vulnerable to more negative influences in adult prison</w:t>
      </w:r>
      <w:r>
        <w:rPr>
          <w:rFonts w:ascii="Arial" w:hAnsi="Arial" w:cs="Arial"/>
          <w:sz w:val="20"/>
          <w:szCs w:val="20"/>
        </w:rPr>
        <w:t xml:space="preserve">.  </w:t>
      </w:r>
      <w:r w:rsidRPr="00E34BD7">
        <w:rPr>
          <w:rFonts w:ascii="Arial" w:hAnsi="Arial" w:cs="Arial"/>
          <w:sz w:val="20"/>
          <w:szCs w:val="20"/>
        </w:rPr>
        <w:t>Sentence of detention in YJC may have been open had MA’s plea offer been accepted in 2022</w:t>
      </w:r>
      <w:r>
        <w:rPr>
          <w:rFonts w:ascii="Arial" w:hAnsi="Arial" w:cs="Arial"/>
          <w:sz w:val="20"/>
          <w:szCs w:val="20"/>
        </w:rPr>
        <w:t xml:space="preserve">.  </w:t>
      </w:r>
      <w:r w:rsidR="00C64C9D">
        <w:rPr>
          <w:rFonts w:ascii="Arial" w:hAnsi="Arial" w:cs="Arial"/>
          <w:sz w:val="20"/>
          <w:szCs w:val="20"/>
        </w:rPr>
        <w:t>The p</w:t>
      </w:r>
      <w:r w:rsidRPr="00E34BD7">
        <w:rPr>
          <w:rFonts w:ascii="Arial" w:hAnsi="Arial" w:cs="Arial"/>
          <w:sz w:val="20"/>
          <w:szCs w:val="20"/>
        </w:rPr>
        <w:t>arties submit</w:t>
      </w:r>
      <w:r>
        <w:rPr>
          <w:rFonts w:ascii="Arial" w:hAnsi="Arial" w:cs="Arial"/>
          <w:sz w:val="20"/>
          <w:szCs w:val="20"/>
        </w:rPr>
        <w:t>ted</w:t>
      </w:r>
      <w:r w:rsidRPr="00E34BD7">
        <w:rPr>
          <w:rFonts w:ascii="Arial" w:hAnsi="Arial" w:cs="Arial"/>
          <w:sz w:val="20"/>
          <w:szCs w:val="20"/>
        </w:rPr>
        <w:t xml:space="preserve"> imprisonment </w:t>
      </w:r>
      <w:r>
        <w:rPr>
          <w:rFonts w:ascii="Arial" w:hAnsi="Arial" w:cs="Arial"/>
          <w:sz w:val="20"/>
          <w:szCs w:val="20"/>
        </w:rPr>
        <w:t xml:space="preserve">was the </w:t>
      </w:r>
      <w:r w:rsidRPr="00E34BD7">
        <w:rPr>
          <w:rFonts w:ascii="Arial" w:hAnsi="Arial" w:cs="Arial"/>
          <w:sz w:val="20"/>
          <w:szCs w:val="20"/>
        </w:rPr>
        <w:t xml:space="preserve">only available sentence now, but with </w:t>
      </w:r>
      <w:r w:rsidR="00C64C9D">
        <w:rPr>
          <w:rFonts w:ascii="Arial" w:hAnsi="Arial" w:cs="Arial"/>
          <w:sz w:val="20"/>
          <w:szCs w:val="20"/>
        </w:rPr>
        <w:t xml:space="preserve">a </w:t>
      </w:r>
      <w:r w:rsidRPr="00E34BD7">
        <w:rPr>
          <w:rFonts w:ascii="Arial" w:hAnsi="Arial" w:cs="Arial"/>
          <w:sz w:val="20"/>
          <w:szCs w:val="20"/>
        </w:rPr>
        <w:t>shorter non-parole period than usual</w:t>
      </w:r>
      <w:r>
        <w:rPr>
          <w:rFonts w:ascii="Arial" w:hAnsi="Arial" w:cs="Arial"/>
          <w:sz w:val="20"/>
          <w:szCs w:val="20"/>
        </w:rPr>
        <w:t>.  IMP6y/3y.</w:t>
      </w:r>
      <w:r w:rsidRPr="00E34BD7">
        <w:rPr>
          <w:rFonts w:ascii="Arial" w:hAnsi="Arial" w:cs="Arial"/>
          <w:sz w:val="20"/>
          <w:szCs w:val="20"/>
        </w:rPr>
        <w:t xml:space="preserve"> </w:t>
      </w:r>
      <w:r>
        <w:rPr>
          <w:rFonts w:ascii="Arial" w:hAnsi="Arial" w:cs="Arial"/>
          <w:sz w:val="20"/>
          <w:szCs w:val="20"/>
        </w:rPr>
        <w:t xml:space="preserve"> </w:t>
      </w:r>
      <w:r w:rsidR="00C64C9D">
        <w:rPr>
          <w:rFonts w:ascii="Arial" w:hAnsi="Arial" w:cs="Arial"/>
          <w:sz w:val="20"/>
          <w:szCs w:val="20"/>
        </w:rPr>
        <w:t xml:space="preserve">The </w:t>
      </w:r>
      <w:r w:rsidRPr="00E34BD7">
        <w:rPr>
          <w:rFonts w:ascii="Arial" w:hAnsi="Arial" w:cs="Arial"/>
          <w:sz w:val="20"/>
          <w:szCs w:val="20"/>
        </w:rPr>
        <w:t>Court recommend</w:t>
      </w:r>
      <w:r>
        <w:rPr>
          <w:rFonts w:ascii="Arial" w:hAnsi="Arial" w:cs="Arial"/>
          <w:sz w:val="20"/>
          <w:szCs w:val="20"/>
        </w:rPr>
        <w:t>ed</w:t>
      </w:r>
      <w:r w:rsidRPr="00E34BD7">
        <w:rPr>
          <w:rFonts w:ascii="Arial" w:hAnsi="Arial" w:cs="Arial"/>
          <w:sz w:val="20"/>
          <w:szCs w:val="20"/>
        </w:rPr>
        <w:t xml:space="preserve"> to Adult Parole Board that MA remain in YJC to serve prison sentence</w:t>
      </w:r>
      <w:r>
        <w:rPr>
          <w:rFonts w:ascii="Arial" w:hAnsi="Arial" w:cs="Arial"/>
          <w:sz w:val="20"/>
          <w:szCs w:val="20"/>
        </w:rPr>
        <w:t>.</w:t>
      </w:r>
    </w:p>
    <w:p w14:paraId="4A2C9EBE" w14:textId="2CD2C24E" w:rsidR="00E34BD7" w:rsidRDefault="00E34BD7">
      <w:pPr>
        <w:jc w:val="both"/>
        <w:rPr>
          <w:rFonts w:ascii="Arial" w:hAnsi="Arial" w:cs="Arial"/>
          <w:sz w:val="20"/>
          <w:szCs w:val="20"/>
        </w:rPr>
      </w:pPr>
    </w:p>
    <w:p w14:paraId="2E11D9BC" w14:textId="45331713" w:rsidR="00C64C9D" w:rsidRDefault="00186D0D" w:rsidP="00186D0D">
      <w:pPr>
        <w:jc w:val="both"/>
        <w:rPr>
          <w:rFonts w:ascii="Arial" w:hAnsi="Arial" w:cs="Arial"/>
          <w:color w:val="000000"/>
          <w:sz w:val="20"/>
          <w:szCs w:val="20"/>
        </w:rPr>
      </w:pPr>
      <w:r>
        <w:rPr>
          <w:rFonts w:ascii="Arial" w:hAnsi="Arial" w:cs="Arial"/>
          <w:sz w:val="20"/>
          <w:szCs w:val="20"/>
        </w:rPr>
        <w:t xml:space="preserve">In </w:t>
      </w:r>
      <w:r w:rsidRPr="008618B1">
        <w:rPr>
          <w:rFonts w:ascii="Arial" w:hAnsi="Arial" w:cs="Arial"/>
          <w:i/>
          <w:iCs/>
          <w:color w:val="000000"/>
          <w:sz w:val="20"/>
          <w:szCs w:val="20"/>
        </w:rPr>
        <w:t xml:space="preserve">DPP v Ali &amp; Ors </w:t>
      </w:r>
      <w:r w:rsidRPr="008618B1">
        <w:rPr>
          <w:rFonts w:ascii="Arial" w:hAnsi="Arial" w:cs="Arial"/>
          <w:color w:val="000000"/>
          <w:sz w:val="20"/>
          <w:szCs w:val="20"/>
        </w:rPr>
        <w:t xml:space="preserve">[2024] VSC 601 </w:t>
      </w:r>
      <w:r>
        <w:rPr>
          <w:rFonts w:ascii="Arial" w:hAnsi="Arial" w:cs="Arial"/>
          <w:color w:val="000000"/>
          <w:sz w:val="20"/>
          <w:szCs w:val="20"/>
        </w:rPr>
        <w:t xml:space="preserve">four </w:t>
      </w:r>
      <w:r w:rsidR="000278E1">
        <w:rPr>
          <w:rFonts w:ascii="Arial" w:hAnsi="Arial" w:cs="Arial"/>
          <w:color w:val="000000"/>
          <w:sz w:val="20"/>
          <w:szCs w:val="20"/>
        </w:rPr>
        <w:t xml:space="preserve">youthful </w:t>
      </w:r>
      <w:r>
        <w:rPr>
          <w:rFonts w:ascii="Arial" w:hAnsi="Arial" w:cs="Arial"/>
          <w:color w:val="000000"/>
          <w:sz w:val="20"/>
          <w:szCs w:val="20"/>
        </w:rPr>
        <w:t xml:space="preserve">coffenders – whose ages at the time of offending and at the time of sentencing were </w:t>
      </w:r>
      <w:r w:rsidRPr="008618B1">
        <w:rPr>
          <w:rFonts w:ascii="Arial" w:hAnsi="Arial" w:cs="Arial"/>
          <w:color w:val="000000"/>
          <w:sz w:val="20"/>
          <w:szCs w:val="20"/>
        </w:rPr>
        <w:t>Ali</w:t>
      </w:r>
      <w:r w:rsidR="003464C6">
        <w:rPr>
          <w:rFonts w:ascii="Arial" w:hAnsi="Arial" w:cs="Arial"/>
          <w:color w:val="000000"/>
          <w:sz w:val="20"/>
          <w:szCs w:val="20"/>
        </w:rPr>
        <w:t>:</w:t>
      </w:r>
      <w:r w:rsidRPr="008618B1">
        <w:rPr>
          <w:rFonts w:ascii="Arial" w:hAnsi="Arial" w:cs="Arial"/>
          <w:color w:val="000000"/>
          <w:sz w:val="20"/>
          <w:szCs w:val="20"/>
        </w:rPr>
        <w:t>18y</w:t>
      </w:r>
      <w:r>
        <w:rPr>
          <w:rFonts w:ascii="Arial" w:hAnsi="Arial" w:cs="Arial"/>
          <w:color w:val="000000"/>
          <w:sz w:val="20"/>
          <w:szCs w:val="20"/>
        </w:rPr>
        <w:t>|</w:t>
      </w:r>
      <w:r w:rsidRPr="008618B1">
        <w:rPr>
          <w:rFonts w:ascii="Arial" w:hAnsi="Arial" w:cs="Arial"/>
          <w:color w:val="000000"/>
          <w:sz w:val="20"/>
          <w:szCs w:val="20"/>
        </w:rPr>
        <w:t>20y5m, MI</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19y4m, MB</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 AS</w:t>
      </w:r>
      <w:r w:rsidR="003464C6">
        <w:rPr>
          <w:rFonts w:ascii="Arial" w:hAnsi="Arial" w:cs="Arial"/>
          <w:color w:val="000000"/>
          <w:sz w:val="20"/>
          <w:szCs w:val="20"/>
        </w:rPr>
        <w:t>:</w:t>
      </w:r>
      <w:r w:rsidRPr="008618B1">
        <w:rPr>
          <w:rFonts w:ascii="Arial" w:hAnsi="Arial" w:cs="Arial"/>
          <w:color w:val="000000"/>
          <w:sz w:val="20"/>
          <w:szCs w:val="20"/>
        </w:rPr>
        <w:t>16y</w:t>
      </w:r>
      <w:r>
        <w:rPr>
          <w:rFonts w:ascii="Arial" w:hAnsi="Arial" w:cs="Arial"/>
          <w:color w:val="000000"/>
          <w:sz w:val="20"/>
          <w:szCs w:val="20"/>
        </w:rPr>
        <w:t>|</w:t>
      </w:r>
      <w:r w:rsidRPr="008618B1">
        <w:rPr>
          <w:rFonts w:ascii="Arial" w:hAnsi="Arial" w:cs="Arial"/>
          <w:color w:val="000000"/>
          <w:sz w:val="20"/>
          <w:szCs w:val="20"/>
        </w:rPr>
        <w:t>18y2m</w:t>
      </w:r>
      <w:r>
        <w:rPr>
          <w:rFonts w:ascii="Arial" w:hAnsi="Arial" w:cs="Arial"/>
          <w:color w:val="000000"/>
          <w:sz w:val="20"/>
          <w:szCs w:val="20"/>
        </w:rPr>
        <w:t xml:space="preserve"> – had been charged with </w:t>
      </w:r>
      <w:r w:rsidR="00F81366">
        <w:rPr>
          <w:rFonts w:ascii="Arial" w:hAnsi="Arial" w:cs="Arial"/>
          <w:color w:val="000000"/>
          <w:sz w:val="20"/>
          <w:szCs w:val="20"/>
        </w:rPr>
        <w:t xml:space="preserve">the </w:t>
      </w:r>
      <w:r>
        <w:rPr>
          <w:rFonts w:ascii="Arial" w:hAnsi="Arial" w:cs="Arial"/>
          <w:color w:val="000000"/>
          <w:sz w:val="20"/>
          <w:szCs w:val="20"/>
        </w:rPr>
        <w:t xml:space="preserve">murder </w:t>
      </w:r>
      <w:r w:rsidR="00F81366">
        <w:rPr>
          <w:rFonts w:ascii="Arial" w:hAnsi="Arial" w:cs="Arial"/>
          <w:color w:val="000000"/>
          <w:sz w:val="20"/>
          <w:szCs w:val="20"/>
        </w:rPr>
        <w:t xml:space="preserve">of Mr Mahat in the aftermath of a </w:t>
      </w:r>
      <w:r>
        <w:rPr>
          <w:rFonts w:ascii="Arial" w:hAnsi="Arial" w:cs="Arial"/>
          <w:color w:val="000000"/>
          <w:sz w:val="20"/>
          <w:szCs w:val="20"/>
        </w:rPr>
        <w:t xml:space="preserve">group attack on </w:t>
      </w:r>
      <w:r w:rsidR="00F81366">
        <w:rPr>
          <w:rFonts w:ascii="Arial" w:hAnsi="Arial" w:cs="Arial"/>
          <w:color w:val="000000"/>
          <w:sz w:val="20"/>
          <w:szCs w:val="20"/>
        </w:rPr>
        <w:t>another</w:t>
      </w:r>
      <w:r>
        <w:rPr>
          <w:rFonts w:ascii="Arial" w:hAnsi="Arial" w:cs="Arial"/>
          <w:color w:val="000000"/>
          <w:sz w:val="20"/>
          <w:szCs w:val="20"/>
        </w:rPr>
        <w:t xml:space="preserve"> victim </w:t>
      </w:r>
      <w:r w:rsidR="00C64C9D">
        <w:rPr>
          <w:rFonts w:ascii="Arial" w:hAnsi="Arial" w:cs="Arial"/>
          <w:color w:val="000000"/>
          <w:sz w:val="20"/>
          <w:szCs w:val="20"/>
        </w:rPr>
        <w:t xml:space="preserve">Mr </w:t>
      </w:r>
      <w:r w:rsidR="00F81366">
        <w:rPr>
          <w:rFonts w:ascii="Arial" w:hAnsi="Arial" w:cs="Arial"/>
          <w:color w:val="000000"/>
          <w:sz w:val="20"/>
          <w:szCs w:val="20"/>
        </w:rPr>
        <w:t>Abdi</w:t>
      </w:r>
      <w:r w:rsidR="00C64C9D">
        <w:rPr>
          <w:rFonts w:ascii="Arial" w:hAnsi="Arial" w:cs="Arial"/>
          <w:color w:val="000000"/>
          <w:sz w:val="20"/>
          <w:szCs w:val="20"/>
        </w:rPr>
        <w:t xml:space="preserve"> </w:t>
      </w:r>
      <w:r>
        <w:rPr>
          <w:rFonts w:ascii="Arial" w:hAnsi="Arial" w:cs="Arial"/>
          <w:color w:val="000000"/>
          <w:sz w:val="20"/>
          <w:szCs w:val="20"/>
        </w:rPr>
        <w:t xml:space="preserve">who had been </w:t>
      </w:r>
      <w:r w:rsidR="00C64C9D">
        <w:rPr>
          <w:rFonts w:ascii="Arial" w:hAnsi="Arial" w:cs="Arial"/>
          <w:color w:val="000000"/>
          <w:sz w:val="20"/>
          <w:szCs w:val="20"/>
        </w:rPr>
        <w:t xml:space="preserve">kidnapped </w:t>
      </w:r>
      <w:r w:rsidR="00F81366">
        <w:rPr>
          <w:rFonts w:ascii="Arial" w:hAnsi="Arial" w:cs="Arial"/>
          <w:color w:val="000000"/>
          <w:sz w:val="20"/>
          <w:szCs w:val="20"/>
        </w:rPr>
        <w:t xml:space="preserve">and subsequently stabbed </w:t>
      </w:r>
      <w:r w:rsidR="003464C6">
        <w:rPr>
          <w:rFonts w:ascii="Arial" w:hAnsi="Arial" w:cs="Arial"/>
          <w:color w:val="000000"/>
          <w:sz w:val="20"/>
          <w:szCs w:val="20"/>
        </w:rPr>
        <w:t>by other c</w:t>
      </w:r>
      <w:r w:rsidR="00F81366">
        <w:rPr>
          <w:rFonts w:ascii="Arial" w:hAnsi="Arial" w:cs="Arial"/>
          <w:color w:val="000000"/>
          <w:sz w:val="20"/>
          <w:szCs w:val="20"/>
        </w:rPr>
        <w:t>o</w:t>
      </w:r>
      <w:r w:rsidR="003464C6">
        <w:rPr>
          <w:rFonts w:ascii="Arial" w:hAnsi="Arial" w:cs="Arial"/>
          <w:color w:val="000000"/>
          <w:sz w:val="20"/>
          <w:szCs w:val="20"/>
        </w:rPr>
        <w:t>offenders</w:t>
      </w:r>
      <w:r>
        <w:rPr>
          <w:rFonts w:ascii="Arial" w:hAnsi="Arial" w:cs="Arial"/>
          <w:color w:val="000000"/>
          <w:sz w:val="20"/>
          <w:szCs w:val="20"/>
        </w:rPr>
        <w:t xml:space="preserve">.  Following a sentence indication </w:t>
      </w:r>
      <w:r w:rsidR="00903786">
        <w:rPr>
          <w:rFonts w:ascii="Arial" w:hAnsi="Arial" w:cs="Arial"/>
          <w:color w:val="000000"/>
          <w:sz w:val="20"/>
          <w:szCs w:val="20"/>
        </w:rPr>
        <w:t xml:space="preserve">Ali, MI, MB &amp; AS pleaded </w:t>
      </w:r>
      <w:r w:rsidRPr="008618B1">
        <w:rPr>
          <w:rFonts w:ascii="Arial" w:hAnsi="Arial" w:cs="Arial"/>
          <w:color w:val="000000"/>
          <w:sz w:val="20"/>
          <w:szCs w:val="20"/>
        </w:rPr>
        <w:t xml:space="preserve">guilty to manslaughter </w:t>
      </w:r>
      <w:r w:rsidR="00F81366">
        <w:rPr>
          <w:rFonts w:ascii="Arial" w:hAnsi="Arial" w:cs="Arial"/>
          <w:color w:val="000000"/>
          <w:sz w:val="20"/>
          <w:szCs w:val="20"/>
        </w:rPr>
        <w:t xml:space="preserve">of Mr Mahat </w:t>
      </w:r>
      <w:r w:rsidRPr="008618B1">
        <w:rPr>
          <w:rFonts w:ascii="Arial" w:hAnsi="Arial" w:cs="Arial"/>
          <w:color w:val="000000"/>
          <w:sz w:val="20"/>
          <w:szCs w:val="20"/>
        </w:rPr>
        <w:t>by unlawful and dangerous act</w:t>
      </w:r>
      <w:r w:rsidR="00C64C9D">
        <w:rPr>
          <w:rFonts w:ascii="Arial" w:hAnsi="Arial" w:cs="Arial"/>
          <w:color w:val="000000"/>
          <w:sz w:val="20"/>
          <w:szCs w:val="20"/>
        </w:rPr>
        <w:t>. At</w:t>
      </w:r>
      <w:r w:rsidR="00F81366">
        <w:rPr>
          <w:rFonts w:ascii="Arial" w:hAnsi="Arial" w:cs="Arial"/>
          <w:color w:val="000000"/>
          <w:sz w:val="20"/>
          <w:szCs w:val="20"/>
        </w:rPr>
        <w:t> </w:t>
      </w:r>
      <w:r w:rsidR="00C64C9D">
        <w:rPr>
          <w:rFonts w:ascii="Arial" w:hAnsi="Arial" w:cs="Arial"/>
          <w:color w:val="000000"/>
          <w:sz w:val="20"/>
          <w:szCs w:val="20"/>
        </w:rPr>
        <w:t>[31]</w:t>
      </w:r>
      <w:r w:rsidR="00F81366">
        <w:rPr>
          <w:rFonts w:ascii="Arial" w:hAnsi="Arial" w:cs="Arial"/>
          <w:color w:val="000000"/>
          <w:sz w:val="20"/>
          <w:szCs w:val="20"/>
        </w:rPr>
        <w:noBreakHyphen/>
      </w:r>
      <w:r w:rsidR="00C64C9D">
        <w:rPr>
          <w:rFonts w:ascii="Arial" w:hAnsi="Arial" w:cs="Arial"/>
          <w:color w:val="000000"/>
          <w:sz w:val="20"/>
          <w:szCs w:val="20"/>
        </w:rPr>
        <w:t>[3</w:t>
      </w:r>
      <w:r w:rsidR="003464C6">
        <w:rPr>
          <w:rFonts w:ascii="Arial" w:hAnsi="Arial" w:cs="Arial"/>
          <w:color w:val="000000"/>
          <w:sz w:val="20"/>
          <w:szCs w:val="20"/>
        </w:rPr>
        <w:t>4]</w:t>
      </w:r>
      <w:r w:rsidR="009E17DE">
        <w:rPr>
          <w:rFonts w:ascii="Arial" w:hAnsi="Arial" w:cs="Arial"/>
          <w:color w:val="000000"/>
          <w:sz w:val="20"/>
          <w:szCs w:val="20"/>
        </w:rPr>
        <w:t>,</w:t>
      </w:r>
      <w:r w:rsidR="003464C6">
        <w:rPr>
          <w:rFonts w:ascii="Arial" w:hAnsi="Arial" w:cs="Arial"/>
          <w:color w:val="000000"/>
          <w:sz w:val="20"/>
          <w:szCs w:val="20"/>
        </w:rPr>
        <w:t xml:space="preserve"> [3</w:t>
      </w:r>
      <w:r w:rsidR="00C64C9D">
        <w:rPr>
          <w:rFonts w:ascii="Arial" w:hAnsi="Arial" w:cs="Arial"/>
          <w:color w:val="000000"/>
          <w:sz w:val="20"/>
          <w:szCs w:val="20"/>
        </w:rPr>
        <w:t>6</w:t>
      </w:r>
      <w:r w:rsidR="003464C6">
        <w:rPr>
          <w:rFonts w:ascii="Arial" w:hAnsi="Arial" w:cs="Arial"/>
          <w:color w:val="000000"/>
          <w:sz w:val="20"/>
          <w:szCs w:val="20"/>
        </w:rPr>
        <w:t>]</w:t>
      </w:r>
      <w:r w:rsidR="00217E13">
        <w:rPr>
          <w:rFonts w:ascii="Arial" w:hAnsi="Arial" w:cs="Arial"/>
          <w:color w:val="000000"/>
          <w:sz w:val="20"/>
          <w:szCs w:val="20"/>
        </w:rPr>
        <w:t>-[37]</w:t>
      </w:r>
      <w:r w:rsidR="00C64C9D">
        <w:rPr>
          <w:rFonts w:ascii="Arial" w:hAnsi="Arial" w:cs="Arial"/>
          <w:color w:val="000000"/>
          <w:sz w:val="20"/>
          <w:szCs w:val="20"/>
        </w:rPr>
        <w:t xml:space="preserve"> </w:t>
      </w:r>
      <w:r w:rsidR="009E17DE">
        <w:rPr>
          <w:rFonts w:ascii="Arial" w:hAnsi="Arial" w:cs="Arial"/>
          <w:color w:val="000000"/>
          <w:sz w:val="20"/>
          <w:szCs w:val="20"/>
        </w:rPr>
        <w:t xml:space="preserve">&amp; [39]-[42] </w:t>
      </w:r>
      <w:r w:rsidR="00C64C9D">
        <w:rPr>
          <w:rFonts w:ascii="Arial" w:hAnsi="Arial" w:cs="Arial"/>
          <w:color w:val="000000"/>
          <w:sz w:val="20"/>
          <w:szCs w:val="20"/>
        </w:rPr>
        <w:t>Incerti J said:</w:t>
      </w:r>
    </w:p>
    <w:p w14:paraId="7AC868C4" w14:textId="3675EC16" w:rsidR="00C64C9D" w:rsidRDefault="00C64C9D" w:rsidP="00C64C9D">
      <w:pPr>
        <w:spacing w:before="60"/>
        <w:ind w:left="567" w:right="567"/>
        <w:jc w:val="both"/>
        <w:rPr>
          <w:rFonts w:ascii="Arial" w:hAnsi="Arial" w:cs="Arial"/>
          <w:color w:val="000000"/>
          <w:sz w:val="20"/>
        </w:rPr>
      </w:pPr>
      <w:r>
        <w:rPr>
          <w:rFonts w:ascii="Arial" w:hAnsi="Arial" w:cs="Arial"/>
          <w:sz w:val="20"/>
          <w:szCs w:val="20"/>
        </w:rPr>
        <w:t>[31] “</w:t>
      </w:r>
      <w:r w:rsidRPr="00186D0D">
        <w:rPr>
          <w:rFonts w:ascii="Arial" w:hAnsi="Arial" w:cs="Arial"/>
          <w:color w:val="000000"/>
          <w:sz w:val="20"/>
        </w:rPr>
        <w:t>Manslaughter is a serious offence and I consider that your offending has serious features. You appeared to engage in your conduct as an act of retaliation. The attack was not impulsive and clearly premeditated.</w:t>
      </w:r>
    </w:p>
    <w:p w14:paraId="38667C10" w14:textId="4E32B57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[32] </w:t>
      </w:r>
      <w:r w:rsidRPr="00186D0D">
        <w:rPr>
          <w:rFonts w:ascii="Arial" w:hAnsi="Arial" w:cs="Arial"/>
          <w:color w:val="000000"/>
          <w:sz w:val="20"/>
        </w:rPr>
        <w:t>Although I accept that you were not involved in the kidnapping</w:t>
      </w:r>
      <w:r w:rsidR="00F81366">
        <w:rPr>
          <w:rFonts w:ascii="Arial" w:hAnsi="Arial" w:cs="Arial"/>
          <w:color w:val="000000"/>
          <w:sz w:val="20"/>
        </w:rPr>
        <w:t xml:space="preserve"> [of Mr Abdi]</w:t>
      </w:r>
      <w:r w:rsidRPr="00186D0D">
        <w:rPr>
          <w:rFonts w:ascii="Arial" w:hAnsi="Arial" w:cs="Arial"/>
          <w:color w:val="000000"/>
          <w:sz w:val="20"/>
        </w:rPr>
        <w:t>, you were all part of the broader group and became party to an agreement to assault the deceased by the time you were at Yulong Park. You were aware that your co-accused were in possession of knives, and witnessed the brutal assault inflicted on Mr Abdi. You were all present at the scene when Mr Mahat was killed. Mr Mahat was rendered defenceless when the white Corolla deliberately ran him down. He was then attacked and stabbed while surrounded by a group of people.</w:t>
      </w:r>
    </w:p>
    <w:p w14:paraId="3FDDA173" w14:textId="31381C2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[33] </w:t>
      </w:r>
      <w:r w:rsidRPr="00186D0D">
        <w:rPr>
          <w:rFonts w:ascii="Arial" w:hAnsi="Arial" w:cs="Arial"/>
          <w:color w:val="000000"/>
          <w:sz w:val="20"/>
        </w:rPr>
        <w:t>The agreement you reached at Yulong Park set in motion a series of events that ultimately led to Mr Mahat’s tragic death. Mr Mahat was just 25 years old when he died. Considering this, the objective gravity of the offending is at the higher end.</w:t>
      </w:r>
    </w:p>
    <w:p w14:paraId="46CFD461" w14:textId="5352767F"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[34] </w:t>
      </w:r>
      <w:r w:rsidRPr="00186D0D">
        <w:rPr>
          <w:rFonts w:ascii="Arial" w:hAnsi="Arial" w:cs="Arial"/>
          <w:color w:val="000000"/>
          <w:sz w:val="20"/>
        </w:rPr>
        <w:t>The next relevant matter is your age. The youth of an offender is a primary sentencing consideration</w:t>
      </w:r>
      <w:r>
        <w:rPr>
          <w:rFonts w:ascii="Arial" w:hAnsi="Arial" w:cs="Arial"/>
          <w:color w:val="000000"/>
          <w:sz w:val="20"/>
        </w:rPr>
        <w:t xml:space="preserve">: </w:t>
      </w:r>
      <w:r w:rsidRPr="00C64C9D">
        <w:rPr>
          <w:rFonts w:ascii="Arial" w:hAnsi="Arial" w:cs="Arial"/>
          <w:i/>
          <w:iCs/>
          <w:color w:val="000000"/>
          <w:sz w:val="20"/>
        </w:rPr>
        <w:t>R v Mills</w:t>
      </w:r>
      <w:r w:rsidRPr="00C64C9D">
        <w:rPr>
          <w:rFonts w:ascii="Arial" w:hAnsi="Arial" w:cs="Arial"/>
          <w:color w:val="000000"/>
          <w:sz w:val="20"/>
        </w:rPr>
        <w:t xml:space="preserve"> [1998] 4 VR 235, 241 (Batt JA).</w:t>
      </w:r>
      <w:r w:rsidRPr="00186D0D">
        <w:rPr>
          <w:rFonts w:ascii="Arial" w:hAnsi="Arial" w:cs="Arial"/>
          <w:color w:val="000000"/>
          <w:sz w:val="20"/>
        </w:rPr>
        <w:t xml:space="preserve"> For the purpose of determining whether you are considered ‘youthful’, your age is to be considered at the date of sentencing</w:t>
      </w:r>
      <w:r>
        <w:rPr>
          <w:rFonts w:ascii="Arial" w:hAnsi="Arial" w:cs="Arial"/>
          <w:color w:val="000000"/>
          <w:sz w:val="20"/>
        </w:rPr>
        <w:t xml:space="preserve">: </w:t>
      </w:r>
      <w:r w:rsidRPr="00C64C9D">
        <w:rPr>
          <w:rFonts w:ascii="Arial" w:hAnsi="Arial" w:cs="Arial"/>
          <w:i/>
          <w:iCs/>
          <w:color w:val="000000"/>
          <w:sz w:val="20"/>
        </w:rPr>
        <w:t>Ibid</w:t>
      </w:r>
      <w:r w:rsidR="003464C6">
        <w:rPr>
          <w:rFonts w:ascii="Arial" w:hAnsi="Arial" w:cs="Arial"/>
          <w:i/>
          <w:iCs/>
          <w:color w:val="000000"/>
          <w:sz w:val="20"/>
        </w:rPr>
        <w:t>.</w:t>
      </w:r>
      <w:r>
        <w:rPr>
          <w:rFonts w:ascii="Arial" w:hAnsi="Arial" w:cs="Arial"/>
          <w:color w:val="000000"/>
          <w:sz w:val="20"/>
        </w:rPr>
        <w:t>…</w:t>
      </w:r>
    </w:p>
    <w:p w14:paraId="3184370B" w14:textId="13085273" w:rsidR="00033B4E"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[36] </w:t>
      </w:r>
      <w:r w:rsidRPr="00186D0D">
        <w:rPr>
          <w:rFonts w:ascii="Arial" w:hAnsi="Arial" w:cs="Arial"/>
          <w:color w:val="000000"/>
          <w:sz w:val="20"/>
        </w:rPr>
        <w:t>I accept that each of you is significantly less to blame for your conduct than an adult who had behaved in the same way</w:t>
      </w:r>
      <w:r>
        <w:rPr>
          <w:rFonts w:ascii="Arial" w:hAnsi="Arial" w:cs="Arial"/>
          <w:color w:val="000000"/>
          <w:sz w:val="20"/>
        </w:rPr>
        <w:t xml:space="preserve">: see </w:t>
      </w:r>
      <w:r w:rsidRPr="00C64C9D">
        <w:rPr>
          <w:rFonts w:ascii="Arial" w:hAnsi="Arial" w:cs="Arial"/>
          <w:i/>
          <w:iCs/>
          <w:color w:val="000000"/>
          <w:sz w:val="20"/>
        </w:rPr>
        <w:t>CNK v The Queen</w:t>
      </w:r>
      <w:r w:rsidRPr="00186D0D">
        <w:rPr>
          <w:rFonts w:ascii="Arial" w:hAnsi="Arial" w:cs="Arial"/>
          <w:color w:val="000000"/>
          <w:sz w:val="20"/>
        </w:rPr>
        <w:t xml:space="preserve"> (2011) 32 VR 641, 661 [71]. Your youth is significant to an assessment of your prospects of rehabilitation. I consider your youth at the time of the offending, and at the time of sentence, a relevant mitigating factor. Nevertheless, you have committed a serious crime in serious circumstances and the weight to be given to your age must be appropriately moderated</w:t>
      </w:r>
      <w:r w:rsidR="00063D7C">
        <w:rPr>
          <w:rFonts w:ascii="Arial" w:hAnsi="Arial" w:cs="Arial"/>
          <w:color w:val="000000"/>
          <w:sz w:val="20"/>
        </w:rPr>
        <w:t>.</w:t>
      </w:r>
    </w:p>
    <w:p w14:paraId="2A26C86D" w14:textId="4CD82594" w:rsidR="00063D7C" w:rsidRDefault="00063D7C" w:rsidP="00C64C9D">
      <w:pPr>
        <w:spacing w:before="60"/>
        <w:ind w:left="567" w:right="567"/>
        <w:jc w:val="both"/>
        <w:rPr>
          <w:rFonts w:ascii="Arial" w:hAnsi="Arial" w:cs="Arial"/>
          <w:color w:val="000000"/>
          <w:sz w:val="20"/>
        </w:rPr>
      </w:pPr>
      <w:r>
        <w:rPr>
          <w:rFonts w:ascii="Arial" w:hAnsi="Arial" w:cs="Arial"/>
          <w:sz w:val="20"/>
          <w:szCs w:val="20"/>
        </w:rPr>
        <w:t xml:space="preserve">[37] </w:t>
      </w:r>
      <w:r w:rsidRPr="00063D7C">
        <w:rPr>
          <w:rFonts w:ascii="Arial" w:hAnsi="Arial" w:cs="Arial"/>
          <w:sz w:val="20"/>
          <w:szCs w:val="20"/>
        </w:rPr>
        <w:t>You are all also entitled to a sentencing discount on account of your pleas of guilty, which were entered at an early opportunity. Your plea facilitates the course of justice and serves a utilitarian value, avoiding the need for what could have been a lengthy trial, and one which would no doubt have been distressing for Mr Mahat’s family and friends. This incident occurred almost two years ago. You were all initially charged with murder. It was not until June and July this year, following sentence indications given by me, that you pleaded guilty to the charge of manslaughter. Given your age and as a matter of fairness, your sentences should reflect that you have had a charge of murder hanging over your head for almost 18 months</w:t>
      </w:r>
      <w:r>
        <w:rPr>
          <w:rFonts w:ascii="Arial" w:hAnsi="Arial" w:cs="Arial"/>
          <w:sz w:val="20"/>
          <w:szCs w:val="20"/>
        </w:rPr>
        <w:t>…</w:t>
      </w:r>
    </w:p>
    <w:p w14:paraId="7B9F9961" w14:textId="03F09540" w:rsidR="00C64C9D" w:rsidRDefault="00033B4E" w:rsidP="00033B4E">
      <w:pPr>
        <w:spacing w:before="60"/>
        <w:ind w:left="567" w:right="567"/>
        <w:jc w:val="both"/>
        <w:rPr>
          <w:rFonts w:ascii="Arial" w:hAnsi="Arial" w:cs="Arial"/>
          <w:color w:val="000000"/>
          <w:sz w:val="20"/>
        </w:rPr>
      </w:pPr>
      <w:r>
        <w:rPr>
          <w:rFonts w:ascii="Arial" w:hAnsi="Arial" w:cs="Arial"/>
          <w:color w:val="000000"/>
          <w:sz w:val="20"/>
        </w:rPr>
        <w:lastRenderedPageBreak/>
        <w:t xml:space="preserve">[39] </w:t>
      </w:r>
      <w:r w:rsidRPr="00033B4E">
        <w:rPr>
          <w:rFonts w:ascii="Arial" w:hAnsi="Arial" w:cs="Arial"/>
          <w:color w:val="000000"/>
          <w:sz w:val="20"/>
        </w:rPr>
        <w:t>There are other factors that I am required by law to consider when imposing a sentence</w:t>
      </w:r>
      <w:r>
        <w:rPr>
          <w:rFonts w:ascii="Arial" w:hAnsi="Arial" w:cs="Arial"/>
          <w:color w:val="000000"/>
          <w:sz w:val="20"/>
        </w:rPr>
        <w:t xml:space="preserve">: see s.5(1) </w:t>
      </w:r>
      <w:r w:rsidRPr="00033B4E">
        <w:rPr>
          <w:rFonts w:ascii="Arial" w:hAnsi="Arial" w:cs="Arial"/>
          <w:i/>
          <w:iCs/>
          <w:color w:val="000000"/>
          <w:sz w:val="20"/>
        </w:rPr>
        <w:t>Sentencing Act 1991</w:t>
      </w:r>
      <w:r w:rsidRPr="00033B4E">
        <w:rPr>
          <w:rFonts w:ascii="Arial" w:hAnsi="Arial" w:cs="Arial"/>
          <w:color w:val="000000"/>
          <w:sz w:val="20"/>
        </w:rPr>
        <w:t>. General and specific deterrence, denunciation and just punishment require some recognition in determining your sentence. Those objectives will be met by the imposition of a custodial sentence. General and specific deterrence are particularly important sentencing considerations in this case. The offending was carried out in the middle of the day and involved the use of knives. This type of offending has reached a concerning level in our community. It must be made clear that it is unacceptable for young people to take matters into their own hands and to resort to such terrible conduct. It is important that my sentence reflect the Court’s, and the public’s, condemnation of such violence</w:t>
      </w:r>
      <w:r w:rsidR="009E17DE">
        <w:rPr>
          <w:rFonts w:ascii="Arial" w:hAnsi="Arial" w:cs="Arial"/>
          <w:color w:val="000000"/>
          <w:sz w:val="20"/>
        </w:rPr>
        <w:t>.</w:t>
      </w:r>
    </w:p>
    <w:p w14:paraId="1F942DBB" w14:textId="4E13E6A3"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rPr>
        <w:t xml:space="preserve">[40] </w:t>
      </w:r>
      <w:r w:rsidRPr="009E17DE">
        <w:rPr>
          <w:rFonts w:ascii="Arial" w:hAnsi="Arial" w:cs="Arial"/>
          <w:color w:val="000000"/>
          <w:sz w:val="20"/>
          <w:szCs w:val="20"/>
        </w:rPr>
        <w:t>Community protection is also an important consideration. However, this is firmly linked to your rehabilitation, which I consider can be achieved through targeted programs for you.</w:t>
      </w:r>
    </w:p>
    <w:p w14:paraId="19EFFBFC" w14:textId="712C4064"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szCs w:val="20"/>
        </w:rPr>
        <w:t xml:space="preserve">[41] </w:t>
      </w:r>
      <w:r w:rsidRPr="009E17DE">
        <w:rPr>
          <w:rFonts w:ascii="Arial" w:hAnsi="Arial" w:cs="Arial"/>
          <w:color w:val="000000"/>
          <w:sz w:val="20"/>
          <w:szCs w:val="20"/>
        </w:rPr>
        <w:t xml:space="preserve">I have had regard to current sentencing practices, particularly the sentences in </w:t>
      </w:r>
      <w:r w:rsidRPr="009E17DE">
        <w:rPr>
          <w:rFonts w:ascii="Arial" w:hAnsi="Arial" w:cs="Arial"/>
          <w:i/>
          <w:iCs/>
          <w:color w:val="000000"/>
          <w:sz w:val="20"/>
          <w:szCs w:val="20"/>
        </w:rPr>
        <w:t>DPP v ST</w:t>
      </w:r>
      <w:r>
        <w:rPr>
          <w:rFonts w:ascii="Arial" w:hAnsi="Arial" w:cs="Arial"/>
          <w:color w:val="000000"/>
          <w:sz w:val="20"/>
          <w:szCs w:val="20"/>
        </w:rPr>
        <w:t xml:space="preserve"> [2023] VSC 49</w:t>
      </w:r>
      <w:r w:rsidRPr="009E17DE">
        <w:rPr>
          <w:rFonts w:ascii="Arial" w:hAnsi="Arial" w:cs="Arial"/>
          <w:color w:val="000000"/>
          <w:sz w:val="20"/>
          <w:szCs w:val="20"/>
        </w:rPr>
        <w:t xml:space="preserve">, </w:t>
      </w:r>
      <w:r w:rsidRPr="009E17DE">
        <w:rPr>
          <w:rFonts w:ascii="Arial" w:hAnsi="Arial" w:cs="Arial"/>
          <w:i/>
          <w:iCs/>
          <w:color w:val="000000"/>
          <w:sz w:val="20"/>
          <w:szCs w:val="20"/>
        </w:rPr>
        <w:t>DPP v JA &amp; Ors</w:t>
      </w:r>
      <w:r w:rsidRPr="009E17DE">
        <w:rPr>
          <w:rFonts w:ascii="Arial" w:hAnsi="Arial" w:cs="Arial"/>
          <w:color w:val="000000"/>
          <w:sz w:val="20"/>
          <w:szCs w:val="20"/>
        </w:rPr>
        <w:t xml:space="preserve"> </w:t>
      </w:r>
      <w:r>
        <w:rPr>
          <w:rFonts w:ascii="Arial" w:hAnsi="Arial" w:cs="Arial"/>
          <w:color w:val="000000"/>
          <w:sz w:val="20"/>
          <w:szCs w:val="20"/>
        </w:rPr>
        <w:t>[2023] VSC 531</w:t>
      </w:r>
      <w:r w:rsidRPr="009E17DE">
        <w:rPr>
          <w:rFonts w:ascii="Arial" w:hAnsi="Arial" w:cs="Arial"/>
          <w:color w:val="000000"/>
          <w:sz w:val="20"/>
          <w:szCs w:val="20"/>
        </w:rPr>
        <w:t xml:space="preserve"> and </w:t>
      </w:r>
      <w:r w:rsidRPr="009E17DE">
        <w:rPr>
          <w:rFonts w:ascii="Arial" w:hAnsi="Arial" w:cs="Arial"/>
          <w:i/>
          <w:iCs/>
          <w:color w:val="000000"/>
          <w:sz w:val="20"/>
          <w:szCs w:val="20"/>
        </w:rPr>
        <w:t>R v KV</w:t>
      </w:r>
      <w:r>
        <w:rPr>
          <w:rFonts w:ascii="Arial" w:hAnsi="Arial" w:cs="Arial"/>
          <w:color w:val="000000"/>
          <w:sz w:val="20"/>
          <w:szCs w:val="20"/>
        </w:rPr>
        <w:t xml:space="preserve"> [2022] VSC 805.</w:t>
      </w:r>
    </w:p>
    <w:p w14:paraId="395A7F49" w14:textId="0F66C4DE" w:rsidR="009E17DE" w:rsidRPr="00033B4E" w:rsidRDefault="009E17DE" w:rsidP="00033B4E">
      <w:pPr>
        <w:spacing w:before="60"/>
        <w:ind w:left="567" w:right="567"/>
        <w:jc w:val="both"/>
        <w:rPr>
          <w:rFonts w:ascii="Arial" w:hAnsi="Arial" w:cs="Arial"/>
          <w:color w:val="000000"/>
          <w:sz w:val="20"/>
        </w:rPr>
      </w:pPr>
      <w:r>
        <w:rPr>
          <w:rFonts w:ascii="Arial" w:hAnsi="Arial" w:cs="Arial"/>
          <w:color w:val="000000"/>
          <w:sz w:val="20"/>
          <w:szCs w:val="20"/>
        </w:rPr>
        <w:t xml:space="preserve">[42] </w:t>
      </w:r>
      <w:r w:rsidRPr="009E17DE">
        <w:rPr>
          <w:rFonts w:ascii="Arial" w:hAnsi="Arial" w:cs="Arial"/>
          <w:color w:val="000000"/>
          <w:sz w:val="20"/>
          <w:szCs w:val="20"/>
        </w:rPr>
        <w:t xml:space="preserve">I have also had regard to the common law principle of parsimony, reflected in </w:t>
      </w:r>
      <w:r>
        <w:rPr>
          <w:rFonts w:ascii="Arial" w:hAnsi="Arial" w:cs="Arial"/>
          <w:color w:val="000000"/>
          <w:sz w:val="20"/>
          <w:szCs w:val="20"/>
        </w:rPr>
        <w:t xml:space="preserve">s.5(3) of the </w:t>
      </w:r>
      <w:r w:rsidRPr="009E17DE">
        <w:rPr>
          <w:rFonts w:ascii="Arial" w:hAnsi="Arial" w:cs="Arial"/>
          <w:i/>
          <w:iCs/>
          <w:color w:val="000000"/>
          <w:sz w:val="20"/>
          <w:szCs w:val="20"/>
        </w:rPr>
        <w:t>Sentencing Act 1991</w:t>
      </w:r>
      <w:r>
        <w:rPr>
          <w:rFonts w:ascii="Arial" w:hAnsi="Arial" w:cs="Arial"/>
          <w:color w:val="000000"/>
          <w:sz w:val="20"/>
          <w:szCs w:val="20"/>
        </w:rPr>
        <w:t>,</w:t>
      </w:r>
      <w:r w:rsidRPr="009E17DE">
        <w:rPr>
          <w:rFonts w:ascii="Arial" w:hAnsi="Arial" w:cs="Arial"/>
          <w:color w:val="000000"/>
          <w:sz w:val="20"/>
          <w:szCs w:val="20"/>
        </w:rPr>
        <w:t xml:space="preserve"> and I have not imposed sentences on you that exceed the sentencing purposes.</w:t>
      </w:r>
      <w:r>
        <w:rPr>
          <w:rFonts w:ascii="Arial" w:hAnsi="Arial" w:cs="Arial"/>
          <w:color w:val="000000"/>
          <w:sz w:val="20"/>
          <w:szCs w:val="20"/>
        </w:rPr>
        <w:t>”</w:t>
      </w:r>
    </w:p>
    <w:p w14:paraId="4D7D9D43" w14:textId="72CEFB93" w:rsidR="00C64C9D" w:rsidRDefault="00C64C9D" w:rsidP="00C64C9D">
      <w:pPr>
        <w:spacing w:before="60"/>
        <w:jc w:val="both"/>
        <w:rPr>
          <w:rFonts w:ascii="Arial" w:hAnsi="Arial" w:cs="Arial"/>
          <w:color w:val="000000"/>
          <w:sz w:val="20"/>
          <w:szCs w:val="20"/>
        </w:rPr>
      </w:pPr>
      <w:r>
        <w:rPr>
          <w:rFonts w:ascii="Arial" w:hAnsi="Arial" w:cs="Arial"/>
          <w:color w:val="000000"/>
          <w:sz w:val="20"/>
          <w:szCs w:val="20"/>
        </w:rPr>
        <w:t xml:space="preserve">Incerti J found that </w:t>
      </w:r>
      <w:r w:rsidRPr="008618B1">
        <w:rPr>
          <w:rFonts w:ascii="Arial" w:hAnsi="Arial" w:cs="Arial"/>
          <w:color w:val="000000"/>
          <w:sz w:val="20"/>
          <w:szCs w:val="20"/>
        </w:rPr>
        <w:t xml:space="preserve">exceptional circumstances </w:t>
      </w:r>
      <w:r>
        <w:rPr>
          <w:rFonts w:ascii="Arial" w:hAnsi="Arial" w:cs="Arial"/>
          <w:color w:val="000000"/>
          <w:sz w:val="20"/>
          <w:szCs w:val="20"/>
        </w:rPr>
        <w:t>existed</w:t>
      </w:r>
      <w:r w:rsidRPr="008618B1">
        <w:rPr>
          <w:rFonts w:ascii="Arial" w:hAnsi="Arial" w:cs="Arial"/>
          <w:color w:val="000000"/>
          <w:sz w:val="20"/>
          <w:szCs w:val="20"/>
        </w:rPr>
        <w:t xml:space="preserve"> pursuant to s.32C(2C) of the </w:t>
      </w:r>
      <w:r w:rsidRPr="008618B1">
        <w:rPr>
          <w:rFonts w:ascii="Arial" w:hAnsi="Arial" w:cs="Arial"/>
          <w:i/>
          <w:iCs/>
          <w:color w:val="000000"/>
          <w:sz w:val="20"/>
          <w:szCs w:val="20"/>
        </w:rPr>
        <w:t>Sentencing Act 1991</w:t>
      </w:r>
      <w:r w:rsidRPr="008618B1">
        <w:rPr>
          <w:rFonts w:ascii="Arial" w:hAnsi="Arial" w:cs="Arial"/>
          <w:color w:val="000000"/>
          <w:sz w:val="20"/>
          <w:szCs w:val="20"/>
        </w:rPr>
        <w:t xml:space="preserve"> to enable a YJC order to be made for MI, MB &amp; AS</w:t>
      </w:r>
      <w:r>
        <w:rPr>
          <w:rFonts w:ascii="Arial" w:hAnsi="Arial" w:cs="Arial"/>
          <w:color w:val="000000"/>
          <w:sz w:val="20"/>
          <w:szCs w:val="20"/>
        </w:rPr>
        <w:t>.</w:t>
      </w:r>
      <w:r w:rsidRPr="008618B1">
        <w:rPr>
          <w:rFonts w:ascii="Arial" w:hAnsi="Arial" w:cs="Arial"/>
          <w:color w:val="000000"/>
          <w:sz w:val="20"/>
          <w:szCs w:val="20"/>
        </w:rPr>
        <w:t xml:space="preserve"> </w:t>
      </w:r>
      <w:r>
        <w:rPr>
          <w:rFonts w:ascii="Arial" w:hAnsi="Arial" w:cs="Arial"/>
          <w:color w:val="000000"/>
          <w:sz w:val="20"/>
          <w:szCs w:val="20"/>
        </w:rPr>
        <w:t xml:space="preserve">Her Honour imposed the following </w:t>
      </w:r>
      <w:r w:rsidRPr="008618B1">
        <w:rPr>
          <w:rFonts w:ascii="Arial" w:hAnsi="Arial" w:cs="Arial"/>
          <w:color w:val="000000"/>
          <w:sz w:val="20"/>
          <w:szCs w:val="20"/>
        </w:rPr>
        <w:t>sentences</w:t>
      </w:r>
      <w:r w:rsidR="000278E1">
        <w:rPr>
          <w:rFonts w:ascii="Arial" w:hAnsi="Arial" w:cs="Arial"/>
          <w:color w:val="000000"/>
          <w:sz w:val="20"/>
          <w:szCs w:val="20"/>
        </w:rPr>
        <w:t xml:space="preserve"> on the charge of manslaughter</w:t>
      </w:r>
      <w:r w:rsidRPr="008618B1">
        <w:rPr>
          <w:rFonts w:ascii="Arial" w:hAnsi="Arial" w:cs="Arial"/>
          <w:color w:val="000000"/>
          <w:sz w:val="20"/>
          <w:szCs w:val="20"/>
        </w:rPr>
        <w:t>: Ali</w:t>
      </w:r>
      <w:r w:rsidR="003464C6">
        <w:rPr>
          <w:rFonts w:ascii="Arial" w:hAnsi="Arial" w:cs="Arial"/>
          <w:color w:val="000000"/>
          <w:sz w:val="20"/>
          <w:szCs w:val="20"/>
        </w:rPr>
        <w:t xml:space="preserve">: </w:t>
      </w:r>
      <w:r w:rsidRPr="008618B1">
        <w:rPr>
          <w:rFonts w:ascii="Arial" w:hAnsi="Arial" w:cs="Arial"/>
          <w:color w:val="000000"/>
          <w:sz w:val="20"/>
          <w:szCs w:val="20"/>
        </w:rPr>
        <w:t>IMP4y/2y9m, MI</w:t>
      </w:r>
      <w:r w:rsidR="003464C6">
        <w:rPr>
          <w:rFonts w:ascii="Arial" w:hAnsi="Arial" w:cs="Arial"/>
          <w:color w:val="000000"/>
          <w:sz w:val="20"/>
          <w:szCs w:val="20"/>
        </w:rPr>
        <w:t xml:space="preserve">: </w:t>
      </w:r>
      <w:r w:rsidRPr="008618B1">
        <w:rPr>
          <w:rFonts w:ascii="Arial" w:hAnsi="Arial" w:cs="Arial"/>
          <w:color w:val="000000"/>
          <w:sz w:val="20"/>
          <w:szCs w:val="20"/>
        </w:rPr>
        <w:t>YJC2y, MB</w:t>
      </w:r>
      <w:r w:rsidR="003464C6">
        <w:rPr>
          <w:rFonts w:ascii="Arial" w:hAnsi="Arial" w:cs="Arial"/>
          <w:color w:val="000000"/>
          <w:sz w:val="20"/>
          <w:szCs w:val="20"/>
        </w:rPr>
        <w:t xml:space="preserve">: </w:t>
      </w:r>
      <w:r w:rsidRPr="008618B1">
        <w:rPr>
          <w:rFonts w:ascii="Arial" w:hAnsi="Arial" w:cs="Arial"/>
          <w:color w:val="000000"/>
          <w:sz w:val="20"/>
          <w:szCs w:val="20"/>
        </w:rPr>
        <w:t>YJC3y, AS</w:t>
      </w:r>
      <w:r w:rsidR="003464C6">
        <w:rPr>
          <w:rFonts w:ascii="Arial" w:hAnsi="Arial" w:cs="Arial"/>
          <w:color w:val="000000"/>
          <w:sz w:val="20"/>
          <w:szCs w:val="20"/>
        </w:rPr>
        <w:t xml:space="preserve">: </w:t>
      </w:r>
      <w:r w:rsidRPr="008618B1">
        <w:rPr>
          <w:rFonts w:ascii="Arial" w:hAnsi="Arial" w:cs="Arial"/>
          <w:color w:val="000000"/>
          <w:sz w:val="20"/>
          <w:szCs w:val="20"/>
        </w:rPr>
        <w:t>YJC3y</w:t>
      </w:r>
      <w:r w:rsidR="003464C6">
        <w:rPr>
          <w:rFonts w:ascii="Arial" w:hAnsi="Arial" w:cs="Arial"/>
          <w:color w:val="000000"/>
          <w:sz w:val="20"/>
          <w:szCs w:val="20"/>
        </w:rPr>
        <w:t>.</w:t>
      </w:r>
    </w:p>
    <w:p w14:paraId="0EA65C52" w14:textId="77777777" w:rsidR="00C64C9D" w:rsidRDefault="00C64C9D" w:rsidP="00186D0D">
      <w:pPr>
        <w:jc w:val="both"/>
        <w:rPr>
          <w:rFonts w:ascii="Arial" w:hAnsi="Arial" w:cs="Arial"/>
          <w:color w:val="000000"/>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77777777"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DPP v Reynolds &amp; Ors</w:t>
      </w:r>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R v Andos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R v Newling</w:t>
      </w:r>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R v Grieef</w:t>
      </w:r>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R v Thao Thi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R v Coldbeck</w:t>
      </w:r>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R v Bangard</w:t>
      </w:r>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R v Detenamo</w:t>
      </w:r>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R v Celso Cuenco</w:t>
      </w:r>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R v Vandergulik</w:t>
      </w:r>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p>
    <w:p w14:paraId="79F639E4" w14:textId="77777777" w:rsidR="007F763B" w:rsidRDefault="008B43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D’Aloisio </w:t>
      </w:r>
      <w:r w:rsidRPr="007F763B">
        <w:rPr>
          <w:rFonts w:ascii="Arial" w:hAnsi="Arial" w:cs="Arial"/>
          <w:color w:val="000000"/>
          <w:sz w:val="20"/>
        </w:rPr>
        <w:t>[2006] VSC 216 [assaults causing death of 6 year old son];</w:t>
      </w:r>
    </w:p>
    <w:p w14:paraId="0C312DB6"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defacto’s 5 year old child];</w:t>
      </w:r>
    </w:p>
    <w:p w14:paraId="0B8D437F" w14:textId="77777777" w:rsidR="007F763B" w:rsidRDefault="00D115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R v Helal</w:t>
      </w:r>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Oznek </w:t>
      </w:r>
      <w:r w:rsidRPr="007F763B">
        <w:rPr>
          <w:rFonts w:ascii="Arial" w:hAnsi="Arial" w:cs="Arial"/>
          <w:color w:val="000000"/>
          <w:sz w:val="20"/>
        </w:rPr>
        <w:t>[2007] VSC 192 [stabbing in fight re drug proceeds];</w:t>
      </w:r>
    </w:p>
    <w:p w14:paraId="05B0F87E" w14:textId="77777777" w:rsidR="000030ED" w:rsidRDefault="00DD42A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Arney</w:t>
      </w:r>
      <w:r w:rsidRPr="007F763B">
        <w:rPr>
          <w:rFonts w:ascii="Arial" w:hAnsi="Arial" w:cs="Arial"/>
          <w:color w:val="000000"/>
          <w:sz w:val="20"/>
        </w:rPr>
        <w:t xml:space="preserve"> [2007] VSCA 126 [vicious bashing of defendant’s 5 month old baby];</w:t>
      </w:r>
    </w:p>
    <w:p w14:paraId="7139C081" w14:textId="77777777" w:rsidR="004F43E7"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Detenamo</w:t>
      </w:r>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Felsbourg</w:t>
      </w:r>
      <w:r w:rsidRPr="007F763B">
        <w:rPr>
          <w:rFonts w:ascii="Arial" w:hAnsi="Arial" w:cs="Arial"/>
          <w:color w:val="000000"/>
          <w:sz w:val="20"/>
        </w:rPr>
        <w:t xml:space="preserve"> [2008] VSC 20 [stabbing in anger over 30 times of former boyfriend];</w:t>
      </w:r>
    </w:p>
    <w:p w14:paraId="370701D5" w14:textId="77777777" w:rsidR="004F43E7" w:rsidRDefault="00983A77"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Laracy (Sentence)</w:t>
      </w:r>
      <w:r w:rsidRPr="007F763B">
        <w:rPr>
          <w:rFonts w:ascii="Arial" w:hAnsi="Arial" w:cs="Arial"/>
          <w:color w:val="000000"/>
          <w:sz w:val="20"/>
        </w:rPr>
        <w:t xml:space="preserve"> [2008] VSC 67 [application of ligature to defacto’s neck];</w:t>
      </w:r>
    </w:p>
    <w:p w14:paraId="3E71D46A"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yr old];</w:t>
      </w:r>
    </w:p>
    <w:p w14:paraId="7344FFCC" w14:textId="77777777" w:rsidR="004F43E7" w:rsidRDefault="00AC5B4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Rajbinder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Kulla Kulla</w:t>
      </w:r>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PP v Sazdov</w:t>
      </w:r>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Akotou</w:t>
      </w:r>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Polutele</w:t>
      </w:r>
      <w:r w:rsidRPr="007F763B">
        <w:rPr>
          <w:rFonts w:ascii="Arial" w:hAnsi="Arial" w:cs="Arial"/>
          <w:color w:val="000000"/>
          <w:sz w:val="20"/>
        </w:rPr>
        <w:t xml:space="preserve"> [2011] VSC 381 [manslaughter by unlawful and dangerous act – 24 year old offender punched deceased in head rendering him unconscious whereupon co-accused </w:t>
      </w:r>
      <w:r w:rsidRPr="007F763B">
        <w:rPr>
          <w:rFonts w:ascii="Arial" w:hAnsi="Arial" w:cs="Arial"/>
          <w:i/>
          <w:color w:val="000000"/>
          <w:sz w:val="20"/>
        </w:rPr>
        <w:t>Akotou</w:t>
      </w:r>
      <w:r w:rsidRPr="007F763B">
        <w:rPr>
          <w:rFonts w:ascii="Arial" w:hAnsi="Arial" w:cs="Arial"/>
          <w:color w:val="000000"/>
          <w:sz w:val="20"/>
        </w:rPr>
        <w:t xml:space="preserve"> stomped on deceased’s head  –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Nghia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Andreevski &amp; Ors</w:t>
      </w:r>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Bourbaud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Grimmett</w:t>
      </w:r>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McNiven</w:t>
      </w:r>
      <w:r w:rsidRPr="007F763B">
        <w:rPr>
          <w:rFonts w:ascii="Arial" w:hAnsi="Arial" w:cs="Arial"/>
          <w:color w:val="000000"/>
          <w:sz w:val="20"/>
        </w:rPr>
        <w:t xml:space="preserve"> [2011] VSC 569 [44 yr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Kells</w:t>
      </w:r>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[2014] VSC 146 [manslaughter by unlawful and dangerous act – 24 year old accused pointed gun at his girlfriend and pulled the trigger deliberately having failed, because of his drug-addled state, to remember he had loaded the gun earlier – early plea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Shengliang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77777777"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accused angry at deceased for running over his dog and leaving it for dead approached deceased’s vehicle and stumbled causing barrel of gun to strike driver’s side window causing defective gun to discharge without pulling trigger – plea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Naddaf</w:t>
      </w:r>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[plea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Yucel</w:t>
      </w:r>
      <w:r w:rsidRPr="007F763B">
        <w:rPr>
          <w:rFonts w:ascii="Arial" w:hAnsi="Arial" w:cs="Arial"/>
          <w:color w:val="000000"/>
          <w:sz w:val="20"/>
        </w:rPr>
        <w:t xml:space="preserve"> [2018] VSC 506 [plea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[plea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[plea guilty to manslaughter by unlawful and dangerous act – single punch to head of victim cusing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Yucel</w:t>
      </w:r>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23 year old offender pleaded guilty to manslaughter by unlawful and dangerous act – altercation in street – accused punched deceased to the face, causing deceased to fall a second time – cccused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R v Giannioudis</w:t>
      </w:r>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[plea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lastRenderedPageBreak/>
        <w:t>DPP v Colton</w:t>
      </w:r>
      <w:r w:rsidRPr="007F763B">
        <w:rPr>
          <w:rFonts w:ascii="Arial" w:hAnsi="Arial" w:cs="Arial"/>
          <w:sz w:val="20"/>
        </w:rPr>
        <w:t xml:space="preserve"> [2019] VSC 154 [plea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esp at [56]-[68] [plea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[plea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Esmali</w:t>
      </w:r>
      <w:r w:rsidRPr="007F763B">
        <w:rPr>
          <w:rFonts w:ascii="Arial" w:hAnsi="Arial" w:cs="Arial"/>
          <w:color w:val="000000"/>
          <w:sz w:val="20"/>
        </w:rPr>
        <w:t xml:space="preserve"> [2019] VSC 218 [plea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Stacey Edwards</w:t>
      </w:r>
      <w:r w:rsidRPr="007F763B">
        <w:rPr>
          <w:rFonts w:ascii="Arial" w:hAnsi="Arial" w:cs="Arial"/>
          <w:color w:val="000000"/>
          <w:sz w:val="20"/>
        </w:rPr>
        <w:t xml:space="preserve"> [2019] VSC 234 [early plea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Ristevski</w:t>
      </w:r>
      <w:r w:rsidRPr="007F763B">
        <w:rPr>
          <w:rFonts w:ascii="Arial" w:hAnsi="Arial" w:cs="Arial"/>
          <w:color w:val="000000"/>
          <w:sz w:val="20"/>
        </w:rPr>
        <w:t xml:space="preserve"> [2019] VSC 253 [plea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esp at [74] [plea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Awad </w:t>
      </w:r>
      <w:r w:rsidRPr="00A33752">
        <w:rPr>
          <w:rFonts w:ascii="Arial" w:hAnsi="Arial" w:cs="Arial"/>
          <w:sz w:val="20"/>
        </w:rPr>
        <w:t>[2019] VSC 706 [</w:t>
      </w:r>
      <w:r w:rsidR="00F13F89">
        <w:rPr>
          <w:rFonts w:ascii="Arial" w:hAnsi="Arial" w:cs="Arial"/>
          <w:sz w:val="20"/>
        </w:rPr>
        <w:t xml:space="preserve">plea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[plea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49 year old Aboriginal man shot neighbour in chest in course of a struggle over a shotgun – plea guilty – remorse – general deterrence, denuncxiation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32 &amp; 27 year old offenders fired a gun into a vehicle occupied by the deceased – plea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Dolhugey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Dellamarta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lastRenderedPageBreak/>
        <w:t xml:space="preserve">DPP v Ackerley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Timoteo &amp; Ors </w:t>
      </w:r>
      <w:r w:rsidRPr="000A6F1D">
        <w:rPr>
          <w:rFonts w:ascii="Arial" w:hAnsi="Arial" w:cs="Arial"/>
          <w:color w:val="000000"/>
          <w:sz w:val="20"/>
        </w:rPr>
        <w:t>[2021] VSC 312 [</w:t>
      </w:r>
      <w:r>
        <w:rPr>
          <w:rFonts w:ascii="Arial" w:hAnsi="Arial" w:cs="Arial"/>
          <w:color w:val="000000"/>
          <w:sz w:val="20"/>
        </w:rPr>
        <w:t>3 cooffenders T aged 24, B aged 24 and F aged 21 pleaded guilty to manslaughter, causing serious injury intentionally and common assault in the course of an attack by 2 cooffenders against a single victim and a series of attacks by the 3 cooffenders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Volpe </w:t>
      </w:r>
      <w:r w:rsidRPr="00FB7CAE">
        <w:rPr>
          <w:rFonts w:ascii="Arial" w:hAnsi="Arial" w:cs="Arial"/>
          <w:color w:val="000000"/>
          <w:sz w:val="20"/>
        </w:rPr>
        <w:t>[2021] VSC 353 [</w:t>
      </w:r>
      <w:r>
        <w:rPr>
          <w:rFonts w:ascii="Arial" w:hAnsi="Arial" w:cs="Arial"/>
          <w:color w:val="000000"/>
          <w:sz w:val="20"/>
        </w:rPr>
        <w:t>single stab wound to chest by offender aged 61 – plea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victim died from internal injuries resulting from multiple blows to his face, head, neck, chest, abdomen, arms and legs – accused has long-standing mental health history and currently an in-patient at Thomas Embling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offender started a fight with the deceased and inflicted a single stab wound in the course of the fight – offender stole deceased’s 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Ooi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Bolat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r w:rsidR="0051211F" w:rsidRPr="0051211F">
        <w:rPr>
          <w:rFonts w:ascii="Arial" w:hAnsi="Arial" w:cs="Arial"/>
          <w:i/>
          <w:iCs/>
          <w:color w:val="000000"/>
          <w:sz w:val="20"/>
        </w:rPr>
        <w:t>Bugmy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Cugurno-Pfabe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offender aged 24 at time of offence entered plea of guilty to manslaughter in context of stabbing deceased to the chest – strong famiy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Panagiotou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05FDBBDF"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in circumstances where he believed that the gun was unloaded without having checked that was so – offending occurred in the context of drug use – evidence of remorse notwithstanding post-offence flight – relevant criminal history – guarded prospects of rehabilitation – custody likely to be more burdensome due to PTSD and COVID-19 – utilitarian value of plea – IMP11y/8y</w:t>
      </w:r>
      <w:r w:rsidR="00517D8D">
        <w:rPr>
          <w:rFonts w:ascii="Arial" w:hAnsi="Arial" w:cs="Arial"/>
          <w:color w:val="000000"/>
          <w:sz w:val="20"/>
          <w:szCs w:val="20"/>
        </w:rPr>
        <w:t xml:space="preserve"> reduced on appeal to IMP9y/6y: see [2023] VSCA 128</w:t>
      </w:r>
      <w:r w:rsidR="00CF1F86">
        <w:rPr>
          <w:rFonts w:ascii="Arial" w:hAnsi="Arial" w:cs="Arial"/>
          <w:color w:val="000000"/>
          <w:sz w:val="20"/>
          <w:szCs w:val="20"/>
        </w:rPr>
        <w:t>].</w:t>
      </w:r>
    </w:p>
    <w:p w14:paraId="738286CD" w14:textId="184E1BDF"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r w:rsidR="005B45DE">
        <w:rPr>
          <w:rFonts w:ascii="Arial" w:hAnsi="Arial" w:cs="Arial"/>
          <w:sz w:val="20"/>
          <w:szCs w:val="20"/>
        </w:rPr>
        <w:t xml:space="preserve"> – on appeal sentence reduced to IMP10y6m/7y: see </w:t>
      </w:r>
      <w:r w:rsidR="005B45DE" w:rsidRPr="005B45DE">
        <w:rPr>
          <w:rFonts w:ascii="Arial" w:hAnsi="Arial" w:cs="Arial"/>
          <w:i/>
          <w:iCs/>
          <w:sz w:val="20"/>
          <w:szCs w:val="20"/>
        </w:rPr>
        <w:t>Surtees v The King</w:t>
      </w:r>
      <w:r w:rsidR="005B45DE">
        <w:rPr>
          <w:rFonts w:ascii="Arial" w:hAnsi="Arial" w:cs="Arial"/>
          <w:sz w:val="20"/>
          <w:szCs w:val="20"/>
        </w:rPr>
        <w:t xml:space="preserve"> [2023] VSCA 42</w:t>
      </w:r>
      <w:r w:rsidR="0094746A">
        <w:rPr>
          <w:rFonts w:ascii="Arial" w:hAnsi="Arial" w:cs="Arial"/>
          <w:sz w:val="20"/>
          <w:szCs w:val="20"/>
        </w:rPr>
        <w:t>].</w:t>
      </w:r>
    </w:p>
    <w:p w14:paraId="2149CDFA" w14:textId="049CC603" w:rsid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DPP v McEachran</w:t>
      </w:r>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0D6517B7" w14:textId="4CBEE058" w:rsidR="006354BF" w:rsidRDefault="006354B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Folau </w:t>
      </w:r>
      <w:r w:rsidRPr="006354BF">
        <w:rPr>
          <w:rFonts w:ascii="Arial" w:hAnsi="Arial" w:cs="Arial"/>
          <w:color w:val="000000"/>
          <w:sz w:val="20"/>
          <w:szCs w:val="20"/>
        </w:rPr>
        <w:t xml:space="preserve">[2022] VSC 514 [offender aged </w:t>
      </w:r>
      <w:r>
        <w:rPr>
          <w:rFonts w:ascii="Arial" w:hAnsi="Arial" w:cs="Arial"/>
          <w:color w:val="000000"/>
          <w:sz w:val="20"/>
          <w:szCs w:val="20"/>
        </w:rPr>
        <w:t>24 at time of offending pleaded guilty to one count each of manslaughter, intentionally causing serious injury and home invastion – he made spontaneous attacks on two strangers during a drug-and-alcoho-fuelled home invasion, stabbing the deceased multiple times – TES IMP16y/12y including IMP12y on charge of manslaughter].</w:t>
      </w:r>
    </w:p>
    <w:p w14:paraId="51B16443" w14:textId="50B62189" w:rsidR="00EC7DEF" w:rsidRDefault="00EC7DE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Johnson </w:t>
      </w:r>
      <w:r w:rsidRPr="00EC7DEF">
        <w:rPr>
          <w:rFonts w:ascii="Arial" w:hAnsi="Arial" w:cs="Arial"/>
          <w:color w:val="000000"/>
          <w:sz w:val="20"/>
          <w:szCs w:val="20"/>
        </w:rPr>
        <w:t xml:space="preserve">[2022] VSC 681 [Aboriginal offender aged 37 </w:t>
      </w:r>
      <w:r>
        <w:rPr>
          <w:rFonts w:ascii="Arial" w:hAnsi="Arial" w:cs="Arial"/>
          <w:color w:val="000000"/>
          <w:sz w:val="20"/>
          <w:szCs w:val="20"/>
        </w:rPr>
        <w:t xml:space="preserve">pleaded guilty to one count of manslaughter by unlawful and dangerous act involving the discharge of a loaded shotgun – limited prior criminal history and moderate prospects for rehabilitation – </w:t>
      </w:r>
      <w:r w:rsidR="006F1EF6">
        <w:rPr>
          <w:rFonts w:ascii="Arial" w:hAnsi="Arial" w:cs="Arial"/>
          <w:color w:val="000000"/>
          <w:sz w:val="20"/>
          <w:szCs w:val="20"/>
        </w:rPr>
        <w:t xml:space="preserve">supportive partner in relationship for 18 years – </w:t>
      </w:r>
      <w:r>
        <w:rPr>
          <w:rFonts w:ascii="Arial" w:hAnsi="Arial" w:cs="Arial"/>
          <w:color w:val="000000"/>
          <w:sz w:val="20"/>
          <w:szCs w:val="20"/>
        </w:rPr>
        <w:t>restrictions</w:t>
      </w:r>
      <w:r w:rsidR="006F1EF6">
        <w:rPr>
          <w:rFonts w:ascii="Arial" w:hAnsi="Arial" w:cs="Arial"/>
          <w:color w:val="000000"/>
          <w:sz w:val="20"/>
          <w:szCs w:val="20"/>
        </w:rPr>
        <w:t xml:space="preserve"> </w:t>
      </w:r>
      <w:r>
        <w:rPr>
          <w:rFonts w:ascii="Arial" w:hAnsi="Arial" w:cs="Arial"/>
          <w:color w:val="000000"/>
          <w:sz w:val="20"/>
          <w:szCs w:val="20"/>
        </w:rPr>
        <w:t xml:space="preserve">in custody due to COVID-19 pandemic and utilitarian value of plea during pandemic – </w:t>
      </w:r>
      <w:r w:rsidRPr="006F1EF6">
        <w:rPr>
          <w:rFonts w:ascii="Arial" w:hAnsi="Arial" w:cs="Arial"/>
          <w:i/>
          <w:iCs/>
          <w:color w:val="000000"/>
          <w:sz w:val="20"/>
          <w:szCs w:val="20"/>
        </w:rPr>
        <w:t>Bugmy</w:t>
      </w:r>
      <w:r>
        <w:rPr>
          <w:rFonts w:ascii="Arial" w:hAnsi="Arial" w:cs="Arial"/>
          <w:color w:val="000000"/>
          <w:sz w:val="20"/>
          <w:szCs w:val="20"/>
        </w:rPr>
        <w:t xml:space="preserve"> principles enlivened – IMP9y/6y].</w:t>
      </w:r>
    </w:p>
    <w:p w14:paraId="76316101" w14:textId="78AF88DE" w:rsidR="00882243" w:rsidRDefault="00882243" w:rsidP="003331C5">
      <w:pPr>
        <w:numPr>
          <w:ilvl w:val="0"/>
          <w:numId w:val="76"/>
        </w:numPr>
        <w:ind w:left="357" w:hanging="357"/>
        <w:jc w:val="both"/>
        <w:rPr>
          <w:rFonts w:ascii="Arial" w:hAnsi="Arial" w:cs="Arial"/>
          <w:color w:val="000000"/>
          <w:sz w:val="20"/>
          <w:szCs w:val="20"/>
        </w:rPr>
      </w:pPr>
      <w:r w:rsidRPr="00882243">
        <w:rPr>
          <w:rFonts w:ascii="Arial" w:hAnsi="Arial" w:cs="Arial"/>
          <w:i/>
          <w:iCs/>
          <w:color w:val="000000"/>
          <w:sz w:val="20"/>
          <w:szCs w:val="20"/>
        </w:rPr>
        <w:t>R v Gurlu</w:t>
      </w:r>
      <w:r>
        <w:rPr>
          <w:rFonts w:ascii="Arial" w:hAnsi="Arial" w:cs="Arial"/>
          <w:color w:val="000000"/>
          <w:sz w:val="20"/>
          <w:szCs w:val="20"/>
        </w:rPr>
        <w:t xml:space="preserve"> [2022] VSC 820 [offender </w:t>
      </w:r>
      <w:r w:rsidR="00D24D7E">
        <w:rPr>
          <w:rFonts w:ascii="Arial" w:hAnsi="Arial" w:cs="Arial"/>
          <w:color w:val="000000"/>
          <w:sz w:val="20"/>
          <w:szCs w:val="20"/>
        </w:rPr>
        <w:t xml:space="preserve">offered to </w:t>
      </w:r>
      <w:r>
        <w:rPr>
          <w:rFonts w:ascii="Arial" w:hAnsi="Arial" w:cs="Arial"/>
          <w:color w:val="000000"/>
          <w:sz w:val="20"/>
          <w:szCs w:val="20"/>
        </w:rPr>
        <w:t xml:space="preserve">plead guilty </w:t>
      </w:r>
      <w:r w:rsidR="00D24D7E">
        <w:rPr>
          <w:rFonts w:ascii="Arial" w:hAnsi="Arial" w:cs="Arial"/>
          <w:color w:val="000000"/>
          <w:sz w:val="20"/>
          <w:szCs w:val="20"/>
        </w:rPr>
        <w:t xml:space="preserve">at an early stage </w:t>
      </w:r>
      <w:r>
        <w:rPr>
          <w:rFonts w:ascii="Arial" w:hAnsi="Arial" w:cs="Arial"/>
          <w:color w:val="000000"/>
          <w:sz w:val="20"/>
          <w:szCs w:val="20"/>
        </w:rPr>
        <w:t xml:space="preserve">to intentionally causing injury to ND by cutting his cheek with a knife and manslaughter of LH by stabbing him twice to the chest with a knife – the accused and others left the scene without attempting to assist LH or call emergency services – accused showered and changed clothes – accused later apologised to ND about the incident – accused was intoxicated but aware that intoxication makes him violent – although accused had previously been imprisoned for offences of violence he had reasonable to good prospects of rehabilitation </w:t>
      </w:r>
      <w:r w:rsidR="00D24D7E">
        <w:rPr>
          <w:rFonts w:ascii="Arial" w:hAnsi="Arial" w:cs="Arial"/>
          <w:color w:val="000000"/>
          <w:sz w:val="20"/>
          <w:szCs w:val="20"/>
        </w:rPr>
        <w:t>–</w:t>
      </w:r>
      <w:r>
        <w:rPr>
          <w:rFonts w:ascii="Arial" w:hAnsi="Arial" w:cs="Arial"/>
          <w:color w:val="000000"/>
          <w:sz w:val="20"/>
          <w:szCs w:val="20"/>
        </w:rPr>
        <w:t xml:space="preserve"> </w:t>
      </w:r>
      <w:r w:rsidR="00D24D7E">
        <w:rPr>
          <w:rFonts w:ascii="Arial" w:hAnsi="Arial" w:cs="Arial"/>
          <w:color w:val="000000"/>
          <w:sz w:val="20"/>
          <w:szCs w:val="20"/>
        </w:rPr>
        <w:t>the accused’s intellectual disability and schizophrenia and the need to protect the community from the accused’s behaviour seen by Croucher J “as wholly offsetting each other” – TES IMP 11y/7½y [10½y for manslaughter, 1½y for intentionally causing injury of which 6m is cumulative].</w:t>
      </w:r>
    </w:p>
    <w:p w14:paraId="1FCAA510" w14:textId="7E5C8BD0" w:rsidR="00917E19" w:rsidRPr="00376447" w:rsidRDefault="00917E19" w:rsidP="00917E19">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Lovett </w:t>
      </w:r>
      <w:r w:rsidRPr="00917E19">
        <w:rPr>
          <w:rFonts w:ascii="Arial" w:hAnsi="Arial" w:cs="Arial"/>
          <w:color w:val="000000"/>
          <w:sz w:val="20"/>
          <w:szCs w:val="20"/>
        </w:rPr>
        <w:t>[2023] VSC 50 [</w:t>
      </w:r>
      <w:r>
        <w:rPr>
          <w:rFonts w:ascii="Arial" w:hAnsi="Arial" w:cs="Arial"/>
          <w:color w:val="000000"/>
          <w:sz w:val="20"/>
          <w:szCs w:val="20"/>
        </w:rPr>
        <w:t xml:space="preserve">Deceased was stabbed and gravely injured during an altercation with two others at the accused’s home – the </w:t>
      </w:r>
      <w:r w:rsidRPr="00917E19">
        <w:rPr>
          <w:rFonts w:ascii="Arial" w:hAnsi="Arial" w:cs="Arial"/>
          <w:sz w:val="20"/>
          <w:szCs w:val="20"/>
        </w:rPr>
        <w:t>47</w:t>
      </w:r>
      <w:r>
        <w:rPr>
          <w:rFonts w:ascii="Arial" w:hAnsi="Arial" w:cs="Arial"/>
          <w:sz w:val="20"/>
          <w:szCs w:val="20"/>
        </w:rPr>
        <w:t xml:space="preserve"> year old accused</w:t>
      </w:r>
      <w:r w:rsidRPr="00917E19">
        <w:rPr>
          <w:rFonts w:ascii="Arial" w:hAnsi="Arial" w:cs="Arial"/>
          <w:sz w:val="20"/>
          <w:szCs w:val="20"/>
        </w:rPr>
        <w:t xml:space="preserve"> volunteered to take </w:t>
      </w:r>
      <w:r>
        <w:rPr>
          <w:rFonts w:ascii="Arial" w:hAnsi="Arial" w:cs="Arial"/>
          <w:sz w:val="20"/>
          <w:szCs w:val="20"/>
        </w:rPr>
        <w:t xml:space="preserve">the </w:t>
      </w:r>
      <w:r w:rsidRPr="00917E19">
        <w:rPr>
          <w:rFonts w:ascii="Arial" w:hAnsi="Arial" w:cs="Arial"/>
          <w:sz w:val="20"/>
          <w:szCs w:val="20"/>
        </w:rPr>
        <w:t xml:space="preserve">deceased to hospital by car but ultimately failed to do so — </w:t>
      </w:r>
      <w:r>
        <w:rPr>
          <w:rFonts w:ascii="Arial" w:hAnsi="Arial" w:cs="Arial"/>
          <w:sz w:val="20"/>
          <w:szCs w:val="20"/>
        </w:rPr>
        <w:t>i</w:t>
      </w:r>
      <w:r w:rsidRPr="00917E19">
        <w:rPr>
          <w:rFonts w:ascii="Arial" w:hAnsi="Arial" w:cs="Arial"/>
          <w:sz w:val="20"/>
          <w:szCs w:val="20"/>
        </w:rPr>
        <w:t xml:space="preserve">nstead, fearing unjust blame for stabbing, accused drove elsewhere — </w:t>
      </w:r>
      <w:r>
        <w:rPr>
          <w:rFonts w:ascii="Arial" w:hAnsi="Arial" w:cs="Arial"/>
          <w:sz w:val="20"/>
          <w:szCs w:val="20"/>
        </w:rPr>
        <w:t>d</w:t>
      </w:r>
      <w:r w:rsidRPr="00917E19">
        <w:rPr>
          <w:rFonts w:ascii="Arial" w:hAnsi="Arial" w:cs="Arial"/>
          <w:sz w:val="20"/>
          <w:szCs w:val="20"/>
        </w:rPr>
        <w:t xml:space="preserve">eceased died in car within undetermined period after accused set off — </w:t>
      </w:r>
      <w:r>
        <w:rPr>
          <w:rFonts w:ascii="Arial" w:hAnsi="Arial" w:cs="Arial"/>
          <w:sz w:val="20"/>
          <w:szCs w:val="20"/>
        </w:rPr>
        <w:t>a</w:t>
      </w:r>
      <w:r w:rsidRPr="00917E19">
        <w:rPr>
          <w:rFonts w:ascii="Arial" w:hAnsi="Arial" w:cs="Arial"/>
          <w:sz w:val="20"/>
          <w:szCs w:val="20"/>
        </w:rPr>
        <w:t xml:space="preserve">fter expiry of deceased, accused slept at friend’s premises for several hours, leaving body in car — </w:t>
      </w:r>
      <w:r>
        <w:rPr>
          <w:rFonts w:ascii="Arial" w:hAnsi="Arial" w:cs="Arial"/>
          <w:sz w:val="20"/>
          <w:szCs w:val="20"/>
        </w:rPr>
        <w:t>a</w:t>
      </w:r>
      <w:r w:rsidRPr="00917E19">
        <w:rPr>
          <w:rFonts w:ascii="Arial" w:hAnsi="Arial" w:cs="Arial"/>
          <w:sz w:val="20"/>
          <w:szCs w:val="20"/>
        </w:rPr>
        <w:t xml:space="preserve">ccused later attempted suicide by overdose of heroin, with body still in back seat of car — </w:t>
      </w:r>
      <w:r>
        <w:rPr>
          <w:rFonts w:ascii="Arial" w:hAnsi="Arial" w:cs="Arial"/>
          <w:sz w:val="20"/>
          <w:szCs w:val="20"/>
        </w:rPr>
        <w:t>a</w:t>
      </w:r>
      <w:r w:rsidRPr="00917E19">
        <w:rPr>
          <w:rFonts w:ascii="Arial" w:hAnsi="Arial" w:cs="Arial"/>
          <w:sz w:val="20"/>
          <w:szCs w:val="20"/>
        </w:rPr>
        <w:t xml:space="preserve">ccused </w:t>
      </w:r>
      <w:r>
        <w:rPr>
          <w:rFonts w:ascii="Arial" w:hAnsi="Arial" w:cs="Arial"/>
          <w:sz w:val="20"/>
          <w:szCs w:val="20"/>
        </w:rPr>
        <w:t xml:space="preserve">was </w:t>
      </w:r>
      <w:r w:rsidRPr="00917E19">
        <w:rPr>
          <w:rFonts w:ascii="Arial" w:hAnsi="Arial" w:cs="Arial"/>
          <w:sz w:val="20"/>
          <w:szCs w:val="20"/>
        </w:rPr>
        <w:t xml:space="preserve">originally charged with murder on basis he stabbed deceased — </w:t>
      </w:r>
      <w:r>
        <w:rPr>
          <w:rFonts w:ascii="Arial" w:hAnsi="Arial" w:cs="Arial"/>
          <w:sz w:val="20"/>
          <w:szCs w:val="20"/>
        </w:rPr>
        <w:t>there was a r</w:t>
      </w:r>
      <w:r w:rsidRPr="00917E19">
        <w:rPr>
          <w:rFonts w:ascii="Arial" w:hAnsi="Arial" w:cs="Arial"/>
          <w:sz w:val="20"/>
          <w:szCs w:val="20"/>
        </w:rPr>
        <w:t xml:space="preserve">ival suspect for stabbing </w:t>
      </w:r>
      <w:r>
        <w:rPr>
          <w:rFonts w:ascii="Arial" w:hAnsi="Arial" w:cs="Arial"/>
          <w:sz w:val="20"/>
          <w:szCs w:val="20"/>
        </w:rPr>
        <w:t xml:space="preserve"> and the p</w:t>
      </w:r>
      <w:r w:rsidRPr="00917E19">
        <w:rPr>
          <w:rFonts w:ascii="Arial" w:hAnsi="Arial" w:cs="Arial"/>
          <w:sz w:val="20"/>
          <w:szCs w:val="20"/>
        </w:rPr>
        <w:t xml:space="preserve">rosecution </w:t>
      </w:r>
      <w:r>
        <w:rPr>
          <w:rFonts w:ascii="Arial" w:hAnsi="Arial" w:cs="Arial"/>
          <w:sz w:val="20"/>
          <w:szCs w:val="20"/>
        </w:rPr>
        <w:t xml:space="preserve">was </w:t>
      </w:r>
      <w:r w:rsidRPr="00917E19">
        <w:rPr>
          <w:rFonts w:ascii="Arial" w:hAnsi="Arial" w:cs="Arial"/>
          <w:sz w:val="20"/>
          <w:szCs w:val="20"/>
        </w:rPr>
        <w:t xml:space="preserve">unable to establish who stabbed deceased — </w:t>
      </w:r>
      <w:r w:rsidR="00B13175">
        <w:rPr>
          <w:rFonts w:ascii="Arial" w:hAnsi="Arial" w:cs="Arial"/>
          <w:sz w:val="20"/>
          <w:szCs w:val="20"/>
        </w:rPr>
        <w:t>n</w:t>
      </w:r>
      <w:r w:rsidRPr="00917E19">
        <w:rPr>
          <w:rFonts w:ascii="Arial" w:hAnsi="Arial" w:cs="Arial"/>
          <w:sz w:val="20"/>
          <w:szCs w:val="20"/>
        </w:rPr>
        <w:t xml:space="preserve">o medical evidence deceased would have survived if treated promptly — </w:t>
      </w:r>
      <w:r w:rsidR="00B13175">
        <w:rPr>
          <w:rFonts w:ascii="Arial" w:hAnsi="Arial" w:cs="Arial"/>
          <w:sz w:val="20"/>
          <w:szCs w:val="20"/>
        </w:rPr>
        <w:t>3</w:t>
      </w:r>
      <w:r w:rsidRPr="00917E19">
        <w:rPr>
          <w:rFonts w:ascii="Arial" w:hAnsi="Arial" w:cs="Arial"/>
          <w:sz w:val="20"/>
          <w:szCs w:val="20"/>
        </w:rPr>
        <w:t xml:space="preserve"> years after initial charge, accused nevertheless offered, and Director accepted, plea of guilty to manslaughter by negligent failure to take deceased to hospital — </w:t>
      </w:r>
      <w:r w:rsidR="00B13175">
        <w:rPr>
          <w:rFonts w:ascii="Arial" w:hAnsi="Arial" w:cs="Arial"/>
          <w:sz w:val="20"/>
          <w:szCs w:val="20"/>
        </w:rPr>
        <w:t>n</w:t>
      </w:r>
      <w:r w:rsidRPr="00917E19">
        <w:rPr>
          <w:rFonts w:ascii="Arial" w:hAnsi="Arial" w:cs="Arial"/>
          <w:sz w:val="20"/>
          <w:szCs w:val="20"/>
        </w:rPr>
        <w:t xml:space="preserve">o lawful conviction without plea of guilty — </w:t>
      </w:r>
      <w:r w:rsidR="00B13175">
        <w:rPr>
          <w:rFonts w:ascii="Arial" w:hAnsi="Arial" w:cs="Arial"/>
          <w:sz w:val="20"/>
          <w:szCs w:val="20"/>
        </w:rPr>
        <w:t>a</w:t>
      </w:r>
      <w:r w:rsidRPr="00917E19">
        <w:rPr>
          <w:rFonts w:ascii="Arial" w:hAnsi="Arial" w:cs="Arial"/>
          <w:sz w:val="20"/>
          <w:szCs w:val="20"/>
        </w:rPr>
        <w:t xml:space="preserve">dmissions — </w:t>
      </w:r>
      <w:r w:rsidR="00B13175">
        <w:rPr>
          <w:rFonts w:ascii="Arial" w:hAnsi="Arial" w:cs="Arial"/>
          <w:sz w:val="20"/>
          <w:szCs w:val="20"/>
        </w:rPr>
        <w:t>r</w:t>
      </w:r>
      <w:r w:rsidRPr="00917E19">
        <w:rPr>
          <w:rFonts w:ascii="Arial" w:hAnsi="Arial" w:cs="Arial"/>
          <w:sz w:val="20"/>
          <w:szCs w:val="20"/>
        </w:rPr>
        <w:t xml:space="preserve">emorse — </w:t>
      </w:r>
      <w:r w:rsidR="00B13175">
        <w:rPr>
          <w:rFonts w:ascii="Arial" w:hAnsi="Arial" w:cs="Arial"/>
          <w:sz w:val="20"/>
          <w:szCs w:val="20"/>
        </w:rPr>
        <w:t>d</w:t>
      </w:r>
      <w:r w:rsidRPr="00917E19">
        <w:rPr>
          <w:rFonts w:ascii="Arial" w:hAnsi="Arial" w:cs="Arial"/>
          <w:sz w:val="20"/>
          <w:szCs w:val="20"/>
        </w:rPr>
        <w:t xml:space="preserve">elay — </w:t>
      </w:r>
      <w:r w:rsidR="00B13175">
        <w:rPr>
          <w:rFonts w:ascii="Arial" w:hAnsi="Arial" w:cs="Arial"/>
          <w:sz w:val="20"/>
          <w:szCs w:val="20"/>
        </w:rPr>
        <w:t>e</w:t>
      </w:r>
      <w:r w:rsidRPr="00917E19">
        <w:rPr>
          <w:rFonts w:ascii="Arial" w:hAnsi="Arial" w:cs="Arial"/>
          <w:sz w:val="20"/>
          <w:szCs w:val="20"/>
        </w:rPr>
        <w:t xml:space="preserve">xtensive history of offending, drug abuse and poor mental health — </w:t>
      </w:r>
      <w:r w:rsidR="00B13175">
        <w:rPr>
          <w:rFonts w:ascii="Arial" w:hAnsi="Arial" w:cs="Arial"/>
          <w:sz w:val="20"/>
          <w:szCs w:val="20"/>
        </w:rPr>
        <w:lastRenderedPageBreak/>
        <w:t>a</w:t>
      </w:r>
      <w:r w:rsidRPr="00917E19">
        <w:rPr>
          <w:rFonts w:ascii="Arial" w:hAnsi="Arial" w:cs="Arial"/>
          <w:sz w:val="20"/>
          <w:szCs w:val="20"/>
        </w:rPr>
        <w:t xml:space="preserve">ppalling deprivation in early life — </w:t>
      </w:r>
      <w:r w:rsidR="00B13175">
        <w:rPr>
          <w:rFonts w:ascii="Arial" w:hAnsi="Arial" w:cs="Arial"/>
          <w:sz w:val="20"/>
          <w:szCs w:val="20"/>
        </w:rPr>
        <w:t>r</w:t>
      </w:r>
      <w:r w:rsidRPr="00917E19">
        <w:rPr>
          <w:rFonts w:ascii="Arial" w:hAnsi="Arial" w:cs="Arial"/>
          <w:sz w:val="20"/>
          <w:szCs w:val="20"/>
        </w:rPr>
        <w:t xml:space="preserve">easonable prospects of rehabilitation — </w:t>
      </w:r>
      <w:r w:rsidR="00B13175">
        <w:rPr>
          <w:rFonts w:ascii="Arial" w:hAnsi="Arial" w:cs="Arial"/>
          <w:sz w:val="20"/>
          <w:szCs w:val="20"/>
        </w:rPr>
        <w:t>h</w:t>
      </w:r>
      <w:r w:rsidRPr="00917E19">
        <w:rPr>
          <w:rFonts w:ascii="Arial" w:hAnsi="Arial" w:cs="Arial"/>
          <w:sz w:val="20"/>
          <w:szCs w:val="20"/>
        </w:rPr>
        <w:t xml:space="preserve">ardship of prison conditions during pandemic — </w:t>
      </w:r>
      <w:r w:rsidR="00B13175">
        <w:rPr>
          <w:rFonts w:ascii="Arial" w:hAnsi="Arial" w:cs="Arial"/>
          <w:sz w:val="20"/>
          <w:szCs w:val="20"/>
        </w:rPr>
        <w:t>IMP 5y/3½y</w:t>
      </w:r>
      <w:r w:rsidR="00376447">
        <w:rPr>
          <w:rFonts w:ascii="Arial" w:hAnsi="Arial" w:cs="Arial"/>
          <w:sz w:val="20"/>
          <w:szCs w:val="20"/>
        </w:rPr>
        <w:t>]</w:t>
      </w:r>
      <w:r w:rsidR="00B13175">
        <w:rPr>
          <w:rFonts w:ascii="Arial" w:hAnsi="Arial" w:cs="Arial"/>
          <w:sz w:val="20"/>
          <w:szCs w:val="20"/>
        </w:rPr>
        <w:t>.</w:t>
      </w:r>
    </w:p>
    <w:p w14:paraId="6AC5B1BB" w14:textId="77C4F2C6" w:rsidR="00376447" w:rsidRPr="00EB38EE" w:rsidRDefault="00376447"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Bos </w:t>
      </w:r>
      <w:r w:rsidRPr="00376447">
        <w:rPr>
          <w:rFonts w:ascii="Arial" w:hAnsi="Arial" w:cs="Arial"/>
          <w:color w:val="000000"/>
          <w:sz w:val="20"/>
          <w:szCs w:val="20"/>
        </w:rPr>
        <w:t>[2023] VSC 68 [</w:t>
      </w:r>
      <w:r>
        <w:rPr>
          <w:rFonts w:ascii="Arial" w:hAnsi="Arial" w:cs="Arial"/>
          <w:color w:val="000000"/>
          <w:sz w:val="20"/>
          <w:szCs w:val="20"/>
        </w:rPr>
        <w:t>Following a sentence indication accused pleaded guilty to manslaughter by unlawful and dangerous act – accused agreed that co-accused would assault her boyfriend to make him leave town and gave information to the co-accused to facilitate the ambush of the deceased – a</w:t>
      </w:r>
      <w:r w:rsidRPr="00376447">
        <w:rPr>
          <w:rFonts w:ascii="Arial" w:hAnsi="Arial" w:cs="Arial"/>
          <w:sz w:val="20"/>
          <w:szCs w:val="20"/>
        </w:rPr>
        <w:t>ccused</w:t>
      </w:r>
      <w:r>
        <w:rPr>
          <w:rFonts w:ascii="Arial" w:hAnsi="Arial" w:cs="Arial"/>
          <w:sz w:val="20"/>
          <w:szCs w:val="20"/>
        </w:rPr>
        <w:t xml:space="preserve"> was</w:t>
      </w:r>
      <w:r w:rsidRPr="00376447">
        <w:rPr>
          <w:rFonts w:ascii="Arial" w:hAnsi="Arial" w:cs="Arial"/>
          <w:sz w:val="20"/>
          <w:szCs w:val="20"/>
        </w:rPr>
        <w:t xml:space="preserve"> aware </w:t>
      </w:r>
      <w:r>
        <w:rPr>
          <w:rFonts w:ascii="Arial" w:hAnsi="Arial" w:cs="Arial"/>
          <w:sz w:val="20"/>
          <w:szCs w:val="20"/>
        </w:rPr>
        <w:t xml:space="preserve">it was </w:t>
      </w:r>
      <w:r w:rsidRPr="00376447">
        <w:rPr>
          <w:rFonts w:ascii="Arial" w:hAnsi="Arial" w:cs="Arial"/>
          <w:sz w:val="20"/>
          <w:szCs w:val="20"/>
        </w:rPr>
        <w:t xml:space="preserve">probable co-accused would commit </w:t>
      </w:r>
      <w:r>
        <w:rPr>
          <w:rFonts w:ascii="Arial" w:hAnsi="Arial" w:cs="Arial"/>
          <w:sz w:val="20"/>
          <w:szCs w:val="20"/>
        </w:rPr>
        <w:t xml:space="preserve">a </w:t>
      </w:r>
      <w:r w:rsidRPr="00376447">
        <w:rPr>
          <w:rFonts w:ascii="Arial" w:hAnsi="Arial" w:cs="Arial"/>
          <w:sz w:val="20"/>
          <w:szCs w:val="20"/>
        </w:rPr>
        <w:t xml:space="preserve">more serious assault in course of agreed assault, but did not contemplate killing, extreme gravity of assault or carrying or use of weapons by co-accused — </w:t>
      </w:r>
      <w:r>
        <w:rPr>
          <w:rFonts w:ascii="Arial" w:hAnsi="Arial" w:cs="Arial"/>
          <w:sz w:val="20"/>
          <w:szCs w:val="20"/>
        </w:rPr>
        <w:t>c</w:t>
      </w:r>
      <w:r w:rsidRPr="00376447">
        <w:rPr>
          <w:rFonts w:ascii="Arial" w:hAnsi="Arial" w:cs="Arial"/>
          <w:sz w:val="20"/>
          <w:szCs w:val="20"/>
        </w:rPr>
        <w:t xml:space="preserve">o-accused assaulted deceased brutally and repeatedly with hammer and knife, killing him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not present at attack —</w:t>
      </w:r>
      <w:r>
        <w:rPr>
          <w:rFonts w:ascii="Arial" w:hAnsi="Arial" w:cs="Arial"/>
          <w:sz w:val="20"/>
          <w:szCs w:val="20"/>
        </w:rPr>
        <w:t>d</w:t>
      </w:r>
      <w:r w:rsidRPr="00376447">
        <w:rPr>
          <w:rFonts w:ascii="Arial" w:hAnsi="Arial" w:cs="Arial"/>
          <w:sz w:val="20"/>
          <w:szCs w:val="20"/>
        </w:rPr>
        <w:t xml:space="preserve">eceased </w:t>
      </w:r>
      <w:r>
        <w:rPr>
          <w:rFonts w:ascii="Arial" w:hAnsi="Arial" w:cs="Arial"/>
          <w:sz w:val="20"/>
          <w:szCs w:val="20"/>
        </w:rPr>
        <w:t xml:space="preserve">had been </w:t>
      </w:r>
      <w:r w:rsidRPr="00376447">
        <w:rPr>
          <w:rFonts w:ascii="Arial" w:hAnsi="Arial" w:cs="Arial"/>
          <w:sz w:val="20"/>
          <w:szCs w:val="20"/>
        </w:rPr>
        <w:t xml:space="preserve">nasty to accused, but not violent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 xml:space="preserve">psychologically vulnerable — </w:t>
      </w:r>
      <w:r>
        <w:rPr>
          <w:rFonts w:ascii="Arial" w:hAnsi="Arial" w:cs="Arial"/>
          <w:sz w:val="20"/>
          <w:szCs w:val="20"/>
        </w:rPr>
        <w:t>a</w:t>
      </w:r>
      <w:r w:rsidRPr="00376447">
        <w:rPr>
          <w:rFonts w:ascii="Arial" w:hAnsi="Arial" w:cs="Arial"/>
          <w:sz w:val="20"/>
          <w:szCs w:val="20"/>
        </w:rPr>
        <w:t xml:space="preserve">ccused’s offence </w:t>
      </w:r>
      <w:r>
        <w:rPr>
          <w:rFonts w:ascii="Arial" w:hAnsi="Arial" w:cs="Arial"/>
          <w:sz w:val="20"/>
          <w:szCs w:val="20"/>
        </w:rPr>
        <w:t xml:space="preserve">was </w:t>
      </w:r>
      <w:r w:rsidRPr="00376447">
        <w:rPr>
          <w:rFonts w:ascii="Arial" w:hAnsi="Arial" w:cs="Arial"/>
          <w:sz w:val="20"/>
          <w:szCs w:val="20"/>
        </w:rPr>
        <w:t xml:space="preserve">serious, but less so than many other manslaughters — </w:t>
      </w:r>
      <w:r>
        <w:rPr>
          <w:rFonts w:ascii="Arial" w:hAnsi="Arial" w:cs="Arial"/>
          <w:sz w:val="20"/>
          <w:szCs w:val="20"/>
        </w:rPr>
        <w:t>g</w:t>
      </w:r>
      <w:r w:rsidRPr="00376447">
        <w:rPr>
          <w:rFonts w:ascii="Arial" w:hAnsi="Arial" w:cs="Arial"/>
          <w:sz w:val="20"/>
          <w:szCs w:val="20"/>
        </w:rPr>
        <w:t xml:space="preserve">uilty plea despite arguable defence based on co-accused’s radical departure from agreement — </w:t>
      </w:r>
      <w:r>
        <w:rPr>
          <w:rFonts w:ascii="Arial" w:hAnsi="Arial" w:cs="Arial"/>
          <w:sz w:val="20"/>
          <w:szCs w:val="20"/>
        </w:rPr>
        <w:t>r</w:t>
      </w:r>
      <w:r w:rsidRPr="00376447">
        <w:rPr>
          <w:rFonts w:ascii="Arial" w:hAnsi="Arial" w:cs="Arial"/>
          <w:sz w:val="20"/>
          <w:szCs w:val="20"/>
        </w:rPr>
        <w:t xml:space="preserve">emorse — </w:t>
      </w:r>
      <w:r>
        <w:rPr>
          <w:rFonts w:ascii="Arial" w:hAnsi="Arial" w:cs="Arial"/>
          <w:sz w:val="20"/>
          <w:szCs w:val="20"/>
        </w:rPr>
        <w:t>n</w:t>
      </w:r>
      <w:r w:rsidRPr="00376447">
        <w:rPr>
          <w:rFonts w:ascii="Arial" w:hAnsi="Arial" w:cs="Arial"/>
          <w:sz w:val="20"/>
          <w:szCs w:val="20"/>
        </w:rPr>
        <w:t xml:space="preserve">o prior convictions </w:t>
      </w:r>
      <w:r>
        <w:rPr>
          <w:rFonts w:ascii="Arial" w:hAnsi="Arial" w:cs="Arial"/>
          <w:sz w:val="20"/>
          <w:szCs w:val="20"/>
        </w:rPr>
        <w:t xml:space="preserve"> and e</w:t>
      </w:r>
      <w:r w:rsidRPr="00376447">
        <w:rPr>
          <w:rFonts w:ascii="Arial" w:hAnsi="Arial" w:cs="Arial"/>
          <w:sz w:val="20"/>
          <w:szCs w:val="20"/>
        </w:rPr>
        <w:t xml:space="preserve">xcellent prospects of rehabilitation — </w:t>
      </w:r>
      <w:r>
        <w:rPr>
          <w:rFonts w:ascii="Arial" w:hAnsi="Arial" w:cs="Arial"/>
          <w:sz w:val="20"/>
          <w:szCs w:val="20"/>
        </w:rPr>
        <w:t>h</w:t>
      </w:r>
      <w:r w:rsidRPr="00376447">
        <w:rPr>
          <w:rFonts w:ascii="Arial" w:hAnsi="Arial" w:cs="Arial"/>
          <w:sz w:val="20"/>
          <w:szCs w:val="20"/>
        </w:rPr>
        <w:t xml:space="preserve">ardship of prison conditions during pandemic — </w:t>
      </w:r>
      <w:r>
        <w:rPr>
          <w:rFonts w:ascii="Arial" w:hAnsi="Arial" w:cs="Arial"/>
          <w:sz w:val="20"/>
          <w:szCs w:val="20"/>
        </w:rPr>
        <w:t>p</w:t>
      </w:r>
      <w:r w:rsidRPr="00376447">
        <w:rPr>
          <w:rFonts w:ascii="Arial" w:hAnsi="Arial" w:cs="Arial"/>
          <w:sz w:val="20"/>
          <w:szCs w:val="20"/>
        </w:rPr>
        <w:t>rison likely to worsen accused’s mental state —</w:t>
      </w:r>
      <w:r>
        <w:rPr>
          <w:rFonts w:ascii="Arial" w:hAnsi="Arial" w:cs="Arial"/>
          <w:sz w:val="20"/>
          <w:szCs w:val="20"/>
        </w:rPr>
        <w:t xml:space="preserve"> IMP6y3m/3y3m (which was 3m shorter than indicated in an earlier sentence indication].</w:t>
      </w:r>
    </w:p>
    <w:p w14:paraId="1D6AD38E" w14:textId="315476CA" w:rsidR="00EB38EE" w:rsidRDefault="00EB38EE"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Griffith (sentence) </w:t>
      </w:r>
      <w:r w:rsidR="00ED499A" w:rsidRPr="00ED499A">
        <w:rPr>
          <w:rFonts w:ascii="Arial" w:hAnsi="Arial" w:cs="Arial"/>
          <w:color w:val="000000"/>
          <w:sz w:val="20"/>
          <w:szCs w:val="20"/>
        </w:rPr>
        <w:t>[2023] VSC 21</w:t>
      </w:r>
      <w:r w:rsidR="000A40DD">
        <w:rPr>
          <w:rFonts w:ascii="Arial" w:hAnsi="Arial" w:cs="Arial"/>
          <w:color w:val="000000"/>
          <w:sz w:val="20"/>
          <w:szCs w:val="20"/>
        </w:rPr>
        <w:t>8</w:t>
      </w:r>
      <w:r w:rsidR="00ED499A" w:rsidRPr="00ED499A">
        <w:rPr>
          <w:rFonts w:ascii="Arial" w:hAnsi="Arial" w:cs="Arial"/>
          <w:color w:val="000000"/>
          <w:sz w:val="20"/>
          <w:szCs w:val="20"/>
        </w:rPr>
        <w:t xml:space="preserve"> [</w:t>
      </w:r>
      <w:r w:rsidR="00294365">
        <w:rPr>
          <w:rFonts w:ascii="Arial" w:hAnsi="Arial" w:cs="Arial"/>
          <w:color w:val="000000"/>
          <w:sz w:val="20"/>
          <w:szCs w:val="20"/>
        </w:rPr>
        <w:t xml:space="preserve">Jury verdict of manslaughter by unlawful and dangerous act </w:t>
      </w:r>
      <w:r w:rsidR="004838D2">
        <w:rPr>
          <w:rFonts w:ascii="Arial" w:hAnsi="Arial" w:cs="Arial"/>
          <w:color w:val="000000"/>
          <w:sz w:val="20"/>
          <w:szCs w:val="20"/>
        </w:rPr>
        <w:t>–</w:t>
      </w:r>
      <w:r w:rsidR="00294365">
        <w:rPr>
          <w:rFonts w:ascii="Arial" w:hAnsi="Arial" w:cs="Arial"/>
          <w:color w:val="000000"/>
          <w:sz w:val="20"/>
          <w:szCs w:val="20"/>
        </w:rPr>
        <w:t xml:space="preserve"> </w:t>
      </w:r>
      <w:r w:rsidR="004838D2">
        <w:rPr>
          <w:rFonts w:ascii="Arial" w:hAnsi="Arial" w:cs="Arial"/>
          <w:color w:val="000000"/>
          <w:sz w:val="20"/>
          <w:szCs w:val="20"/>
        </w:rPr>
        <w:t xml:space="preserve">unprovoked assault involving multiple punches to the head of an innocent victim who was older and smaller than the offender – Offender had a substantial criminal record including multiple convictions for offences of violence </w:t>
      </w:r>
      <w:r w:rsidR="00690A6A">
        <w:rPr>
          <w:rFonts w:ascii="Arial" w:hAnsi="Arial" w:cs="Arial"/>
          <w:color w:val="000000"/>
          <w:sz w:val="20"/>
          <w:szCs w:val="20"/>
        </w:rPr>
        <w:t xml:space="preserve">– limited remorse and guarded prospects of rehabilitation – difficult circumstances in custody </w:t>
      </w:r>
      <w:r w:rsidR="009A1293">
        <w:rPr>
          <w:rFonts w:ascii="Arial" w:hAnsi="Arial" w:cs="Arial"/>
          <w:color w:val="000000"/>
          <w:sz w:val="20"/>
          <w:szCs w:val="20"/>
        </w:rPr>
        <w:t>due to COVID-19 restrictions – IMP10y/</w:t>
      </w:r>
      <w:r w:rsidR="000A40DD">
        <w:rPr>
          <w:rFonts w:ascii="Arial" w:hAnsi="Arial" w:cs="Arial"/>
          <w:color w:val="000000"/>
          <w:sz w:val="20"/>
          <w:szCs w:val="20"/>
        </w:rPr>
        <w:t>7y].</w:t>
      </w:r>
    </w:p>
    <w:p w14:paraId="66876DF6" w14:textId="6FC63D48" w:rsidR="000A40DD" w:rsidRDefault="00826770" w:rsidP="00376447">
      <w:pPr>
        <w:numPr>
          <w:ilvl w:val="0"/>
          <w:numId w:val="76"/>
        </w:numPr>
        <w:ind w:left="357" w:hanging="357"/>
        <w:jc w:val="both"/>
        <w:rPr>
          <w:rFonts w:ascii="Arial" w:hAnsi="Arial" w:cs="Arial"/>
          <w:color w:val="000000"/>
          <w:sz w:val="20"/>
          <w:szCs w:val="20"/>
        </w:rPr>
      </w:pPr>
      <w:r w:rsidRPr="00C05C5F">
        <w:rPr>
          <w:rFonts w:ascii="Arial" w:hAnsi="Arial" w:cs="Arial"/>
          <w:i/>
          <w:iCs/>
          <w:color w:val="000000"/>
          <w:sz w:val="20"/>
          <w:szCs w:val="20"/>
        </w:rPr>
        <w:t>R v Guillerme</w:t>
      </w:r>
      <w:r>
        <w:rPr>
          <w:rFonts w:ascii="Arial" w:hAnsi="Arial" w:cs="Arial"/>
          <w:color w:val="000000"/>
          <w:sz w:val="20"/>
          <w:szCs w:val="20"/>
        </w:rPr>
        <w:t xml:space="preserve"> [2023] VSC 36 </w:t>
      </w:r>
      <w:r w:rsidR="00C05C5F">
        <w:rPr>
          <w:rFonts w:ascii="Arial" w:hAnsi="Arial" w:cs="Arial"/>
          <w:color w:val="000000"/>
          <w:sz w:val="20"/>
          <w:szCs w:val="20"/>
        </w:rPr>
        <w:t>[</w:t>
      </w:r>
      <w:r w:rsidR="00C05C5F" w:rsidRPr="00C05C5F">
        <w:rPr>
          <w:rFonts w:ascii="Arial" w:hAnsi="Arial" w:cs="Arial"/>
          <w:color w:val="000000"/>
          <w:sz w:val="20"/>
          <w:szCs w:val="20"/>
        </w:rPr>
        <w:t xml:space="preserve">Sentence following sentence indication — Manslaughter by unlawful and dangerous act — Statutory complicity — On pretext, accused lured deceased to remote location into clutches of two co-accused believing they would “kick the shit out of him” — Co-accused sent accused down road to wait while they took deceased into bush at gunpoint — Deceased not kicked, bashed or shot by co-accused — Instead, on prosecution case, deceased murdered by administration of GHB — Accused absent when drugging and death occurred — Accused did not contemplate killing or means by which effected — Deceased’s partly decomposed body discovered in bush five weeks later — Accused pleaded guilty despite arguable defence based on co-accused’s departure from agreement — Remorse — No history of violence — Limited criminal history — Undertaking to give evidence against two co-accused at murder trial — Excellent prospects of rehabilitation — Return to prison likely to restore accused’s prior depression — Hardship of prison conditions during pandemic — </w:t>
      </w:r>
      <w:r w:rsidR="003B2EA7">
        <w:rPr>
          <w:rFonts w:ascii="Arial" w:hAnsi="Arial" w:cs="Arial"/>
          <w:color w:val="000000"/>
          <w:sz w:val="20"/>
          <w:szCs w:val="20"/>
        </w:rPr>
        <w:t>IMP3½y/15m (less severe than indicated at</w:t>
      </w:r>
      <w:r w:rsidR="00B138CF">
        <w:rPr>
          <w:rFonts w:ascii="Arial" w:hAnsi="Arial" w:cs="Arial"/>
          <w:color w:val="000000"/>
          <w:sz w:val="20"/>
          <w:szCs w:val="20"/>
        </w:rPr>
        <w:t xml:space="preserve"> sentence indication – But for plea of guilty a</w:t>
      </w:r>
      <w:r w:rsidR="00554B06">
        <w:rPr>
          <w:rFonts w:ascii="Arial" w:hAnsi="Arial" w:cs="Arial"/>
          <w:color w:val="000000"/>
          <w:sz w:val="20"/>
          <w:szCs w:val="20"/>
        </w:rPr>
        <w:t>n</w:t>
      </w:r>
      <w:r w:rsidR="00B138CF">
        <w:rPr>
          <w:rFonts w:ascii="Arial" w:hAnsi="Arial" w:cs="Arial"/>
          <w:color w:val="000000"/>
          <w:sz w:val="20"/>
          <w:szCs w:val="20"/>
        </w:rPr>
        <w:t>d undertaking to assist authorities IMP</w:t>
      </w:r>
      <w:r w:rsidR="00554B06">
        <w:rPr>
          <w:rFonts w:ascii="Arial" w:hAnsi="Arial" w:cs="Arial"/>
          <w:color w:val="000000"/>
          <w:sz w:val="20"/>
          <w:szCs w:val="20"/>
        </w:rPr>
        <w:t>8½y/6y – Plea of guilty without undertaking to assist</w:t>
      </w:r>
      <w:r w:rsidR="00CB5F44">
        <w:rPr>
          <w:rFonts w:ascii="Arial" w:hAnsi="Arial" w:cs="Arial"/>
          <w:color w:val="000000"/>
          <w:sz w:val="20"/>
          <w:szCs w:val="20"/>
        </w:rPr>
        <w:t xml:space="preserve"> IMP6y/3y</w:t>
      </w:r>
      <w:r w:rsidR="000767AE">
        <w:rPr>
          <w:rFonts w:ascii="Arial" w:hAnsi="Arial" w:cs="Arial"/>
          <w:color w:val="000000"/>
          <w:sz w:val="20"/>
          <w:szCs w:val="20"/>
        </w:rPr>
        <w:t>]</w:t>
      </w:r>
      <w:r w:rsidR="00CB5F44">
        <w:rPr>
          <w:rFonts w:ascii="Arial" w:hAnsi="Arial" w:cs="Arial"/>
          <w:color w:val="000000"/>
          <w:sz w:val="20"/>
          <w:szCs w:val="20"/>
        </w:rPr>
        <w:t>.</w:t>
      </w:r>
    </w:p>
    <w:p w14:paraId="6B9EA8CB" w14:textId="243D0863" w:rsidR="00012232" w:rsidRDefault="00012232" w:rsidP="00376447">
      <w:pPr>
        <w:numPr>
          <w:ilvl w:val="0"/>
          <w:numId w:val="76"/>
        </w:numPr>
        <w:ind w:left="357" w:hanging="357"/>
        <w:jc w:val="both"/>
        <w:rPr>
          <w:rFonts w:ascii="Arial" w:hAnsi="Arial" w:cs="Arial"/>
          <w:color w:val="000000"/>
          <w:sz w:val="20"/>
          <w:szCs w:val="20"/>
        </w:rPr>
      </w:pPr>
      <w:r w:rsidRPr="00245312">
        <w:rPr>
          <w:rFonts w:ascii="Arial" w:hAnsi="Arial" w:cs="Arial"/>
          <w:i/>
          <w:iCs/>
          <w:color w:val="000000"/>
          <w:sz w:val="20"/>
          <w:szCs w:val="20"/>
        </w:rPr>
        <w:t>DPP v Clark</w:t>
      </w:r>
      <w:r>
        <w:rPr>
          <w:rFonts w:ascii="Arial" w:hAnsi="Arial" w:cs="Arial"/>
          <w:color w:val="000000"/>
          <w:sz w:val="20"/>
          <w:szCs w:val="20"/>
        </w:rPr>
        <w:t xml:space="preserve"> [2023] VSC 220 [Sentence </w:t>
      </w:r>
      <w:r w:rsidR="0072093E">
        <w:rPr>
          <w:rFonts w:ascii="Arial" w:hAnsi="Arial" w:cs="Arial"/>
          <w:color w:val="000000"/>
          <w:sz w:val="20"/>
          <w:szCs w:val="20"/>
        </w:rPr>
        <w:t xml:space="preserve">following a relatively early plea – 64 year old deceased initiated two verbal confrontations with the 27 year old offender </w:t>
      </w:r>
      <w:r w:rsidR="007977BE">
        <w:rPr>
          <w:rFonts w:ascii="Arial" w:hAnsi="Arial" w:cs="Arial"/>
          <w:color w:val="000000"/>
          <w:sz w:val="20"/>
          <w:szCs w:val="20"/>
        </w:rPr>
        <w:t xml:space="preserve">who punched deceased 3 or 4 times, including whilst unconscious – </w:t>
      </w:r>
      <w:r w:rsidR="0072093E">
        <w:rPr>
          <w:rFonts w:ascii="Arial" w:hAnsi="Arial" w:cs="Arial"/>
          <w:color w:val="000000"/>
          <w:sz w:val="20"/>
          <w:szCs w:val="20"/>
        </w:rPr>
        <w:t>prospects</w:t>
      </w:r>
      <w:r w:rsidR="007977BE">
        <w:rPr>
          <w:rFonts w:ascii="Arial" w:hAnsi="Arial" w:cs="Arial"/>
          <w:color w:val="000000"/>
          <w:sz w:val="20"/>
          <w:szCs w:val="20"/>
        </w:rPr>
        <w:t xml:space="preserve"> </w:t>
      </w:r>
      <w:r w:rsidR="0072093E">
        <w:rPr>
          <w:rFonts w:ascii="Arial" w:hAnsi="Arial" w:cs="Arial"/>
          <w:color w:val="000000"/>
          <w:sz w:val="20"/>
          <w:szCs w:val="20"/>
        </w:rPr>
        <w:t>of rehabilitation – IMP8y/5y</w:t>
      </w:r>
      <w:r w:rsidR="00245312">
        <w:rPr>
          <w:rFonts w:ascii="Arial" w:hAnsi="Arial" w:cs="Arial"/>
          <w:color w:val="000000"/>
          <w:sz w:val="20"/>
          <w:szCs w:val="20"/>
        </w:rPr>
        <w:t>].</w:t>
      </w:r>
    </w:p>
    <w:p w14:paraId="4D19FEDA" w14:textId="05D2210E" w:rsidR="004E3353" w:rsidRDefault="004E33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Newell </w:t>
      </w:r>
      <w:r w:rsidRPr="004E3353">
        <w:rPr>
          <w:rFonts w:ascii="Arial" w:hAnsi="Arial" w:cs="Arial"/>
          <w:color w:val="000000"/>
          <w:sz w:val="20"/>
          <w:szCs w:val="20"/>
        </w:rPr>
        <w:t>[2023] VSC 237 [Sentence following</w:t>
      </w:r>
      <w:r>
        <w:rPr>
          <w:rFonts w:ascii="Arial" w:hAnsi="Arial" w:cs="Arial"/>
          <w:i/>
          <w:iCs/>
          <w:color w:val="000000"/>
          <w:sz w:val="20"/>
          <w:szCs w:val="20"/>
        </w:rPr>
        <w:t xml:space="preserve"> </w:t>
      </w:r>
      <w:r w:rsidR="00363676" w:rsidRPr="0041343F">
        <w:rPr>
          <w:rFonts w:ascii="Arial" w:hAnsi="Arial" w:cs="Arial"/>
          <w:color w:val="000000"/>
          <w:sz w:val="20"/>
          <w:szCs w:val="20"/>
        </w:rPr>
        <w:t xml:space="preserve">a relatively early plea </w:t>
      </w:r>
      <w:r w:rsidR="0041343F">
        <w:rPr>
          <w:rFonts w:ascii="Arial" w:hAnsi="Arial" w:cs="Arial"/>
          <w:color w:val="000000"/>
          <w:sz w:val="20"/>
          <w:szCs w:val="20"/>
        </w:rPr>
        <w:t>–</w:t>
      </w:r>
      <w:r w:rsidR="0041343F" w:rsidRPr="0041343F">
        <w:rPr>
          <w:rFonts w:ascii="Arial" w:hAnsi="Arial" w:cs="Arial"/>
          <w:color w:val="000000"/>
          <w:sz w:val="20"/>
          <w:szCs w:val="20"/>
        </w:rPr>
        <w:t xml:space="preserve"> </w:t>
      </w:r>
      <w:r w:rsidR="0041343F">
        <w:rPr>
          <w:rFonts w:ascii="Arial" w:hAnsi="Arial" w:cs="Arial"/>
          <w:color w:val="000000"/>
          <w:sz w:val="20"/>
          <w:szCs w:val="20"/>
        </w:rPr>
        <w:t xml:space="preserve">25 year old offender </w:t>
      </w:r>
      <w:r w:rsidR="005F7D51">
        <w:rPr>
          <w:rFonts w:ascii="Arial" w:hAnsi="Arial" w:cs="Arial"/>
          <w:color w:val="000000"/>
          <w:sz w:val="20"/>
          <w:szCs w:val="20"/>
        </w:rPr>
        <w:t xml:space="preserve">with IQ of 59 </w:t>
      </w:r>
      <w:r w:rsidR="0041343F">
        <w:rPr>
          <w:rFonts w:ascii="Arial" w:hAnsi="Arial" w:cs="Arial"/>
          <w:color w:val="000000"/>
          <w:sz w:val="20"/>
          <w:szCs w:val="20"/>
        </w:rPr>
        <w:t xml:space="preserve">stabbed deceased </w:t>
      </w:r>
      <w:r w:rsidR="00947380">
        <w:rPr>
          <w:rFonts w:ascii="Arial" w:hAnsi="Arial" w:cs="Arial"/>
          <w:color w:val="000000"/>
          <w:sz w:val="20"/>
          <w:szCs w:val="20"/>
        </w:rPr>
        <w:t xml:space="preserve">three times </w:t>
      </w:r>
      <w:r w:rsidR="00973AC3">
        <w:rPr>
          <w:rFonts w:ascii="Arial" w:hAnsi="Arial" w:cs="Arial"/>
          <w:color w:val="000000"/>
          <w:sz w:val="20"/>
          <w:szCs w:val="20"/>
        </w:rPr>
        <w:t xml:space="preserve">in a ferocious but unpremeditated </w:t>
      </w:r>
      <w:r w:rsidR="003426C2">
        <w:rPr>
          <w:rFonts w:ascii="Arial" w:hAnsi="Arial" w:cs="Arial"/>
          <w:color w:val="000000"/>
          <w:sz w:val="20"/>
          <w:szCs w:val="20"/>
        </w:rPr>
        <w:t>intervention</w:t>
      </w:r>
      <w:r w:rsidR="00167690">
        <w:rPr>
          <w:rFonts w:ascii="Arial" w:hAnsi="Arial" w:cs="Arial"/>
          <w:color w:val="000000"/>
          <w:sz w:val="20"/>
          <w:szCs w:val="20"/>
        </w:rPr>
        <w:t xml:space="preserve"> </w:t>
      </w:r>
      <w:r w:rsidR="003426C2">
        <w:rPr>
          <w:rFonts w:ascii="Arial" w:hAnsi="Arial" w:cs="Arial"/>
          <w:color w:val="000000"/>
          <w:sz w:val="20"/>
          <w:szCs w:val="20"/>
        </w:rPr>
        <w:t>when</w:t>
      </w:r>
      <w:r w:rsidR="00167690">
        <w:rPr>
          <w:rFonts w:ascii="Arial" w:hAnsi="Arial" w:cs="Arial"/>
          <w:color w:val="000000"/>
          <w:sz w:val="20"/>
          <w:szCs w:val="20"/>
        </w:rPr>
        <w:t xml:space="preserve"> the deceased man was slapping </w:t>
      </w:r>
      <w:r w:rsidR="009A6152">
        <w:rPr>
          <w:rFonts w:ascii="Arial" w:hAnsi="Arial" w:cs="Arial"/>
          <w:color w:val="000000"/>
          <w:sz w:val="20"/>
          <w:szCs w:val="20"/>
        </w:rPr>
        <w:t xml:space="preserve">the deceased’s </w:t>
      </w:r>
      <w:r w:rsidR="00167690" w:rsidRPr="009A6152">
        <w:rPr>
          <w:rFonts w:ascii="Arial" w:hAnsi="Arial" w:cs="Arial"/>
          <w:color w:val="000000"/>
          <w:sz w:val="20"/>
          <w:szCs w:val="20"/>
        </w:rPr>
        <w:t xml:space="preserve">son </w:t>
      </w:r>
      <w:r w:rsidR="00B15D2E">
        <w:rPr>
          <w:rFonts w:ascii="Arial" w:hAnsi="Arial" w:cs="Arial"/>
          <w:color w:val="000000"/>
          <w:sz w:val="20"/>
          <w:szCs w:val="20"/>
        </w:rPr>
        <w:t>–</w:t>
      </w:r>
      <w:r w:rsidR="00167690" w:rsidRPr="009A6152">
        <w:rPr>
          <w:rFonts w:ascii="Arial" w:hAnsi="Arial" w:cs="Arial"/>
          <w:color w:val="000000"/>
          <w:sz w:val="20"/>
          <w:szCs w:val="20"/>
        </w:rPr>
        <w:t xml:space="preserve"> </w:t>
      </w:r>
      <w:r w:rsidR="00B15D2E" w:rsidRPr="00B15D2E">
        <w:rPr>
          <w:rFonts w:ascii="Arial" w:hAnsi="Arial" w:cs="Arial"/>
          <w:i/>
          <w:iCs/>
          <w:color w:val="000000"/>
          <w:sz w:val="20"/>
          <w:szCs w:val="20"/>
        </w:rPr>
        <w:t>Bugmy</w:t>
      </w:r>
      <w:r w:rsidR="00B15D2E">
        <w:rPr>
          <w:rFonts w:ascii="Arial" w:hAnsi="Arial" w:cs="Arial"/>
          <w:color w:val="000000"/>
          <w:sz w:val="20"/>
          <w:szCs w:val="20"/>
        </w:rPr>
        <w:t xml:space="preserve"> considerations – prospects of rehabilitation despite significant prior convictions </w:t>
      </w:r>
      <w:r w:rsidR="00933A98">
        <w:rPr>
          <w:rFonts w:ascii="Arial" w:hAnsi="Arial" w:cs="Arial"/>
          <w:color w:val="000000"/>
          <w:sz w:val="20"/>
          <w:szCs w:val="20"/>
        </w:rPr>
        <w:t>–</w:t>
      </w:r>
      <w:r w:rsidR="00B15D2E">
        <w:rPr>
          <w:rFonts w:ascii="Arial" w:hAnsi="Arial" w:cs="Arial"/>
          <w:color w:val="000000"/>
          <w:sz w:val="20"/>
          <w:szCs w:val="20"/>
        </w:rPr>
        <w:t xml:space="preserve"> </w:t>
      </w:r>
      <w:r w:rsidR="00933A98">
        <w:rPr>
          <w:rFonts w:ascii="Arial" w:hAnsi="Arial" w:cs="Arial"/>
          <w:color w:val="000000"/>
          <w:sz w:val="20"/>
          <w:szCs w:val="20"/>
        </w:rPr>
        <w:t xml:space="preserve">TES IMP8y6m/6y6m made up of IMP8y on manslaughter and </w:t>
      </w:r>
      <w:r w:rsidR="001565A2">
        <w:rPr>
          <w:rFonts w:ascii="Arial" w:hAnsi="Arial" w:cs="Arial"/>
          <w:color w:val="000000"/>
          <w:sz w:val="20"/>
          <w:szCs w:val="20"/>
        </w:rPr>
        <w:t>IMP1y (6m CUM) on recklessly causing injury to deceased’s son</w:t>
      </w:r>
      <w:r w:rsidR="00BD6923">
        <w:rPr>
          <w:rFonts w:ascii="Arial" w:hAnsi="Arial" w:cs="Arial"/>
          <w:color w:val="000000"/>
          <w:sz w:val="20"/>
          <w:szCs w:val="20"/>
        </w:rPr>
        <w:t xml:space="preserve"> – at [</w:t>
      </w:r>
      <w:r w:rsidR="00B2686A">
        <w:rPr>
          <w:rFonts w:ascii="Arial" w:hAnsi="Arial" w:cs="Arial"/>
          <w:color w:val="000000"/>
          <w:sz w:val="20"/>
          <w:szCs w:val="20"/>
        </w:rPr>
        <w:t>46</w:t>
      </w:r>
      <w:r w:rsidR="00BD6923">
        <w:rPr>
          <w:rFonts w:ascii="Arial" w:hAnsi="Arial" w:cs="Arial"/>
          <w:color w:val="000000"/>
          <w:sz w:val="20"/>
          <w:szCs w:val="20"/>
        </w:rPr>
        <w:t>] Lasry</w:t>
      </w:r>
      <w:r w:rsidR="00B2686A">
        <w:rPr>
          <w:rFonts w:ascii="Arial" w:hAnsi="Arial" w:cs="Arial"/>
          <w:color w:val="000000"/>
          <w:sz w:val="20"/>
          <w:szCs w:val="20"/>
        </w:rPr>
        <w:t> </w:t>
      </w:r>
      <w:r w:rsidR="00BD6923">
        <w:rPr>
          <w:rFonts w:ascii="Arial" w:hAnsi="Arial" w:cs="Arial"/>
          <w:color w:val="000000"/>
          <w:sz w:val="20"/>
          <w:szCs w:val="20"/>
        </w:rPr>
        <w:t xml:space="preserve">J said: “And so </w:t>
      </w:r>
      <w:r w:rsidR="00B2686A">
        <w:rPr>
          <w:rFonts w:ascii="Arial" w:hAnsi="Arial" w:cs="Arial"/>
          <w:color w:val="000000"/>
          <w:sz w:val="20"/>
          <w:szCs w:val="20"/>
        </w:rPr>
        <w:t>ended an extended, violent and futile series of incidents with the culmination being that a life was lost, another person was injured all entirely without reason or logic.  Yet another violent, drug and alcohol-induced tragedy.”</w:t>
      </w:r>
      <w:r w:rsidR="001565A2">
        <w:rPr>
          <w:rFonts w:ascii="Arial" w:hAnsi="Arial" w:cs="Arial"/>
          <w:color w:val="000000"/>
          <w:sz w:val="20"/>
          <w:szCs w:val="20"/>
        </w:rPr>
        <w:t>].</w:t>
      </w:r>
    </w:p>
    <w:p w14:paraId="694AD5D9" w14:textId="71E71497" w:rsidR="00DA0853" w:rsidRDefault="00DA08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Deng </w:t>
      </w:r>
      <w:r w:rsidRPr="00F8118D">
        <w:rPr>
          <w:rFonts w:ascii="Arial" w:hAnsi="Arial" w:cs="Arial"/>
          <w:color w:val="000000"/>
          <w:sz w:val="20"/>
          <w:szCs w:val="20"/>
        </w:rPr>
        <w:t>[2023] VSC 257 [</w:t>
      </w:r>
      <w:r w:rsidR="004310CA">
        <w:rPr>
          <w:rFonts w:ascii="Arial" w:hAnsi="Arial" w:cs="Arial"/>
          <w:color w:val="000000"/>
          <w:sz w:val="20"/>
          <w:szCs w:val="20"/>
        </w:rPr>
        <w:t xml:space="preserve">Sentence following a plea to manslaughter by unlawful and dangerous act – </w:t>
      </w:r>
      <w:r w:rsidR="00443508">
        <w:rPr>
          <w:rFonts w:ascii="Arial" w:hAnsi="Arial" w:cs="Arial"/>
          <w:color w:val="000000"/>
          <w:sz w:val="20"/>
          <w:szCs w:val="20"/>
        </w:rPr>
        <w:t xml:space="preserve">in a public place the </w:t>
      </w:r>
      <w:r w:rsidR="004310CA">
        <w:rPr>
          <w:rFonts w:ascii="Arial" w:hAnsi="Arial" w:cs="Arial"/>
          <w:color w:val="000000"/>
          <w:sz w:val="20"/>
          <w:szCs w:val="20"/>
        </w:rPr>
        <w:t xml:space="preserve">23 year old accused </w:t>
      </w:r>
      <w:r w:rsidR="00D1408A">
        <w:rPr>
          <w:rFonts w:ascii="Arial" w:hAnsi="Arial" w:cs="Arial"/>
          <w:color w:val="000000"/>
          <w:sz w:val="20"/>
          <w:szCs w:val="20"/>
        </w:rPr>
        <w:t xml:space="preserve">stabbed </w:t>
      </w:r>
      <w:r w:rsidR="00443508">
        <w:rPr>
          <w:rFonts w:ascii="Arial" w:hAnsi="Arial" w:cs="Arial"/>
          <w:color w:val="000000"/>
          <w:sz w:val="20"/>
          <w:szCs w:val="20"/>
        </w:rPr>
        <w:t xml:space="preserve">the </w:t>
      </w:r>
      <w:r w:rsidR="00D1408A">
        <w:rPr>
          <w:rFonts w:ascii="Arial" w:hAnsi="Arial" w:cs="Arial"/>
          <w:color w:val="000000"/>
          <w:sz w:val="20"/>
          <w:szCs w:val="20"/>
        </w:rPr>
        <w:t xml:space="preserve">24 year old deceased, whom he did not know, with a single stab wound to the abdomen </w:t>
      </w:r>
      <w:r w:rsidR="007274BE">
        <w:rPr>
          <w:rFonts w:ascii="Arial" w:hAnsi="Arial" w:cs="Arial"/>
          <w:color w:val="000000"/>
          <w:sz w:val="20"/>
          <w:szCs w:val="20"/>
        </w:rPr>
        <w:t>–</w:t>
      </w:r>
      <w:r w:rsidR="00D1408A">
        <w:rPr>
          <w:rFonts w:ascii="Arial" w:hAnsi="Arial" w:cs="Arial"/>
          <w:color w:val="000000"/>
          <w:sz w:val="20"/>
          <w:szCs w:val="20"/>
        </w:rPr>
        <w:t xml:space="preserve"> </w:t>
      </w:r>
      <w:r w:rsidR="00424AE4" w:rsidRPr="00EA02DE">
        <w:rPr>
          <w:rFonts w:ascii="Arial" w:hAnsi="Arial" w:cs="Arial"/>
          <w:i/>
          <w:iCs/>
          <w:color w:val="000000"/>
          <w:sz w:val="20"/>
          <w:szCs w:val="20"/>
        </w:rPr>
        <w:t>Verdins</w:t>
      </w:r>
      <w:r w:rsidR="00424AE4">
        <w:rPr>
          <w:rFonts w:ascii="Arial" w:hAnsi="Arial" w:cs="Arial"/>
          <w:color w:val="000000"/>
          <w:sz w:val="20"/>
          <w:szCs w:val="20"/>
        </w:rPr>
        <w:t xml:space="preserve"> considerations </w:t>
      </w:r>
      <w:r w:rsidR="005E0FB8">
        <w:rPr>
          <w:rFonts w:ascii="Arial" w:hAnsi="Arial" w:cs="Arial"/>
          <w:color w:val="000000"/>
          <w:sz w:val="20"/>
          <w:szCs w:val="20"/>
        </w:rPr>
        <w:t>discussed</w:t>
      </w:r>
      <w:r w:rsidR="00424AE4">
        <w:rPr>
          <w:rFonts w:ascii="Arial" w:hAnsi="Arial" w:cs="Arial"/>
          <w:color w:val="000000"/>
          <w:sz w:val="20"/>
          <w:szCs w:val="20"/>
        </w:rPr>
        <w:t xml:space="preserve"> – </w:t>
      </w:r>
      <w:r w:rsidR="007274BE">
        <w:rPr>
          <w:rFonts w:ascii="Arial" w:hAnsi="Arial" w:cs="Arial"/>
          <w:color w:val="000000"/>
          <w:sz w:val="20"/>
          <w:szCs w:val="20"/>
        </w:rPr>
        <w:t>genuine</w:t>
      </w:r>
      <w:r w:rsidR="00424AE4">
        <w:rPr>
          <w:rFonts w:ascii="Arial" w:hAnsi="Arial" w:cs="Arial"/>
          <w:color w:val="000000"/>
          <w:sz w:val="20"/>
          <w:szCs w:val="20"/>
        </w:rPr>
        <w:t xml:space="preserve"> </w:t>
      </w:r>
      <w:r w:rsidR="007274BE">
        <w:rPr>
          <w:rFonts w:ascii="Arial" w:hAnsi="Arial" w:cs="Arial"/>
          <w:color w:val="000000"/>
          <w:sz w:val="20"/>
          <w:szCs w:val="20"/>
        </w:rPr>
        <w:t xml:space="preserve">remorse and good rehabilitation prospects – </w:t>
      </w:r>
      <w:r w:rsidR="00424AE4">
        <w:rPr>
          <w:rFonts w:ascii="Arial" w:hAnsi="Arial" w:cs="Arial"/>
          <w:color w:val="000000"/>
          <w:sz w:val="20"/>
          <w:szCs w:val="20"/>
        </w:rPr>
        <w:t xml:space="preserve">general deterrence, denunciation and just punishment important – specific deterrence and community protection less important </w:t>
      </w:r>
      <w:r w:rsidR="00C9693F">
        <w:rPr>
          <w:rFonts w:ascii="Arial" w:hAnsi="Arial" w:cs="Arial"/>
          <w:color w:val="000000"/>
          <w:sz w:val="20"/>
          <w:szCs w:val="20"/>
        </w:rPr>
        <w:t>– IMP7y6m/5y</w:t>
      </w:r>
      <w:r w:rsidR="00F87D87">
        <w:rPr>
          <w:rFonts w:ascii="Arial" w:hAnsi="Arial" w:cs="Arial"/>
          <w:color w:val="000000"/>
          <w:sz w:val="20"/>
          <w:szCs w:val="20"/>
        </w:rPr>
        <w:t>]</w:t>
      </w:r>
      <w:r w:rsidR="00C9693F">
        <w:rPr>
          <w:rFonts w:ascii="Arial" w:hAnsi="Arial" w:cs="Arial"/>
          <w:color w:val="000000"/>
          <w:sz w:val="20"/>
          <w:szCs w:val="20"/>
        </w:rPr>
        <w:t>.</w:t>
      </w:r>
    </w:p>
    <w:p w14:paraId="45D2653F" w14:textId="490DC9DC" w:rsidR="00F87D87" w:rsidRPr="00F87D87" w:rsidRDefault="00F87D87"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Seymour</w:t>
      </w:r>
      <w:r w:rsidRPr="00F87D87">
        <w:rPr>
          <w:rFonts w:ascii="Arial" w:hAnsi="Arial" w:cs="Arial"/>
          <w:color w:val="000000"/>
          <w:sz w:val="20"/>
          <w:szCs w:val="20"/>
        </w:rPr>
        <w:t xml:space="preserve"> [2023] VSC 324 [</w:t>
      </w:r>
      <w:r>
        <w:rPr>
          <w:rFonts w:ascii="Arial" w:hAnsi="Arial" w:cs="Arial"/>
          <w:color w:val="000000"/>
          <w:sz w:val="20"/>
          <w:szCs w:val="20"/>
        </w:rPr>
        <w:t xml:space="preserve">Sentence following a plea to manslaughter – 55 year old </w:t>
      </w:r>
      <w:r>
        <w:rPr>
          <w:rFonts w:ascii="Arial" w:hAnsi="Arial" w:cs="Arial"/>
          <w:sz w:val="20"/>
          <w:szCs w:val="20"/>
        </w:rPr>
        <w:t>o</w:t>
      </w:r>
      <w:r w:rsidRPr="00F87D87">
        <w:rPr>
          <w:rFonts w:ascii="Arial" w:hAnsi="Arial" w:cs="Arial"/>
          <w:sz w:val="20"/>
          <w:szCs w:val="20"/>
        </w:rPr>
        <w:t>ffender</w:t>
      </w:r>
      <w:r>
        <w:rPr>
          <w:rFonts w:ascii="Arial" w:hAnsi="Arial" w:cs="Arial"/>
          <w:sz w:val="20"/>
          <w:szCs w:val="20"/>
        </w:rPr>
        <w:t xml:space="preserve"> </w:t>
      </w:r>
      <w:r w:rsidRPr="00F87D87">
        <w:rPr>
          <w:rFonts w:ascii="Arial" w:hAnsi="Arial" w:cs="Arial"/>
          <w:sz w:val="20"/>
          <w:szCs w:val="20"/>
        </w:rPr>
        <w:t xml:space="preserve">and deceased lived in adjoining rooms in boarding house – </w:t>
      </w:r>
      <w:r>
        <w:rPr>
          <w:rFonts w:ascii="Arial" w:hAnsi="Arial" w:cs="Arial"/>
          <w:sz w:val="20"/>
          <w:szCs w:val="20"/>
        </w:rPr>
        <w:t>d</w:t>
      </w:r>
      <w:r w:rsidRPr="00F87D87">
        <w:rPr>
          <w:rFonts w:ascii="Arial" w:hAnsi="Arial" w:cs="Arial"/>
          <w:sz w:val="20"/>
          <w:szCs w:val="20"/>
        </w:rPr>
        <w:t xml:space="preserve">ispute over noise – </w:t>
      </w:r>
      <w:r>
        <w:rPr>
          <w:rFonts w:ascii="Arial" w:hAnsi="Arial" w:cs="Arial"/>
          <w:sz w:val="20"/>
          <w:szCs w:val="20"/>
        </w:rPr>
        <w:t>o</w:t>
      </w:r>
      <w:r w:rsidRPr="00F87D87">
        <w:rPr>
          <w:rFonts w:ascii="Arial" w:hAnsi="Arial" w:cs="Arial"/>
          <w:sz w:val="20"/>
          <w:szCs w:val="20"/>
        </w:rPr>
        <w:t xml:space="preserve">ffender stabbed deceased once in the chest with a knife – </w:t>
      </w:r>
      <w:r>
        <w:rPr>
          <w:rFonts w:ascii="Arial" w:hAnsi="Arial" w:cs="Arial"/>
          <w:sz w:val="20"/>
          <w:szCs w:val="20"/>
        </w:rPr>
        <w:t>o</w:t>
      </w:r>
      <w:r w:rsidRPr="00F87D87">
        <w:rPr>
          <w:rFonts w:ascii="Arial" w:hAnsi="Arial" w:cs="Arial"/>
          <w:sz w:val="20"/>
          <w:szCs w:val="20"/>
        </w:rPr>
        <w:t xml:space="preserve">ffender suffering from treatment-resistant schizophrenia and moderate personality disorder </w:t>
      </w:r>
      <w:r>
        <w:rPr>
          <w:rFonts w:ascii="Arial" w:hAnsi="Arial" w:cs="Arial"/>
          <w:sz w:val="20"/>
          <w:szCs w:val="20"/>
        </w:rPr>
        <w:t xml:space="preserve">leading to </w:t>
      </w:r>
      <w:r w:rsidRPr="00F87D87">
        <w:rPr>
          <w:rFonts w:ascii="Arial" w:hAnsi="Arial" w:cs="Arial"/>
          <w:sz w:val="20"/>
          <w:szCs w:val="20"/>
        </w:rPr>
        <w:t xml:space="preserve">Verdins principles </w:t>
      </w:r>
      <w:r>
        <w:rPr>
          <w:rFonts w:ascii="Arial" w:hAnsi="Arial" w:cs="Arial"/>
          <w:sz w:val="20"/>
          <w:szCs w:val="20"/>
        </w:rPr>
        <w:t xml:space="preserve">being applied </w:t>
      </w:r>
      <w:r w:rsidRPr="00F87D87">
        <w:rPr>
          <w:rFonts w:ascii="Arial" w:hAnsi="Arial" w:cs="Arial"/>
          <w:sz w:val="20"/>
          <w:szCs w:val="20"/>
        </w:rPr>
        <w:t xml:space="preserve">– </w:t>
      </w:r>
      <w:r>
        <w:rPr>
          <w:rFonts w:ascii="Arial" w:hAnsi="Arial" w:cs="Arial"/>
          <w:sz w:val="20"/>
          <w:szCs w:val="20"/>
        </w:rPr>
        <w:t>p</w:t>
      </w:r>
      <w:r w:rsidRPr="00F87D87">
        <w:rPr>
          <w:rFonts w:ascii="Arial" w:hAnsi="Arial" w:cs="Arial"/>
          <w:sz w:val="20"/>
          <w:szCs w:val="20"/>
        </w:rPr>
        <w:t xml:space="preserve">rior convictions </w:t>
      </w:r>
      <w:r>
        <w:rPr>
          <w:rFonts w:ascii="Arial" w:hAnsi="Arial" w:cs="Arial"/>
          <w:sz w:val="20"/>
          <w:szCs w:val="20"/>
        </w:rPr>
        <w:t>and c</w:t>
      </w:r>
      <w:r w:rsidRPr="00F87D87">
        <w:rPr>
          <w:rFonts w:ascii="Arial" w:hAnsi="Arial" w:cs="Arial"/>
          <w:sz w:val="20"/>
          <w:szCs w:val="20"/>
        </w:rPr>
        <w:t xml:space="preserve">omplex treatment needs – </w:t>
      </w:r>
      <w:r>
        <w:rPr>
          <w:rFonts w:ascii="Arial" w:hAnsi="Arial" w:cs="Arial"/>
          <w:sz w:val="20"/>
          <w:szCs w:val="20"/>
        </w:rPr>
        <w:t>s</w:t>
      </w:r>
      <w:r w:rsidRPr="00F87D87">
        <w:rPr>
          <w:rFonts w:ascii="Arial" w:hAnsi="Arial" w:cs="Arial"/>
          <w:sz w:val="20"/>
          <w:szCs w:val="20"/>
        </w:rPr>
        <w:t xml:space="preserve">horter than usual non-parole period justified – </w:t>
      </w:r>
      <w:r>
        <w:rPr>
          <w:rFonts w:ascii="Arial" w:hAnsi="Arial" w:cs="Arial"/>
          <w:sz w:val="20"/>
          <w:szCs w:val="20"/>
        </w:rPr>
        <w:t>IMP</w:t>
      </w:r>
      <w:r w:rsidRPr="00F87D87">
        <w:rPr>
          <w:rFonts w:ascii="Arial" w:hAnsi="Arial" w:cs="Arial"/>
          <w:sz w:val="20"/>
          <w:szCs w:val="20"/>
        </w:rPr>
        <w:t>7</w:t>
      </w:r>
      <w:r>
        <w:rPr>
          <w:rFonts w:ascii="Arial" w:hAnsi="Arial" w:cs="Arial"/>
          <w:sz w:val="20"/>
          <w:szCs w:val="20"/>
        </w:rPr>
        <w:t>y/4y]</w:t>
      </w:r>
      <w:r w:rsidRPr="00F87D87">
        <w:rPr>
          <w:rFonts w:ascii="Arial" w:hAnsi="Arial" w:cs="Arial"/>
          <w:sz w:val="20"/>
          <w:szCs w:val="20"/>
        </w:rPr>
        <w:t>.</w:t>
      </w:r>
    </w:p>
    <w:p w14:paraId="2E78C509" w14:textId="4A6F18E5" w:rsidR="0095578D" w:rsidRPr="0095578D" w:rsidRDefault="0095578D" w:rsidP="009A6152">
      <w:pPr>
        <w:numPr>
          <w:ilvl w:val="0"/>
          <w:numId w:val="76"/>
        </w:numPr>
        <w:ind w:left="357" w:hanging="357"/>
        <w:jc w:val="both"/>
        <w:rPr>
          <w:rFonts w:ascii="Arial" w:hAnsi="Arial" w:cs="Arial"/>
          <w:color w:val="000000"/>
          <w:sz w:val="20"/>
          <w:szCs w:val="20"/>
        </w:rPr>
      </w:pPr>
      <w:r w:rsidRPr="0095578D">
        <w:rPr>
          <w:rFonts w:ascii="Arial" w:hAnsi="Arial" w:cs="Arial"/>
          <w:i/>
          <w:iCs/>
          <w:color w:val="000000"/>
          <w:sz w:val="20"/>
          <w:szCs w:val="20"/>
        </w:rPr>
        <w:t>R v Price &amp; Brown</w:t>
      </w:r>
      <w:r>
        <w:rPr>
          <w:rFonts w:ascii="Arial" w:hAnsi="Arial" w:cs="Arial"/>
          <w:color w:val="000000"/>
          <w:sz w:val="20"/>
          <w:szCs w:val="20"/>
        </w:rPr>
        <w:t xml:space="preserve"> [2023] VSC 347 [Sentence following a plea to manslaughter by unlawful and dangerous act after a sentence indication - </w:t>
      </w:r>
      <w:r w:rsidRPr="0095578D">
        <w:rPr>
          <w:rFonts w:ascii="Arial" w:hAnsi="Arial" w:cs="Arial"/>
          <w:sz w:val="20"/>
          <w:szCs w:val="16"/>
        </w:rPr>
        <w:t xml:space="preserve">on </w:t>
      </w:r>
      <w:r>
        <w:rPr>
          <w:rFonts w:ascii="Arial" w:hAnsi="Arial" w:cs="Arial"/>
          <w:sz w:val="20"/>
          <w:szCs w:val="16"/>
        </w:rPr>
        <w:t xml:space="preserve">a </w:t>
      </w:r>
      <w:r w:rsidRPr="0095578D">
        <w:rPr>
          <w:rFonts w:ascii="Arial" w:hAnsi="Arial" w:cs="Arial"/>
          <w:sz w:val="20"/>
          <w:szCs w:val="16"/>
        </w:rPr>
        <w:t xml:space="preserve">pretext, SG lured deceased to remote location into clutches of AP and JB believing they would “kick the shit out of him” — AP and JB sent SG down </w:t>
      </w:r>
      <w:r>
        <w:rPr>
          <w:rFonts w:ascii="Arial" w:hAnsi="Arial" w:cs="Arial"/>
          <w:sz w:val="20"/>
          <w:szCs w:val="16"/>
        </w:rPr>
        <w:t xml:space="preserve">the </w:t>
      </w:r>
      <w:r w:rsidRPr="0095578D">
        <w:rPr>
          <w:rFonts w:ascii="Arial" w:hAnsi="Arial" w:cs="Arial"/>
          <w:sz w:val="20"/>
          <w:szCs w:val="16"/>
        </w:rPr>
        <w:t>road to wait while they took deceased into bush at gunpoint —</w:t>
      </w:r>
      <w:r>
        <w:rPr>
          <w:rFonts w:ascii="Arial" w:hAnsi="Arial" w:cs="Arial"/>
          <w:sz w:val="20"/>
          <w:szCs w:val="16"/>
        </w:rPr>
        <w:t xml:space="preserve"> </w:t>
      </w:r>
      <w:r w:rsidRPr="0095578D">
        <w:rPr>
          <w:rFonts w:ascii="Arial" w:hAnsi="Arial" w:cs="Arial"/>
          <w:sz w:val="20"/>
          <w:szCs w:val="16"/>
        </w:rPr>
        <w:t xml:space="preserve">AB and JB forced deceased to ingest GHB in large quantities — JB left scene while </w:t>
      </w:r>
      <w:r>
        <w:rPr>
          <w:rFonts w:ascii="Arial" w:hAnsi="Arial" w:cs="Arial"/>
          <w:sz w:val="20"/>
          <w:szCs w:val="16"/>
        </w:rPr>
        <w:t xml:space="preserve">the </w:t>
      </w:r>
      <w:r w:rsidRPr="0095578D">
        <w:rPr>
          <w:rFonts w:ascii="Arial" w:hAnsi="Arial" w:cs="Arial"/>
          <w:sz w:val="20"/>
          <w:szCs w:val="16"/>
        </w:rPr>
        <w:t xml:space="preserve">deceased </w:t>
      </w:r>
      <w:r>
        <w:rPr>
          <w:rFonts w:ascii="Arial" w:hAnsi="Arial" w:cs="Arial"/>
          <w:sz w:val="20"/>
          <w:szCs w:val="16"/>
        </w:rPr>
        <w:t xml:space="preserve">was </w:t>
      </w:r>
      <w:r w:rsidRPr="0095578D">
        <w:rPr>
          <w:rFonts w:ascii="Arial" w:hAnsi="Arial" w:cs="Arial"/>
          <w:sz w:val="20"/>
          <w:szCs w:val="16"/>
        </w:rPr>
        <w:t xml:space="preserve">still standing </w:t>
      </w:r>
      <w:r w:rsidRPr="0095578D">
        <w:rPr>
          <w:rFonts w:ascii="Arial" w:hAnsi="Arial" w:cs="Arial"/>
          <w:sz w:val="20"/>
          <w:szCs w:val="16"/>
        </w:rPr>
        <w:lastRenderedPageBreak/>
        <w:t xml:space="preserve">and conscious — AB left </w:t>
      </w:r>
      <w:r>
        <w:rPr>
          <w:rFonts w:ascii="Arial" w:hAnsi="Arial" w:cs="Arial"/>
          <w:sz w:val="20"/>
          <w:szCs w:val="16"/>
        </w:rPr>
        <w:t xml:space="preserve">the </w:t>
      </w:r>
      <w:r w:rsidRPr="0095578D">
        <w:rPr>
          <w:rFonts w:ascii="Arial" w:hAnsi="Arial" w:cs="Arial"/>
          <w:sz w:val="20"/>
          <w:szCs w:val="16"/>
        </w:rPr>
        <w:t xml:space="preserve">deceased while unconscious, stranded and alone — </w:t>
      </w:r>
      <w:r>
        <w:rPr>
          <w:rFonts w:ascii="Arial" w:hAnsi="Arial" w:cs="Arial"/>
          <w:sz w:val="20"/>
          <w:szCs w:val="16"/>
        </w:rPr>
        <w:t>the a</w:t>
      </w:r>
      <w:r w:rsidRPr="0095578D">
        <w:rPr>
          <w:rFonts w:ascii="Arial" w:hAnsi="Arial" w:cs="Arial"/>
          <w:sz w:val="20"/>
          <w:szCs w:val="16"/>
        </w:rPr>
        <w:t xml:space="preserve">im of </w:t>
      </w:r>
      <w:r>
        <w:rPr>
          <w:rFonts w:ascii="Arial" w:hAnsi="Arial" w:cs="Arial"/>
          <w:sz w:val="20"/>
          <w:szCs w:val="16"/>
        </w:rPr>
        <w:t xml:space="preserve">the </w:t>
      </w:r>
      <w:r w:rsidRPr="0095578D">
        <w:rPr>
          <w:rFonts w:ascii="Arial" w:hAnsi="Arial" w:cs="Arial"/>
          <w:sz w:val="20"/>
          <w:szCs w:val="16"/>
        </w:rPr>
        <w:t xml:space="preserve">offending was to warn deceased off vis-à-vis AP’s girlfriend and make him walk home alone from remote location — </w:t>
      </w:r>
      <w:r>
        <w:rPr>
          <w:rFonts w:ascii="Arial" w:hAnsi="Arial" w:cs="Arial"/>
          <w:sz w:val="20"/>
          <w:szCs w:val="16"/>
        </w:rPr>
        <w:t>d</w:t>
      </w:r>
      <w:r w:rsidRPr="0095578D">
        <w:rPr>
          <w:rFonts w:ascii="Arial" w:hAnsi="Arial" w:cs="Arial"/>
          <w:sz w:val="20"/>
          <w:szCs w:val="16"/>
        </w:rPr>
        <w:t xml:space="preserve">eceased died from GHB toxicity </w:t>
      </w:r>
      <w:r>
        <w:rPr>
          <w:rFonts w:ascii="Arial" w:hAnsi="Arial" w:cs="Arial"/>
          <w:sz w:val="20"/>
          <w:szCs w:val="16"/>
        </w:rPr>
        <w:t xml:space="preserve">and his </w:t>
      </w:r>
      <w:r w:rsidRPr="0095578D">
        <w:rPr>
          <w:rFonts w:ascii="Arial" w:hAnsi="Arial" w:cs="Arial"/>
          <w:sz w:val="20"/>
          <w:szCs w:val="16"/>
        </w:rPr>
        <w:t xml:space="preserve">partly decomposed body </w:t>
      </w:r>
      <w:r>
        <w:rPr>
          <w:rFonts w:ascii="Arial" w:hAnsi="Arial" w:cs="Arial"/>
          <w:sz w:val="20"/>
          <w:szCs w:val="16"/>
        </w:rPr>
        <w:t xml:space="preserve">was </w:t>
      </w:r>
      <w:r w:rsidRPr="0095578D">
        <w:rPr>
          <w:rFonts w:ascii="Arial" w:hAnsi="Arial" w:cs="Arial"/>
          <w:sz w:val="20"/>
          <w:szCs w:val="16"/>
        </w:rPr>
        <w:t xml:space="preserve">discovered in </w:t>
      </w:r>
      <w:r>
        <w:rPr>
          <w:rFonts w:ascii="Arial" w:hAnsi="Arial" w:cs="Arial"/>
          <w:sz w:val="20"/>
          <w:szCs w:val="16"/>
        </w:rPr>
        <w:t xml:space="preserve">the </w:t>
      </w:r>
      <w:r w:rsidRPr="0095578D">
        <w:rPr>
          <w:rFonts w:ascii="Arial" w:hAnsi="Arial" w:cs="Arial"/>
          <w:sz w:val="20"/>
          <w:szCs w:val="16"/>
        </w:rPr>
        <w:t xml:space="preserve">bush </w:t>
      </w:r>
      <w:r>
        <w:rPr>
          <w:rFonts w:ascii="Arial" w:hAnsi="Arial" w:cs="Arial"/>
          <w:sz w:val="20"/>
          <w:szCs w:val="16"/>
        </w:rPr>
        <w:t>5</w:t>
      </w:r>
      <w:r w:rsidRPr="0095578D">
        <w:rPr>
          <w:rFonts w:ascii="Arial" w:hAnsi="Arial" w:cs="Arial"/>
          <w:sz w:val="20"/>
          <w:szCs w:val="16"/>
        </w:rPr>
        <w:t xml:space="preserve"> weeks later — AP and JB </w:t>
      </w:r>
      <w:r>
        <w:rPr>
          <w:rFonts w:ascii="Arial" w:hAnsi="Arial" w:cs="Arial"/>
          <w:sz w:val="20"/>
          <w:szCs w:val="16"/>
        </w:rPr>
        <w:t xml:space="preserve">were </w:t>
      </w:r>
      <w:r w:rsidRPr="0095578D">
        <w:rPr>
          <w:rFonts w:ascii="Arial" w:hAnsi="Arial" w:cs="Arial"/>
          <w:sz w:val="20"/>
          <w:szCs w:val="16"/>
        </w:rPr>
        <w:t xml:space="preserve">originally charged with murder — </w:t>
      </w:r>
      <w:r>
        <w:rPr>
          <w:rFonts w:ascii="Arial" w:hAnsi="Arial" w:cs="Arial"/>
          <w:sz w:val="20"/>
          <w:szCs w:val="16"/>
        </w:rPr>
        <w:t>an i</w:t>
      </w:r>
      <w:r w:rsidRPr="0095578D">
        <w:rPr>
          <w:rFonts w:ascii="Arial" w:hAnsi="Arial" w:cs="Arial"/>
          <w:sz w:val="20"/>
          <w:szCs w:val="16"/>
        </w:rPr>
        <w:t xml:space="preserve">mportant prosecution witness died and much of his recorded evidence </w:t>
      </w:r>
      <w:r>
        <w:rPr>
          <w:rFonts w:ascii="Arial" w:hAnsi="Arial" w:cs="Arial"/>
          <w:sz w:val="20"/>
          <w:szCs w:val="16"/>
        </w:rPr>
        <w:t xml:space="preserve">was </w:t>
      </w:r>
      <w:r w:rsidRPr="0095578D">
        <w:rPr>
          <w:rFonts w:ascii="Arial" w:hAnsi="Arial" w:cs="Arial"/>
          <w:sz w:val="20"/>
          <w:szCs w:val="16"/>
        </w:rPr>
        <w:t>excluded</w:t>
      </w:r>
      <w:r>
        <w:rPr>
          <w:rFonts w:ascii="Arial" w:hAnsi="Arial" w:cs="Arial"/>
          <w:sz w:val="20"/>
          <w:szCs w:val="16"/>
        </w:rPr>
        <w:t xml:space="preserve"> – AP is aged 50 with 3 children, no prior convictions and health issues – JB is aged 31 with 2 young children but has prior convictions, including for violence – both were remorseful and both remained drug-free and worked solidly while on bail – AP: IMP7y6m/4y6m – JB: IMP7y/4y</w:t>
      </w:r>
      <w:r>
        <w:rPr>
          <w:rFonts w:ascii="Arial" w:hAnsi="Arial" w:cs="Arial"/>
          <w:color w:val="000000"/>
          <w:sz w:val="20"/>
          <w:szCs w:val="20"/>
        </w:rPr>
        <w:t>].</w:t>
      </w:r>
    </w:p>
    <w:p w14:paraId="3105D111" w14:textId="6D38BF42" w:rsidR="00F87D87" w:rsidRDefault="005E4FFA" w:rsidP="009A6152">
      <w:pPr>
        <w:numPr>
          <w:ilvl w:val="0"/>
          <w:numId w:val="76"/>
        </w:numPr>
        <w:ind w:left="357" w:hanging="357"/>
        <w:jc w:val="both"/>
        <w:rPr>
          <w:rFonts w:ascii="Arial" w:hAnsi="Arial" w:cs="Arial"/>
          <w:color w:val="000000"/>
          <w:sz w:val="20"/>
          <w:szCs w:val="20"/>
        </w:rPr>
      </w:pPr>
      <w:r w:rsidRPr="005E4FFA">
        <w:rPr>
          <w:rFonts w:ascii="Arial" w:hAnsi="Arial" w:cs="Arial"/>
          <w:i/>
          <w:iCs/>
          <w:color w:val="000000"/>
          <w:sz w:val="20"/>
          <w:szCs w:val="20"/>
        </w:rPr>
        <w:t>DPP v Armstrong</w:t>
      </w:r>
      <w:r>
        <w:rPr>
          <w:rFonts w:ascii="Arial" w:hAnsi="Arial" w:cs="Arial"/>
          <w:color w:val="000000"/>
          <w:sz w:val="20"/>
          <w:szCs w:val="20"/>
        </w:rPr>
        <w:t xml:space="preserve"> [2023] VSC 374 [Sentence following a plea to manslaughter by unlawful and dangerous act – unprovoked attack upon innocent victim in public place – accused intoxicated at time – significant criminal history for violence – troubled background of accused not of sufficient magnitude to enliven </w:t>
      </w:r>
      <w:r w:rsidRPr="005E4FFA">
        <w:rPr>
          <w:rFonts w:ascii="Arial" w:hAnsi="Arial" w:cs="Arial"/>
          <w:i/>
          <w:iCs/>
          <w:color w:val="000000"/>
          <w:sz w:val="20"/>
          <w:szCs w:val="20"/>
        </w:rPr>
        <w:t>Bugmy</w:t>
      </w:r>
      <w:r>
        <w:rPr>
          <w:rFonts w:ascii="Arial" w:hAnsi="Arial" w:cs="Arial"/>
          <w:color w:val="000000"/>
          <w:sz w:val="20"/>
          <w:szCs w:val="20"/>
        </w:rPr>
        <w:t xml:space="preserve"> principles – no limb of </w:t>
      </w:r>
      <w:r w:rsidRPr="005E4FFA">
        <w:rPr>
          <w:rFonts w:ascii="Arial" w:hAnsi="Arial" w:cs="Arial"/>
          <w:i/>
          <w:iCs/>
          <w:color w:val="000000"/>
          <w:sz w:val="20"/>
          <w:szCs w:val="20"/>
        </w:rPr>
        <w:t>R v Verdins</w:t>
      </w:r>
      <w:r>
        <w:rPr>
          <w:rFonts w:ascii="Arial" w:hAnsi="Arial" w:cs="Arial"/>
          <w:color w:val="000000"/>
          <w:sz w:val="20"/>
          <w:szCs w:val="20"/>
        </w:rPr>
        <w:t xml:space="preserve"> enlivened – serious example of offence of manslaughter – high moral culpability – questionable prospects of rehabilitation – IMP10y/8y].</w:t>
      </w:r>
    </w:p>
    <w:p w14:paraId="350E3832" w14:textId="2DC779AE" w:rsidR="007043F9" w:rsidRPr="005468C4" w:rsidRDefault="007043F9"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Smart &amp; Ors </w:t>
      </w:r>
      <w:r w:rsidRPr="007043F9">
        <w:rPr>
          <w:rFonts w:ascii="Arial" w:hAnsi="Arial" w:cs="Arial"/>
          <w:color w:val="000000"/>
          <w:sz w:val="20"/>
          <w:szCs w:val="20"/>
        </w:rPr>
        <w:t xml:space="preserve">[2023] VSC 469 [Sentence after plea </w:t>
      </w:r>
      <w:r>
        <w:rPr>
          <w:rFonts w:ascii="Arial" w:hAnsi="Arial" w:cs="Arial"/>
          <w:color w:val="000000"/>
          <w:sz w:val="20"/>
          <w:szCs w:val="20"/>
        </w:rPr>
        <w:t xml:space="preserve">of guilty to manslaughter </w:t>
      </w:r>
      <w:r w:rsidRPr="007043F9">
        <w:rPr>
          <w:rFonts w:ascii="Arial" w:hAnsi="Arial" w:cs="Arial"/>
          <w:color w:val="000000"/>
          <w:sz w:val="20"/>
          <w:szCs w:val="20"/>
        </w:rPr>
        <w:t xml:space="preserve">following a case conference and a sentence indication hearing </w:t>
      </w:r>
      <w:r>
        <w:rPr>
          <w:rFonts w:ascii="Arial" w:hAnsi="Arial" w:cs="Arial"/>
          <w:color w:val="000000"/>
          <w:sz w:val="20"/>
          <w:szCs w:val="20"/>
        </w:rPr>
        <w:t>–</w:t>
      </w:r>
      <w:r w:rsidRPr="007043F9">
        <w:rPr>
          <w:rFonts w:ascii="Arial" w:hAnsi="Arial" w:cs="Arial"/>
          <w:color w:val="000000"/>
          <w:sz w:val="20"/>
          <w:szCs w:val="20"/>
        </w:rPr>
        <w:t xml:space="preserve"> </w:t>
      </w:r>
      <w:r>
        <w:rPr>
          <w:rFonts w:ascii="Arial" w:hAnsi="Arial" w:cs="Arial"/>
          <w:color w:val="000000"/>
          <w:sz w:val="20"/>
          <w:szCs w:val="20"/>
        </w:rPr>
        <w:t>3 accused aged 23, 2</w:t>
      </w:r>
      <w:r w:rsidR="005468C4">
        <w:rPr>
          <w:rFonts w:ascii="Arial" w:hAnsi="Arial" w:cs="Arial"/>
          <w:color w:val="000000"/>
          <w:sz w:val="20"/>
          <w:szCs w:val="20"/>
        </w:rPr>
        <w:t>0</w:t>
      </w:r>
      <w:r>
        <w:rPr>
          <w:rFonts w:ascii="Arial" w:hAnsi="Arial" w:cs="Arial"/>
          <w:color w:val="000000"/>
          <w:sz w:val="20"/>
          <w:szCs w:val="20"/>
        </w:rPr>
        <w:t xml:space="preserve"> &amp; 18 at time of offending – the 18 year old victim was killed in the course of a joint assault committed by the 3 accused and another unidentified co-offender – the victim was stabbed 8 times in the lower back, buttocks and </w:t>
      </w:r>
      <w:r w:rsidRPr="005468C4">
        <w:rPr>
          <w:rFonts w:ascii="Arial" w:hAnsi="Arial" w:cs="Arial"/>
          <w:color w:val="000000"/>
          <w:sz w:val="20"/>
          <w:szCs w:val="20"/>
        </w:rPr>
        <w:t xml:space="preserve">upper back leg, the assault motivated by retaliation because it was believed that the deceased had broken into a friend’s car – utilitarian value of guilty pleas – remorse – moderate </w:t>
      </w:r>
      <w:r w:rsidRPr="005468C4">
        <w:rPr>
          <w:rFonts w:ascii="Arial" w:hAnsi="Arial" w:cs="Arial"/>
          <w:i/>
          <w:iCs/>
          <w:color w:val="000000"/>
          <w:sz w:val="20"/>
          <w:szCs w:val="20"/>
        </w:rPr>
        <w:t>Bugmy</w:t>
      </w:r>
      <w:r w:rsidRPr="005468C4">
        <w:rPr>
          <w:rFonts w:ascii="Arial" w:hAnsi="Arial" w:cs="Arial"/>
          <w:color w:val="000000"/>
          <w:sz w:val="20"/>
          <w:szCs w:val="20"/>
        </w:rPr>
        <w:t xml:space="preserve"> factors for all 3 offenders </w:t>
      </w:r>
      <w:r w:rsidR="005468C4" w:rsidRPr="005468C4">
        <w:rPr>
          <w:rFonts w:ascii="Arial" w:hAnsi="Arial" w:cs="Arial"/>
          <w:color w:val="000000"/>
          <w:sz w:val="20"/>
          <w:szCs w:val="20"/>
        </w:rPr>
        <w:t>–</w:t>
      </w:r>
      <w:r w:rsidRPr="005468C4">
        <w:rPr>
          <w:rFonts w:ascii="Arial" w:hAnsi="Arial" w:cs="Arial"/>
          <w:color w:val="000000"/>
          <w:sz w:val="20"/>
          <w:szCs w:val="20"/>
        </w:rPr>
        <w:t xml:space="preserve"> </w:t>
      </w:r>
      <w:r w:rsidR="005468C4" w:rsidRPr="005468C4">
        <w:rPr>
          <w:rFonts w:ascii="Arial" w:hAnsi="Arial" w:cs="Arial"/>
          <w:color w:val="000000"/>
          <w:sz w:val="20"/>
          <w:szCs w:val="20"/>
        </w:rPr>
        <w:t xml:space="preserve">the youngest offender was at risk of deportation – favourable prospects for rehabilitation </w:t>
      </w:r>
      <w:r w:rsidR="005468C4">
        <w:rPr>
          <w:rFonts w:ascii="Arial" w:hAnsi="Arial" w:cs="Arial"/>
          <w:color w:val="000000"/>
          <w:sz w:val="20"/>
          <w:szCs w:val="20"/>
        </w:rPr>
        <w:t>–</w:t>
      </w:r>
      <w:r w:rsidR="005468C4" w:rsidRPr="005468C4">
        <w:rPr>
          <w:rFonts w:ascii="Arial" w:hAnsi="Arial" w:cs="Arial"/>
          <w:color w:val="000000"/>
          <w:sz w:val="20"/>
          <w:szCs w:val="20"/>
        </w:rPr>
        <w:t xml:space="preserve"> </w:t>
      </w:r>
      <w:r w:rsidR="005468C4" w:rsidRPr="005468C4">
        <w:rPr>
          <w:rFonts w:ascii="Arial" w:hAnsi="Arial" w:cs="Arial"/>
          <w:sz w:val="20"/>
          <w:szCs w:val="20"/>
        </w:rPr>
        <w:t>some</w:t>
      </w:r>
      <w:r w:rsidR="005468C4">
        <w:rPr>
          <w:rFonts w:ascii="Arial" w:hAnsi="Arial" w:cs="Arial"/>
          <w:sz w:val="20"/>
          <w:szCs w:val="20"/>
        </w:rPr>
        <w:t xml:space="preserve"> </w:t>
      </w:r>
      <w:r w:rsidR="005468C4" w:rsidRPr="005468C4">
        <w:rPr>
          <w:rFonts w:ascii="Arial" w:hAnsi="Arial" w:cs="Arial"/>
          <w:sz w:val="20"/>
          <w:szCs w:val="20"/>
        </w:rPr>
        <w:t>disparity justified between oldest offender and younger two - Importance of fixing a non-parole period giving weight to combined sentencing factors</w:t>
      </w:r>
      <w:r w:rsidR="005468C4">
        <w:rPr>
          <w:rFonts w:ascii="Arial" w:hAnsi="Arial" w:cs="Arial"/>
          <w:sz w:val="20"/>
          <w:szCs w:val="20"/>
        </w:rPr>
        <w:t xml:space="preserve"> – IMP8y6m/5y for oldest offender, IMP7y6m/4y6m for the two younger offenders].</w:t>
      </w:r>
    </w:p>
    <w:p w14:paraId="6B42FCA5" w14:textId="1EA70E43" w:rsidR="008F6D89" w:rsidRDefault="008F6D89" w:rsidP="008F6D89">
      <w:pPr>
        <w:numPr>
          <w:ilvl w:val="0"/>
          <w:numId w:val="76"/>
        </w:numPr>
        <w:ind w:left="357" w:hanging="357"/>
        <w:jc w:val="both"/>
        <w:rPr>
          <w:rFonts w:ascii="Arial" w:hAnsi="Arial" w:cs="Arial"/>
          <w:color w:val="000000"/>
          <w:sz w:val="20"/>
          <w:szCs w:val="20"/>
        </w:rPr>
      </w:pPr>
      <w:r w:rsidRPr="008F6D89">
        <w:rPr>
          <w:rFonts w:ascii="Arial" w:hAnsi="Arial" w:cs="Arial"/>
          <w:i/>
          <w:iCs/>
          <w:color w:val="000000"/>
          <w:sz w:val="20"/>
          <w:szCs w:val="20"/>
        </w:rPr>
        <w:t>DPP v Pearson</w:t>
      </w:r>
      <w:r>
        <w:rPr>
          <w:rFonts w:ascii="Arial" w:hAnsi="Arial" w:cs="Arial"/>
          <w:color w:val="000000"/>
          <w:sz w:val="20"/>
          <w:szCs w:val="20"/>
        </w:rPr>
        <w:t xml:space="preserve"> [2023] VSC 483 [Sentence after plea of guilty entered after 7 days of a murder trial – accused aged 33 stabbed deceased multiple times with a knife but the prosecution accepted that his actions were not done with the required intent for murder – relevant prior criminal history – harsh and restrictive conditions of confinement on remand – 5</w:t>
      </w:r>
      <w:r w:rsidRPr="008F6D89">
        <w:rPr>
          <w:rFonts w:ascii="Arial" w:hAnsi="Arial" w:cs="Arial"/>
          <w:color w:val="000000"/>
          <w:sz w:val="20"/>
          <w:szCs w:val="20"/>
          <w:vertAlign w:val="superscript"/>
        </w:rPr>
        <w:t>th</w:t>
      </w:r>
      <w:r>
        <w:rPr>
          <w:rFonts w:ascii="Arial" w:hAnsi="Arial" w:cs="Arial"/>
          <w:color w:val="000000"/>
          <w:sz w:val="20"/>
          <w:szCs w:val="20"/>
        </w:rPr>
        <w:t xml:space="preserve"> Verdins principle and Bugmy considerations – IMP8y6m/6y].</w:t>
      </w:r>
    </w:p>
    <w:p w14:paraId="7F07F622" w14:textId="78D7A1DB" w:rsidR="003B2F4C" w:rsidRPr="003B2F4C" w:rsidRDefault="003B2F4C" w:rsidP="003B2F4C">
      <w:pPr>
        <w:numPr>
          <w:ilvl w:val="0"/>
          <w:numId w:val="76"/>
        </w:numPr>
        <w:ind w:left="357" w:hanging="357"/>
        <w:jc w:val="both"/>
        <w:rPr>
          <w:rFonts w:ascii="Arial" w:hAnsi="Arial" w:cs="Arial"/>
          <w:color w:val="000000"/>
          <w:sz w:val="20"/>
          <w:szCs w:val="20"/>
        </w:rPr>
      </w:pPr>
      <w:r w:rsidRPr="003B2F4C">
        <w:rPr>
          <w:rFonts w:ascii="Arial" w:hAnsi="Arial" w:cs="Arial"/>
          <w:i/>
          <w:iCs/>
          <w:color w:val="000000"/>
          <w:sz w:val="20"/>
          <w:szCs w:val="20"/>
        </w:rPr>
        <w:t>R v Tovey</w:t>
      </w:r>
      <w:r w:rsidRPr="003B2F4C">
        <w:rPr>
          <w:rFonts w:ascii="Arial" w:hAnsi="Arial" w:cs="Arial"/>
          <w:color w:val="000000"/>
          <w:sz w:val="20"/>
          <w:szCs w:val="20"/>
        </w:rPr>
        <w:t xml:space="preserve"> [2023] VSC 530 </w:t>
      </w:r>
      <w:r>
        <w:rPr>
          <w:rFonts w:ascii="Arial" w:hAnsi="Arial" w:cs="Arial"/>
          <w:color w:val="000000"/>
          <w:sz w:val="20"/>
          <w:szCs w:val="20"/>
        </w:rPr>
        <w:t>[</w:t>
      </w:r>
      <w:r w:rsidRPr="006364A1">
        <w:rPr>
          <w:rFonts w:ascii="Arial" w:hAnsi="Arial" w:cs="Arial"/>
          <w:color w:val="000000"/>
          <w:sz w:val="20"/>
          <w:szCs w:val="20"/>
        </w:rPr>
        <w:t>Sentence after plea of guilty to manslaughter by unlawful and dangerous act –</w:t>
      </w:r>
      <w:r>
        <w:rPr>
          <w:rFonts w:ascii="Arial" w:hAnsi="Arial" w:cs="Arial"/>
          <w:color w:val="000000"/>
          <w:sz w:val="20"/>
          <w:szCs w:val="20"/>
        </w:rPr>
        <w:t xml:space="preserve"> </w:t>
      </w:r>
      <w:r>
        <w:rPr>
          <w:rFonts w:ascii="Arial" w:hAnsi="Arial" w:cs="Arial"/>
          <w:sz w:val="20"/>
          <w:szCs w:val="20"/>
        </w:rPr>
        <w:t>d</w:t>
      </w:r>
      <w:r w:rsidRPr="003B2F4C">
        <w:rPr>
          <w:rFonts w:ascii="Arial" w:hAnsi="Arial" w:cs="Arial"/>
          <w:sz w:val="20"/>
          <w:szCs w:val="20"/>
        </w:rPr>
        <w:t xml:space="preserve">uring altercation, </w:t>
      </w:r>
      <w:r>
        <w:rPr>
          <w:rFonts w:ascii="Arial" w:hAnsi="Arial" w:cs="Arial"/>
          <w:sz w:val="20"/>
          <w:szCs w:val="20"/>
        </w:rPr>
        <w:t xml:space="preserve">26 year old </w:t>
      </w:r>
      <w:r w:rsidRPr="003B2F4C">
        <w:rPr>
          <w:rFonts w:ascii="Arial" w:hAnsi="Arial" w:cs="Arial"/>
          <w:sz w:val="20"/>
          <w:szCs w:val="20"/>
        </w:rPr>
        <w:t xml:space="preserve">accused stabbed </w:t>
      </w:r>
      <w:r>
        <w:rPr>
          <w:rFonts w:ascii="Arial" w:hAnsi="Arial" w:cs="Arial"/>
          <w:sz w:val="20"/>
          <w:szCs w:val="20"/>
        </w:rPr>
        <w:t xml:space="preserve">29 year old </w:t>
      </w:r>
      <w:r w:rsidRPr="003B2F4C">
        <w:rPr>
          <w:rFonts w:ascii="Arial" w:hAnsi="Arial" w:cs="Arial"/>
          <w:sz w:val="20"/>
          <w:szCs w:val="20"/>
        </w:rPr>
        <w:t xml:space="preserve">brother to chest, root of neck and each shoulder — </w:t>
      </w:r>
      <w:r>
        <w:rPr>
          <w:rFonts w:ascii="Arial" w:hAnsi="Arial" w:cs="Arial"/>
          <w:sz w:val="20"/>
          <w:szCs w:val="20"/>
        </w:rPr>
        <w:t>b</w:t>
      </w:r>
      <w:r w:rsidRPr="003B2F4C">
        <w:rPr>
          <w:rFonts w:ascii="Arial" w:hAnsi="Arial" w:cs="Arial"/>
          <w:sz w:val="20"/>
          <w:szCs w:val="20"/>
        </w:rPr>
        <w:t>rother fled</w:t>
      </w:r>
      <w:r>
        <w:rPr>
          <w:rFonts w:ascii="Arial" w:hAnsi="Arial" w:cs="Arial"/>
          <w:sz w:val="20"/>
          <w:szCs w:val="20"/>
        </w:rPr>
        <w:t xml:space="preserve"> and</w:t>
      </w:r>
      <w:r w:rsidRPr="003B2F4C">
        <w:rPr>
          <w:rFonts w:ascii="Arial" w:hAnsi="Arial" w:cs="Arial"/>
          <w:sz w:val="20"/>
          <w:szCs w:val="20"/>
        </w:rPr>
        <w:t xml:space="preserve"> collapsed in nearby carpark — </w:t>
      </w:r>
      <w:r>
        <w:rPr>
          <w:rFonts w:ascii="Arial" w:hAnsi="Arial" w:cs="Arial"/>
          <w:sz w:val="20"/>
          <w:szCs w:val="20"/>
        </w:rPr>
        <w:t>a</w:t>
      </w:r>
      <w:r w:rsidRPr="003B2F4C">
        <w:rPr>
          <w:rFonts w:ascii="Arial" w:hAnsi="Arial" w:cs="Arial"/>
          <w:sz w:val="20"/>
          <w:szCs w:val="20"/>
        </w:rPr>
        <w:t xml:space="preserve">ccused left scene believing brother would be </w:t>
      </w:r>
      <w:r>
        <w:rPr>
          <w:rFonts w:ascii="Arial" w:hAnsi="Arial" w:cs="Arial"/>
          <w:sz w:val="20"/>
          <w:szCs w:val="20"/>
        </w:rPr>
        <w:t>‘</w:t>
      </w:r>
      <w:r w:rsidRPr="003B2F4C">
        <w:rPr>
          <w:rFonts w:ascii="Arial" w:hAnsi="Arial" w:cs="Arial"/>
          <w:sz w:val="20"/>
          <w:szCs w:val="20"/>
        </w:rPr>
        <w:t>pretty sore</w:t>
      </w:r>
      <w:r>
        <w:rPr>
          <w:rFonts w:ascii="Arial" w:hAnsi="Arial" w:cs="Arial"/>
          <w:sz w:val="20"/>
          <w:szCs w:val="20"/>
        </w:rPr>
        <w:t>’</w:t>
      </w:r>
      <w:r w:rsidRPr="003B2F4C">
        <w:rPr>
          <w:rFonts w:ascii="Arial" w:hAnsi="Arial" w:cs="Arial"/>
          <w:sz w:val="20"/>
          <w:szCs w:val="20"/>
        </w:rPr>
        <w:t xml:space="preserve"> but “alright” — </w:t>
      </w:r>
      <w:r>
        <w:rPr>
          <w:rFonts w:ascii="Arial" w:hAnsi="Arial" w:cs="Arial"/>
          <w:sz w:val="20"/>
          <w:szCs w:val="20"/>
        </w:rPr>
        <w:t>l</w:t>
      </w:r>
      <w:r w:rsidRPr="003B2F4C">
        <w:rPr>
          <w:rFonts w:ascii="Arial" w:hAnsi="Arial" w:cs="Arial"/>
          <w:sz w:val="20"/>
          <w:szCs w:val="20"/>
        </w:rPr>
        <w:t xml:space="preserve">ater, after hearing brother died, accused disposed of knife — </w:t>
      </w:r>
      <w:r>
        <w:rPr>
          <w:rFonts w:ascii="Arial" w:hAnsi="Arial" w:cs="Arial"/>
          <w:sz w:val="20"/>
          <w:szCs w:val="20"/>
        </w:rPr>
        <w:t>t</w:t>
      </w:r>
      <w:r w:rsidRPr="003B2F4C">
        <w:rPr>
          <w:rFonts w:ascii="Arial" w:hAnsi="Arial" w:cs="Arial"/>
          <w:sz w:val="20"/>
          <w:szCs w:val="20"/>
        </w:rPr>
        <w:t>wo weeks earlier</w:t>
      </w:r>
      <w:r>
        <w:rPr>
          <w:rFonts w:ascii="Arial" w:hAnsi="Arial" w:cs="Arial"/>
          <w:sz w:val="20"/>
          <w:szCs w:val="20"/>
        </w:rPr>
        <w:t xml:space="preserve"> </w:t>
      </w:r>
      <w:r w:rsidRPr="003B2F4C">
        <w:rPr>
          <w:rFonts w:ascii="Arial" w:hAnsi="Arial" w:cs="Arial"/>
          <w:sz w:val="20"/>
          <w:szCs w:val="20"/>
        </w:rPr>
        <w:t xml:space="preserve">brother </w:t>
      </w:r>
      <w:r>
        <w:rPr>
          <w:rFonts w:ascii="Arial" w:hAnsi="Arial" w:cs="Arial"/>
          <w:sz w:val="20"/>
          <w:szCs w:val="20"/>
        </w:rPr>
        <w:t xml:space="preserve">had </w:t>
      </w:r>
      <w:r w:rsidRPr="003B2F4C">
        <w:rPr>
          <w:rFonts w:ascii="Arial" w:hAnsi="Arial" w:cs="Arial"/>
          <w:sz w:val="20"/>
          <w:szCs w:val="20"/>
        </w:rPr>
        <w:t xml:space="preserve">struck accused to head with mallet — </w:t>
      </w:r>
      <w:r>
        <w:rPr>
          <w:rFonts w:ascii="Arial" w:hAnsi="Arial" w:cs="Arial"/>
          <w:sz w:val="20"/>
          <w:szCs w:val="20"/>
        </w:rPr>
        <w:t>b</w:t>
      </w:r>
      <w:r w:rsidRPr="003B2F4C">
        <w:rPr>
          <w:rFonts w:ascii="Arial" w:hAnsi="Arial" w:cs="Arial"/>
          <w:sz w:val="20"/>
          <w:szCs w:val="20"/>
        </w:rPr>
        <w:t xml:space="preserve">rother </w:t>
      </w:r>
      <w:r>
        <w:rPr>
          <w:rFonts w:ascii="Arial" w:hAnsi="Arial" w:cs="Arial"/>
          <w:sz w:val="20"/>
          <w:szCs w:val="20"/>
        </w:rPr>
        <w:t xml:space="preserve">had </w:t>
      </w:r>
      <w:r w:rsidRPr="003B2F4C">
        <w:rPr>
          <w:rFonts w:ascii="Arial" w:hAnsi="Arial" w:cs="Arial"/>
          <w:sz w:val="20"/>
          <w:szCs w:val="20"/>
        </w:rPr>
        <w:t>sent threatening texts to accuse</w:t>
      </w:r>
      <w:r>
        <w:rPr>
          <w:rFonts w:ascii="Arial" w:hAnsi="Arial" w:cs="Arial"/>
          <w:sz w:val="20"/>
          <w:szCs w:val="20"/>
        </w:rPr>
        <w:t>d</w:t>
      </w:r>
      <w:r w:rsidRPr="003B2F4C">
        <w:rPr>
          <w:rFonts w:ascii="Arial" w:hAnsi="Arial" w:cs="Arial"/>
          <w:sz w:val="20"/>
          <w:szCs w:val="20"/>
        </w:rPr>
        <w:t xml:space="preserve"> who </w:t>
      </w:r>
      <w:r>
        <w:rPr>
          <w:rFonts w:ascii="Arial" w:hAnsi="Arial" w:cs="Arial"/>
          <w:sz w:val="20"/>
          <w:szCs w:val="20"/>
        </w:rPr>
        <w:t xml:space="preserve">had </w:t>
      </w:r>
      <w:r w:rsidRPr="003B2F4C">
        <w:rPr>
          <w:rFonts w:ascii="Arial" w:hAnsi="Arial" w:cs="Arial"/>
          <w:sz w:val="20"/>
          <w:szCs w:val="20"/>
        </w:rPr>
        <w:t xml:space="preserve">responded in kind — </w:t>
      </w:r>
      <w:r>
        <w:rPr>
          <w:rFonts w:ascii="Arial" w:hAnsi="Arial" w:cs="Arial"/>
          <w:sz w:val="20"/>
          <w:szCs w:val="20"/>
        </w:rPr>
        <w:t>g</w:t>
      </w:r>
      <w:r w:rsidRPr="003B2F4C">
        <w:rPr>
          <w:rFonts w:ascii="Arial" w:hAnsi="Arial" w:cs="Arial"/>
          <w:sz w:val="20"/>
          <w:szCs w:val="20"/>
        </w:rPr>
        <w:t xml:space="preserve">uilty plea entered in face of arguable defence (self-defence) — </w:t>
      </w:r>
      <w:r>
        <w:rPr>
          <w:rFonts w:ascii="Arial" w:hAnsi="Arial" w:cs="Arial"/>
          <w:sz w:val="20"/>
          <w:szCs w:val="20"/>
        </w:rPr>
        <w:t>r</w:t>
      </w:r>
      <w:r w:rsidRPr="003B2F4C">
        <w:rPr>
          <w:rFonts w:ascii="Arial" w:hAnsi="Arial" w:cs="Arial"/>
          <w:sz w:val="20"/>
          <w:szCs w:val="20"/>
        </w:rPr>
        <w:t xml:space="preserve">emorse — </w:t>
      </w:r>
      <w:r>
        <w:rPr>
          <w:rFonts w:ascii="Arial" w:hAnsi="Arial" w:cs="Arial"/>
          <w:sz w:val="20"/>
          <w:szCs w:val="20"/>
        </w:rPr>
        <w:t>a</w:t>
      </w:r>
      <w:r w:rsidRPr="003B2F4C">
        <w:rPr>
          <w:rFonts w:ascii="Arial" w:hAnsi="Arial" w:cs="Arial"/>
          <w:sz w:val="20"/>
          <w:szCs w:val="20"/>
        </w:rPr>
        <w:t>ccused exposed to family violence and illicit drug use from early age</w:t>
      </w:r>
      <w:r>
        <w:rPr>
          <w:rFonts w:ascii="Arial" w:hAnsi="Arial" w:cs="Arial"/>
          <w:sz w:val="20"/>
          <w:szCs w:val="20"/>
        </w:rPr>
        <w:t xml:space="preserve"> and had been s</w:t>
      </w:r>
      <w:r w:rsidRPr="003B2F4C">
        <w:rPr>
          <w:rFonts w:ascii="Arial" w:hAnsi="Arial" w:cs="Arial"/>
          <w:sz w:val="20"/>
          <w:szCs w:val="20"/>
        </w:rPr>
        <w:t xml:space="preserve">exually assaulted as a child — </w:t>
      </w:r>
      <w:r>
        <w:rPr>
          <w:rFonts w:ascii="Arial" w:hAnsi="Arial" w:cs="Arial"/>
          <w:sz w:val="20"/>
          <w:szCs w:val="20"/>
        </w:rPr>
        <w:t>i</w:t>
      </w:r>
      <w:r w:rsidRPr="003B2F4C">
        <w:rPr>
          <w:rFonts w:ascii="Arial" w:hAnsi="Arial" w:cs="Arial"/>
          <w:sz w:val="20"/>
          <w:szCs w:val="20"/>
        </w:rPr>
        <w:t xml:space="preserve">llicit drug use since teenage years — </w:t>
      </w:r>
      <w:r>
        <w:rPr>
          <w:rFonts w:ascii="Arial" w:hAnsi="Arial" w:cs="Arial"/>
          <w:sz w:val="20"/>
          <w:szCs w:val="20"/>
        </w:rPr>
        <w:t>c</w:t>
      </w:r>
      <w:r w:rsidRPr="003B2F4C">
        <w:rPr>
          <w:rFonts w:ascii="Arial" w:hAnsi="Arial" w:cs="Arial"/>
          <w:sz w:val="20"/>
          <w:szCs w:val="20"/>
        </w:rPr>
        <w:t xml:space="preserve">riminal history for various offences, including breaches of family violence orders and minor violence — </w:t>
      </w:r>
      <w:r>
        <w:rPr>
          <w:rFonts w:ascii="Arial" w:hAnsi="Arial" w:cs="Arial"/>
          <w:sz w:val="20"/>
          <w:szCs w:val="20"/>
        </w:rPr>
        <w:t>l</w:t>
      </w:r>
      <w:r w:rsidRPr="003B2F4C">
        <w:rPr>
          <w:rFonts w:ascii="Arial" w:hAnsi="Arial" w:cs="Arial"/>
          <w:sz w:val="20"/>
          <w:szCs w:val="20"/>
        </w:rPr>
        <w:t xml:space="preserve">imited work history — </w:t>
      </w:r>
      <w:r>
        <w:rPr>
          <w:rFonts w:ascii="Arial" w:hAnsi="Arial" w:cs="Arial"/>
          <w:sz w:val="20"/>
          <w:szCs w:val="20"/>
        </w:rPr>
        <w:t>h</w:t>
      </w:r>
      <w:r w:rsidRPr="003B2F4C">
        <w:rPr>
          <w:rFonts w:ascii="Arial" w:hAnsi="Arial" w:cs="Arial"/>
          <w:sz w:val="20"/>
          <w:szCs w:val="20"/>
        </w:rPr>
        <w:t xml:space="preserve">ardship in prison because of PTSD and pandemic restrictions — PTSD likely to worsen in prison — </w:t>
      </w:r>
      <w:r>
        <w:rPr>
          <w:rFonts w:ascii="Arial" w:hAnsi="Arial" w:cs="Arial"/>
          <w:sz w:val="20"/>
          <w:szCs w:val="20"/>
        </w:rPr>
        <w:t>n</w:t>
      </w:r>
      <w:r w:rsidRPr="003B2F4C">
        <w:rPr>
          <w:rFonts w:ascii="Arial" w:hAnsi="Arial" w:cs="Arial"/>
          <w:sz w:val="20"/>
          <w:szCs w:val="20"/>
        </w:rPr>
        <w:t>otwithstanding history of offending and drug use, good prospects of rehabilitation —</w:t>
      </w:r>
      <w:r>
        <w:rPr>
          <w:rFonts w:ascii="Arial" w:hAnsi="Arial" w:cs="Arial"/>
          <w:sz w:val="20"/>
          <w:szCs w:val="20"/>
        </w:rPr>
        <w:t xml:space="preserve"> IMP8y3m/5y].</w:t>
      </w:r>
    </w:p>
    <w:p w14:paraId="3231205C" w14:textId="70905D8E" w:rsidR="006364A1" w:rsidRPr="009F06FB" w:rsidRDefault="006364A1" w:rsidP="009C2962">
      <w:pPr>
        <w:numPr>
          <w:ilvl w:val="0"/>
          <w:numId w:val="76"/>
        </w:numPr>
        <w:ind w:left="357" w:hanging="357"/>
        <w:jc w:val="both"/>
        <w:rPr>
          <w:rFonts w:ascii="Arial" w:hAnsi="Arial" w:cs="Arial"/>
          <w:color w:val="000000"/>
          <w:sz w:val="16"/>
          <w:szCs w:val="16"/>
        </w:rPr>
      </w:pPr>
      <w:r w:rsidRPr="006364A1">
        <w:rPr>
          <w:rFonts w:ascii="Arial" w:hAnsi="Arial" w:cs="Arial"/>
          <w:i/>
          <w:iCs/>
          <w:color w:val="000000"/>
          <w:sz w:val="20"/>
          <w:szCs w:val="20"/>
        </w:rPr>
        <w:t>R v Jeffrey</w:t>
      </w:r>
      <w:r w:rsidRPr="006364A1">
        <w:rPr>
          <w:rFonts w:ascii="Arial" w:hAnsi="Arial" w:cs="Arial"/>
          <w:color w:val="000000"/>
          <w:sz w:val="20"/>
          <w:szCs w:val="20"/>
        </w:rPr>
        <w:t xml:space="preserve"> [2023] VSC 538 [Sentence after plea of guilty to manslaughter by unlawful and dangerous act – accused </w:t>
      </w:r>
      <w:r w:rsidRPr="006364A1">
        <w:rPr>
          <w:rFonts w:ascii="Arial" w:hAnsi="Arial" w:cs="Arial"/>
          <w:sz w:val="20"/>
          <w:szCs w:val="20"/>
        </w:rPr>
        <w:t xml:space="preserve">believed deceased disposed of her property and informed on her to police — </w:t>
      </w:r>
      <w:r>
        <w:rPr>
          <w:rFonts w:ascii="Arial" w:hAnsi="Arial" w:cs="Arial"/>
          <w:sz w:val="20"/>
          <w:szCs w:val="20"/>
        </w:rPr>
        <w:t>p</w:t>
      </w:r>
      <w:r w:rsidRPr="006364A1">
        <w:rPr>
          <w:rFonts w:ascii="Arial" w:hAnsi="Arial" w:cs="Arial"/>
          <w:sz w:val="20"/>
          <w:szCs w:val="20"/>
        </w:rPr>
        <w:t xml:space="preserve">recise circumstances of killing unclear, but accused accepts she bashed deceased in unlawful and dangerous manner, causing her death — </w:t>
      </w:r>
      <w:r>
        <w:rPr>
          <w:rFonts w:ascii="Arial" w:hAnsi="Arial" w:cs="Arial"/>
          <w:sz w:val="20"/>
          <w:szCs w:val="20"/>
        </w:rPr>
        <w:t>a</w:t>
      </w:r>
      <w:r w:rsidRPr="006364A1">
        <w:rPr>
          <w:rFonts w:ascii="Arial" w:hAnsi="Arial" w:cs="Arial"/>
          <w:sz w:val="20"/>
          <w:szCs w:val="20"/>
        </w:rPr>
        <w:t xml:space="preserve">ccused then strung up deceased’s body in house to give appearance of suicide — </w:t>
      </w:r>
      <w:r>
        <w:rPr>
          <w:rFonts w:ascii="Arial" w:hAnsi="Arial" w:cs="Arial"/>
          <w:sz w:val="20"/>
          <w:szCs w:val="20"/>
        </w:rPr>
        <w:t>w</w:t>
      </w:r>
      <w:r w:rsidRPr="006364A1">
        <w:rPr>
          <w:rFonts w:ascii="Arial" w:hAnsi="Arial" w:cs="Arial"/>
          <w:sz w:val="20"/>
          <w:szCs w:val="20"/>
        </w:rPr>
        <w:t xml:space="preserve">ith another, accused later removed body from scene and dumped in disused mineshaft — </w:t>
      </w:r>
      <w:r>
        <w:rPr>
          <w:rFonts w:ascii="Arial" w:hAnsi="Arial" w:cs="Arial"/>
          <w:sz w:val="20"/>
          <w:szCs w:val="20"/>
        </w:rPr>
        <w:t>a</w:t>
      </w:r>
      <w:r w:rsidRPr="006364A1">
        <w:rPr>
          <w:rFonts w:ascii="Arial" w:hAnsi="Arial" w:cs="Arial"/>
          <w:sz w:val="20"/>
          <w:szCs w:val="20"/>
        </w:rPr>
        <w:t xml:space="preserve">ccused spread false rumour deceased had gone to Queensland and moved into her house — </w:t>
      </w:r>
      <w:r>
        <w:rPr>
          <w:rFonts w:ascii="Arial" w:hAnsi="Arial" w:cs="Arial"/>
          <w:sz w:val="20"/>
          <w:szCs w:val="20"/>
        </w:rPr>
        <w:t>e</w:t>
      </w:r>
      <w:r w:rsidRPr="006364A1">
        <w:rPr>
          <w:rFonts w:ascii="Arial" w:hAnsi="Arial" w:cs="Arial"/>
          <w:sz w:val="20"/>
          <w:szCs w:val="20"/>
        </w:rPr>
        <w:t xml:space="preserve">ight months after disappearance, police found deceased’s decomposed body in mineshaft — </w:t>
      </w:r>
      <w:r>
        <w:rPr>
          <w:rFonts w:ascii="Arial" w:hAnsi="Arial" w:cs="Arial"/>
          <w:sz w:val="20"/>
          <w:szCs w:val="20"/>
        </w:rPr>
        <w:t>s</w:t>
      </w:r>
      <w:r w:rsidRPr="006364A1">
        <w:rPr>
          <w:rFonts w:ascii="Arial" w:hAnsi="Arial" w:cs="Arial"/>
          <w:sz w:val="20"/>
          <w:szCs w:val="20"/>
        </w:rPr>
        <w:t xml:space="preserve">erious example of offence aggravated by post-offence conduct — </w:t>
      </w:r>
      <w:r>
        <w:rPr>
          <w:rFonts w:ascii="Arial" w:hAnsi="Arial" w:cs="Arial"/>
          <w:sz w:val="20"/>
          <w:szCs w:val="20"/>
        </w:rPr>
        <w:t>t</w:t>
      </w:r>
      <w:r w:rsidRPr="006364A1">
        <w:rPr>
          <w:rFonts w:ascii="Arial" w:hAnsi="Arial" w:cs="Arial"/>
          <w:sz w:val="20"/>
          <w:szCs w:val="20"/>
        </w:rPr>
        <w:t xml:space="preserve">roubled upbringing </w:t>
      </w:r>
      <w:r>
        <w:rPr>
          <w:rFonts w:ascii="Arial" w:hAnsi="Arial" w:cs="Arial"/>
          <w:sz w:val="20"/>
          <w:szCs w:val="20"/>
        </w:rPr>
        <w:t>&amp; a</w:t>
      </w:r>
      <w:r w:rsidRPr="006364A1">
        <w:rPr>
          <w:rFonts w:ascii="Arial" w:hAnsi="Arial" w:cs="Arial"/>
          <w:sz w:val="20"/>
          <w:szCs w:val="20"/>
        </w:rPr>
        <w:t xml:space="preserve">busive relationships — PTSD — </w:t>
      </w:r>
      <w:r>
        <w:rPr>
          <w:rFonts w:ascii="Arial" w:hAnsi="Arial" w:cs="Arial"/>
          <w:sz w:val="20"/>
          <w:szCs w:val="20"/>
        </w:rPr>
        <w:t>d</w:t>
      </w:r>
      <w:r w:rsidRPr="006364A1">
        <w:rPr>
          <w:rFonts w:ascii="Arial" w:hAnsi="Arial" w:cs="Arial"/>
          <w:sz w:val="20"/>
          <w:szCs w:val="20"/>
        </w:rPr>
        <w:t xml:space="preserve">rug addiction — </w:t>
      </w:r>
      <w:r>
        <w:rPr>
          <w:rFonts w:ascii="Arial" w:hAnsi="Arial" w:cs="Arial"/>
          <w:sz w:val="20"/>
          <w:szCs w:val="20"/>
        </w:rPr>
        <w:t>l</w:t>
      </w:r>
      <w:r w:rsidRPr="006364A1">
        <w:rPr>
          <w:rFonts w:ascii="Arial" w:hAnsi="Arial" w:cs="Arial"/>
          <w:sz w:val="20"/>
          <w:szCs w:val="20"/>
        </w:rPr>
        <w:t xml:space="preserve">imited work history — </w:t>
      </w:r>
      <w:r>
        <w:rPr>
          <w:rFonts w:ascii="Arial" w:hAnsi="Arial" w:cs="Arial"/>
          <w:sz w:val="20"/>
          <w:szCs w:val="20"/>
        </w:rPr>
        <w:t>c</w:t>
      </w:r>
      <w:r w:rsidRPr="006364A1">
        <w:rPr>
          <w:rFonts w:ascii="Arial" w:hAnsi="Arial" w:cs="Arial"/>
          <w:sz w:val="20"/>
          <w:szCs w:val="20"/>
        </w:rPr>
        <w:t xml:space="preserve">riminal history, but comparatively modest for violence — </w:t>
      </w:r>
      <w:r>
        <w:rPr>
          <w:rFonts w:ascii="Arial" w:hAnsi="Arial" w:cs="Arial"/>
          <w:sz w:val="20"/>
          <w:szCs w:val="20"/>
        </w:rPr>
        <w:t>s</w:t>
      </w:r>
      <w:r w:rsidRPr="006364A1">
        <w:rPr>
          <w:rFonts w:ascii="Arial" w:hAnsi="Arial" w:cs="Arial"/>
          <w:sz w:val="20"/>
          <w:szCs w:val="20"/>
        </w:rPr>
        <w:t xml:space="preserve">upport of family </w:t>
      </w:r>
      <w:r>
        <w:rPr>
          <w:rFonts w:ascii="Arial" w:hAnsi="Arial" w:cs="Arial"/>
          <w:sz w:val="20"/>
          <w:szCs w:val="20"/>
        </w:rPr>
        <w:t>and r</w:t>
      </w:r>
      <w:r w:rsidRPr="006364A1">
        <w:rPr>
          <w:rFonts w:ascii="Arial" w:hAnsi="Arial" w:cs="Arial"/>
          <w:sz w:val="20"/>
          <w:szCs w:val="20"/>
        </w:rPr>
        <w:t xml:space="preserve">easonably good prospects of rehabilitation — </w:t>
      </w:r>
      <w:r>
        <w:rPr>
          <w:rFonts w:ascii="Arial" w:hAnsi="Arial" w:cs="Arial"/>
          <w:sz w:val="20"/>
          <w:szCs w:val="20"/>
        </w:rPr>
        <w:t>IMP10y/7y].</w:t>
      </w:r>
    </w:p>
    <w:p w14:paraId="6D62167B" w14:textId="0C84AC30" w:rsidR="009F06FB" w:rsidRPr="0030397F" w:rsidRDefault="009F06FB" w:rsidP="009C2962">
      <w:pPr>
        <w:numPr>
          <w:ilvl w:val="0"/>
          <w:numId w:val="76"/>
        </w:numPr>
        <w:ind w:left="357" w:hanging="357"/>
        <w:jc w:val="both"/>
        <w:rPr>
          <w:rFonts w:ascii="Arial" w:hAnsi="Arial" w:cs="Arial"/>
          <w:color w:val="000000"/>
          <w:sz w:val="16"/>
          <w:szCs w:val="16"/>
        </w:rPr>
      </w:pPr>
      <w:r>
        <w:rPr>
          <w:rFonts w:ascii="Arial" w:hAnsi="Arial" w:cs="Arial"/>
          <w:i/>
          <w:iCs/>
          <w:color w:val="000000"/>
          <w:sz w:val="20"/>
          <w:szCs w:val="20"/>
        </w:rPr>
        <w:t xml:space="preserve">DPP v Maskell </w:t>
      </w:r>
      <w:r w:rsidRPr="009F06FB">
        <w:rPr>
          <w:rFonts w:ascii="Arial" w:hAnsi="Arial" w:cs="Arial"/>
          <w:color w:val="000000"/>
          <w:sz w:val="20"/>
          <w:szCs w:val="20"/>
        </w:rPr>
        <w:t>[2023] VSC 689 [</w:t>
      </w:r>
      <w:r>
        <w:rPr>
          <w:rFonts w:ascii="Arial" w:hAnsi="Arial" w:cs="Arial"/>
          <w:color w:val="000000"/>
          <w:sz w:val="20"/>
          <w:szCs w:val="20"/>
        </w:rPr>
        <w:t>Sentence after jury verdict – manslaughter by unlawful and dangerous act – 45 year old accused who was intoxicated at the time spontaneously threw a full plastic bottle at the head of the 73 year old victim and kicked his hip – prospects of rehabilitation – IMP8y/5y].</w:t>
      </w:r>
    </w:p>
    <w:p w14:paraId="1A2A3F87" w14:textId="46485951" w:rsidR="0030397F" w:rsidRPr="0057128C" w:rsidRDefault="0030397F" w:rsidP="009C2962">
      <w:pPr>
        <w:numPr>
          <w:ilvl w:val="0"/>
          <w:numId w:val="76"/>
        </w:numPr>
        <w:ind w:left="357" w:hanging="357"/>
        <w:jc w:val="both"/>
        <w:rPr>
          <w:rFonts w:ascii="Arial" w:hAnsi="Arial" w:cs="Arial"/>
          <w:color w:val="000000"/>
          <w:sz w:val="20"/>
          <w:szCs w:val="20"/>
        </w:rPr>
      </w:pPr>
      <w:r w:rsidRPr="0030397F">
        <w:rPr>
          <w:rFonts w:ascii="Arial" w:hAnsi="Arial" w:cs="Arial"/>
          <w:i/>
          <w:iCs/>
          <w:color w:val="000000"/>
          <w:sz w:val="20"/>
          <w:szCs w:val="20"/>
        </w:rPr>
        <w:t>R v LH Holding &amp; Hanna</w:t>
      </w:r>
      <w:r>
        <w:rPr>
          <w:rFonts w:ascii="Arial" w:hAnsi="Arial" w:cs="Arial"/>
          <w:color w:val="000000"/>
          <w:sz w:val="20"/>
          <w:szCs w:val="20"/>
        </w:rPr>
        <w:t xml:space="preserve"> [2024] </w:t>
      </w:r>
      <w:r w:rsidR="00395CC2">
        <w:rPr>
          <w:rFonts w:ascii="Arial" w:hAnsi="Arial" w:cs="Arial"/>
          <w:color w:val="000000"/>
          <w:sz w:val="20"/>
          <w:szCs w:val="20"/>
        </w:rPr>
        <w:t xml:space="preserve">VSC 90 [First prosecution of workplace manslaughter – </w:t>
      </w:r>
      <w:r w:rsidR="00395CC2" w:rsidRPr="00395CC2">
        <w:rPr>
          <w:rFonts w:ascii="Arial" w:hAnsi="Arial" w:cs="Arial"/>
          <w:sz w:val="20"/>
          <w:szCs w:val="20"/>
        </w:rPr>
        <w:t>Forklift</w:t>
      </w:r>
      <w:r w:rsidR="00395CC2">
        <w:rPr>
          <w:rFonts w:ascii="Arial" w:hAnsi="Arial" w:cs="Arial"/>
          <w:sz w:val="20"/>
          <w:szCs w:val="20"/>
        </w:rPr>
        <w:t xml:space="preserve"> </w:t>
      </w:r>
      <w:r w:rsidR="00395CC2" w:rsidRPr="00395CC2">
        <w:rPr>
          <w:rFonts w:ascii="Arial" w:hAnsi="Arial" w:cs="Arial"/>
          <w:sz w:val="20"/>
          <w:szCs w:val="20"/>
        </w:rPr>
        <w:t xml:space="preserve">operated negligently by LH at his company’s factory toppled and killed </w:t>
      </w:r>
      <w:r w:rsidR="00395CC2">
        <w:rPr>
          <w:rFonts w:ascii="Arial" w:hAnsi="Arial" w:cs="Arial"/>
          <w:sz w:val="20"/>
          <w:szCs w:val="20"/>
        </w:rPr>
        <w:t xml:space="preserve">MT </w:t>
      </w:r>
      <w:r w:rsidR="00395CC2" w:rsidRPr="00395CC2">
        <w:rPr>
          <w:rFonts w:ascii="Arial" w:hAnsi="Arial" w:cs="Arial"/>
          <w:sz w:val="20"/>
          <w:szCs w:val="20"/>
        </w:rPr>
        <w:t>employed by business contracting to LH’s company at factory — LH’s company charged with workplace manslaughter — LH, as sole director and shareholder of company, charged as officer of company that committed workplace manslaughter attributable to officer’s failure to take reasonable care</w:t>
      </w:r>
      <w:r w:rsidR="00395CC2">
        <w:rPr>
          <w:rFonts w:ascii="Arial" w:hAnsi="Arial" w:cs="Arial"/>
          <w:sz w:val="20"/>
          <w:szCs w:val="20"/>
        </w:rPr>
        <w:t xml:space="preserve"> </w:t>
      </w:r>
      <w:r w:rsidR="00395CC2" w:rsidRPr="00395CC2">
        <w:rPr>
          <w:rFonts w:ascii="Arial" w:hAnsi="Arial" w:cs="Arial"/>
          <w:sz w:val="20"/>
          <w:szCs w:val="20"/>
        </w:rPr>
        <w:t xml:space="preserve">— Accident reasonably foreseeable — Co-operation — Pleas of guilty — Remorse — Previous good character </w:t>
      </w:r>
      <w:r w:rsidR="00395CC2" w:rsidRPr="00395CC2">
        <w:rPr>
          <w:rFonts w:ascii="Arial" w:hAnsi="Arial" w:cs="Arial"/>
          <w:sz w:val="20"/>
          <w:szCs w:val="20"/>
        </w:rPr>
        <w:lastRenderedPageBreak/>
        <w:t>— Excellent prospects of rehabilitation — Agreed compensation of $120,000 to MT’s sister — Limited financial resources of company and LH — Company convicted and fined $1,300,000 — LH convicted and placed on two-year CCO with 200 hours’ unpaid community work and forklift safety course</w:t>
      </w:r>
      <w:r w:rsidR="00395CC2">
        <w:rPr>
          <w:rFonts w:ascii="Arial" w:hAnsi="Arial" w:cs="Arial"/>
          <w:sz w:val="20"/>
          <w:szCs w:val="20"/>
        </w:rPr>
        <w:t>.</w:t>
      </w:r>
    </w:p>
    <w:p w14:paraId="6CBF3B7E" w14:textId="3427F341" w:rsidR="0057128C" w:rsidRDefault="0057128C"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Nguyen </w:t>
      </w:r>
      <w:r w:rsidRPr="0057128C">
        <w:rPr>
          <w:rFonts w:ascii="Arial" w:hAnsi="Arial" w:cs="Arial"/>
          <w:color w:val="000000"/>
          <w:sz w:val="20"/>
          <w:szCs w:val="20"/>
        </w:rPr>
        <w:t>[2024] VSC 99 [</w:t>
      </w:r>
      <w:r>
        <w:rPr>
          <w:rFonts w:ascii="Arial" w:hAnsi="Arial" w:cs="Arial"/>
          <w:color w:val="000000"/>
          <w:sz w:val="20"/>
          <w:szCs w:val="20"/>
        </w:rPr>
        <w:t>Sentence after guilty plea – 46 year old accused stabbed deceased in the leg in the course of a struggle – spontaneous attack – IMP8y/5y6m].</w:t>
      </w:r>
    </w:p>
    <w:p w14:paraId="33FCDC4F" w14:textId="79C1B92B" w:rsidR="00D83874" w:rsidRDefault="00D83874" w:rsidP="009C2962">
      <w:pPr>
        <w:numPr>
          <w:ilvl w:val="0"/>
          <w:numId w:val="76"/>
        </w:numPr>
        <w:ind w:left="357" w:hanging="357"/>
        <w:jc w:val="both"/>
        <w:rPr>
          <w:rFonts w:ascii="Arial" w:hAnsi="Arial" w:cs="Arial"/>
          <w:color w:val="000000"/>
          <w:sz w:val="20"/>
          <w:szCs w:val="20"/>
        </w:rPr>
      </w:pPr>
      <w:r w:rsidRPr="00D83874">
        <w:rPr>
          <w:rFonts w:ascii="Arial" w:hAnsi="Arial" w:cs="Arial"/>
          <w:i/>
          <w:iCs/>
          <w:color w:val="000000"/>
          <w:sz w:val="20"/>
          <w:szCs w:val="20"/>
        </w:rPr>
        <w:t>DPP v Ho</w:t>
      </w:r>
      <w:r>
        <w:rPr>
          <w:rFonts w:ascii="Arial" w:hAnsi="Arial" w:cs="Arial"/>
          <w:color w:val="000000"/>
          <w:sz w:val="20"/>
          <w:szCs w:val="20"/>
        </w:rPr>
        <w:t xml:space="preserve"> [2024] VSC 162 [Sentence after jury verdict on manslaughter by unlawful and dangerous act and after guilty plea to a charge of cultivating a commercial quantity of cannabis – 55 year old accused attended cannabis factory to seek payment for work – victim met accused at door holding knife – accused wrested knife from victim and stabbed victim to thigh severing femoral artery – accused in Australia on visa and liable to be deported on completion of sentence – difficult circumstances in custody – on charge of manslaughter IMP7y, on charge of cultivate cannabis IMP2y,4m cumulative – TES IMP7y4m/5y].</w:t>
      </w:r>
    </w:p>
    <w:p w14:paraId="2452A13B" w14:textId="4BEBC835" w:rsidR="003A4F41" w:rsidRDefault="003A4F41"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Belmore </w:t>
      </w:r>
      <w:r w:rsidRPr="003A4F41">
        <w:rPr>
          <w:rFonts w:ascii="Arial" w:hAnsi="Arial" w:cs="Arial"/>
          <w:color w:val="000000"/>
          <w:sz w:val="20"/>
          <w:szCs w:val="20"/>
        </w:rPr>
        <w:t xml:space="preserve">[2024] VSC </w:t>
      </w:r>
      <w:r>
        <w:rPr>
          <w:rFonts w:ascii="Arial" w:hAnsi="Arial" w:cs="Arial"/>
          <w:color w:val="000000"/>
          <w:sz w:val="20"/>
          <w:szCs w:val="20"/>
        </w:rPr>
        <w:t xml:space="preserve">213 </w:t>
      </w:r>
      <w:r w:rsidRPr="003A4F41">
        <w:rPr>
          <w:rFonts w:ascii="Arial" w:hAnsi="Arial" w:cs="Arial"/>
          <w:color w:val="000000"/>
          <w:sz w:val="20"/>
          <w:szCs w:val="20"/>
        </w:rPr>
        <w:t>[</w:t>
      </w:r>
      <w:r>
        <w:rPr>
          <w:rFonts w:ascii="Arial" w:hAnsi="Arial" w:cs="Arial"/>
          <w:color w:val="000000"/>
          <w:sz w:val="20"/>
          <w:szCs w:val="20"/>
        </w:rPr>
        <w:t>Sentence after early guilty plea to manslaughter by unlawful and dangerous act after a charge of murder was withdrawn – 24 year old offender – the prosecution agreed they cannot prove beyond reasonable doubt that this offender was the shooter or had gone into the deceased’s house – however the offender accepted that he entered into an agreement, arrangement or understanding with a coaccused to threaten the deceased with a rifle – IMP9y/5y6m].</w:t>
      </w:r>
    </w:p>
    <w:p w14:paraId="76B054AB" w14:textId="0CDE8BD5" w:rsidR="0022654A" w:rsidRDefault="0022654A" w:rsidP="009C2962">
      <w:pPr>
        <w:numPr>
          <w:ilvl w:val="0"/>
          <w:numId w:val="76"/>
        </w:numPr>
        <w:ind w:left="357" w:hanging="357"/>
        <w:jc w:val="both"/>
        <w:rPr>
          <w:rFonts w:ascii="Arial" w:hAnsi="Arial" w:cs="Arial"/>
          <w:color w:val="000000"/>
          <w:sz w:val="20"/>
          <w:szCs w:val="20"/>
        </w:rPr>
      </w:pPr>
      <w:r w:rsidRPr="0022654A">
        <w:rPr>
          <w:rFonts w:ascii="Arial" w:hAnsi="Arial" w:cs="Arial"/>
          <w:i/>
          <w:iCs/>
          <w:color w:val="000000"/>
          <w:sz w:val="20"/>
          <w:szCs w:val="20"/>
        </w:rPr>
        <w:t>DPP v Atkinson</w:t>
      </w:r>
      <w:r>
        <w:rPr>
          <w:rFonts w:ascii="Arial" w:hAnsi="Arial" w:cs="Arial"/>
          <w:color w:val="000000"/>
          <w:sz w:val="20"/>
          <w:szCs w:val="20"/>
        </w:rPr>
        <w:t xml:space="preserve"> [2024] VSC 286 [Sentence after early guilty plea – </w:t>
      </w:r>
      <w:r w:rsidR="00C81490">
        <w:rPr>
          <w:rFonts w:ascii="Arial" w:hAnsi="Arial" w:cs="Arial"/>
          <w:color w:val="000000"/>
          <w:sz w:val="20"/>
          <w:szCs w:val="20"/>
        </w:rPr>
        <w:t>young</w:t>
      </w:r>
      <w:r>
        <w:rPr>
          <w:rFonts w:ascii="Arial" w:hAnsi="Arial" w:cs="Arial"/>
          <w:color w:val="000000"/>
          <w:sz w:val="20"/>
          <w:szCs w:val="20"/>
        </w:rPr>
        <w:t xml:space="preserve"> indigenous offender</w:t>
      </w:r>
      <w:r w:rsidR="00C81490">
        <w:rPr>
          <w:rFonts w:ascii="Arial" w:hAnsi="Arial" w:cs="Arial"/>
          <w:color w:val="000000"/>
          <w:sz w:val="20"/>
          <w:szCs w:val="20"/>
        </w:rPr>
        <w:t xml:space="preserve"> (aged 19 at date of offence, 20 at date of sentence)</w:t>
      </w:r>
      <w:r>
        <w:rPr>
          <w:rFonts w:ascii="Arial" w:hAnsi="Arial" w:cs="Arial"/>
          <w:color w:val="000000"/>
          <w:sz w:val="20"/>
          <w:szCs w:val="20"/>
        </w:rPr>
        <w:t>, believing that the deceased had behaved in a sexually inappropriate way towards his underage sister</w:t>
      </w:r>
      <w:r w:rsidR="00C81490">
        <w:rPr>
          <w:rFonts w:ascii="Arial" w:hAnsi="Arial" w:cs="Arial"/>
          <w:color w:val="000000"/>
          <w:sz w:val="20"/>
          <w:szCs w:val="20"/>
        </w:rPr>
        <w:t>,</w:t>
      </w:r>
      <w:r>
        <w:rPr>
          <w:rFonts w:ascii="Arial" w:hAnsi="Arial" w:cs="Arial"/>
          <w:color w:val="000000"/>
          <w:sz w:val="20"/>
          <w:szCs w:val="20"/>
        </w:rPr>
        <w:t xml:space="preserve"> had spontaneously attacked the deceased in a public supermarket – </w:t>
      </w:r>
      <w:r w:rsidRPr="00C81490">
        <w:rPr>
          <w:rFonts w:ascii="Arial" w:hAnsi="Arial" w:cs="Arial"/>
          <w:i/>
          <w:iCs/>
          <w:color w:val="000000"/>
          <w:sz w:val="20"/>
          <w:szCs w:val="20"/>
        </w:rPr>
        <w:t>Bugmy</w:t>
      </w:r>
      <w:r>
        <w:rPr>
          <w:rFonts w:ascii="Arial" w:hAnsi="Arial" w:cs="Arial"/>
          <w:color w:val="000000"/>
          <w:sz w:val="20"/>
          <w:szCs w:val="20"/>
        </w:rPr>
        <w:t xml:space="preserve"> &amp; </w:t>
      </w:r>
      <w:r w:rsidRPr="00C81490">
        <w:rPr>
          <w:rFonts w:ascii="Arial" w:hAnsi="Arial" w:cs="Arial"/>
          <w:i/>
          <w:iCs/>
          <w:color w:val="000000"/>
          <w:sz w:val="20"/>
          <w:szCs w:val="20"/>
        </w:rPr>
        <w:t>Verdins</w:t>
      </w:r>
      <w:r>
        <w:rPr>
          <w:rFonts w:ascii="Arial" w:hAnsi="Arial" w:cs="Arial"/>
          <w:color w:val="000000"/>
          <w:sz w:val="20"/>
          <w:szCs w:val="20"/>
        </w:rPr>
        <w:t xml:space="preserve"> principles were applicable – despite </w:t>
      </w:r>
      <w:r w:rsidR="00C81490">
        <w:rPr>
          <w:rFonts w:ascii="Arial" w:hAnsi="Arial" w:cs="Arial"/>
          <w:color w:val="000000"/>
          <w:sz w:val="20"/>
          <w:szCs w:val="20"/>
        </w:rPr>
        <w:t xml:space="preserve">his </w:t>
      </w:r>
      <w:r>
        <w:rPr>
          <w:rFonts w:ascii="Arial" w:hAnsi="Arial" w:cs="Arial"/>
          <w:color w:val="000000"/>
          <w:sz w:val="20"/>
          <w:szCs w:val="20"/>
        </w:rPr>
        <w:t>criminal history offender had reasonable prospects of rehabilitation with appropriate treatment and supports – merciful sentence justified with shorter than usual non-parole period – IMP6y/3y6m].</w:t>
      </w:r>
    </w:p>
    <w:p w14:paraId="06CC46B6" w14:textId="12F1ECB0" w:rsidR="00861AA6" w:rsidRDefault="00861AA6"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Bell </w:t>
      </w:r>
      <w:r w:rsidRPr="00861AA6">
        <w:rPr>
          <w:rFonts w:ascii="Arial" w:hAnsi="Arial" w:cs="Arial"/>
          <w:color w:val="000000"/>
          <w:sz w:val="20"/>
          <w:szCs w:val="20"/>
        </w:rPr>
        <w:t xml:space="preserve">[2024] VSC 384 [Sentence after plea of guilty at first reasonable opportunity – manslaughter by criminal negligence – 51 year old offender </w:t>
      </w:r>
      <w:r>
        <w:rPr>
          <w:rFonts w:ascii="Arial" w:hAnsi="Arial" w:cs="Arial"/>
          <w:color w:val="000000"/>
          <w:sz w:val="20"/>
          <w:szCs w:val="20"/>
        </w:rPr>
        <w:t xml:space="preserve">killed friend and co-worker when he accidentally ran over him in a bobcat in the work yard whilst affected by alcohol – remorse – difficult childhood due to sexual abuse – PTSD &amp; ADHD – </w:t>
      </w:r>
      <w:r w:rsidRPr="00861AA6">
        <w:rPr>
          <w:rFonts w:ascii="Arial" w:hAnsi="Arial" w:cs="Arial"/>
          <w:i/>
          <w:iCs/>
          <w:color w:val="000000"/>
          <w:sz w:val="20"/>
          <w:szCs w:val="20"/>
        </w:rPr>
        <w:t>Verdins &amp; Bugmy</w:t>
      </w:r>
      <w:r>
        <w:rPr>
          <w:rFonts w:ascii="Arial" w:hAnsi="Arial" w:cs="Arial"/>
          <w:color w:val="000000"/>
          <w:sz w:val="20"/>
          <w:szCs w:val="20"/>
        </w:rPr>
        <w:t xml:space="preserve"> principles – IMP7y/4y].</w:t>
      </w:r>
    </w:p>
    <w:p w14:paraId="31ED0C07" w14:textId="4DC74ECA" w:rsidR="00E15180" w:rsidRPr="00814CDF" w:rsidRDefault="00E15180" w:rsidP="0057128C">
      <w:pPr>
        <w:numPr>
          <w:ilvl w:val="0"/>
          <w:numId w:val="76"/>
        </w:numPr>
        <w:ind w:left="357" w:hanging="357"/>
        <w:jc w:val="both"/>
        <w:rPr>
          <w:rFonts w:ascii="Arial" w:hAnsi="Arial" w:cs="Arial"/>
          <w:color w:val="000000"/>
          <w:sz w:val="20"/>
          <w:szCs w:val="20"/>
        </w:rPr>
      </w:pPr>
      <w:r w:rsidRPr="00E15180">
        <w:rPr>
          <w:rFonts w:ascii="Arial" w:hAnsi="Arial" w:cs="Arial"/>
          <w:i/>
          <w:iCs/>
          <w:color w:val="000000"/>
          <w:sz w:val="20"/>
          <w:szCs w:val="20"/>
        </w:rPr>
        <w:t>R v Kidd</w:t>
      </w:r>
      <w:r>
        <w:rPr>
          <w:rFonts w:ascii="Arial" w:hAnsi="Arial" w:cs="Arial"/>
          <w:color w:val="000000"/>
          <w:sz w:val="20"/>
          <w:szCs w:val="20"/>
        </w:rPr>
        <w:t xml:space="preserve"> [2024] VSC 458 [Sentence after plea of guilty to manslaughter by unlawful and dangerous act – 20 year old offender killed his grandmother by striking her several times to the head and torso with a mattock, leaving the mattock embedded in the back of her head – offender’s cousin aged 7 witnessed killing – offender suffering </w:t>
      </w:r>
      <w:r w:rsidRPr="00E15180">
        <w:rPr>
          <w:rFonts w:ascii="Arial" w:hAnsi="Arial" w:cs="Arial"/>
          <w:color w:val="000000"/>
          <w:sz w:val="20"/>
        </w:rPr>
        <w:t xml:space="preserve">from temporary cannabis-induced psychosis at time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w:t>
      </w:r>
      <w:r w:rsidRPr="00E15180">
        <w:rPr>
          <w:rFonts w:ascii="Arial" w:hAnsi="Arial" w:cs="Arial"/>
          <w:color w:val="000000"/>
          <w:sz w:val="20"/>
        </w:rPr>
        <w:t xml:space="preserve">n deluded state, </w:t>
      </w:r>
      <w:r>
        <w:rPr>
          <w:rFonts w:ascii="Arial" w:hAnsi="Arial" w:cs="Arial"/>
          <w:color w:val="000000"/>
          <w:sz w:val="20"/>
        </w:rPr>
        <w:t>offender</w:t>
      </w:r>
      <w:r w:rsidRPr="00E15180">
        <w:rPr>
          <w:rFonts w:ascii="Arial" w:hAnsi="Arial" w:cs="Arial"/>
          <w:color w:val="000000"/>
          <w:sz w:val="20"/>
        </w:rPr>
        <w:t xml:space="preserve"> believed his grandmother to be his sadistic stepfather posing threat to his younger self (in truth, his cousin)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offender</w:t>
      </w:r>
      <w:r w:rsidRPr="00E15180">
        <w:rPr>
          <w:rFonts w:ascii="Arial" w:hAnsi="Arial" w:cs="Arial"/>
          <w:color w:val="000000"/>
          <w:sz w:val="20"/>
        </w:rPr>
        <w:t xml:space="preserve"> initially indicted on murder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d</w:t>
      </w:r>
      <w:r w:rsidRPr="00E15180">
        <w:rPr>
          <w:rFonts w:ascii="Arial" w:hAnsi="Arial" w:cs="Arial"/>
          <w:color w:val="000000"/>
          <w:sz w:val="20"/>
        </w:rPr>
        <w:t xml:space="preserve">uring trial, expert evidence from two psychiatrists cast doubt on murderous intent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a</w:t>
      </w:r>
      <w:r w:rsidRPr="00E15180">
        <w:rPr>
          <w:rFonts w:ascii="Arial" w:hAnsi="Arial" w:cs="Arial"/>
          <w:color w:val="000000"/>
          <w:sz w:val="20"/>
        </w:rPr>
        <w:t xml:space="preserve">ccused had no reason to suspect cannabis would induce psychotic violence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y consent, jury discharged without verdict and </w:t>
      </w:r>
      <w:r>
        <w:rPr>
          <w:rFonts w:ascii="Arial" w:hAnsi="Arial" w:cs="Arial"/>
          <w:color w:val="000000"/>
          <w:sz w:val="20"/>
        </w:rPr>
        <w:t>offender</w:t>
      </w:r>
      <w:r w:rsidRPr="00E15180">
        <w:rPr>
          <w:rFonts w:ascii="Arial" w:hAnsi="Arial" w:cs="Arial"/>
          <w:color w:val="000000"/>
          <w:sz w:val="20"/>
        </w:rPr>
        <w:t xml:space="preserve"> pleaded guilty to manslaughter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ecause of temporary psychosis, very little moral culpability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lea of guilty to manslaughter offered well before trial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r</w:t>
      </w:r>
      <w:r w:rsidRPr="00E15180">
        <w:rPr>
          <w:rFonts w:ascii="Arial" w:hAnsi="Arial" w:cs="Arial"/>
          <w:color w:val="000000"/>
          <w:sz w:val="20"/>
        </w:rPr>
        <w:t xml:space="preserve">emorse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n</w:t>
      </w:r>
      <w:r w:rsidRPr="00E15180">
        <w:rPr>
          <w:rFonts w:ascii="Arial" w:hAnsi="Arial" w:cs="Arial"/>
          <w:color w:val="000000"/>
          <w:sz w:val="20"/>
        </w:rPr>
        <w:t xml:space="preserve">o prior convictions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g</w:t>
      </w:r>
      <w:r w:rsidRPr="00E15180">
        <w:rPr>
          <w:rFonts w:ascii="Arial" w:hAnsi="Arial" w:cs="Arial"/>
          <w:color w:val="000000"/>
          <w:sz w:val="20"/>
        </w:rPr>
        <w:t xml:space="preserve">ood prospects of rehabilitation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entencing purposes of general and specific deterrence, denunciation, and community protection of less weight than usual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ingular case calling for merciful sentence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rison sentence combined with community correction order inappropriate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IMP5y/2y6m]</w:t>
      </w:r>
      <w:r w:rsidRPr="00E15180">
        <w:rPr>
          <w:rFonts w:ascii="Arial" w:hAnsi="Arial" w:cs="Arial"/>
          <w:color w:val="000000"/>
          <w:sz w:val="20"/>
        </w:rPr>
        <w:t>.</w:t>
      </w:r>
    </w:p>
    <w:p w14:paraId="5E642FB4" w14:textId="65BA4CD8" w:rsidR="00814CDF" w:rsidRDefault="00814CDF" w:rsidP="0057128C">
      <w:pPr>
        <w:numPr>
          <w:ilvl w:val="0"/>
          <w:numId w:val="76"/>
        </w:numPr>
        <w:ind w:left="357" w:hanging="357"/>
        <w:jc w:val="both"/>
        <w:rPr>
          <w:rFonts w:ascii="Arial" w:hAnsi="Arial" w:cs="Arial"/>
          <w:color w:val="000000"/>
          <w:sz w:val="20"/>
          <w:szCs w:val="20"/>
        </w:rPr>
      </w:pPr>
      <w:r w:rsidRPr="00814CDF">
        <w:rPr>
          <w:rFonts w:ascii="Arial" w:hAnsi="Arial" w:cs="Arial"/>
          <w:i/>
          <w:iCs/>
          <w:color w:val="000000"/>
          <w:sz w:val="20"/>
          <w:szCs w:val="20"/>
        </w:rPr>
        <w:t>DPP v Tiumalu</w:t>
      </w:r>
      <w:r>
        <w:rPr>
          <w:rFonts w:ascii="Arial" w:hAnsi="Arial" w:cs="Arial"/>
          <w:color w:val="000000"/>
          <w:sz w:val="20"/>
          <w:szCs w:val="20"/>
        </w:rPr>
        <w:t xml:space="preserve"> [2024] VSCA 192 [Crown appeal against sentence of IMP7y6m/5y imposed after plea of guilty to manslaughter by unlawful and dangerous act – deceased was injured by a slap and punches in the course of an eviction – respondent prevented deceased from obtaining medical treatment  and concealed deceased respondent’s remains – cause of death unable to be discovered due to body’s state of decomposition – sentence manifestly inadequate – appeal allowed – respondent resentenced to IMP9y6m/7y].</w:t>
      </w:r>
    </w:p>
    <w:p w14:paraId="701FD6F1" w14:textId="04334C36" w:rsidR="00D32C06" w:rsidRDefault="00736715" w:rsidP="00E07644">
      <w:pPr>
        <w:numPr>
          <w:ilvl w:val="0"/>
          <w:numId w:val="76"/>
        </w:numPr>
        <w:ind w:left="357" w:hanging="357"/>
        <w:jc w:val="both"/>
        <w:rPr>
          <w:rFonts w:ascii="Arial" w:hAnsi="Arial" w:cs="Arial"/>
          <w:color w:val="000000"/>
          <w:sz w:val="20"/>
          <w:szCs w:val="20"/>
        </w:rPr>
      </w:pPr>
      <w:r w:rsidRPr="00D32C06">
        <w:rPr>
          <w:rFonts w:ascii="Arial" w:hAnsi="Arial" w:cs="Arial"/>
          <w:i/>
          <w:iCs/>
          <w:color w:val="000000"/>
          <w:sz w:val="20"/>
          <w:szCs w:val="20"/>
        </w:rPr>
        <w:t>DPP v Mohamed</w:t>
      </w:r>
      <w:r w:rsidRPr="00D32C06">
        <w:rPr>
          <w:rFonts w:ascii="Arial" w:hAnsi="Arial" w:cs="Arial"/>
          <w:color w:val="000000"/>
          <w:sz w:val="20"/>
          <w:szCs w:val="20"/>
        </w:rPr>
        <w:t xml:space="preserve"> [2024] VSC 318; </w:t>
      </w:r>
      <w:r w:rsidRPr="00D32C06">
        <w:rPr>
          <w:rFonts w:ascii="Arial" w:hAnsi="Arial" w:cs="Arial"/>
          <w:i/>
          <w:iCs/>
          <w:color w:val="000000"/>
          <w:sz w:val="20"/>
          <w:szCs w:val="20"/>
        </w:rPr>
        <w:t xml:space="preserve">DPP v Sisal </w:t>
      </w:r>
      <w:r w:rsidRPr="00D32C06">
        <w:rPr>
          <w:rFonts w:ascii="Arial" w:hAnsi="Arial" w:cs="Arial"/>
          <w:color w:val="000000"/>
          <w:sz w:val="20"/>
          <w:szCs w:val="20"/>
        </w:rPr>
        <w:t xml:space="preserve">[2024] VSC 589 [Sentence after plea of guilty – youthful offenders (M was </w:t>
      </w:r>
      <w:r w:rsidR="00D32C06" w:rsidRPr="00D32C06">
        <w:rPr>
          <w:rFonts w:ascii="Arial" w:hAnsi="Arial" w:cs="Arial"/>
          <w:color w:val="000000"/>
          <w:sz w:val="20"/>
          <w:szCs w:val="20"/>
        </w:rPr>
        <w:t xml:space="preserve">18 at time </w:t>
      </w:r>
      <w:r w:rsidR="00D32C06">
        <w:rPr>
          <w:rFonts w:ascii="Arial" w:hAnsi="Arial" w:cs="Arial"/>
          <w:color w:val="000000"/>
          <w:sz w:val="20"/>
          <w:szCs w:val="20"/>
        </w:rPr>
        <w:t xml:space="preserve">of </w:t>
      </w:r>
      <w:r w:rsidR="00D32C06" w:rsidRPr="00D32C06">
        <w:rPr>
          <w:rFonts w:ascii="Arial" w:hAnsi="Arial" w:cs="Arial"/>
          <w:color w:val="000000"/>
          <w:sz w:val="20"/>
          <w:szCs w:val="20"/>
        </w:rPr>
        <w:t xml:space="preserve">offence and 20 at sentence; </w:t>
      </w:r>
      <w:r w:rsidRPr="00D32C06">
        <w:rPr>
          <w:rFonts w:ascii="Arial" w:hAnsi="Arial" w:cs="Arial"/>
          <w:color w:val="000000"/>
          <w:sz w:val="20"/>
          <w:szCs w:val="20"/>
        </w:rPr>
        <w:t>S was 19 at time of offence, 22 at sentence) – 24 year old victim was fatally shot in a home invasion by several masked intruders whose purpose was to steal drugs and/or money – intruders were armed with a loaded gun, a machete and a taser – both M &amp; S were aware prior to the home invasion that the cooffending shooter’s gun was loaded – M transported the intruders to and from th</w:t>
      </w:r>
      <w:r w:rsidR="00D32C06">
        <w:rPr>
          <w:rFonts w:ascii="Arial" w:hAnsi="Arial" w:cs="Arial"/>
          <w:color w:val="000000"/>
          <w:sz w:val="20"/>
          <w:szCs w:val="20"/>
        </w:rPr>
        <w:t>e</w:t>
      </w:r>
      <w:r w:rsidRPr="00D32C06">
        <w:rPr>
          <w:rFonts w:ascii="Arial" w:hAnsi="Arial" w:cs="Arial"/>
          <w:color w:val="000000"/>
          <w:sz w:val="20"/>
          <w:szCs w:val="20"/>
        </w:rPr>
        <w:t xml:space="preserve"> scene of the crime in his mother’s car but did not enter the victim’s home – parental separation and COVID-19 lockdowns impacted severely on M around the time of the offence </w:t>
      </w:r>
      <w:r w:rsidR="00BF649A">
        <w:rPr>
          <w:rFonts w:ascii="Arial" w:hAnsi="Arial" w:cs="Arial"/>
          <w:color w:val="000000"/>
          <w:sz w:val="20"/>
          <w:szCs w:val="20"/>
        </w:rPr>
        <w:t xml:space="preserve">– both offenders had </w:t>
      </w:r>
      <w:r w:rsidRPr="00D32C06">
        <w:rPr>
          <w:rFonts w:ascii="Arial" w:hAnsi="Arial" w:cs="Arial"/>
          <w:color w:val="000000"/>
          <w:sz w:val="20"/>
          <w:szCs w:val="20"/>
        </w:rPr>
        <w:t xml:space="preserve">been held in isolation for approximately 10 months of the 2.5 years spent on remand in an adult prison which </w:t>
      </w:r>
      <w:r w:rsidR="00BF649A">
        <w:rPr>
          <w:rFonts w:ascii="Arial" w:hAnsi="Arial" w:cs="Arial"/>
          <w:color w:val="000000"/>
          <w:sz w:val="20"/>
          <w:szCs w:val="20"/>
        </w:rPr>
        <w:t xml:space="preserve">in M’s case </w:t>
      </w:r>
      <w:r w:rsidR="00D32C06" w:rsidRPr="00D32C06">
        <w:rPr>
          <w:rFonts w:ascii="Arial" w:hAnsi="Arial" w:cs="Arial"/>
          <w:color w:val="000000"/>
          <w:sz w:val="20"/>
          <w:szCs w:val="20"/>
        </w:rPr>
        <w:t>had a significantly adverse effect on his mental health, including experiencing auditory hallucinations</w:t>
      </w:r>
      <w:r w:rsidR="00D32C06">
        <w:rPr>
          <w:rFonts w:ascii="Arial" w:hAnsi="Arial" w:cs="Arial"/>
          <w:color w:val="000000"/>
          <w:sz w:val="20"/>
          <w:szCs w:val="20"/>
        </w:rPr>
        <w:t xml:space="preserve"> – M had no prior criminal history – S had mostly Children’s Court priors but priors for offences involving violence – M had reasonable prospects of rehabilitation – </w:t>
      </w:r>
      <w:r w:rsidR="00BF649A">
        <w:rPr>
          <w:rFonts w:ascii="Arial" w:hAnsi="Arial" w:cs="Arial"/>
          <w:color w:val="000000"/>
          <w:sz w:val="20"/>
        </w:rPr>
        <w:t>o</w:t>
      </w:r>
      <w:r w:rsidR="00BF649A" w:rsidRPr="00736715">
        <w:rPr>
          <w:rFonts w:ascii="Arial" w:hAnsi="Arial" w:cs="Arial"/>
          <w:color w:val="000000"/>
          <w:sz w:val="20"/>
        </w:rPr>
        <w:t xml:space="preserve">nly a few months </w:t>
      </w:r>
      <w:r w:rsidR="00BF649A" w:rsidRPr="00736715">
        <w:rPr>
          <w:rFonts w:ascii="Arial" w:hAnsi="Arial" w:cs="Arial"/>
          <w:color w:val="000000"/>
          <w:sz w:val="20"/>
        </w:rPr>
        <w:lastRenderedPageBreak/>
        <w:t xml:space="preserve">after </w:t>
      </w:r>
      <w:r w:rsidR="00BF649A">
        <w:rPr>
          <w:rFonts w:ascii="Arial" w:hAnsi="Arial" w:cs="Arial"/>
          <w:color w:val="000000"/>
          <w:sz w:val="20"/>
        </w:rPr>
        <w:t xml:space="preserve">the </w:t>
      </w:r>
      <w:r w:rsidR="00BF649A" w:rsidRPr="00736715">
        <w:rPr>
          <w:rFonts w:ascii="Arial" w:hAnsi="Arial" w:cs="Arial"/>
          <w:color w:val="000000"/>
          <w:sz w:val="20"/>
        </w:rPr>
        <w:t xml:space="preserve">manslaughter </w:t>
      </w:r>
      <w:r w:rsidR="00BF649A">
        <w:rPr>
          <w:rFonts w:ascii="Arial" w:hAnsi="Arial" w:cs="Arial"/>
          <w:color w:val="000000"/>
          <w:sz w:val="20"/>
        </w:rPr>
        <w:t>S</w:t>
      </w:r>
      <w:r w:rsidR="00BF649A" w:rsidRPr="00736715">
        <w:rPr>
          <w:rFonts w:ascii="Arial" w:hAnsi="Arial" w:cs="Arial"/>
          <w:color w:val="000000"/>
          <w:sz w:val="20"/>
        </w:rPr>
        <w:t xml:space="preserve"> plotted another home invasion with a loaded firearm </w:t>
      </w:r>
      <w:r w:rsidR="00BF649A">
        <w:rPr>
          <w:rFonts w:ascii="Arial" w:hAnsi="Arial" w:cs="Arial"/>
          <w:color w:val="000000"/>
          <w:sz w:val="20"/>
        </w:rPr>
        <w:t xml:space="preserve">– </w:t>
      </w:r>
      <w:r w:rsidR="00D32C06">
        <w:rPr>
          <w:rFonts w:ascii="Arial" w:hAnsi="Arial" w:cs="Arial"/>
          <w:color w:val="000000"/>
          <w:sz w:val="20"/>
          <w:szCs w:val="20"/>
        </w:rPr>
        <w:t>despite</w:t>
      </w:r>
      <w:r w:rsidR="00BF649A">
        <w:rPr>
          <w:rFonts w:ascii="Arial" w:hAnsi="Arial" w:cs="Arial"/>
          <w:color w:val="000000"/>
          <w:sz w:val="20"/>
          <w:szCs w:val="20"/>
        </w:rPr>
        <w:t xml:space="preserve"> </w:t>
      </w:r>
      <w:r w:rsidR="00D32C06">
        <w:rPr>
          <w:rFonts w:ascii="Arial" w:hAnsi="Arial" w:cs="Arial"/>
          <w:color w:val="000000"/>
          <w:sz w:val="20"/>
          <w:szCs w:val="20"/>
        </w:rPr>
        <w:t xml:space="preserve">his youth S's prospects of rehabilitation were guarded – a murder charge was hanging over both offender’s head for approximately 2 years while on remand – </w:t>
      </w:r>
      <w:r w:rsidR="00D84991">
        <w:rPr>
          <w:rFonts w:ascii="Arial" w:hAnsi="Arial" w:cs="Arial"/>
          <w:color w:val="000000"/>
          <w:sz w:val="20"/>
          <w:szCs w:val="20"/>
        </w:rPr>
        <w:t>for M exceptional circumstances existed justifying a sentence YJC4y</w:t>
      </w:r>
      <w:r w:rsidR="00BF649A">
        <w:rPr>
          <w:rFonts w:ascii="Arial" w:hAnsi="Arial" w:cs="Arial"/>
          <w:color w:val="000000"/>
          <w:sz w:val="20"/>
          <w:szCs w:val="20"/>
        </w:rPr>
        <w:t xml:space="preserve"> (presentence incarceration not counted as time served)</w:t>
      </w:r>
      <w:r w:rsidR="00D84991">
        <w:rPr>
          <w:rFonts w:ascii="Arial" w:hAnsi="Arial" w:cs="Arial"/>
          <w:color w:val="000000"/>
          <w:sz w:val="20"/>
          <w:szCs w:val="20"/>
        </w:rPr>
        <w:t xml:space="preserve">, the reasons pro and con being summarised in [2024] VSC 318 at [63]-[64] </w:t>
      </w:r>
      <w:r w:rsidR="00D32C06">
        <w:rPr>
          <w:rFonts w:ascii="Arial" w:hAnsi="Arial" w:cs="Arial"/>
          <w:color w:val="000000"/>
          <w:sz w:val="20"/>
          <w:szCs w:val="20"/>
        </w:rPr>
        <w:t>– sentence for S was IMP9y/6y).</w:t>
      </w:r>
    </w:p>
    <w:p w14:paraId="509B4718" w14:textId="77777777" w:rsidR="00736715" w:rsidRDefault="00736715" w:rsidP="0073671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Wain</w:t>
      </w:r>
      <w:r w:rsidRPr="002207D4">
        <w:rPr>
          <w:rFonts w:ascii="Arial" w:hAnsi="Arial" w:cs="Arial"/>
          <w:color w:val="000000"/>
          <w:sz w:val="20"/>
          <w:szCs w:val="20"/>
        </w:rPr>
        <w:t xml:space="preserve"> [2024] VSC 533 [</w:t>
      </w:r>
      <w:r>
        <w:rPr>
          <w:rFonts w:ascii="Arial" w:hAnsi="Arial" w:cs="Arial"/>
          <w:color w:val="000000"/>
          <w:sz w:val="20"/>
          <w:szCs w:val="20"/>
        </w:rPr>
        <w:t>Sentence after plea of guilty to manslaughter by unlawful and dangerous act – victim was housemate of accused – circumstances of killing unknown – cause of death was blunt force trauma – significant criminal history – IMP10y/8y].</w:t>
      </w:r>
    </w:p>
    <w:p w14:paraId="0D01BDA5" w14:textId="4D8F11B3" w:rsidR="005739C4" w:rsidRDefault="005739C4"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Blake </w:t>
      </w:r>
      <w:r w:rsidRPr="005739C4">
        <w:rPr>
          <w:rFonts w:ascii="Arial" w:hAnsi="Arial" w:cs="Arial"/>
          <w:color w:val="000000"/>
          <w:sz w:val="20"/>
          <w:szCs w:val="20"/>
        </w:rPr>
        <w:t xml:space="preserve">[2024] VSC 592 [Sentence after plea of guilty following sentence indication – </w:t>
      </w:r>
      <w:r>
        <w:rPr>
          <w:rFonts w:ascii="Arial" w:hAnsi="Arial" w:cs="Arial"/>
          <w:color w:val="000000"/>
          <w:sz w:val="20"/>
          <w:szCs w:val="20"/>
        </w:rPr>
        <w:t xml:space="preserve">35 year old </w:t>
      </w:r>
      <w:r w:rsidRPr="005739C4">
        <w:rPr>
          <w:rFonts w:ascii="Arial" w:hAnsi="Arial" w:cs="Arial"/>
          <w:color w:val="000000"/>
          <w:sz w:val="20"/>
          <w:szCs w:val="20"/>
        </w:rPr>
        <w:t>a</w:t>
      </w:r>
      <w:r>
        <w:rPr>
          <w:rFonts w:ascii="Arial" w:hAnsi="Arial" w:cs="Arial"/>
          <w:color w:val="000000"/>
          <w:sz w:val="20"/>
          <w:szCs w:val="20"/>
        </w:rPr>
        <w:t xml:space="preserve">ccused </w:t>
      </w:r>
      <w:r w:rsidR="00E047FD">
        <w:rPr>
          <w:rFonts w:ascii="Arial" w:hAnsi="Arial" w:cs="Arial"/>
          <w:color w:val="000000"/>
          <w:sz w:val="20"/>
          <w:szCs w:val="20"/>
        </w:rPr>
        <w:t xml:space="preserve">with limited criminal history and no matters of violence – accused </w:t>
      </w:r>
      <w:r>
        <w:rPr>
          <w:rFonts w:ascii="Arial" w:hAnsi="Arial" w:cs="Arial"/>
          <w:color w:val="000000"/>
          <w:sz w:val="20"/>
          <w:szCs w:val="20"/>
        </w:rPr>
        <w:t>and deceased were drug associates – during an argument surrounding a debt the deceased was hit over the head with a log – extensive efforts to conceal deceased’s body – disclosure after sentence indication of last known location of body but body not located – serious example of manslaughter – specific deterrence and community protection important – IMP9y/6y].</w:t>
      </w:r>
    </w:p>
    <w:p w14:paraId="0A2915DF" w14:textId="763EC46E" w:rsidR="007B1609" w:rsidRPr="005B2CF6" w:rsidRDefault="007B1609"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Nguyen &amp; Curham </w:t>
      </w:r>
      <w:r w:rsidRPr="007B1609">
        <w:rPr>
          <w:rFonts w:ascii="Arial" w:hAnsi="Arial" w:cs="Arial"/>
          <w:color w:val="000000"/>
          <w:sz w:val="20"/>
          <w:szCs w:val="20"/>
        </w:rPr>
        <w:t xml:space="preserve">[2024] VSC 616 </w:t>
      </w:r>
      <w:r>
        <w:rPr>
          <w:rFonts w:ascii="Arial" w:hAnsi="Arial" w:cs="Arial"/>
          <w:color w:val="000000"/>
          <w:sz w:val="20"/>
          <w:szCs w:val="20"/>
        </w:rPr>
        <w:t xml:space="preserve">[Cooffenders aged 43 &amp; 21 were in an intimate relationship and were involved in a </w:t>
      </w:r>
      <w:r w:rsidRPr="007B1609">
        <w:rPr>
          <w:rFonts w:ascii="Arial" w:hAnsi="Arial" w:cs="Arial"/>
          <w:sz w:val="20"/>
          <w:szCs w:val="20"/>
        </w:rPr>
        <w:t>fatal shooting of victim in a car in a public street — C</w:t>
      </w:r>
      <w:r>
        <w:rPr>
          <w:rFonts w:ascii="Arial" w:hAnsi="Arial" w:cs="Arial"/>
          <w:sz w:val="20"/>
          <w:szCs w:val="20"/>
        </w:rPr>
        <w:t xml:space="preserve"> </w:t>
      </w:r>
      <w:r w:rsidRPr="007B1609">
        <w:rPr>
          <w:rFonts w:ascii="Arial" w:hAnsi="Arial" w:cs="Arial"/>
          <w:sz w:val="20"/>
          <w:szCs w:val="20"/>
        </w:rPr>
        <w:t>had previously been in an intimate relationship with victim — C texted victim multiple times on day in question and lured victim to car on false pretences — Whilst victim sat in front passenger seat, and C sat in drivers seat, N, whilst sitting in rear passengers seat, shot victim once in upper right back — At his trial, N admitted shooting victim fatally but denied murderous intention — N</w:t>
      </w:r>
      <w:r>
        <w:rPr>
          <w:rFonts w:ascii="Arial" w:hAnsi="Arial" w:cs="Arial"/>
          <w:sz w:val="20"/>
          <w:szCs w:val="20"/>
        </w:rPr>
        <w:t xml:space="preserve"> </w:t>
      </w:r>
      <w:r w:rsidRPr="007B1609">
        <w:rPr>
          <w:rFonts w:ascii="Arial" w:hAnsi="Arial" w:cs="Arial"/>
          <w:sz w:val="20"/>
          <w:szCs w:val="20"/>
        </w:rPr>
        <w:t xml:space="preserve">found guilty of murder after trial — C pleaded guilty to manslaughter at </w:t>
      </w:r>
      <w:r>
        <w:rPr>
          <w:rFonts w:ascii="Arial" w:hAnsi="Arial" w:cs="Arial"/>
          <w:sz w:val="20"/>
          <w:szCs w:val="20"/>
        </w:rPr>
        <w:t xml:space="preserve">an </w:t>
      </w:r>
      <w:r w:rsidRPr="007B1609">
        <w:rPr>
          <w:rFonts w:ascii="Arial" w:hAnsi="Arial" w:cs="Arial"/>
          <w:sz w:val="20"/>
          <w:szCs w:val="20"/>
        </w:rPr>
        <w:t>early stage</w:t>
      </w:r>
      <w:r>
        <w:rPr>
          <w:rFonts w:ascii="Arial" w:hAnsi="Arial" w:cs="Arial"/>
          <w:sz w:val="20"/>
          <w:szCs w:val="20"/>
        </w:rPr>
        <w:t xml:space="preserve"> – N suffers from schizophrenia – C had one prior and good prospects of rehabilitation – C suffers from PTSD – N sentenced to IMP29y/21y for murder – C sentenced to IMP10y/6y for manslaughter</w:t>
      </w:r>
      <w:r w:rsidR="00374931">
        <w:rPr>
          <w:rFonts w:ascii="Arial" w:hAnsi="Arial" w:cs="Arial"/>
          <w:sz w:val="20"/>
          <w:szCs w:val="20"/>
        </w:rPr>
        <w:t>]</w:t>
      </w:r>
      <w:r>
        <w:rPr>
          <w:rFonts w:ascii="Arial" w:hAnsi="Arial" w:cs="Arial"/>
          <w:sz w:val="20"/>
          <w:szCs w:val="20"/>
        </w:rPr>
        <w:t>.</w:t>
      </w:r>
    </w:p>
    <w:p w14:paraId="03873D7C" w14:textId="1609A8D4" w:rsidR="005B2CF6" w:rsidRDefault="005B2CF6" w:rsidP="0057128C">
      <w:pPr>
        <w:numPr>
          <w:ilvl w:val="0"/>
          <w:numId w:val="76"/>
        </w:numPr>
        <w:ind w:left="357" w:hanging="357"/>
        <w:jc w:val="both"/>
        <w:rPr>
          <w:rFonts w:ascii="Arial" w:hAnsi="Arial" w:cs="Arial"/>
          <w:color w:val="000000"/>
          <w:sz w:val="20"/>
          <w:szCs w:val="20"/>
        </w:rPr>
      </w:pPr>
      <w:r w:rsidRPr="00374931">
        <w:rPr>
          <w:rFonts w:ascii="Arial" w:hAnsi="Arial" w:cs="Arial"/>
          <w:i/>
          <w:iCs/>
          <w:color w:val="000000"/>
          <w:sz w:val="20"/>
          <w:szCs w:val="20"/>
        </w:rPr>
        <w:t>DPP v Gatwech-Chouil</w:t>
      </w:r>
      <w:r>
        <w:rPr>
          <w:rFonts w:ascii="Arial" w:hAnsi="Arial" w:cs="Arial"/>
          <w:color w:val="000000"/>
          <w:sz w:val="20"/>
          <w:szCs w:val="20"/>
        </w:rPr>
        <w:t xml:space="preserve"> [2024] VSC 700 [29 year old offender (aged 31 at sentence) </w:t>
      </w:r>
      <w:r w:rsidR="00374931">
        <w:rPr>
          <w:rFonts w:ascii="Arial" w:hAnsi="Arial" w:cs="Arial"/>
          <w:color w:val="000000"/>
          <w:sz w:val="20"/>
          <w:szCs w:val="20"/>
        </w:rPr>
        <w:t xml:space="preserve">pleaded guilty to manslaughter by unlawful and dangerous act, namely stabbing the deceased twice to the chest with a kitchen knife – when police arrived the offender was lying on the bed next to the deceased amidst the chaos of the other partygoers seeking to give him assistance – the offender was assessed as unfit for interview – early guilty plea – no evidence of remorse – </w:t>
      </w:r>
      <w:r w:rsidR="00374931" w:rsidRPr="00374931">
        <w:rPr>
          <w:rFonts w:ascii="Arial" w:hAnsi="Arial" w:cs="Arial"/>
          <w:i/>
          <w:iCs/>
          <w:color w:val="000000"/>
          <w:sz w:val="20"/>
          <w:szCs w:val="20"/>
        </w:rPr>
        <w:t>Bugmy</w:t>
      </w:r>
      <w:r w:rsidR="00374931">
        <w:rPr>
          <w:rFonts w:ascii="Arial" w:hAnsi="Arial" w:cs="Arial"/>
          <w:color w:val="000000"/>
          <w:sz w:val="20"/>
          <w:szCs w:val="20"/>
        </w:rPr>
        <w:t xml:space="preserve"> &amp; </w:t>
      </w:r>
      <w:r w:rsidR="00374931" w:rsidRPr="00374931">
        <w:rPr>
          <w:rFonts w:ascii="Arial" w:hAnsi="Arial" w:cs="Arial"/>
          <w:i/>
          <w:iCs/>
          <w:color w:val="000000"/>
          <w:sz w:val="20"/>
          <w:szCs w:val="20"/>
        </w:rPr>
        <w:t>Verdins</w:t>
      </w:r>
      <w:r w:rsidR="00374931">
        <w:rPr>
          <w:rFonts w:ascii="Arial" w:hAnsi="Arial" w:cs="Arial"/>
          <w:color w:val="000000"/>
          <w:sz w:val="20"/>
          <w:szCs w:val="20"/>
        </w:rPr>
        <w:t xml:space="preserve"> considerations applied – IMP9y/7y].</w:t>
      </w:r>
    </w:p>
    <w:p w14:paraId="1EF9F234" w14:textId="3027826B" w:rsidR="00730385" w:rsidRDefault="00730385"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Armstrong v The King </w:t>
      </w:r>
      <w:r w:rsidRPr="00730385">
        <w:rPr>
          <w:rFonts w:ascii="Arial" w:hAnsi="Arial" w:cs="Arial"/>
          <w:color w:val="000000"/>
          <w:sz w:val="20"/>
          <w:szCs w:val="20"/>
        </w:rPr>
        <w:t>[2024] VSC</w:t>
      </w:r>
      <w:r>
        <w:rPr>
          <w:rFonts w:ascii="Arial" w:hAnsi="Arial" w:cs="Arial"/>
          <w:color w:val="000000"/>
          <w:sz w:val="20"/>
          <w:szCs w:val="20"/>
        </w:rPr>
        <w:t>A 316 [26 year old offender pleaded guilty to manslaughter in the context of an alcohol-fuelled unprovoked attack on a stranger – offender had a history of violent offending while intoxicated and a CCO for prior offending had not been complied with – sentencing judge entitled to place limited weight on prospects of rehabilitation – IMP10y/8y].</w:t>
      </w:r>
    </w:p>
    <w:p w14:paraId="31A9F977" w14:textId="76B8EC3A" w:rsidR="000730B2" w:rsidRDefault="000730B2" w:rsidP="0057128C">
      <w:pPr>
        <w:numPr>
          <w:ilvl w:val="0"/>
          <w:numId w:val="76"/>
        </w:numPr>
        <w:ind w:left="357" w:hanging="357"/>
        <w:jc w:val="both"/>
        <w:rPr>
          <w:rFonts w:ascii="Arial" w:hAnsi="Arial" w:cs="Arial"/>
          <w:color w:val="000000"/>
          <w:sz w:val="20"/>
          <w:szCs w:val="20"/>
        </w:rPr>
      </w:pPr>
      <w:r w:rsidRPr="000730B2">
        <w:rPr>
          <w:rFonts w:ascii="Arial" w:hAnsi="Arial" w:cs="Arial"/>
          <w:i/>
          <w:iCs/>
          <w:color w:val="000000"/>
          <w:sz w:val="20"/>
          <w:szCs w:val="20"/>
        </w:rPr>
        <w:t>DPP v Voung &amp; Juan</w:t>
      </w:r>
      <w:r>
        <w:rPr>
          <w:rFonts w:ascii="Arial" w:hAnsi="Arial" w:cs="Arial"/>
          <w:color w:val="000000"/>
          <w:sz w:val="20"/>
          <w:szCs w:val="20"/>
        </w:rPr>
        <w:t xml:space="preserve"> [2024] VSC 821 [36 year old offender and his 48 year old partner found guilty of manslaughter on a complicity basis – the deceased was stabbed 5 times in the context of a ‘drug rip’ of a large amount of heroin reportedly worth about $70,000 to Ms Juan – these co-accused did not stab the deceased and a witness admitted in the course of the trial to having stabbed the deceased – visa status complications for Ms Juan – </w:t>
      </w:r>
      <w:r w:rsidRPr="000730B2">
        <w:rPr>
          <w:rFonts w:ascii="Arial" w:hAnsi="Arial" w:cs="Arial"/>
          <w:i/>
          <w:iCs/>
          <w:color w:val="000000"/>
          <w:sz w:val="20"/>
          <w:szCs w:val="20"/>
        </w:rPr>
        <w:t>Verdins</w:t>
      </w:r>
      <w:r>
        <w:rPr>
          <w:rFonts w:ascii="Arial" w:hAnsi="Arial" w:cs="Arial"/>
          <w:color w:val="000000"/>
          <w:sz w:val="20"/>
          <w:szCs w:val="20"/>
        </w:rPr>
        <w:t xml:space="preserve"> enlivened for Ms Juan – sentence for Mr Vuong IMP9y/6y6m – sentence for Ms Juan IMP8y/5y6m].</w:t>
      </w:r>
    </w:p>
    <w:p w14:paraId="13B44C64" w14:textId="2674A4D7" w:rsidR="00A76E66" w:rsidRPr="00A76E66" w:rsidRDefault="00A76E66" w:rsidP="0057128C">
      <w:pPr>
        <w:numPr>
          <w:ilvl w:val="0"/>
          <w:numId w:val="76"/>
        </w:numPr>
        <w:ind w:left="357" w:hanging="357"/>
        <w:jc w:val="both"/>
        <w:rPr>
          <w:rFonts w:ascii="Arial" w:hAnsi="Arial" w:cs="Arial"/>
          <w:color w:val="000000"/>
          <w:sz w:val="20"/>
          <w:szCs w:val="20"/>
        </w:rPr>
      </w:pPr>
      <w:r w:rsidRPr="00A76E66">
        <w:rPr>
          <w:rFonts w:ascii="Arial" w:hAnsi="Arial" w:cs="Arial"/>
          <w:i/>
          <w:iCs/>
          <w:color w:val="000000"/>
          <w:sz w:val="20"/>
          <w:szCs w:val="20"/>
        </w:rPr>
        <w:t>DPP v Riley</w:t>
      </w:r>
      <w:r>
        <w:rPr>
          <w:rFonts w:ascii="Arial" w:hAnsi="Arial" w:cs="Arial"/>
          <w:color w:val="000000"/>
          <w:sz w:val="20"/>
          <w:szCs w:val="20"/>
        </w:rPr>
        <w:t xml:space="preserve"> [2024] VSC 777 [42 year old offender who was a diagnosed paranoid schizophrenic entered an early plea of guilty to manslaughter on the basis of being complicit in the stabbing of the victim in the company of another – victim succumbed to wounds shortly after being driven to hospital by the offender – </w:t>
      </w:r>
      <w:r>
        <w:rPr>
          <w:rFonts w:ascii="Arial" w:hAnsi="Arial" w:cs="Arial"/>
          <w:color w:val="000000"/>
          <w:sz w:val="20"/>
        </w:rPr>
        <w:t>the offender had</w:t>
      </w:r>
      <w:r w:rsidRPr="00A76E66">
        <w:rPr>
          <w:rFonts w:ascii="Arial" w:hAnsi="Arial" w:cs="Arial"/>
          <w:color w:val="000000"/>
          <w:sz w:val="20"/>
        </w:rPr>
        <w:t xml:space="preserve"> reported suffering sporadic episodes of psychosis in </w:t>
      </w:r>
      <w:r>
        <w:rPr>
          <w:rFonts w:ascii="Arial" w:hAnsi="Arial" w:cs="Arial"/>
          <w:color w:val="000000"/>
          <w:sz w:val="20"/>
        </w:rPr>
        <w:t xml:space="preserve">the </w:t>
      </w:r>
      <w:r w:rsidRPr="00A76E66">
        <w:rPr>
          <w:rFonts w:ascii="Arial" w:hAnsi="Arial" w:cs="Arial"/>
          <w:color w:val="000000"/>
          <w:sz w:val="20"/>
        </w:rPr>
        <w:t xml:space="preserve">years preceding </w:t>
      </w:r>
      <w:r>
        <w:rPr>
          <w:rFonts w:ascii="Arial" w:hAnsi="Arial" w:cs="Arial"/>
          <w:color w:val="000000"/>
          <w:sz w:val="20"/>
        </w:rPr>
        <w:t xml:space="preserve">the </w:t>
      </w:r>
      <w:r w:rsidRPr="00A76E66">
        <w:rPr>
          <w:rFonts w:ascii="Arial" w:hAnsi="Arial" w:cs="Arial"/>
          <w:color w:val="000000"/>
          <w:sz w:val="20"/>
        </w:rPr>
        <w:t xml:space="preserve">offence </w:t>
      </w:r>
      <w:r>
        <w:rPr>
          <w:rFonts w:ascii="Arial" w:hAnsi="Arial" w:cs="Arial"/>
          <w:color w:val="000000"/>
          <w:sz w:val="20"/>
        </w:rPr>
        <w:t>and the i</w:t>
      </w:r>
      <w:r w:rsidRPr="00A76E66">
        <w:rPr>
          <w:rFonts w:ascii="Arial" w:hAnsi="Arial" w:cs="Arial"/>
          <w:color w:val="000000"/>
          <w:sz w:val="20"/>
        </w:rPr>
        <w:t xml:space="preserve">llness </w:t>
      </w:r>
      <w:r>
        <w:rPr>
          <w:rFonts w:ascii="Arial" w:hAnsi="Arial" w:cs="Arial"/>
          <w:color w:val="000000"/>
          <w:sz w:val="20"/>
        </w:rPr>
        <w:t xml:space="preserve">was </w:t>
      </w:r>
      <w:r w:rsidRPr="00A76E66">
        <w:rPr>
          <w:rFonts w:ascii="Arial" w:hAnsi="Arial" w:cs="Arial"/>
          <w:color w:val="000000"/>
          <w:sz w:val="20"/>
        </w:rPr>
        <w:t xml:space="preserve">untreated at time of offence – </w:t>
      </w:r>
      <w:r>
        <w:rPr>
          <w:rFonts w:ascii="Arial" w:hAnsi="Arial" w:cs="Arial"/>
          <w:color w:val="000000"/>
          <w:sz w:val="20"/>
        </w:rPr>
        <w:t>the offender was</w:t>
      </w:r>
      <w:r w:rsidRPr="00A76E66">
        <w:rPr>
          <w:rFonts w:ascii="Arial" w:hAnsi="Arial" w:cs="Arial"/>
          <w:color w:val="000000"/>
          <w:sz w:val="20"/>
        </w:rPr>
        <w:t xml:space="preserve"> likely suffering from symptoms of psychosis at time of offence</w:t>
      </w:r>
      <w:r>
        <w:rPr>
          <w:rFonts w:ascii="Arial" w:hAnsi="Arial" w:cs="Arial"/>
          <w:color w:val="000000"/>
          <w:sz w:val="20"/>
        </w:rPr>
        <w:t xml:space="preserve"> leading to reduced culpability – offender had previously served a term of imprisonment for assault – significant utilitarian value of plea – IMP8y6m/5y3m].</w:t>
      </w:r>
    </w:p>
    <w:p w14:paraId="03898EE9" w14:textId="2E3CAB9E" w:rsidR="00E9113D" w:rsidRDefault="00E9113D"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Ford </w:t>
      </w:r>
      <w:r w:rsidRPr="00E9113D">
        <w:rPr>
          <w:rFonts w:ascii="Arial" w:hAnsi="Arial" w:cs="Arial"/>
          <w:color w:val="000000"/>
          <w:sz w:val="20"/>
          <w:szCs w:val="20"/>
        </w:rPr>
        <w:t xml:space="preserve">[2024] VSC </w:t>
      </w:r>
      <w:r>
        <w:rPr>
          <w:rFonts w:ascii="Arial" w:hAnsi="Arial" w:cs="Arial"/>
          <w:color w:val="000000"/>
          <w:sz w:val="20"/>
          <w:szCs w:val="20"/>
        </w:rPr>
        <w:t>797 [29 year offender pleaded guilty to manslaughter by unlawful and dangerous act, namely stabbing the deceased who was a friend of the offender’s former partner – IMP10y6m/7y].</w:t>
      </w:r>
    </w:p>
    <w:p w14:paraId="6EAF2561" w14:textId="6D0DF630" w:rsidR="0001128F" w:rsidRDefault="0001128F" w:rsidP="0057128C">
      <w:pPr>
        <w:numPr>
          <w:ilvl w:val="0"/>
          <w:numId w:val="76"/>
        </w:numPr>
        <w:ind w:left="357" w:hanging="357"/>
        <w:jc w:val="both"/>
        <w:rPr>
          <w:rFonts w:ascii="Arial" w:hAnsi="Arial" w:cs="Arial"/>
          <w:color w:val="000000"/>
          <w:sz w:val="20"/>
          <w:szCs w:val="20"/>
        </w:rPr>
      </w:pPr>
      <w:r w:rsidRPr="0001128F">
        <w:rPr>
          <w:rFonts w:ascii="Arial" w:hAnsi="Arial" w:cs="Arial"/>
          <w:i/>
          <w:iCs/>
          <w:color w:val="000000"/>
          <w:sz w:val="20"/>
          <w:szCs w:val="20"/>
        </w:rPr>
        <w:t>R v JL</w:t>
      </w:r>
      <w:r>
        <w:rPr>
          <w:rFonts w:ascii="Arial" w:hAnsi="Arial" w:cs="Arial"/>
          <w:color w:val="000000"/>
          <w:sz w:val="20"/>
          <w:szCs w:val="20"/>
        </w:rPr>
        <w:t xml:space="preserve"> [2024] VSC 803 [</w:t>
      </w:r>
      <w:r w:rsidR="00B54D73">
        <w:rPr>
          <w:rFonts w:ascii="Arial" w:hAnsi="Arial" w:cs="Arial"/>
          <w:color w:val="000000"/>
          <w:sz w:val="20"/>
          <w:szCs w:val="20"/>
        </w:rPr>
        <w:t>A</w:t>
      </w:r>
      <w:r>
        <w:rPr>
          <w:rFonts w:ascii="Arial" w:hAnsi="Arial" w:cs="Arial"/>
          <w:color w:val="000000"/>
          <w:sz w:val="20"/>
          <w:szCs w:val="20"/>
        </w:rPr>
        <w:t xml:space="preserve">fter a sentence indication the 17 year old offender pleaded guilty to manslaughter by unlawful and dangerous act, namely stabbing the deceased once – </w:t>
      </w:r>
      <w:r w:rsidR="00A029D6">
        <w:rPr>
          <w:rFonts w:ascii="Arial" w:hAnsi="Arial" w:cs="Arial"/>
          <w:color w:val="000000"/>
          <w:sz w:val="20"/>
          <w:szCs w:val="20"/>
        </w:rPr>
        <w:t xml:space="preserve">the deceased was a friend of a woman with whom the offender had commenced a relationship via social media – </w:t>
      </w:r>
      <w:r>
        <w:rPr>
          <w:rFonts w:ascii="Arial" w:hAnsi="Arial" w:cs="Arial"/>
          <w:color w:val="000000"/>
          <w:sz w:val="20"/>
          <w:szCs w:val="20"/>
        </w:rPr>
        <w:t>there was no pre-meditation and the offender had had a difficult childhood</w:t>
      </w:r>
      <w:r w:rsidR="00A029D6">
        <w:rPr>
          <w:rFonts w:ascii="Arial" w:hAnsi="Arial" w:cs="Arial"/>
          <w:color w:val="000000"/>
          <w:sz w:val="20"/>
          <w:szCs w:val="20"/>
        </w:rPr>
        <w:t xml:space="preserve"> giving rise to </w:t>
      </w:r>
      <w:r w:rsidRPr="0001128F">
        <w:rPr>
          <w:rFonts w:ascii="Arial" w:hAnsi="Arial" w:cs="Arial"/>
          <w:i/>
          <w:iCs/>
          <w:color w:val="000000"/>
          <w:sz w:val="20"/>
          <w:szCs w:val="20"/>
        </w:rPr>
        <w:t>Bugmy</w:t>
      </w:r>
      <w:r>
        <w:rPr>
          <w:rFonts w:ascii="Arial" w:hAnsi="Arial" w:cs="Arial"/>
          <w:color w:val="000000"/>
          <w:sz w:val="20"/>
          <w:szCs w:val="20"/>
        </w:rPr>
        <w:t xml:space="preserve"> and </w:t>
      </w:r>
      <w:r w:rsidRPr="0001128F">
        <w:rPr>
          <w:rFonts w:ascii="Arial" w:hAnsi="Arial" w:cs="Arial"/>
          <w:i/>
          <w:iCs/>
          <w:color w:val="000000"/>
          <w:sz w:val="20"/>
          <w:szCs w:val="20"/>
        </w:rPr>
        <w:t>Verdins</w:t>
      </w:r>
      <w:r>
        <w:rPr>
          <w:rFonts w:ascii="Arial" w:hAnsi="Arial" w:cs="Arial"/>
          <w:color w:val="000000"/>
          <w:sz w:val="20"/>
          <w:szCs w:val="20"/>
        </w:rPr>
        <w:t xml:space="preserve"> considerations – positive prospects of rehabilitation – YJC36m].</w:t>
      </w:r>
    </w:p>
    <w:p w14:paraId="496B63BA" w14:textId="51329DED" w:rsidR="00B54D73" w:rsidRDefault="00B54D73"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Ivankovich </w:t>
      </w:r>
      <w:r w:rsidRPr="00B54D73">
        <w:rPr>
          <w:rFonts w:ascii="Arial" w:hAnsi="Arial" w:cs="Arial"/>
          <w:color w:val="000000"/>
          <w:sz w:val="20"/>
          <w:szCs w:val="20"/>
        </w:rPr>
        <w:t xml:space="preserve">[2025] VSC 50 [After a sentence indication the </w:t>
      </w:r>
      <w:r>
        <w:rPr>
          <w:rFonts w:ascii="Arial" w:hAnsi="Arial" w:cs="Arial"/>
          <w:color w:val="000000"/>
          <w:sz w:val="20"/>
          <w:szCs w:val="20"/>
        </w:rPr>
        <w:t>57 year old offender pleaded guilty to manslaughter in the context of an assault on his elderly mother causing her death – reasonable prospects for rehabilitation – IMP8y/5y].</w:t>
      </w:r>
    </w:p>
    <w:p w14:paraId="28A65689" w14:textId="501830BF" w:rsidR="00D127D6" w:rsidRDefault="001F2C8E"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Fenwick </w:t>
      </w:r>
      <w:r w:rsidRPr="001F2C8E">
        <w:rPr>
          <w:rFonts w:ascii="Arial" w:hAnsi="Arial" w:cs="Arial"/>
          <w:color w:val="000000"/>
          <w:sz w:val="20"/>
          <w:szCs w:val="20"/>
        </w:rPr>
        <w:t xml:space="preserve">[2025] VSC 95 [In 2006, accused </w:t>
      </w:r>
      <w:r>
        <w:rPr>
          <w:rFonts w:ascii="Arial" w:hAnsi="Arial" w:cs="Arial"/>
          <w:color w:val="000000"/>
          <w:sz w:val="20"/>
          <w:szCs w:val="20"/>
        </w:rPr>
        <w:t>now aged 6</w:t>
      </w:r>
      <w:r w:rsidR="00A11DA4">
        <w:rPr>
          <w:rFonts w:ascii="Arial" w:hAnsi="Arial" w:cs="Arial"/>
          <w:color w:val="000000"/>
          <w:sz w:val="20"/>
          <w:szCs w:val="20"/>
        </w:rPr>
        <w:t>1</w:t>
      </w:r>
      <w:r>
        <w:rPr>
          <w:rFonts w:ascii="Arial" w:hAnsi="Arial" w:cs="Arial"/>
          <w:color w:val="000000"/>
          <w:sz w:val="20"/>
          <w:szCs w:val="20"/>
        </w:rPr>
        <w:t xml:space="preserve"> </w:t>
      </w:r>
      <w:r w:rsidRPr="001F2C8E">
        <w:rPr>
          <w:rFonts w:ascii="Arial" w:hAnsi="Arial" w:cs="Arial"/>
          <w:color w:val="000000"/>
          <w:sz w:val="20"/>
          <w:szCs w:val="20"/>
        </w:rPr>
        <w:t xml:space="preserve">assisted AB to assault deceased, who died, and </w:t>
      </w:r>
      <w:r>
        <w:rPr>
          <w:rFonts w:ascii="Arial" w:hAnsi="Arial" w:cs="Arial"/>
          <w:color w:val="000000"/>
          <w:sz w:val="20"/>
          <w:szCs w:val="20"/>
        </w:rPr>
        <w:t xml:space="preserve">to </w:t>
      </w:r>
      <w:r w:rsidRPr="001F2C8E">
        <w:rPr>
          <w:rFonts w:ascii="Arial" w:hAnsi="Arial" w:cs="Arial"/>
          <w:color w:val="000000"/>
          <w:sz w:val="20"/>
          <w:szCs w:val="20"/>
        </w:rPr>
        <w:t xml:space="preserve">bury body in bush — </w:t>
      </w:r>
      <w:r w:rsidR="00D127D6">
        <w:rPr>
          <w:rFonts w:ascii="Arial" w:hAnsi="Arial" w:cs="Arial"/>
          <w:color w:val="000000"/>
          <w:sz w:val="20"/>
          <w:szCs w:val="20"/>
        </w:rPr>
        <w:t>f</w:t>
      </w:r>
      <w:r w:rsidRPr="001F2C8E">
        <w:rPr>
          <w:rFonts w:ascii="Arial" w:hAnsi="Arial" w:cs="Arial"/>
          <w:color w:val="000000"/>
          <w:sz w:val="20"/>
          <w:szCs w:val="20"/>
        </w:rPr>
        <w:t xml:space="preserve">or next 16 years, deceased’s fate unknown to family — </w:t>
      </w:r>
      <w:r w:rsidR="00D127D6">
        <w:rPr>
          <w:rFonts w:ascii="Arial" w:hAnsi="Arial" w:cs="Arial"/>
          <w:color w:val="000000"/>
          <w:sz w:val="20"/>
          <w:szCs w:val="20"/>
        </w:rPr>
        <w:t>i</w:t>
      </w:r>
      <w:r w:rsidRPr="001F2C8E">
        <w:rPr>
          <w:rFonts w:ascii="Arial" w:hAnsi="Arial" w:cs="Arial"/>
          <w:color w:val="000000"/>
          <w:sz w:val="20"/>
          <w:szCs w:val="20"/>
        </w:rPr>
        <w:t xml:space="preserve">n 2022, accused confessed to covert operative of his and AB’s involvement in killing — </w:t>
      </w:r>
      <w:r w:rsidR="00D127D6">
        <w:rPr>
          <w:rFonts w:ascii="Arial" w:hAnsi="Arial" w:cs="Arial"/>
          <w:color w:val="000000"/>
          <w:sz w:val="20"/>
          <w:szCs w:val="20"/>
        </w:rPr>
        <w:t>a</w:t>
      </w:r>
      <w:r w:rsidRPr="001F2C8E">
        <w:rPr>
          <w:rFonts w:ascii="Arial" w:hAnsi="Arial" w:cs="Arial"/>
          <w:color w:val="000000"/>
          <w:sz w:val="20"/>
          <w:szCs w:val="20"/>
        </w:rPr>
        <w:t xml:space="preserve">ccused tried, but failed, to find deceased’s bush grave — </w:t>
      </w:r>
      <w:r w:rsidR="00D127D6">
        <w:rPr>
          <w:rFonts w:ascii="Arial" w:hAnsi="Arial" w:cs="Arial"/>
          <w:color w:val="000000"/>
          <w:sz w:val="20"/>
          <w:szCs w:val="20"/>
        </w:rPr>
        <w:t>w</w:t>
      </w:r>
      <w:r w:rsidRPr="001F2C8E">
        <w:rPr>
          <w:rFonts w:ascii="Arial" w:hAnsi="Arial" w:cs="Arial"/>
          <w:color w:val="000000"/>
          <w:sz w:val="20"/>
          <w:szCs w:val="20"/>
        </w:rPr>
        <w:t xml:space="preserve">hen arrested, accused denied involvement in homicide, </w:t>
      </w:r>
      <w:r w:rsidRPr="001F2C8E">
        <w:rPr>
          <w:rFonts w:ascii="Arial" w:hAnsi="Arial" w:cs="Arial"/>
          <w:color w:val="000000"/>
          <w:sz w:val="20"/>
          <w:szCs w:val="20"/>
        </w:rPr>
        <w:lastRenderedPageBreak/>
        <w:t xml:space="preserve">but later admitted presence when AB assaulted deceased — </w:t>
      </w:r>
      <w:r w:rsidR="00D127D6">
        <w:rPr>
          <w:rFonts w:ascii="Arial" w:hAnsi="Arial" w:cs="Arial"/>
          <w:color w:val="000000"/>
          <w:sz w:val="20"/>
          <w:szCs w:val="20"/>
        </w:rPr>
        <w:t>a</w:t>
      </w:r>
      <w:r w:rsidRPr="001F2C8E">
        <w:rPr>
          <w:rFonts w:ascii="Arial" w:hAnsi="Arial" w:cs="Arial"/>
          <w:color w:val="000000"/>
          <w:sz w:val="20"/>
          <w:szCs w:val="20"/>
        </w:rPr>
        <w:t xml:space="preserve">ccused and AB charged with murder — AB’s charge withdrawn before committal — </w:t>
      </w:r>
      <w:r w:rsidR="00D127D6">
        <w:rPr>
          <w:rFonts w:ascii="Arial" w:hAnsi="Arial" w:cs="Arial"/>
          <w:color w:val="000000"/>
          <w:sz w:val="20"/>
          <w:szCs w:val="20"/>
        </w:rPr>
        <w:t>a</w:t>
      </w:r>
      <w:r w:rsidRPr="001F2C8E">
        <w:rPr>
          <w:rFonts w:ascii="Arial" w:hAnsi="Arial" w:cs="Arial"/>
          <w:color w:val="000000"/>
          <w:sz w:val="20"/>
          <w:szCs w:val="20"/>
        </w:rPr>
        <w:t xml:space="preserve">ccused then made statement to police implicating himself and AB, pleaded guilty to manslaughter, and gave undertaking to give evidence in fresh proceeding against AB — </w:t>
      </w:r>
      <w:r w:rsidR="00D127D6">
        <w:rPr>
          <w:rFonts w:ascii="Arial" w:hAnsi="Arial" w:cs="Arial"/>
          <w:color w:val="000000"/>
          <w:sz w:val="20"/>
          <w:szCs w:val="20"/>
        </w:rPr>
        <w:t>s</w:t>
      </w:r>
      <w:r w:rsidRPr="001F2C8E">
        <w:rPr>
          <w:rFonts w:ascii="Arial" w:hAnsi="Arial" w:cs="Arial"/>
          <w:color w:val="000000"/>
          <w:sz w:val="20"/>
          <w:szCs w:val="20"/>
        </w:rPr>
        <w:t xml:space="preserve">erious instance of manslaughter — </w:t>
      </w:r>
      <w:r w:rsidR="00D127D6">
        <w:rPr>
          <w:rFonts w:ascii="Arial" w:hAnsi="Arial" w:cs="Arial"/>
          <w:color w:val="000000"/>
          <w:sz w:val="20"/>
          <w:szCs w:val="20"/>
        </w:rPr>
        <w:t>o</w:t>
      </w:r>
      <w:r w:rsidRPr="001F2C8E">
        <w:rPr>
          <w:rFonts w:ascii="Arial" w:hAnsi="Arial" w:cs="Arial"/>
          <w:color w:val="000000"/>
          <w:sz w:val="20"/>
          <w:szCs w:val="20"/>
        </w:rPr>
        <w:t xml:space="preserve">ffence aggravated by disposal of body, extended delay in disclosing deceased’s fate, and burning car — </w:t>
      </w:r>
      <w:r w:rsidR="00D127D6">
        <w:rPr>
          <w:rFonts w:ascii="Arial" w:hAnsi="Arial" w:cs="Arial"/>
          <w:color w:val="000000"/>
          <w:sz w:val="20"/>
          <w:szCs w:val="20"/>
        </w:rPr>
        <w:t>a</w:t>
      </w:r>
      <w:r w:rsidRPr="001F2C8E">
        <w:rPr>
          <w:rFonts w:ascii="Arial" w:hAnsi="Arial" w:cs="Arial"/>
          <w:color w:val="000000"/>
          <w:sz w:val="20"/>
          <w:szCs w:val="20"/>
        </w:rPr>
        <w:t>ccused vulnerable to AB’s domineering influence</w:t>
      </w:r>
      <w:r>
        <w:rPr>
          <w:rFonts w:ascii="Arial" w:hAnsi="Arial" w:cs="Arial"/>
          <w:color w:val="000000"/>
          <w:sz w:val="20"/>
          <w:szCs w:val="20"/>
        </w:rPr>
        <w:t xml:space="preserve"> – </w:t>
      </w:r>
      <w:r w:rsidR="00D127D6">
        <w:rPr>
          <w:rFonts w:ascii="Arial" w:hAnsi="Arial" w:cs="Arial"/>
          <w:color w:val="000000"/>
          <w:sz w:val="20"/>
          <w:szCs w:val="20"/>
        </w:rPr>
        <w:t>p</w:t>
      </w:r>
      <w:r w:rsidRPr="001F2C8E">
        <w:rPr>
          <w:rFonts w:ascii="Arial" w:hAnsi="Arial" w:cs="Arial"/>
          <w:color w:val="000000"/>
          <w:sz w:val="20"/>
          <w:szCs w:val="20"/>
        </w:rPr>
        <w:t xml:space="preserve">rison likely to affect mental health adversely — </w:t>
      </w:r>
      <w:r w:rsidR="00D127D6">
        <w:rPr>
          <w:rFonts w:ascii="Arial" w:hAnsi="Arial" w:cs="Arial"/>
          <w:color w:val="000000"/>
          <w:sz w:val="20"/>
          <w:szCs w:val="20"/>
        </w:rPr>
        <w:t>l</w:t>
      </w:r>
      <w:r w:rsidRPr="001F2C8E">
        <w:rPr>
          <w:rFonts w:ascii="Arial" w:hAnsi="Arial" w:cs="Arial"/>
          <w:color w:val="000000"/>
          <w:sz w:val="20"/>
          <w:szCs w:val="20"/>
        </w:rPr>
        <w:t xml:space="preserve">ow risk of violent reoffending — </w:t>
      </w:r>
      <w:r w:rsidR="00D127D6">
        <w:rPr>
          <w:rFonts w:ascii="Arial" w:hAnsi="Arial" w:cs="Arial"/>
          <w:color w:val="000000"/>
          <w:sz w:val="20"/>
          <w:szCs w:val="20"/>
        </w:rPr>
        <w:t>g</w:t>
      </w:r>
      <w:r w:rsidRPr="001F2C8E">
        <w:rPr>
          <w:rFonts w:ascii="Arial" w:hAnsi="Arial" w:cs="Arial"/>
          <w:color w:val="000000"/>
          <w:sz w:val="20"/>
          <w:szCs w:val="20"/>
        </w:rPr>
        <w:t xml:space="preserve">ood prospects of rehabilitation — </w:t>
      </w:r>
      <w:r>
        <w:rPr>
          <w:rFonts w:ascii="Arial" w:hAnsi="Arial" w:cs="Arial"/>
          <w:color w:val="000000"/>
          <w:sz w:val="20"/>
          <w:szCs w:val="20"/>
        </w:rPr>
        <w:t>IMP5y6m/2y9m</w:t>
      </w:r>
      <w:r w:rsidR="00D127D6">
        <w:rPr>
          <w:rFonts w:ascii="Arial" w:hAnsi="Arial" w:cs="Arial"/>
          <w:color w:val="000000"/>
          <w:sz w:val="20"/>
          <w:szCs w:val="20"/>
        </w:rPr>
        <w:t xml:space="preserve"> – had there been a plea of guilty but no undertaking to give evidence IMP10y/6y6m – had there been neither a plea of guilty or an undertaking to give evidence IMP13y6m/10y].</w:t>
      </w:r>
    </w:p>
    <w:p w14:paraId="60F1FA2F" w14:textId="77777777" w:rsidR="001F2C8E" w:rsidRDefault="001F2C8E" w:rsidP="001F2C8E">
      <w:pPr>
        <w:jc w:val="both"/>
        <w:rPr>
          <w:rFonts w:ascii="Arial" w:hAnsi="Arial" w:cs="Arial"/>
          <w:color w:val="000000"/>
          <w:sz w:val="20"/>
          <w:szCs w:val="20"/>
        </w:rPr>
      </w:pPr>
    </w:p>
    <w:p w14:paraId="201E1D5D" w14:textId="77777777" w:rsidR="0057128C" w:rsidRPr="00DD24BF" w:rsidRDefault="0057128C" w:rsidP="0057128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EE11327" w14:textId="77777777" w:rsidR="005B2CF6" w:rsidRPr="005B2CF6" w:rsidRDefault="005B2CF6">
      <w:pPr>
        <w:rPr>
          <w:rFonts w:ascii="Arial" w:hAnsi="Arial" w:cs="Arial"/>
          <w:bCs/>
          <w:color w:val="000000"/>
          <w:sz w:val="20"/>
        </w:rPr>
      </w:pPr>
      <w:bookmarkStart w:id="646" w:name="_11.2.22.2__"/>
      <w:bookmarkEnd w:id="646"/>
    </w:p>
    <w:p w14:paraId="0249B907" w14:textId="42C7324A" w:rsidR="0057128C" w:rsidRDefault="0057128C">
      <w:pPr>
        <w:rPr>
          <w:rFonts w:ascii="Arial" w:hAnsi="Arial" w:cs="Arial"/>
          <w:b/>
          <w:color w:val="000000"/>
          <w:kern w:val="28"/>
          <w:sz w:val="20"/>
          <w:szCs w:val="20"/>
          <w:lang w:val="en-GB"/>
        </w:rPr>
      </w:pPr>
      <w:r>
        <w:rPr>
          <w:rFonts w:ascii="Arial" w:hAnsi="Arial" w:cs="Arial"/>
          <w:b/>
          <w:color w:val="000000"/>
          <w:sz w:val="20"/>
        </w:rPr>
        <w:br w:type="page"/>
      </w:r>
    </w:p>
    <w:p w14:paraId="18E846B3" w14:textId="78E8491C" w:rsidR="00652FC9" w:rsidRPr="001C6E0E" w:rsidRDefault="00534A3D" w:rsidP="00652FC9">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R v Trevenna</w:t>
      </w:r>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R v Bangard</w:t>
      </w:r>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R v Middendorp</w:t>
      </w:r>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R v Ghazlan</w:t>
      </w:r>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R v Svetina</w:t>
      </w:r>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Director of Public Prosecutions v Luke John Middendorp</w:t>
      </w:r>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R v Talatonu</w:t>
      </w:r>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r w:rsidR="00945AF6" w:rsidRPr="00F86035">
        <w:rPr>
          <w:rFonts w:ascii="Arial" w:hAnsi="Arial" w:cs="Arial"/>
          <w:i/>
          <w:color w:val="000000"/>
          <w:sz w:val="20"/>
        </w:rPr>
        <w:t xml:space="preserve">Dambitis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R v Koltuniewicz</w:t>
      </w:r>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47" w:name="_11.2.22.3__"/>
      <w:bookmarkEnd w:id="647"/>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Winneke P in </w:t>
      </w:r>
      <w:r w:rsidRPr="001C6E0E">
        <w:rPr>
          <w:rFonts w:ascii="Arial" w:hAnsi="Arial" w:cs="Arial"/>
          <w:i/>
          <w:color w:val="000000"/>
          <w:sz w:val="20"/>
        </w:rPr>
        <w:t>Boaza</w:t>
      </w:r>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Kostov</w:t>
      </w:r>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R v Keshtiar</w:t>
      </w:r>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Alipak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lastRenderedPageBreak/>
        <w:t xml:space="preserve">[25] The head sentence imposed in those cases ranged from 7 years in </w:t>
      </w:r>
      <w:r w:rsidRPr="001C6E0E">
        <w:rPr>
          <w:rFonts w:ascii="Arial" w:hAnsi="Arial" w:cs="Arial"/>
          <w:i/>
          <w:color w:val="000000"/>
          <w:sz w:val="20"/>
        </w:rPr>
        <w:t>Keshtiar</w:t>
      </w:r>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expressed by the Court of Appeal in </w:t>
      </w:r>
      <w:r w:rsidRPr="001C6E0E">
        <w:rPr>
          <w:rFonts w:ascii="Arial" w:hAnsi="Arial" w:cs="Arial"/>
          <w:i/>
          <w:color w:val="000000"/>
          <w:sz w:val="20"/>
        </w:rPr>
        <w:t xml:space="preserve">R v Boaza </w:t>
      </w:r>
      <w:r w:rsidRPr="001C6E0E">
        <w:rPr>
          <w:rFonts w:ascii="Arial" w:hAnsi="Arial" w:cs="Arial"/>
          <w:color w:val="000000"/>
          <w:sz w:val="20"/>
        </w:rPr>
        <w:t xml:space="preserve">[1999] VSCA 126, </w:t>
      </w:r>
      <w:r w:rsidRPr="001C6E0E">
        <w:rPr>
          <w:rFonts w:ascii="Arial" w:hAnsi="Arial" w:cs="Arial"/>
          <w:i/>
          <w:color w:val="000000"/>
          <w:sz w:val="20"/>
        </w:rPr>
        <w:t xml:space="preserve">DPP v Adajain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Chernov JA at para 18 in </w:t>
      </w:r>
      <w:r w:rsidRPr="001C6E0E">
        <w:rPr>
          <w:rFonts w:ascii="Arial" w:hAnsi="Arial" w:cs="Arial"/>
          <w:i/>
          <w:color w:val="000000"/>
          <w:sz w:val="20"/>
        </w:rPr>
        <w:t>R v Boaza</w:t>
      </w:r>
      <w:r w:rsidRPr="001C6E0E">
        <w:rPr>
          <w:rFonts w:ascii="Arial" w:hAnsi="Arial" w:cs="Arial"/>
          <w:color w:val="000000"/>
          <w:sz w:val="20"/>
        </w:rPr>
        <w:t xml:space="preserve"> and the comments of Callaway JA at para 28 of </w:t>
      </w:r>
      <w:r w:rsidRPr="001C6E0E">
        <w:rPr>
          <w:rFonts w:ascii="Arial" w:hAnsi="Arial" w:cs="Arial"/>
          <w:i/>
          <w:color w:val="000000"/>
          <w:sz w:val="20"/>
        </w:rPr>
        <w:t>Adajain</w:t>
      </w:r>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R v Jaafer</w:t>
      </w:r>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Jaafer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9F52E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R v Alipek</w:t>
      </w:r>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R v Boaza</w:t>
      </w:r>
      <w:r w:rsidR="00C100EA" w:rsidRPr="001C6E0E">
        <w:rPr>
          <w:rFonts w:ascii="Arial" w:hAnsi="Arial" w:cs="Arial"/>
          <w:color w:val="000000"/>
          <w:sz w:val="20"/>
          <w:szCs w:val="20"/>
        </w:rPr>
        <w:t xml:space="preserve"> [1999] VSCA 126 (Unreported, Winneke P, Phillips and Chernov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Bongiorno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Chernov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Winneke] said in </w:t>
      </w:r>
      <w:r w:rsidRPr="001C6E0E">
        <w:rPr>
          <w:rFonts w:ascii="Arial" w:hAnsi="Arial" w:cs="Arial"/>
          <w:i/>
          <w:iCs/>
          <w:color w:val="000000"/>
          <w:sz w:val="20"/>
        </w:rPr>
        <w:t>R v Boaza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 xml:space="preserve">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w:t>
      </w:r>
      <w:r w:rsidR="00CD5A37" w:rsidRPr="001C6E0E">
        <w:rPr>
          <w:rFonts w:ascii="Arial" w:hAnsi="Arial" w:cs="Arial"/>
          <w:color w:val="000000"/>
          <w:sz w:val="20"/>
        </w:rPr>
        <w:lastRenderedPageBreak/>
        <w:t>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493478CE" w:rsidR="004F77BB" w:rsidRDefault="004F77BB" w:rsidP="00CD5A37">
      <w:pPr>
        <w:jc w:val="both"/>
        <w:rPr>
          <w:rFonts w:ascii="Arial" w:hAnsi="Arial" w:cs="Arial"/>
          <w:color w:val="000000"/>
          <w:sz w:val="20"/>
        </w:rPr>
      </w:pPr>
    </w:p>
    <w:p w14:paraId="7D0B4475" w14:textId="072C2030" w:rsidR="009F52E5" w:rsidRDefault="009F52E5" w:rsidP="00CD5A37">
      <w:pPr>
        <w:jc w:val="both"/>
        <w:rPr>
          <w:rFonts w:ascii="Arial" w:hAnsi="Arial" w:cs="Arial"/>
          <w:color w:val="000000"/>
          <w:sz w:val="20"/>
        </w:rPr>
      </w:pPr>
      <w:r>
        <w:rPr>
          <w:rFonts w:ascii="Arial" w:hAnsi="Arial" w:cs="Arial"/>
          <w:color w:val="000000"/>
          <w:sz w:val="20"/>
        </w:rPr>
        <w:t xml:space="preserve">In </w:t>
      </w:r>
      <w:r w:rsidRPr="009F52E5">
        <w:rPr>
          <w:rFonts w:ascii="Arial" w:hAnsi="Arial" w:cs="Arial"/>
          <w:i/>
          <w:iCs/>
          <w:color w:val="000000"/>
          <w:sz w:val="20"/>
        </w:rPr>
        <w:t>DPP v Cigercioglu</w:t>
      </w:r>
      <w:r>
        <w:rPr>
          <w:rFonts w:ascii="Arial" w:hAnsi="Arial" w:cs="Arial"/>
          <w:color w:val="000000"/>
          <w:sz w:val="20"/>
        </w:rPr>
        <w:t xml:space="preserve"> [2023] VSC 772 the accused </w:t>
      </w:r>
      <w:r w:rsidR="00E5400B">
        <w:rPr>
          <w:rFonts w:ascii="Arial" w:hAnsi="Arial" w:cs="Arial"/>
          <w:color w:val="000000"/>
          <w:sz w:val="20"/>
        </w:rPr>
        <w:t xml:space="preserve">C </w:t>
      </w:r>
      <w:r>
        <w:rPr>
          <w:rFonts w:ascii="Arial" w:hAnsi="Arial" w:cs="Arial"/>
          <w:color w:val="000000"/>
          <w:sz w:val="20"/>
        </w:rPr>
        <w:t xml:space="preserve">was found guilty by a jury of attempted murder of his estranged wife by brutally stabbing her in a public street.  </w:t>
      </w:r>
      <w:r w:rsidR="00E5400B">
        <w:rPr>
          <w:rFonts w:ascii="Arial" w:hAnsi="Arial" w:cs="Arial"/>
          <w:color w:val="000000"/>
          <w:sz w:val="20"/>
        </w:rPr>
        <w:t>C</w:t>
      </w:r>
      <w:r>
        <w:rPr>
          <w:rFonts w:ascii="Arial" w:hAnsi="Arial" w:cs="Arial"/>
          <w:color w:val="000000"/>
          <w:sz w:val="20"/>
        </w:rPr>
        <w:t xml:space="preserve"> was in breach of an interim intervention order protecting the victim and her baby.  The attempt to murder was unsuccessful due to the knife breaking.  </w:t>
      </w:r>
      <w:r w:rsidR="00E5400B">
        <w:rPr>
          <w:rFonts w:ascii="Arial" w:hAnsi="Arial" w:cs="Arial"/>
          <w:color w:val="000000"/>
          <w:sz w:val="20"/>
        </w:rPr>
        <w:t>C</w:t>
      </w:r>
      <w:r>
        <w:rPr>
          <w:rFonts w:ascii="Arial" w:hAnsi="Arial" w:cs="Arial"/>
          <w:color w:val="000000"/>
          <w:sz w:val="20"/>
        </w:rPr>
        <w:t xml:space="preserve"> left the scene in the victim’s car with the baby in the back seat.  The</w:t>
      </w:r>
      <w:r w:rsidR="00E5400B">
        <w:rPr>
          <w:rFonts w:ascii="Arial" w:hAnsi="Arial" w:cs="Arial"/>
          <w:color w:val="000000"/>
          <w:sz w:val="20"/>
        </w:rPr>
        <w:t xml:space="preserve"> </w:t>
      </w:r>
      <w:r>
        <w:rPr>
          <w:rFonts w:ascii="Arial" w:hAnsi="Arial" w:cs="Arial"/>
          <w:color w:val="000000"/>
          <w:sz w:val="20"/>
        </w:rPr>
        <w:t xml:space="preserve">victim sustained life-threatening injuries but had made a good recovery overall.  </w:t>
      </w:r>
      <w:r w:rsidR="00E5400B">
        <w:rPr>
          <w:rFonts w:ascii="Arial" w:hAnsi="Arial" w:cs="Arial"/>
          <w:color w:val="000000"/>
          <w:sz w:val="20"/>
        </w:rPr>
        <w:t>C</w:t>
      </w:r>
      <w:r>
        <w:rPr>
          <w:rFonts w:ascii="Arial" w:hAnsi="Arial" w:cs="Arial"/>
          <w:color w:val="000000"/>
          <w:sz w:val="20"/>
        </w:rPr>
        <w:t xml:space="preserve"> continues to deny offending and asserts that the victim stabbed herself in an effort to incriminate him and see other men.  </w:t>
      </w:r>
      <w:r w:rsidR="00E5400B">
        <w:rPr>
          <w:rFonts w:ascii="Arial" w:hAnsi="Arial" w:cs="Arial"/>
          <w:color w:val="000000"/>
          <w:sz w:val="20"/>
        </w:rPr>
        <w:t>C is</w:t>
      </w:r>
      <w:r>
        <w:rPr>
          <w:rFonts w:ascii="Arial" w:hAnsi="Arial" w:cs="Arial"/>
          <w:color w:val="000000"/>
          <w:sz w:val="20"/>
        </w:rPr>
        <w:t xml:space="preserve"> a Turkish citizen with limited English facing the prospect of deportation and with poor prospects of rehabilitation.  In sentencing him to IMP15y/12y Fox J said at [50]:</w:t>
      </w:r>
    </w:p>
    <w:p w14:paraId="66F504E7" w14:textId="21ECEA66" w:rsidR="009F52E5" w:rsidRPr="009F52E5" w:rsidRDefault="009F52E5" w:rsidP="009F52E5">
      <w:pPr>
        <w:spacing w:before="60"/>
        <w:ind w:left="567" w:right="567"/>
        <w:jc w:val="both"/>
        <w:rPr>
          <w:rFonts w:ascii="Arial" w:hAnsi="Arial" w:cs="Arial"/>
          <w:sz w:val="20"/>
          <w:szCs w:val="20"/>
        </w:rPr>
      </w:pPr>
      <w:r>
        <w:rPr>
          <w:rFonts w:ascii="Arial" w:hAnsi="Arial" w:cs="Arial"/>
          <w:sz w:val="20"/>
          <w:szCs w:val="20"/>
        </w:rPr>
        <w:t>“</w:t>
      </w:r>
      <w:r w:rsidRPr="009F52E5">
        <w:rPr>
          <w:rFonts w:ascii="Arial" w:hAnsi="Arial" w:cs="Arial"/>
          <w:sz w:val="20"/>
          <w:szCs w:val="20"/>
        </w:rPr>
        <w:t>Serious violence continues to be committed by men against their female partners, or former partners. It is widespread, deeply shocking and cannot be tolerated. Through sentencing, the courts must endeavour to send a message to other would-be offenders that if you commit such crimes, you should expect to receive a substantial term of imprisonment. It is necessary to publicly denounce your crime, and punish you for attempting to murder Ms Kavci.</w:t>
      </w:r>
      <w:r>
        <w:rPr>
          <w:rFonts w:ascii="Arial" w:hAnsi="Arial" w:cs="Arial"/>
          <w:sz w:val="20"/>
          <w:szCs w:val="20"/>
        </w:rPr>
        <w:t>”</w:t>
      </w:r>
    </w:p>
    <w:p w14:paraId="01C5F756" w14:textId="77777777" w:rsidR="009F52E5" w:rsidRDefault="009F52E5" w:rsidP="00CD5A37">
      <w:pPr>
        <w:jc w:val="both"/>
        <w:rPr>
          <w:rFonts w:ascii="Arial" w:hAnsi="Arial" w:cs="Arial"/>
          <w:color w:val="000000"/>
          <w:sz w:val="20"/>
        </w:rPr>
      </w:pPr>
    </w:p>
    <w:p w14:paraId="55D62D5E" w14:textId="4EDB8973" w:rsidR="00A312D1" w:rsidRDefault="00A312D1" w:rsidP="00CD5A37">
      <w:pPr>
        <w:jc w:val="both"/>
        <w:rPr>
          <w:rFonts w:ascii="Arial" w:hAnsi="Arial" w:cs="Arial"/>
          <w:color w:val="000000"/>
          <w:sz w:val="20"/>
        </w:rPr>
      </w:pPr>
      <w:r>
        <w:rPr>
          <w:rFonts w:ascii="Arial" w:hAnsi="Arial" w:cs="Arial"/>
          <w:color w:val="000000"/>
          <w:sz w:val="20"/>
        </w:rPr>
        <w:t xml:space="preserve">In </w:t>
      </w:r>
      <w:proofErr w:type="spellStart"/>
      <w:r w:rsidRPr="00A312D1">
        <w:rPr>
          <w:rFonts w:ascii="Arial" w:hAnsi="Arial" w:cs="Arial"/>
          <w:i/>
          <w:iCs/>
          <w:color w:val="000000"/>
          <w:sz w:val="20"/>
        </w:rPr>
        <w:t>Malovski</w:t>
      </w:r>
      <w:proofErr w:type="spellEnd"/>
      <w:r w:rsidRPr="00A312D1">
        <w:rPr>
          <w:rFonts w:ascii="Arial" w:hAnsi="Arial" w:cs="Arial"/>
          <w:i/>
          <w:iCs/>
          <w:color w:val="000000"/>
          <w:sz w:val="20"/>
        </w:rPr>
        <w:t xml:space="preserve"> v The King</w:t>
      </w:r>
      <w:r>
        <w:rPr>
          <w:rFonts w:ascii="Arial" w:hAnsi="Arial" w:cs="Arial"/>
          <w:color w:val="000000"/>
          <w:sz w:val="20"/>
        </w:rPr>
        <w:t xml:space="preserve"> [2025] VSCA 72 the applicant had been sentenced to IMP18y for attempted murder and IMP5y of which 2y was cumulative for being a prohibited person possessing a firearm, resulting in TES IMP20y/15y. The victim had grown close to the applicant’s former wife and children. The applicant </w:t>
      </w:r>
      <w:r w:rsidRPr="00A312D1">
        <w:rPr>
          <w:rFonts w:ascii="Arial" w:hAnsi="Arial" w:cs="Arial"/>
          <w:color w:val="000000"/>
          <w:sz w:val="20"/>
        </w:rPr>
        <w:t xml:space="preserve">pursued and repeatedly shot </w:t>
      </w:r>
      <w:r>
        <w:rPr>
          <w:rFonts w:ascii="Arial" w:hAnsi="Arial" w:cs="Arial"/>
          <w:color w:val="000000"/>
          <w:sz w:val="20"/>
        </w:rPr>
        <w:t xml:space="preserve">the </w:t>
      </w:r>
      <w:r w:rsidRPr="00A312D1">
        <w:rPr>
          <w:rFonts w:ascii="Arial" w:hAnsi="Arial" w:cs="Arial"/>
          <w:color w:val="000000"/>
          <w:sz w:val="20"/>
        </w:rPr>
        <w:t xml:space="preserve">victim at </w:t>
      </w:r>
      <w:r>
        <w:rPr>
          <w:rFonts w:ascii="Arial" w:hAnsi="Arial" w:cs="Arial"/>
          <w:color w:val="000000"/>
          <w:sz w:val="20"/>
        </w:rPr>
        <w:t xml:space="preserve">a </w:t>
      </w:r>
      <w:r w:rsidRPr="00A312D1">
        <w:rPr>
          <w:rFonts w:ascii="Arial" w:hAnsi="Arial" w:cs="Arial"/>
          <w:color w:val="000000"/>
          <w:sz w:val="20"/>
        </w:rPr>
        <w:t>roadside location</w:t>
      </w:r>
      <w:r w:rsidR="006B7B69">
        <w:rPr>
          <w:rFonts w:ascii="Arial" w:hAnsi="Arial" w:cs="Arial"/>
          <w:color w:val="000000"/>
          <w:sz w:val="20"/>
        </w:rPr>
        <w:t xml:space="preserve"> in the presence of the victim’s former wife, son, niece and members of the public</w:t>
      </w:r>
      <w:r>
        <w:rPr>
          <w:rFonts w:ascii="Arial" w:hAnsi="Arial" w:cs="Arial"/>
          <w:color w:val="000000"/>
          <w:sz w:val="20"/>
        </w:rPr>
        <w:t xml:space="preserve">. The victim sustained grave injuries resulting in severe and permanent disability. In upholding the IMP18y sentence for attempted murder, the Court of Appeal </w:t>
      </w:r>
      <w:r w:rsidR="006B7B69">
        <w:rPr>
          <w:rFonts w:ascii="Arial" w:hAnsi="Arial" w:cs="Arial"/>
          <w:color w:val="000000"/>
          <w:sz w:val="20"/>
        </w:rPr>
        <w:t xml:space="preserve">(Priest, McLeish &amp; Orr JJA) </w:t>
      </w:r>
      <w:r>
        <w:rPr>
          <w:rFonts w:ascii="Arial" w:hAnsi="Arial" w:cs="Arial"/>
          <w:color w:val="000000"/>
          <w:sz w:val="20"/>
        </w:rPr>
        <w:t xml:space="preserve">described the </w:t>
      </w:r>
      <w:r w:rsidR="006B7B69">
        <w:rPr>
          <w:rFonts w:ascii="Arial" w:hAnsi="Arial" w:cs="Arial"/>
          <w:color w:val="000000"/>
          <w:sz w:val="20"/>
        </w:rPr>
        <w:t>offending</w:t>
      </w:r>
      <w:r>
        <w:rPr>
          <w:rFonts w:ascii="Arial" w:hAnsi="Arial" w:cs="Arial"/>
          <w:color w:val="000000"/>
          <w:sz w:val="20"/>
        </w:rPr>
        <w:t xml:space="preserve"> as being in the upper end range of seriousness and </w:t>
      </w:r>
      <w:r w:rsidR="006B7B69">
        <w:rPr>
          <w:rFonts w:ascii="Arial" w:hAnsi="Arial" w:cs="Arial"/>
          <w:color w:val="000000"/>
          <w:sz w:val="20"/>
        </w:rPr>
        <w:t xml:space="preserve">was callous and cowardly. There was a moderate risk of further violent offending. The sentence was the highest recorded sentence for attempted murder but was not inconsistent with current sentencing practices and the family violence context warranted a very substantial sentence of imprisonment. However, the Court of Appeal did consider the </w:t>
      </w:r>
      <w:r w:rsidR="004D28EF">
        <w:rPr>
          <w:rFonts w:ascii="Arial" w:hAnsi="Arial" w:cs="Arial"/>
          <w:color w:val="000000"/>
          <w:sz w:val="20"/>
        </w:rPr>
        <w:t xml:space="preserve">IMP5y </w:t>
      </w:r>
      <w:r w:rsidR="006B7B69">
        <w:rPr>
          <w:rFonts w:ascii="Arial" w:hAnsi="Arial" w:cs="Arial"/>
          <w:color w:val="000000"/>
          <w:sz w:val="20"/>
        </w:rPr>
        <w:t xml:space="preserve">sentence for possession of a firearm </w:t>
      </w:r>
      <w:r w:rsidR="004D28EF">
        <w:rPr>
          <w:rFonts w:ascii="Arial" w:hAnsi="Arial" w:cs="Arial"/>
          <w:color w:val="000000"/>
          <w:sz w:val="20"/>
        </w:rPr>
        <w:t xml:space="preserve">– also the highest recorded sentence for this offence – </w:t>
      </w:r>
      <w:r w:rsidR="006B7B69">
        <w:rPr>
          <w:rFonts w:ascii="Arial" w:hAnsi="Arial" w:cs="Arial"/>
          <w:color w:val="000000"/>
          <w:sz w:val="20"/>
        </w:rPr>
        <w:t>was</w:t>
      </w:r>
      <w:r w:rsidR="004D28EF">
        <w:rPr>
          <w:rFonts w:ascii="Arial" w:hAnsi="Arial" w:cs="Arial"/>
          <w:color w:val="000000"/>
          <w:sz w:val="20"/>
        </w:rPr>
        <w:t xml:space="preserve"> </w:t>
      </w:r>
      <w:r w:rsidR="006B7B69">
        <w:rPr>
          <w:rFonts w:ascii="Arial" w:hAnsi="Arial" w:cs="Arial"/>
          <w:color w:val="000000"/>
          <w:sz w:val="20"/>
        </w:rPr>
        <w:t>manifestly excessive and substituted a sentence of IMP2y6m of which 1y was cumulative. The resultant TES was IMP19y/14y3m.</w:t>
      </w:r>
    </w:p>
    <w:p w14:paraId="2AE01C2B" w14:textId="77777777" w:rsidR="006B7B69" w:rsidRDefault="006B7B69" w:rsidP="00CD5A37">
      <w:pPr>
        <w:jc w:val="both"/>
        <w:rPr>
          <w:rFonts w:ascii="Arial" w:hAnsi="Arial" w:cs="Arial"/>
          <w:color w:val="000000"/>
          <w:sz w:val="20"/>
        </w:rPr>
      </w:pPr>
    </w:p>
    <w:p w14:paraId="65D9DE92" w14:textId="7320C03E"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R v Alipek</w:t>
      </w:r>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R v Soteriou</w:t>
      </w:r>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R v Rapovski</w:t>
      </w:r>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R v Darrington</w:t>
      </w:r>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DPP v Boodhoo</w:t>
      </w:r>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R v Sanghu</w:t>
      </w:r>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R v Hannarong</w:t>
      </w:r>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R v Guode</w:t>
      </w:r>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r w:rsidR="0009637D">
        <w:rPr>
          <w:rFonts w:ascii="Arial" w:hAnsi="Arial" w:cs="Arial"/>
          <w:color w:val="000000"/>
          <w:sz w:val="20"/>
          <w:szCs w:val="20"/>
        </w:rPr>
        <w:t xml:space="preserve">; </w:t>
      </w:r>
      <w:r w:rsidR="0009637D" w:rsidRPr="0009637D">
        <w:rPr>
          <w:rFonts w:ascii="Arial" w:hAnsi="Arial" w:cs="Arial"/>
          <w:i/>
          <w:iCs/>
          <w:color w:val="000000"/>
          <w:sz w:val="20"/>
          <w:szCs w:val="20"/>
        </w:rPr>
        <w:t>DPP v Constan</w:t>
      </w:r>
      <w:r w:rsidR="0009637D">
        <w:rPr>
          <w:rFonts w:ascii="Arial" w:hAnsi="Arial" w:cs="Arial"/>
          <w:i/>
          <w:iCs/>
          <w:color w:val="000000"/>
          <w:sz w:val="20"/>
          <w:szCs w:val="20"/>
        </w:rPr>
        <w:t>t</w:t>
      </w:r>
      <w:r w:rsidR="0009637D" w:rsidRPr="0009637D">
        <w:rPr>
          <w:rFonts w:ascii="Arial" w:hAnsi="Arial" w:cs="Arial"/>
          <w:i/>
          <w:iCs/>
          <w:color w:val="000000"/>
          <w:sz w:val="20"/>
          <w:szCs w:val="20"/>
        </w:rPr>
        <w:t>inou</w:t>
      </w:r>
      <w:r w:rsidR="0009637D">
        <w:rPr>
          <w:rFonts w:ascii="Arial" w:hAnsi="Arial" w:cs="Arial"/>
          <w:color w:val="000000"/>
          <w:sz w:val="20"/>
          <w:szCs w:val="20"/>
        </w:rPr>
        <w:t xml:space="preserve"> [2022] VSC 513</w:t>
      </w:r>
      <w:r w:rsidR="00485958">
        <w:rPr>
          <w:rFonts w:ascii="Arial" w:hAnsi="Arial" w:cs="Arial"/>
          <w:color w:val="000000"/>
          <w:sz w:val="20"/>
          <w:szCs w:val="20"/>
        </w:rPr>
        <w:t xml:space="preserve">; </w:t>
      </w:r>
      <w:r w:rsidR="00485958" w:rsidRPr="00485958">
        <w:rPr>
          <w:rFonts w:ascii="Arial" w:hAnsi="Arial" w:cs="Arial"/>
          <w:i/>
          <w:iCs/>
          <w:color w:val="000000"/>
          <w:sz w:val="20"/>
          <w:szCs w:val="20"/>
        </w:rPr>
        <w:t>DPP v Malovski</w:t>
      </w:r>
      <w:r w:rsidR="00485958">
        <w:rPr>
          <w:rFonts w:ascii="Arial" w:hAnsi="Arial" w:cs="Arial"/>
          <w:color w:val="000000"/>
          <w:sz w:val="20"/>
          <w:szCs w:val="20"/>
        </w:rPr>
        <w:t xml:space="preserve"> [2023] VSC 748</w:t>
      </w:r>
      <w:r w:rsidR="007F43B9">
        <w:rPr>
          <w:rFonts w:ascii="Arial" w:hAnsi="Arial" w:cs="Arial"/>
          <w:color w:val="000000"/>
          <w:sz w:val="20"/>
          <w:szCs w:val="20"/>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w:t>
      </w:r>
      <w:r w:rsidR="00A55C86">
        <w:rPr>
          <w:rFonts w:ascii="Arial" w:hAnsi="Arial" w:cs="Arial"/>
          <w:sz w:val="20"/>
          <w:szCs w:val="20"/>
          <w:lang w:val="en-US"/>
        </w:rPr>
        <w:t xml:space="preserve">; </w:t>
      </w:r>
      <w:r w:rsidR="00A55C86" w:rsidRPr="00A55C86">
        <w:rPr>
          <w:rFonts w:ascii="Arial" w:hAnsi="Arial" w:cs="Arial"/>
          <w:i/>
          <w:iCs/>
          <w:sz w:val="20"/>
          <w:szCs w:val="20"/>
          <w:lang w:val="en-US"/>
        </w:rPr>
        <w:t>DPP v Chambers</w:t>
      </w:r>
      <w:r w:rsidR="00A55C86">
        <w:rPr>
          <w:rFonts w:ascii="Arial" w:hAnsi="Arial" w:cs="Arial"/>
          <w:sz w:val="20"/>
          <w:szCs w:val="20"/>
          <w:lang w:val="en-US"/>
        </w:rPr>
        <w:t xml:space="preserve"> [2025] VSC 63 esp at [84]-[89]</w:t>
      </w:r>
      <w:r w:rsidR="0026045A">
        <w:rPr>
          <w:rFonts w:ascii="Arial" w:hAnsi="Arial" w:cs="Arial"/>
          <w:color w:val="000000"/>
          <w:sz w:val="20"/>
          <w:szCs w:val="20"/>
        </w:rPr>
        <w:t>.</w:t>
      </w:r>
    </w:p>
    <w:p w14:paraId="723C83CB" w14:textId="4CA9F46A"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48" w:name="_11.2.22.4__"/>
      <w:bookmarkEnd w:id="648"/>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Athuai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lastRenderedPageBreak/>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In fact, the sentencing judge did not find that the appellant was irredeemable.  He said that 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accusd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lastRenderedPageBreak/>
        <w:t xml:space="preserve">[49-50] “…there </w:t>
      </w:r>
      <w:r w:rsidRPr="004E4D34">
        <w:rPr>
          <w:rFonts w:ascii="Arial" w:hAnsi="Arial" w:cs="Arial"/>
          <w:sz w:val="20"/>
          <w:szCs w:val="20"/>
        </w:rPr>
        <w:t>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your personality and your responses.  As a result, your culpability — that is, the level of your moral guilt — for the offending, in which you 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r w:rsidRPr="00C96C19">
        <w:rPr>
          <w:rFonts w:ascii="Arial" w:hAnsi="Arial" w:cs="Arial"/>
          <w:i/>
          <w:iCs/>
          <w:color w:val="000000"/>
          <w:sz w:val="20"/>
        </w:rPr>
        <w:t>Jaymes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r w:rsidRPr="00DF4C37">
        <w:rPr>
          <w:rFonts w:ascii="Arial" w:hAnsi="Arial" w:cs="Arial"/>
          <w:i/>
          <w:iCs/>
          <w:color w:val="000000"/>
          <w:sz w:val="20"/>
        </w:rPr>
        <w:t>Bugmy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Lasry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r w:rsidRPr="00A7283E">
        <w:rPr>
          <w:rFonts w:ascii="Arial" w:hAnsi="Arial" w:cs="Arial"/>
          <w:i/>
          <w:iCs/>
          <w:sz w:val="20"/>
          <w:szCs w:val="20"/>
        </w:rPr>
        <w:t>Bugmy</w:t>
      </w:r>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 xml:space="preserve">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w:t>
      </w:r>
      <w:r w:rsidRPr="00A7283E">
        <w:rPr>
          <w:rFonts w:ascii="Arial" w:hAnsi="Arial" w:cs="Arial"/>
          <w:sz w:val="20"/>
          <w:szCs w:val="20"/>
        </w:rPr>
        <w:lastRenderedPageBreak/>
        <w:t>sustained level of violence you used on the deceased man in a public place, there is a real tension between all those factors. However, the reality with someone as young as you are is that the public will be protected by advancing your rehabilitation.</w:t>
      </w:r>
      <w:r>
        <w:rPr>
          <w:rFonts w:ascii="Arial" w:hAnsi="Arial" w:cs="Arial"/>
          <w:sz w:val="20"/>
          <w:szCs w:val="20"/>
        </w:rPr>
        <w:t>”</w:t>
      </w:r>
    </w:p>
    <w:p w14:paraId="266D501F" w14:textId="4AA77AB8" w:rsidR="002C1E2E" w:rsidRDefault="002C1E2E" w:rsidP="00A7283E">
      <w:pPr>
        <w:jc w:val="both"/>
        <w:rPr>
          <w:rFonts w:ascii="Arial" w:hAnsi="Arial" w:cs="Arial"/>
          <w:color w:val="000000"/>
          <w:sz w:val="20"/>
        </w:rPr>
      </w:pPr>
    </w:p>
    <w:p w14:paraId="6650658D" w14:textId="088CDD94" w:rsidR="00F14AA3" w:rsidRDefault="002C1E2E" w:rsidP="00A7283E">
      <w:pPr>
        <w:jc w:val="both"/>
        <w:rPr>
          <w:rFonts w:ascii="Arial" w:hAnsi="Arial" w:cs="Arial"/>
          <w:color w:val="000000"/>
          <w:sz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14 year old offender AM had pleaded guilty to murder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w:t>
      </w: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r w:rsidR="00F14AA3">
        <w:rPr>
          <w:rFonts w:ascii="Arial" w:hAnsi="Arial" w:cs="Arial"/>
          <w:sz w:val="20"/>
          <w:szCs w:val="20"/>
        </w:rPr>
        <w:t xml:space="preserve"> In </w:t>
      </w:r>
      <w:r w:rsidR="00F5670C" w:rsidRPr="00F5670C">
        <w:rPr>
          <w:rFonts w:ascii="Arial" w:hAnsi="Arial" w:cs="Arial"/>
          <w:i/>
          <w:iCs/>
          <w:sz w:val="20"/>
          <w:szCs w:val="20"/>
        </w:rPr>
        <w:t>DPP v SA &amp; Ors</w:t>
      </w:r>
      <w:r w:rsidR="00F5670C">
        <w:rPr>
          <w:rFonts w:ascii="Arial" w:hAnsi="Arial" w:cs="Arial"/>
          <w:sz w:val="20"/>
          <w:szCs w:val="20"/>
        </w:rPr>
        <w:t xml:space="preserve"> [2024] VSC 28 four coffenders of AM </w:t>
      </w:r>
      <w:r w:rsidR="00A74065">
        <w:rPr>
          <w:rFonts w:ascii="Arial" w:hAnsi="Arial" w:cs="Arial"/>
          <w:sz w:val="20"/>
          <w:szCs w:val="20"/>
        </w:rPr>
        <w:t xml:space="preserve">pleaded not guilty to murder arising out of their alleged involvement in the killing of V. After a trial by judge alone, they were each found guilty of murder by Incerti J whose detailed reasons are summarised in </w:t>
      </w:r>
      <w:r w:rsidR="00A74065" w:rsidRPr="00E94F6B">
        <w:rPr>
          <w:rFonts w:ascii="Arial" w:hAnsi="Arial" w:cs="Arial"/>
          <w:b/>
          <w:bCs/>
          <w:sz w:val="20"/>
          <w:szCs w:val="20"/>
          <w:shd w:val="clear" w:color="auto" w:fill="C5E0B3" w:themeFill="accent6" w:themeFillTint="66"/>
        </w:rPr>
        <w:t>subsection 10.3.3.5</w:t>
      </w:r>
      <w:r w:rsidR="00A74065" w:rsidRPr="00E94F6B">
        <w:rPr>
          <w:rFonts w:ascii="Arial" w:hAnsi="Arial" w:cs="Arial"/>
          <w:b/>
          <w:bCs/>
          <w:color w:val="000000" w:themeColor="text1"/>
          <w:sz w:val="20"/>
          <w:szCs w:val="18"/>
          <w:shd w:val="clear" w:color="auto" w:fill="C5E0B3" w:themeFill="accent6" w:themeFillTint="66"/>
        </w:rPr>
        <w:t>B</w:t>
      </w:r>
      <w:r w:rsidR="00A74065">
        <w:rPr>
          <w:rFonts w:ascii="Arial" w:hAnsi="Arial" w:cs="Arial"/>
          <w:sz w:val="20"/>
          <w:szCs w:val="20"/>
        </w:rPr>
        <w:t>.</w:t>
      </w:r>
      <w:r w:rsidR="00233315">
        <w:rPr>
          <w:rFonts w:ascii="Arial" w:hAnsi="Arial" w:cs="Arial"/>
          <w:sz w:val="20"/>
          <w:szCs w:val="20"/>
        </w:rPr>
        <w:t xml:space="preserve">  In </w:t>
      </w:r>
      <w:r w:rsidR="00233315" w:rsidRPr="00F5670C">
        <w:rPr>
          <w:rFonts w:ascii="Arial" w:hAnsi="Arial" w:cs="Arial"/>
          <w:i/>
          <w:iCs/>
          <w:sz w:val="20"/>
          <w:szCs w:val="20"/>
        </w:rPr>
        <w:t>DPP v SA &amp; Ors</w:t>
      </w:r>
      <w:r w:rsidR="00233315">
        <w:rPr>
          <w:rFonts w:ascii="Arial" w:hAnsi="Arial" w:cs="Arial"/>
          <w:sz w:val="20"/>
          <w:szCs w:val="20"/>
        </w:rPr>
        <w:t xml:space="preserve"> </w:t>
      </w:r>
      <w:r w:rsidR="00233315" w:rsidRPr="00F5670C">
        <w:rPr>
          <w:rFonts w:ascii="Arial" w:hAnsi="Arial" w:cs="Arial"/>
          <w:i/>
          <w:iCs/>
          <w:sz w:val="20"/>
          <w:szCs w:val="20"/>
        </w:rPr>
        <w:t>(No 2)</w:t>
      </w:r>
      <w:r w:rsidR="00233315">
        <w:rPr>
          <w:rFonts w:ascii="Arial" w:hAnsi="Arial" w:cs="Arial"/>
          <w:sz w:val="20"/>
          <w:szCs w:val="20"/>
        </w:rPr>
        <w:t xml:space="preserve"> [2024] VSC 428 Incerti J noted that the four cooffenders’ ages at the date of sentencing were as follows: </w:t>
      </w:r>
      <w:r w:rsidR="00A74065">
        <w:rPr>
          <w:rFonts w:ascii="Arial" w:hAnsi="Arial" w:cs="Arial"/>
          <w:sz w:val="20"/>
          <w:szCs w:val="20"/>
        </w:rPr>
        <w:t>SA</w:t>
      </w:r>
      <w:r w:rsidR="00233315">
        <w:rPr>
          <w:rFonts w:ascii="Arial" w:hAnsi="Arial" w:cs="Arial"/>
          <w:sz w:val="20"/>
          <w:szCs w:val="20"/>
        </w:rPr>
        <w:t>-19y7m</w:t>
      </w:r>
      <w:r w:rsidR="00A74065">
        <w:rPr>
          <w:rFonts w:ascii="Arial" w:hAnsi="Arial" w:cs="Arial"/>
          <w:sz w:val="20"/>
          <w:szCs w:val="20"/>
        </w:rPr>
        <w:t>, DM</w:t>
      </w:r>
      <w:r w:rsidR="00233315">
        <w:rPr>
          <w:rFonts w:ascii="Arial" w:hAnsi="Arial" w:cs="Arial"/>
          <w:sz w:val="20"/>
          <w:szCs w:val="20"/>
        </w:rPr>
        <w:t>-17y4m</w:t>
      </w:r>
      <w:r w:rsidR="00A74065">
        <w:rPr>
          <w:rFonts w:ascii="Arial" w:hAnsi="Arial" w:cs="Arial"/>
          <w:sz w:val="20"/>
          <w:szCs w:val="20"/>
        </w:rPr>
        <w:t>, QM</w:t>
      </w:r>
      <w:r w:rsidR="00233315">
        <w:rPr>
          <w:rFonts w:ascii="Arial" w:hAnsi="Arial" w:cs="Arial"/>
          <w:sz w:val="20"/>
          <w:szCs w:val="20"/>
        </w:rPr>
        <w:noBreakHyphen/>
        <w:t>19y10m</w:t>
      </w:r>
      <w:r w:rsidR="00A74065">
        <w:rPr>
          <w:rFonts w:ascii="Arial" w:hAnsi="Arial" w:cs="Arial"/>
          <w:sz w:val="20"/>
          <w:szCs w:val="20"/>
        </w:rPr>
        <w:t xml:space="preserve"> &amp; SY</w:t>
      </w:r>
      <w:r w:rsidR="00233315">
        <w:rPr>
          <w:rFonts w:ascii="Arial" w:hAnsi="Arial" w:cs="Arial"/>
          <w:sz w:val="20"/>
          <w:szCs w:val="20"/>
        </w:rPr>
        <w:t xml:space="preserve">-20y2m (the oldest of the 8 offenders). Her Honour </w:t>
      </w:r>
      <w:r w:rsidR="000232A5">
        <w:rPr>
          <w:rFonts w:ascii="Arial" w:hAnsi="Arial" w:cs="Arial"/>
          <w:sz w:val="20"/>
          <w:szCs w:val="20"/>
        </w:rPr>
        <w:t>imposed the following sentences for the offence of murder:</w:t>
      </w:r>
      <w:r w:rsidR="00233315">
        <w:rPr>
          <w:rFonts w:ascii="Arial" w:hAnsi="Arial" w:cs="Arial"/>
          <w:sz w:val="20"/>
          <w:szCs w:val="20"/>
        </w:rPr>
        <w:t xml:space="preserve"> </w:t>
      </w:r>
      <w:r w:rsidR="000232A5">
        <w:rPr>
          <w:rFonts w:ascii="Arial" w:hAnsi="Arial" w:cs="Arial"/>
          <w:sz w:val="20"/>
          <w:szCs w:val="20"/>
        </w:rPr>
        <w:t xml:space="preserve">SA: IMP19y/14y; </w:t>
      </w:r>
      <w:r w:rsidR="00645E0C">
        <w:rPr>
          <w:rFonts w:ascii="Arial" w:hAnsi="Arial" w:cs="Arial"/>
          <w:sz w:val="20"/>
          <w:szCs w:val="20"/>
        </w:rPr>
        <w:t>DM:</w:t>
      </w:r>
      <w:r w:rsidR="00233315">
        <w:rPr>
          <w:rFonts w:ascii="Arial" w:hAnsi="Arial" w:cs="Arial"/>
          <w:sz w:val="20"/>
          <w:szCs w:val="20"/>
        </w:rPr>
        <w:t xml:space="preserve"> </w:t>
      </w:r>
      <w:r w:rsidR="00645E0C">
        <w:rPr>
          <w:rFonts w:ascii="Arial" w:hAnsi="Arial" w:cs="Arial"/>
          <w:sz w:val="20"/>
          <w:szCs w:val="20"/>
        </w:rPr>
        <w:t xml:space="preserve">IMP17y6m/12y </w:t>
      </w:r>
      <w:r w:rsidR="000232A5">
        <w:rPr>
          <w:rFonts w:ascii="Arial" w:hAnsi="Arial" w:cs="Arial"/>
          <w:sz w:val="20"/>
          <w:szCs w:val="20"/>
        </w:rPr>
        <w:t>QM:</w:t>
      </w:r>
      <w:r w:rsidR="00233315">
        <w:rPr>
          <w:rFonts w:ascii="Arial" w:hAnsi="Arial" w:cs="Arial"/>
          <w:sz w:val="20"/>
          <w:szCs w:val="20"/>
        </w:rPr>
        <w:t> </w:t>
      </w:r>
      <w:r w:rsidR="000232A5">
        <w:rPr>
          <w:rFonts w:ascii="Arial" w:hAnsi="Arial" w:cs="Arial"/>
          <w:sz w:val="20"/>
          <w:szCs w:val="20"/>
        </w:rPr>
        <w:t>IMP19y6m/14y6m; SY:</w:t>
      </w:r>
      <w:r w:rsidR="00E31E62">
        <w:rPr>
          <w:rFonts w:ascii="Arial" w:hAnsi="Arial" w:cs="Arial"/>
          <w:sz w:val="20"/>
          <w:szCs w:val="20"/>
        </w:rPr>
        <w:t> </w:t>
      </w:r>
      <w:r w:rsidR="000232A5">
        <w:rPr>
          <w:rFonts w:ascii="Arial" w:hAnsi="Arial" w:cs="Arial"/>
          <w:sz w:val="20"/>
          <w:szCs w:val="20"/>
        </w:rPr>
        <w:t>IMP18y/12y. Her</w:t>
      </w:r>
      <w:r w:rsidR="00233315">
        <w:rPr>
          <w:rFonts w:ascii="Arial" w:hAnsi="Arial" w:cs="Arial"/>
          <w:sz w:val="20"/>
          <w:szCs w:val="20"/>
        </w:rPr>
        <w:t xml:space="preserve"> </w:t>
      </w:r>
      <w:r w:rsidR="000232A5">
        <w:rPr>
          <w:rFonts w:ascii="Arial" w:hAnsi="Arial" w:cs="Arial"/>
          <w:sz w:val="20"/>
          <w:szCs w:val="20"/>
        </w:rPr>
        <w:t xml:space="preserve">Honour also </w:t>
      </w:r>
      <w:r w:rsidR="008969ED">
        <w:rPr>
          <w:rFonts w:ascii="Arial" w:hAnsi="Arial" w:cs="Arial"/>
          <w:sz w:val="20"/>
          <w:szCs w:val="20"/>
        </w:rPr>
        <w:t xml:space="preserve">made a </w:t>
      </w:r>
      <w:r w:rsidR="000232A5">
        <w:rPr>
          <w:rFonts w:ascii="Arial" w:hAnsi="Arial" w:cs="Arial"/>
          <w:sz w:val="20"/>
          <w:szCs w:val="20"/>
        </w:rPr>
        <w:t>recommend</w:t>
      </w:r>
      <w:r w:rsidR="008969ED">
        <w:rPr>
          <w:rFonts w:ascii="Arial" w:hAnsi="Arial" w:cs="Arial"/>
          <w:sz w:val="20"/>
          <w:szCs w:val="20"/>
        </w:rPr>
        <w:t>ation</w:t>
      </w:r>
      <w:r w:rsidR="000232A5">
        <w:rPr>
          <w:rFonts w:ascii="Arial" w:hAnsi="Arial" w:cs="Arial"/>
          <w:sz w:val="20"/>
          <w:szCs w:val="20"/>
        </w:rPr>
        <w:t xml:space="preserve"> to the </w:t>
      </w:r>
      <w:r w:rsidR="000232A5" w:rsidRPr="00F5670C">
        <w:rPr>
          <w:rFonts w:ascii="Arial" w:hAnsi="Arial" w:cs="Arial"/>
          <w:color w:val="000000"/>
          <w:sz w:val="20"/>
        </w:rPr>
        <w:t xml:space="preserve">Adult Parole Board that </w:t>
      </w:r>
      <w:r w:rsidR="000232A5">
        <w:rPr>
          <w:rFonts w:ascii="Arial" w:hAnsi="Arial" w:cs="Arial"/>
          <w:color w:val="000000"/>
          <w:sz w:val="20"/>
        </w:rPr>
        <w:t>each of the four offenders</w:t>
      </w:r>
      <w:r w:rsidR="000232A5" w:rsidRPr="00F5670C">
        <w:rPr>
          <w:rFonts w:ascii="Arial" w:hAnsi="Arial" w:cs="Arial"/>
          <w:color w:val="000000"/>
          <w:sz w:val="20"/>
        </w:rPr>
        <w:t xml:space="preserve"> be transferred to the youth justice system until </w:t>
      </w:r>
      <w:r w:rsidR="000232A5">
        <w:rPr>
          <w:rFonts w:ascii="Arial" w:hAnsi="Arial" w:cs="Arial"/>
          <w:color w:val="000000"/>
          <w:sz w:val="20"/>
        </w:rPr>
        <w:t>they</w:t>
      </w:r>
      <w:r w:rsidR="000232A5" w:rsidRPr="00F5670C">
        <w:rPr>
          <w:rFonts w:ascii="Arial" w:hAnsi="Arial" w:cs="Arial"/>
          <w:color w:val="000000"/>
          <w:sz w:val="20"/>
        </w:rPr>
        <w:t xml:space="preserve"> </w:t>
      </w:r>
      <w:r w:rsidR="000232A5">
        <w:rPr>
          <w:rFonts w:ascii="Arial" w:hAnsi="Arial" w:cs="Arial"/>
          <w:color w:val="000000"/>
          <w:sz w:val="20"/>
        </w:rPr>
        <w:t>we</w:t>
      </w:r>
      <w:r w:rsidR="000232A5" w:rsidRPr="00F5670C">
        <w:rPr>
          <w:rFonts w:ascii="Arial" w:hAnsi="Arial" w:cs="Arial"/>
          <w:color w:val="000000"/>
          <w:sz w:val="20"/>
        </w:rPr>
        <w:t>re 21 years old</w:t>
      </w:r>
      <w:r w:rsidR="000232A5">
        <w:rPr>
          <w:rFonts w:ascii="Arial" w:hAnsi="Arial" w:cs="Arial"/>
          <w:color w:val="000000"/>
          <w:sz w:val="20"/>
        </w:rPr>
        <w:t xml:space="preserve">, </w:t>
      </w:r>
      <w:r w:rsidR="00645E0C">
        <w:rPr>
          <w:rFonts w:ascii="Arial" w:hAnsi="Arial" w:cs="Arial"/>
          <w:color w:val="000000"/>
          <w:sz w:val="20"/>
        </w:rPr>
        <w:t>s</w:t>
      </w:r>
      <w:r w:rsidR="008969ED">
        <w:rPr>
          <w:rFonts w:ascii="Arial" w:hAnsi="Arial" w:cs="Arial"/>
          <w:color w:val="000000"/>
          <w:sz w:val="20"/>
        </w:rPr>
        <w:t>ay</w:t>
      </w:r>
      <w:r w:rsidR="000232A5">
        <w:rPr>
          <w:rFonts w:ascii="Arial" w:hAnsi="Arial" w:cs="Arial"/>
          <w:color w:val="000000"/>
          <w:sz w:val="20"/>
        </w:rPr>
        <w:t xml:space="preserve">ing in particular </w:t>
      </w:r>
      <w:r w:rsidR="00645E0C">
        <w:rPr>
          <w:rFonts w:ascii="Arial" w:hAnsi="Arial" w:cs="Arial"/>
          <w:color w:val="000000"/>
          <w:sz w:val="20"/>
        </w:rPr>
        <w:t>to</w:t>
      </w:r>
      <w:r w:rsidR="000232A5">
        <w:rPr>
          <w:rFonts w:ascii="Arial" w:hAnsi="Arial" w:cs="Arial"/>
          <w:color w:val="000000"/>
          <w:sz w:val="20"/>
        </w:rPr>
        <w:t xml:space="preserve"> </w:t>
      </w:r>
      <w:r w:rsidR="00645E0C">
        <w:rPr>
          <w:rFonts w:ascii="Arial" w:hAnsi="Arial" w:cs="Arial"/>
          <w:color w:val="000000"/>
          <w:sz w:val="20"/>
        </w:rPr>
        <w:t>DM</w:t>
      </w:r>
      <w:r w:rsidR="000232A5">
        <w:rPr>
          <w:rFonts w:ascii="Arial" w:hAnsi="Arial" w:cs="Arial"/>
          <w:color w:val="000000"/>
          <w:sz w:val="20"/>
        </w:rPr>
        <w:t xml:space="preserve"> &amp; </w:t>
      </w:r>
      <w:r w:rsidR="00645E0C">
        <w:rPr>
          <w:rFonts w:ascii="Arial" w:hAnsi="Arial" w:cs="Arial"/>
          <w:color w:val="000000"/>
          <w:sz w:val="20"/>
        </w:rPr>
        <w:t>SY</w:t>
      </w:r>
      <w:r w:rsidR="000232A5">
        <w:rPr>
          <w:rFonts w:ascii="Arial" w:hAnsi="Arial" w:cs="Arial"/>
          <w:color w:val="000000"/>
          <w:sz w:val="20"/>
        </w:rPr>
        <w:t xml:space="preserve"> that </w:t>
      </w:r>
      <w:r w:rsidR="000232A5">
        <w:rPr>
          <w:rFonts w:ascii="Arial" w:hAnsi="Arial" w:cs="Arial"/>
          <w:sz w:val="20"/>
          <w:szCs w:val="20"/>
        </w:rPr>
        <w:t>“</w:t>
      </w:r>
      <w:r w:rsidR="00F5670C" w:rsidRPr="00F5670C">
        <w:rPr>
          <w:rFonts w:ascii="Arial" w:hAnsi="Arial" w:cs="Arial"/>
          <w:color w:val="000000"/>
          <w:sz w:val="20"/>
        </w:rPr>
        <w:t>a further period in Youth Justice would help to consolidate your treatment and education and path to rehabilitation</w:t>
      </w:r>
      <w:r w:rsidR="000232A5">
        <w:rPr>
          <w:rFonts w:ascii="Arial" w:hAnsi="Arial" w:cs="Arial"/>
          <w:color w:val="000000"/>
          <w:sz w:val="20"/>
        </w:rPr>
        <w:t>”</w:t>
      </w:r>
      <w:r w:rsidR="00F5670C" w:rsidRPr="00F5670C">
        <w:rPr>
          <w:rFonts w:ascii="Arial" w:hAnsi="Arial" w:cs="Arial"/>
          <w:color w:val="000000"/>
          <w:sz w:val="20"/>
        </w:rPr>
        <w:t>.</w:t>
      </w:r>
      <w:r w:rsidR="003C0DE3">
        <w:rPr>
          <w:rFonts w:ascii="Arial" w:hAnsi="Arial" w:cs="Arial"/>
          <w:color w:val="000000"/>
          <w:sz w:val="20"/>
        </w:rPr>
        <w:t xml:space="preserve">  At [18]-</w:t>
      </w:r>
      <w:r w:rsidR="00E31E62">
        <w:rPr>
          <w:rFonts w:ascii="Arial" w:hAnsi="Arial" w:cs="Arial"/>
          <w:color w:val="000000"/>
          <w:sz w:val="20"/>
        </w:rPr>
        <w:t>[19] &amp; [21]-</w:t>
      </w:r>
      <w:r w:rsidR="003C0DE3">
        <w:rPr>
          <w:rFonts w:ascii="Arial" w:hAnsi="Arial" w:cs="Arial"/>
          <w:color w:val="000000"/>
          <w:sz w:val="20"/>
        </w:rPr>
        <w:t>[31] her Honour made the following general comments that applied to the sentencing of each of the four offenders:</w:t>
      </w:r>
    </w:p>
    <w:p w14:paraId="2F865620" w14:textId="20AAEBE2" w:rsidR="003C0DE3" w:rsidRDefault="003C0DE3" w:rsidP="00E31E62">
      <w:pPr>
        <w:spacing w:before="80"/>
        <w:ind w:left="720" w:right="567"/>
        <w:jc w:val="both"/>
        <w:rPr>
          <w:rFonts w:ascii="Arial" w:hAnsi="Arial" w:cs="Arial"/>
          <w:color w:val="000000"/>
          <w:sz w:val="20"/>
        </w:rPr>
      </w:pPr>
      <w:r>
        <w:rPr>
          <w:rFonts w:ascii="Arial" w:hAnsi="Arial" w:cs="Arial"/>
          <w:sz w:val="20"/>
          <w:szCs w:val="20"/>
        </w:rPr>
        <w:t>[18] “…</w:t>
      </w:r>
      <w:r w:rsidRPr="003C0DE3">
        <w:rPr>
          <w:rFonts w:ascii="Arial" w:hAnsi="Arial" w:cs="Arial"/>
          <w:color w:val="000000"/>
          <w:sz w:val="20"/>
        </w:rPr>
        <w:t>First, each of you was a child at the time of the offence and therefore I am not required to take the standard sentence of 25 years’ imprisonment into account</w:t>
      </w:r>
      <w:r>
        <w:rPr>
          <w:rFonts w:ascii="Arial" w:hAnsi="Arial" w:cs="Arial"/>
          <w:color w:val="000000"/>
          <w:sz w:val="20"/>
        </w:rPr>
        <w:t xml:space="preserve"> {</w:t>
      </w:r>
      <w:r w:rsidRPr="00E31E62">
        <w:rPr>
          <w:rFonts w:ascii="Arial" w:hAnsi="Arial" w:cs="Arial"/>
          <w:i/>
          <w:iCs/>
          <w:color w:val="000000"/>
          <w:sz w:val="20"/>
        </w:rPr>
        <w:t>Crimes Act 1958</w:t>
      </w:r>
      <w:r>
        <w:rPr>
          <w:rFonts w:ascii="Arial" w:hAnsi="Arial" w:cs="Arial"/>
          <w:color w:val="000000"/>
          <w:sz w:val="20"/>
        </w:rPr>
        <w:t xml:space="preserve"> (Vic), ss.3(2)(b) &amp; 3(1)}</w:t>
      </w:r>
      <w:r w:rsidRPr="003C0DE3">
        <w:rPr>
          <w:rFonts w:ascii="Arial" w:hAnsi="Arial" w:cs="Arial"/>
          <w:color w:val="000000"/>
          <w:sz w:val="20"/>
        </w:rPr>
        <w:t xml:space="preserve"> or to fix a minimum non-parole period</w:t>
      </w:r>
      <w:r w:rsidR="00E31E62">
        <w:rPr>
          <w:rFonts w:ascii="Arial" w:hAnsi="Arial" w:cs="Arial"/>
          <w:color w:val="000000"/>
          <w:sz w:val="20"/>
        </w:rPr>
        <w:t xml:space="preserve"> {</w:t>
      </w:r>
      <w:r w:rsidR="00E31E62" w:rsidRPr="00E31E62">
        <w:rPr>
          <w:rFonts w:ascii="Arial" w:hAnsi="Arial" w:cs="Arial"/>
          <w:i/>
          <w:iCs/>
          <w:color w:val="000000"/>
          <w:sz w:val="20"/>
        </w:rPr>
        <w:t>Sentencing Act 1991</w:t>
      </w:r>
      <w:r w:rsidR="00E31E62">
        <w:rPr>
          <w:rFonts w:ascii="Arial" w:hAnsi="Arial" w:cs="Arial"/>
          <w:color w:val="000000"/>
          <w:sz w:val="20"/>
        </w:rPr>
        <w:t xml:space="preserve"> (Vic) ss.11A(3) &amp; 5B(1)(a).  The prosecution correctly pointed out that I am still required to set a non-parole period for SA, SY &amp; QM pursuant to s.5(2J) of the </w:t>
      </w:r>
      <w:r w:rsidR="00E31E62" w:rsidRPr="00E31E62">
        <w:rPr>
          <w:rFonts w:ascii="Arial" w:hAnsi="Arial" w:cs="Arial"/>
          <w:i/>
          <w:iCs/>
          <w:color w:val="000000"/>
          <w:sz w:val="20"/>
        </w:rPr>
        <w:t>Sentencing Act</w:t>
      </w:r>
      <w:r w:rsidR="00E31E62">
        <w:rPr>
          <w:rFonts w:ascii="Arial" w:hAnsi="Arial" w:cs="Arial"/>
          <w:color w:val="000000"/>
          <w:sz w:val="20"/>
        </w:rPr>
        <w:t xml:space="preserve">}. </w:t>
      </w:r>
      <w:r w:rsidRPr="003C0DE3">
        <w:rPr>
          <w:rFonts w:ascii="Arial" w:hAnsi="Arial" w:cs="Arial"/>
          <w:color w:val="000000"/>
          <w:sz w:val="20"/>
        </w:rPr>
        <w:t>Murder is an inherently grave and serious offence, and I consider your offending to be a serious example of that offence. As such, a term of imprisonment with a non-parole period is the only appropriate sentence for each of you.</w:t>
      </w:r>
    </w:p>
    <w:p w14:paraId="3D0AE35B" w14:textId="3CFE47B2"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19</w:t>
      </w:r>
      <w:r>
        <w:rPr>
          <w:rFonts w:ascii="Arial" w:hAnsi="Arial" w:cs="Arial"/>
          <w:color w:val="000000"/>
          <w:sz w:val="20"/>
        </w:rPr>
        <w:t>]</w:t>
      </w:r>
      <w:r w:rsidRPr="003C0DE3">
        <w:rPr>
          <w:rFonts w:ascii="Arial" w:hAnsi="Arial" w:cs="Arial"/>
          <w:color w:val="000000"/>
          <w:sz w:val="20"/>
        </w:rPr>
        <w:t xml:space="preserve"> Secondly, the youth of young offenders (and their rehabilitation) is a primary sentencing consideration</w:t>
      </w:r>
      <w:r w:rsidR="00E31E62">
        <w:rPr>
          <w:rFonts w:ascii="Arial" w:hAnsi="Arial" w:cs="Arial"/>
          <w:color w:val="000000"/>
          <w:sz w:val="20"/>
        </w:rPr>
        <w:t>: R v Mills [1998] 4 VR 235, 241 (Batt JA)</w:t>
      </w:r>
      <w:r w:rsidRPr="003C0DE3">
        <w:rPr>
          <w:rFonts w:ascii="Arial" w:hAnsi="Arial" w:cs="Arial"/>
          <w:color w:val="000000"/>
          <w:sz w:val="20"/>
        </w:rPr>
        <w:t>. For the purpose of determining whether you are considered ‘youthful’, your age is to be considered at the date of sentencing</w:t>
      </w:r>
      <w:r w:rsidR="00E31E62">
        <w:rPr>
          <w:rFonts w:ascii="Arial" w:hAnsi="Arial" w:cs="Arial"/>
          <w:color w:val="000000"/>
          <w:sz w:val="20"/>
        </w:rPr>
        <w:t>: Ibid.</w:t>
      </w:r>
    </w:p>
    <w:p w14:paraId="3C468591" w14:textId="45BC777B" w:rsidR="00E31E62" w:rsidRDefault="00E31E62" w:rsidP="003C0DE3">
      <w:pPr>
        <w:spacing w:before="80"/>
        <w:ind w:left="720" w:right="567"/>
        <w:jc w:val="both"/>
        <w:rPr>
          <w:rFonts w:ascii="Arial" w:hAnsi="Arial" w:cs="Arial"/>
          <w:sz w:val="20"/>
          <w:szCs w:val="20"/>
        </w:rPr>
      </w:pPr>
      <w:r>
        <w:rPr>
          <w:rFonts w:ascii="Arial" w:hAnsi="Arial" w:cs="Arial"/>
          <w:sz w:val="20"/>
          <w:szCs w:val="20"/>
        </w:rPr>
        <w:t>[20] …</w:t>
      </w:r>
    </w:p>
    <w:p w14:paraId="2D7983EF" w14:textId="1F1D25F9"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21</w:t>
      </w:r>
      <w:r>
        <w:rPr>
          <w:rFonts w:ascii="Arial" w:hAnsi="Arial" w:cs="Arial"/>
          <w:color w:val="000000"/>
          <w:sz w:val="20"/>
        </w:rPr>
        <w:t>]</w:t>
      </w:r>
      <w:r w:rsidRPr="003C0DE3">
        <w:rPr>
          <w:rFonts w:ascii="Arial" w:hAnsi="Arial" w:cs="Arial"/>
          <w:color w:val="000000"/>
          <w:sz w:val="20"/>
        </w:rPr>
        <w:t xml:space="preserve"> It is accepted that each of you is significantly less blameworthy for your conduct than an adult who had behaved in the same way</w:t>
      </w:r>
      <w:r w:rsidR="00E31E62">
        <w:rPr>
          <w:rFonts w:ascii="Arial" w:hAnsi="Arial" w:cs="Arial"/>
          <w:color w:val="000000"/>
          <w:sz w:val="20"/>
        </w:rPr>
        <w:t xml:space="preserve">: see </w:t>
      </w:r>
      <w:r w:rsidR="00E31E62" w:rsidRPr="00E31E62">
        <w:rPr>
          <w:rFonts w:ascii="Arial" w:hAnsi="Arial" w:cs="Arial"/>
          <w:i/>
          <w:iCs/>
          <w:color w:val="000000"/>
          <w:sz w:val="20"/>
        </w:rPr>
        <w:t>CNK v The Queen</w:t>
      </w:r>
      <w:r w:rsidR="00E31E62">
        <w:rPr>
          <w:rFonts w:ascii="Arial" w:hAnsi="Arial" w:cs="Arial"/>
          <w:color w:val="000000"/>
          <w:sz w:val="20"/>
        </w:rPr>
        <w:t xml:space="preserve"> (2011) 32 VR 641, 661 [71]</w:t>
      </w:r>
      <w:r w:rsidRPr="003C0DE3">
        <w:rPr>
          <w:rFonts w:ascii="Arial" w:hAnsi="Arial" w:cs="Arial"/>
          <w:color w:val="000000"/>
          <w:sz w:val="20"/>
        </w:rPr>
        <w:t>.</w:t>
      </w:r>
      <w:r w:rsidR="00E31E62">
        <w:rPr>
          <w:rFonts w:ascii="Arial" w:hAnsi="Arial" w:cs="Arial"/>
          <w:color w:val="000000"/>
          <w:sz w:val="20"/>
        </w:rPr>
        <w:t xml:space="preserve"> </w:t>
      </w:r>
      <w:r w:rsidRPr="003C0DE3">
        <w:rPr>
          <w:rFonts w:ascii="Arial" w:hAnsi="Arial" w:cs="Arial"/>
          <w:color w:val="000000"/>
          <w:sz w:val="20"/>
        </w:rPr>
        <w:t>Your youth is also significant to an assessment of your prospects of rehabilitation. I consider your youth at the time of the offending, and at the time of sentence, a relevant mitigating factor. At the same time, and considering the crime that you committed and the circumstances in which you committed it, the weight to be given to your age must be substantially moderated.</w:t>
      </w:r>
    </w:p>
    <w:p w14:paraId="61F926F1" w14:textId="78E4BB06"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22</w:t>
      </w:r>
      <w:r>
        <w:rPr>
          <w:rFonts w:ascii="Arial" w:hAnsi="Arial" w:cs="Arial"/>
          <w:color w:val="000000"/>
          <w:sz w:val="20"/>
        </w:rPr>
        <w:t>]</w:t>
      </w:r>
      <w:r w:rsidRPr="003C0DE3">
        <w:rPr>
          <w:rFonts w:ascii="Arial" w:hAnsi="Arial" w:cs="Arial"/>
          <w:color w:val="000000"/>
          <w:sz w:val="20"/>
        </w:rPr>
        <w:t xml:space="preserve"> It is also relevant in this case that there are gradations in your ages. For example, the case law recognises that the maturity and ability of a 13 year old to understand the consequences of their impulsive actions is likely to be very different to a 17 or 18 year old</w:t>
      </w:r>
      <w:r w:rsidR="00E31E62">
        <w:rPr>
          <w:rFonts w:ascii="Arial" w:hAnsi="Arial" w:cs="Arial"/>
          <w:color w:val="000000"/>
          <w:sz w:val="20"/>
        </w:rPr>
        <w:t xml:space="preserve">: </w:t>
      </w:r>
      <w:r w:rsidR="00E31E62" w:rsidRPr="00180206">
        <w:rPr>
          <w:rFonts w:ascii="Arial" w:hAnsi="Arial" w:cs="Arial"/>
          <w:i/>
          <w:iCs/>
          <w:color w:val="000000"/>
          <w:sz w:val="20"/>
        </w:rPr>
        <w:t>AP (a pseudonym) v The Queen</w:t>
      </w:r>
      <w:r w:rsidR="00E31E62">
        <w:rPr>
          <w:rFonts w:ascii="Arial" w:hAnsi="Arial" w:cs="Arial"/>
          <w:color w:val="000000"/>
          <w:sz w:val="20"/>
        </w:rPr>
        <w:t xml:space="preserve"> [2019] VSCA 278, [33]</w:t>
      </w:r>
      <w:r w:rsidRPr="003C0DE3">
        <w:rPr>
          <w:rFonts w:ascii="Arial" w:hAnsi="Arial" w:cs="Arial"/>
          <w:color w:val="000000"/>
          <w:sz w:val="20"/>
        </w:rPr>
        <w:t xml:space="preserve">. I have considered each of your ages at the time of offending, along with the seriousness of the offending, when determining the appropriate sentence. </w:t>
      </w:r>
    </w:p>
    <w:p w14:paraId="6168089A"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23</w:t>
      </w:r>
      <w:r>
        <w:rPr>
          <w:rFonts w:ascii="Arial" w:hAnsi="Arial" w:cs="Arial"/>
          <w:color w:val="000000"/>
          <w:sz w:val="20"/>
        </w:rPr>
        <w:t>]</w:t>
      </w:r>
      <w:r w:rsidRPr="003C0DE3">
        <w:rPr>
          <w:rFonts w:ascii="Arial" w:hAnsi="Arial" w:cs="Arial"/>
          <w:color w:val="000000"/>
          <w:sz w:val="20"/>
        </w:rPr>
        <w:t xml:space="preserve"> Thirdly, each of you are alleged to have committed further offending whilst on remand. On the materials before me, there is no apparent explanation as to why you became involved in the relevant incidents. I emphasise that in determining your sentence in the present case, I do not take into account, by way of aggravation, your involvement in that further offending. However, those matters are relevant to an assessment of your prospects of rehabilitation. </w:t>
      </w:r>
    </w:p>
    <w:p w14:paraId="4B38513A" w14:textId="3DDCAB21"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24</w:t>
      </w:r>
      <w:r>
        <w:rPr>
          <w:rFonts w:ascii="Arial" w:hAnsi="Arial" w:cs="Arial"/>
          <w:color w:val="000000"/>
          <w:sz w:val="20"/>
        </w:rPr>
        <w:t>]</w:t>
      </w:r>
      <w:r w:rsidRPr="003C0DE3">
        <w:rPr>
          <w:rFonts w:ascii="Arial" w:hAnsi="Arial" w:cs="Arial"/>
          <w:color w:val="000000"/>
          <w:sz w:val="20"/>
        </w:rPr>
        <w:t xml:space="preserve"> There are other factors that I am required by law to consider when imposing a sentence. It is well established when sentencing for the offence of murder that principles of general deterrence, just punishment and denunciation weigh heavily in the sentencing exercise</w:t>
      </w:r>
      <w:r w:rsidR="00E31E62">
        <w:rPr>
          <w:rFonts w:ascii="Arial" w:hAnsi="Arial" w:cs="Arial"/>
          <w:color w:val="000000"/>
          <w:sz w:val="20"/>
        </w:rPr>
        <w:t xml:space="preserve">: </w:t>
      </w:r>
      <w:r w:rsidR="00E31E62" w:rsidRPr="00E31E62">
        <w:rPr>
          <w:rFonts w:ascii="Arial" w:hAnsi="Arial" w:cs="Arial"/>
          <w:i/>
          <w:iCs/>
          <w:color w:val="000000"/>
          <w:sz w:val="20"/>
        </w:rPr>
        <w:t>R v Dupas</w:t>
      </w:r>
      <w:r w:rsidR="00E31E62">
        <w:rPr>
          <w:rFonts w:ascii="Arial" w:hAnsi="Arial" w:cs="Arial"/>
          <w:color w:val="000000"/>
          <w:sz w:val="20"/>
        </w:rPr>
        <w:t xml:space="preserve"> [2004] VSC 281, [3] (Kaye JA)</w:t>
      </w:r>
      <w:r w:rsidRPr="003C0DE3">
        <w:rPr>
          <w:rFonts w:ascii="Arial" w:hAnsi="Arial" w:cs="Arial"/>
          <w:color w:val="000000"/>
          <w:sz w:val="20"/>
        </w:rPr>
        <w:t>.</w:t>
      </w:r>
    </w:p>
    <w:p w14:paraId="25FDAFEA" w14:textId="2DD7AE17" w:rsidR="00180206" w:rsidRDefault="003C0DE3" w:rsidP="00180206">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25</w:t>
      </w:r>
      <w:r>
        <w:rPr>
          <w:rFonts w:ascii="Arial" w:hAnsi="Arial" w:cs="Arial"/>
          <w:color w:val="000000"/>
          <w:sz w:val="20"/>
        </w:rPr>
        <w:t>]</w:t>
      </w:r>
      <w:r w:rsidRPr="003C0DE3">
        <w:rPr>
          <w:rFonts w:ascii="Arial" w:hAnsi="Arial" w:cs="Arial"/>
          <w:color w:val="000000"/>
          <w:sz w:val="20"/>
        </w:rPr>
        <w:t xml:space="preserve"> General deterrence is an important sentencing consideration in this case. The offending was carried out in a group, late at night, with knives, and because of the tensions and perceived slights between groups of youths. It involved unprovoked and </w:t>
      </w:r>
      <w:r w:rsidRPr="003C0DE3">
        <w:rPr>
          <w:rFonts w:ascii="Arial" w:hAnsi="Arial" w:cs="Arial"/>
          <w:color w:val="000000"/>
          <w:sz w:val="20"/>
        </w:rPr>
        <w:lastRenderedPageBreak/>
        <w:t>utterly brutal violence against an unarmed teenager who was trying to flee. As</w:t>
      </w:r>
      <w:r w:rsidR="00180206">
        <w:rPr>
          <w:rFonts w:ascii="Arial" w:hAnsi="Arial" w:cs="Arial"/>
          <w:color w:val="000000"/>
          <w:sz w:val="20"/>
        </w:rPr>
        <w:t> H</w:t>
      </w:r>
      <w:r w:rsidRPr="003C0DE3">
        <w:rPr>
          <w:rFonts w:ascii="Arial" w:hAnsi="Arial" w:cs="Arial"/>
          <w:color w:val="000000"/>
          <w:sz w:val="20"/>
        </w:rPr>
        <w:t xml:space="preserve">ollingworth J noted </w:t>
      </w:r>
      <w:r w:rsidR="00180206">
        <w:rPr>
          <w:rFonts w:ascii="Arial" w:hAnsi="Arial" w:cs="Arial"/>
          <w:color w:val="000000"/>
          <w:sz w:val="20"/>
        </w:rPr>
        <w:t xml:space="preserve">in </w:t>
      </w:r>
      <w:r w:rsidR="00180206" w:rsidRPr="00180206">
        <w:rPr>
          <w:rFonts w:ascii="Arial" w:hAnsi="Arial" w:cs="Arial"/>
          <w:i/>
          <w:iCs/>
          <w:color w:val="000000"/>
          <w:sz w:val="20"/>
        </w:rPr>
        <w:t>DPP v JA &amp; Ors</w:t>
      </w:r>
      <w:r w:rsidR="00180206">
        <w:rPr>
          <w:rFonts w:ascii="Arial" w:hAnsi="Arial" w:cs="Arial"/>
          <w:color w:val="000000"/>
          <w:sz w:val="20"/>
        </w:rPr>
        <w:t xml:space="preserve"> </w:t>
      </w:r>
      <w:r w:rsidR="00180206">
        <w:rPr>
          <w:rFonts w:ascii="Arial" w:hAnsi="Arial" w:cs="Arial"/>
          <w:sz w:val="20"/>
          <w:szCs w:val="20"/>
        </w:rPr>
        <w:t xml:space="preserve">[2023] VSC 531 at [31] </w:t>
      </w:r>
      <w:r w:rsidRPr="003C0DE3">
        <w:rPr>
          <w:rFonts w:ascii="Arial" w:hAnsi="Arial" w:cs="Arial"/>
          <w:color w:val="000000"/>
          <w:sz w:val="20"/>
        </w:rPr>
        <w:t>when she sentenced three of your group:</w:t>
      </w:r>
    </w:p>
    <w:p w14:paraId="2F6C116B" w14:textId="3B13E15A" w:rsidR="003C0DE3" w:rsidRPr="00180206" w:rsidRDefault="00180206" w:rsidP="00180206">
      <w:pPr>
        <w:spacing w:before="60"/>
        <w:ind w:left="1174" w:right="1021"/>
        <w:jc w:val="both"/>
        <w:rPr>
          <w:rFonts w:ascii="Arial" w:hAnsi="Arial" w:cs="Arial"/>
          <w:color w:val="000000"/>
          <w:sz w:val="18"/>
          <w:szCs w:val="22"/>
        </w:rPr>
      </w:pPr>
      <w:r>
        <w:rPr>
          <w:rFonts w:ascii="Arial" w:hAnsi="Arial" w:cs="Arial"/>
          <w:color w:val="000000"/>
          <w:sz w:val="18"/>
          <w:szCs w:val="22"/>
        </w:rPr>
        <w:t>‘</w:t>
      </w:r>
      <w:r w:rsidR="003C0DE3" w:rsidRPr="00180206">
        <w:rPr>
          <w:rFonts w:ascii="Arial" w:hAnsi="Arial" w:cs="Arial"/>
          <w:color w:val="000000"/>
          <w:sz w:val="18"/>
          <w:szCs w:val="22"/>
        </w:rPr>
        <w:t>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color w:val="000000"/>
          <w:sz w:val="18"/>
          <w:szCs w:val="22"/>
        </w:rPr>
        <w:t>’</w:t>
      </w:r>
    </w:p>
    <w:p w14:paraId="66E4FE48"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26</w:t>
      </w:r>
      <w:r>
        <w:rPr>
          <w:rFonts w:ascii="Arial" w:hAnsi="Arial" w:cs="Arial"/>
          <w:color w:val="000000"/>
          <w:sz w:val="20"/>
        </w:rPr>
        <w:t>]</w:t>
      </w:r>
      <w:r w:rsidRPr="003C0DE3">
        <w:rPr>
          <w:rFonts w:ascii="Arial" w:hAnsi="Arial" w:cs="Arial"/>
          <w:color w:val="000000"/>
          <w:sz w:val="20"/>
        </w:rPr>
        <w:t xml:space="preserve"> It is necessary that the sentence I impose upon you adequately expresses the condemnation by this Court, and the community, of your crime, and to vindicate the sanctity of each human life. </w:t>
      </w:r>
    </w:p>
    <w:p w14:paraId="492FDA26"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27</w:t>
      </w:r>
      <w:r>
        <w:rPr>
          <w:rFonts w:ascii="Arial" w:hAnsi="Arial" w:cs="Arial"/>
          <w:color w:val="000000"/>
          <w:sz w:val="20"/>
        </w:rPr>
        <w:t>]</w:t>
      </w:r>
      <w:r w:rsidRPr="003C0DE3">
        <w:rPr>
          <w:rFonts w:ascii="Arial" w:hAnsi="Arial" w:cs="Arial"/>
          <w:color w:val="000000"/>
          <w:sz w:val="20"/>
        </w:rPr>
        <w:t xml:space="preserve"> Further, it is important that the sentence I impose on each of you is sufficient to ensure that you yourself are personally deterred from further acts of violence.</w:t>
      </w:r>
    </w:p>
    <w:p w14:paraId="027EE79D"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28</w:t>
      </w:r>
      <w:r>
        <w:rPr>
          <w:rFonts w:ascii="Arial" w:hAnsi="Arial" w:cs="Arial"/>
          <w:color w:val="000000"/>
          <w:sz w:val="20"/>
        </w:rPr>
        <w:t>]</w:t>
      </w:r>
      <w:r w:rsidRPr="003C0DE3">
        <w:rPr>
          <w:rFonts w:ascii="Arial" w:hAnsi="Arial" w:cs="Arial"/>
          <w:color w:val="000000"/>
          <w:sz w:val="20"/>
        </w:rPr>
        <w:t xml:space="preserve"> Community protection is also a significant sentencing consideration, having regard to the nature of the offending, and it is tied firmly to rehabilitation. Your rehabilitation will require targeted support, and a willingness by you to engage and apply what you have learned. In each of your cases, I consider community protection can be achieved only if your rehabilitation continues. I will discuss each of your prospects of rehabilitation later in these reasons. </w:t>
      </w:r>
    </w:p>
    <w:p w14:paraId="7CB3D66B" w14:textId="72C69505" w:rsidR="00180206"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29</w:t>
      </w:r>
      <w:r>
        <w:rPr>
          <w:rFonts w:ascii="Arial" w:hAnsi="Arial" w:cs="Arial"/>
          <w:color w:val="000000"/>
          <w:sz w:val="20"/>
        </w:rPr>
        <w:t>]</w:t>
      </w:r>
      <w:r w:rsidRPr="003C0DE3">
        <w:rPr>
          <w:rFonts w:ascii="Arial" w:hAnsi="Arial" w:cs="Arial"/>
          <w:color w:val="000000"/>
          <w:sz w:val="20"/>
        </w:rPr>
        <w:t xml:space="preserve"> I have had regard to current sentencing practices, and particularly the sentences imposed by Hollingworth J on three of your group</w:t>
      </w:r>
      <w:r w:rsidR="00180206">
        <w:rPr>
          <w:rFonts w:ascii="Arial" w:hAnsi="Arial" w:cs="Arial"/>
          <w:color w:val="000000"/>
          <w:sz w:val="20"/>
        </w:rPr>
        <w:t xml:space="preserve">: </w:t>
      </w:r>
      <w:r w:rsidR="00180206" w:rsidRPr="00180206">
        <w:rPr>
          <w:rFonts w:ascii="Arial" w:hAnsi="Arial" w:cs="Arial"/>
          <w:i/>
          <w:iCs/>
          <w:color w:val="000000"/>
          <w:sz w:val="20"/>
        </w:rPr>
        <w:t>DPP v JA &amp; Ors</w:t>
      </w:r>
      <w:r w:rsidR="00180206">
        <w:rPr>
          <w:rFonts w:ascii="Arial" w:hAnsi="Arial" w:cs="Arial"/>
          <w:color w:val="000000"/>
          <w:sz w:val="20"/>
        </w:rPr>
        <w:t xml:space="preserve"> at [114]-[139]</w:t>
      </w:r>
      <w:r w:rsidRPr="003C0DE3">
        <w:rPr>
          <w:rFonts w:ascii="Arial" w:hAnsi="Arial" w:cs="Arial"/>
          <w:color w:val="000000"/>
          <w:sz w:val="20"/>
        </w:rPr>
        <w:t>. AM is the only offender in the group who has been sentenced on a charge of murder for his role in this fatal attack.</w:t>
      </w:r>
    </w:p>
    <w:p w14:paraId="30ECF039" w14:textId="3D20BB95" w:rsidR="003C0DE3" w:rsidRDefault="00180206" w:rsidP="003C0DE3">
      <w:pPr>
        <w:spacing w:before="80"/>
        <w:ind w:left="720" w:right="567"/>
        <w:jc w:val="both"/>
        <w:rPr>
          <w:rFonts w:ascii="Arial" w:hAnsi="Arial" w:cs="Arial"/>
          <w:color w:val="000000"/>
          <w:sz w:val="20"/>
        </w:rPr>
      </w:pPr>
      <w:r>
        <w:rPr>
          <w:rFonts w:ascii="Arial" w:hAnsi="Arial" w:cs="Arial"/>
          <w:sz w:val="20"/>
          <w:szCs w:val="20"/>
        </w:rPr>
        <w:t>[</w:t>
      </w:r>
      <w:r w:rsidR="003C0DE3" w:rsidRPr="003C0DE3">
        <w:rPr>
          <w:rFonts w:ascii="Arial" w:hAnsi="Arial" w:cs="Arial"/>
          <w:color w:val="000000"/>
          <w:sz w:val="20"/>
        </w:rPr>
        <w:t>30</w:t>
      </w:r>
      <w:r>
        <w:rPr>
          <w:rFonts w:ascii="Arial" w:hAnsi="Arial" w:cs="Arial"/>
          <w:color w:val="000000"/>
          <w:sz w:val="20"/>
        </w:rPr>
        <w:t>]</w:t>
      </w:r>
      <w:r w:rsidR="003C0DE3" w:rsidRPr="003C0DE3">
        <w:rPr>
          <w:rFonts w:ascii="Arial" w:hAnsi="Arial" w:cs="Arial"/>
          <w:color w:val="000000"/>
          <w:sz w:val="20"/>
        </w:rPr>
        <w:t xml:space="preserve"> While the role of each of you in the offending has some similarities to AM, there are obvious differences justifying different sentences. Of particular significance is AM’s youth relative to the rest of the group and his positive progress in custody</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[41] &amp; [58]. </w:t>
      </w:r>
      <w:r w:rsidR="003C0DE3" w:rsidRPr="003C0DE3">
        <w:rPr>
          <w:rFonts w:ascii="Arial" w:hAnsi="Arial" w:cs="Arial"/>
          <w:color w:val="000000"/>
          <w:sz w:val="20"/>
        </w:rPr>
        <w:t>AM pleaded guilty to murder and therefore received a sentencing discount</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[57] &amp; [119]. </w:t>
      </w:r>
      <w:r w:rsidR="003C0DE3" w:rsidRPr="003C0DE3">
        <w:rPr>
          <w:rFonts w:ascii="Arial" w:hAnsi="Arial" w:cs="Arial"/>
          <w:color w:val="000000"/>
          <w:sz w:val="20"/>
        </w:rPr>
        <w:t>The prosecution also reminded me that the s 6AAA declaration made by Hollingworth J in relation to AM is not a sentence and should not, in the words of the Court of Appeal, be ‘some kind of benchmark to be adjusted by balancing out aggravating features of the [offender] and his co-offender’</w:t>
      </w:r>
      <w:r>
        <w:rPr>
          <w:rFonts w:ascii="Arial" w:hAnsi="Arial" w:cs="Arial"/>
          <w:color w:val="000000"/>
          <w:sz w:val="20"/>
        </w:rPr>
        <w:t>: The Queen v Waugh (2013) 38 VR 66, 73 [23]</w:t>
      </w:r>
      <w:r w:rsidR="003C0DE3" w:rsidRPr="003C0DE3">
        <w:rPr>
          <w:rFonts w:ascii="Arial" w:hAnsi="Arial" w:cs="Arial"/>
          <w:color w:val="000000"/>
          <w:sz w:val="20"/>
        </w:rPr>
        <w:t xml:space="preserve">. I have therefore treated AM’s sentence and her Honour’s 6AAA indication as a relevant factor, but not a starting point, for your individual sentences. </w:t>
      </w:r>
    </w:p>
    <w:p w14:paraId="7CDC765A" w14:textId="3B7C33EC" w:rsidR="003C0DE3" w:rsidRPr="003C0DE3" w:rsidRDefault="003C0DE3" w:rsidP="003C0DE3">
      <w:pPr>
        <w:spacing w:before="80"/>
        <w:ind w:left="720" w:right="567"/>
        <w:jc w:val="both"/>
        <w:rPr>
          <w:rFonts w:ascii="Arial" w:hAnsi="Arial" w:cs="Arial"/>
          <w:sz w:val="20"/>
          <w:szCs w:val="20"/>
        </w:rPr>
      </w:pPr>
      <w:r>
        <w:rPr>
          <w:rFonts w:ascii="Arial" w:hAnsi="Arial" w:cs="Arial"/>
          <w:sz w:val="20"/>
          <w:szCs w:val="20"/>
        </w:rPr>
        <w:t>[</w:t>
      </w:r>
      <w:r w:rsidRPr="003C0DE3">
        <w:rPr>
          <w:rFonts w:ascii="Arial" w:hAnsi="Arial" w:cs="Arial"/>
          <w:color w:val="000000"/>
          <w:sz w:val="20"/>
        </w:rPr>
        <w:t>31</w:t>
      </w:r>
      <w:r>
        <w:rPr>
          <w:rFonts w:ascii="Arial" w:hAnsi="Arial" w:cs="Arial"/>
          <w:color w:val="000000"/>
          <w:sz w:val="20"/>
        </w:rPr>
        <w:t>]</w:t>
      </w:r>
      <w:r w:rsidRPr="003C0DE3">
        <w:rPr>
          <w:rFonts w:ascii="Arial" w:hAnsi="Arial" w:cs="Arial"/>
          <w:color w:val="000000"/>
          <w:sz w:val="20"/>
        </w:rPr>
        <w:t xml:space="preserve"> I have also had regard to s 5(3) of the </w:t>
      </w:r>
      <w:r w:rsidRPr="00180206">
        <w:rPr>
          <w:rFonts w:ascii="Arial" w:hAnsi="Arial" w:cs="Arial"/>
          <w:i/>
          <w:iCs/>
          <w:color w:val="000000"/>
          <w:sz w:val="20"/>
        </w:rPr>
        <w:t>Sentencing Act 1991</w:t>
      </w:r>
      <w:r w:rsidRPr="003C0DE3">
        <w:rPr>
          <w:rFonts w:ascii="Arial" w:hAnsi="Arial" w:cs="Arial"/>
          <w:color w:val="000000"/>
          <w:sz w:val="20"/>
        </w:rPr>
        <w:t xml:space="preserve"> (Vic), which provides that ‘a court must not impose a sentence that is more than that which is necessary to achieve the purpose or purposes for which the sentence is imposed’. This reflects the common law principle of parsimony, ‘a fundamental principle, sometimes forgotten’</w:t>
      </w:r>
      <w:r w:rsidR="00180206">
        <w:rPr>
          <w:rFonts w:ascii="Arial" w:hAnsi="Arial" w:cs="Arial"/>
          <w:color w:val="000000"/>
          <w:sz w:val="20"/>
        </w:rPr>
        <w:t>: R v Casley [2021] VSC 503, [117]</w:t>
      </w:r>
      <w:r w:rsidRPr="003C0DE3">
        <w:rPr>
          <w:rFonts w:ascii="Arial" w:hAnsi="Arial" w:cs="Arial"/>
          <w:color w:val="000000"/>
          <w:sz w:val="20"/>
        </w:rPr>
        <w:t>. I have not imposed sentences that exceed the general and specific sentencing purposes.</w:t>
      </w:r>
      <w:r w:rsidR="00180206">
        <w:rPr>
          <w:rFonts w:ascii="Arial" w:hAnsi="Arial" w:cs="Arial"/>
          <w:color w:val="000000"/>
          <w:sz w:val="20"/>
        </w:rPr>
        <w:t>”</w:t>
      </w:r>
    </w:p>
    <w:p w14:paraId="20E8FDF3" w14:textId="77777777" w:rsidR="003C0DE3" w:rsidRDefault="003C0DE3" w:rsidP="00A7283E">
      <w:pPr>
        <w:jc w:val="both"/>
        <w:rPr>
          <w:rFonts w:ascii="Arial" w:hAnsi="Arial" w:cs="Arial"/>
          <w:color w:val="000000"/>
          <w:sz w:val="20"/>
        </w:rPr>
      </w:pPr>
    </w:p>
    <w:p w14:paraId="2E4FB11B" w14:textId="7F6B3C2D" w:rsidR="00B74171" w:rsidRDefault="00D920A2" w:rsidP="00A7283E">
      <w:pPr>
        <w:jc w:val="both"/>
        <w:rPr>
          <w:rFonts w:ascii="Arial" w:hAnsi="Arial" w:cs="Arial"/>
          <w:sz w:val="20"/>
          <w:szCs w:val="20"/>
        </w:rPr>
      </w:pPr>
      <w:r>
        <w:rPr>
          <w:rFonts w:ascii="Arial" w:hAnsi="Arial" w:cs="Arial"/>
          <w:color w:val="000000"/>
          <w:sz w:val="20"/>
        </w:rPr>
        <w:t xml:space="preserve">In </w:t>
      </w:r>
      <w:r w:rsidRPr="00D920A2">
        <w:rPr>
          <w:rFonts w:ascii="Arial" w:hAnsi="Arial" w:cs="Arial"/>
          <w:i/>
          <w:iCs/>
          <w:color w:val="000000"/>
          <w:sz w:val="20"/>
        </w:rPr>
        <w:t>Evan Chey (a pseudonym) v The King</w:t>
      </w:r>
      <w:r>
        <w:rPr>
          <w:rFonts w:ascii="Arial" w:hAnsi="Arial" w:cs="Arial"/>
          <w:color w:val="000000"/>
          <w:sz w:val="20"/>
        </w:rPr>
        <w:t xml:space="preserve"> [2022] VSCA 262 the applicant – who was 15 years &amp; 3 weeks old at the time of the offences and was subsequently diagnosed with autism spectrum disorder and a major depressive disorder – had pleaded guilty to the murder (by stabbing) of his mother and the attempted murder of his 66 year old grandmother and his 3 year old </w:t>
      </w:r>
      <w:r w:rsidR="001212B2">
        <w:rPr>
          <w:rFonts w:ascii="Arial" w:hAnsi="Arial" w:cs="Arial"/>
          <w:color w:val="000000"/>
          <w:sz w:val="20"/>
        </w:rPr>
        <w:t>half-</w:t>
      </w:r>
      <w:r>
        <w:rPr>
          <w:rFonts w:ascii="Arial" w:hAnsi="Arial" w:cs="Arial"/>
          <w:color w:val="000000"/>
          <w:sz w:val="20"/>
        </w:rPr>
        <w:t xml:space="preserve">sister.  </w:t>
      </w:r>
      <w:r w:rsidR="001212B2">
        <w:rPr>
          <w:rFonts w:ascii="Arial" w:hAnsi="Arial" w:cs="Arial"/>
          <w:color w:val="000000"/>
          <w:sz w:val="20"/>
        </w:rPr>
        <w:t xml:space="preserve">The sentencing judge (Beale J) found that principles 1, 3, 4, 5 &amp; 6 of </w:t>
      </w:r>
      <w:r w:rsidR="001212B2" w:rsidRPr="000947E2">
        <w:rPr>
          <w:rFonts w:ascii="Arial" w:hAnsi="Arial" w:cs="Arial"/>
          <w:i/>
          <w:iCs/>
          <w:color w:val="000000"/>
          <w:sz w:val="20"/>
        </w:rPr>
        <w:t>Verdins</w:t>
      </w:r>
      <w:r w:rsidR="001212B2">
        <w:rPr>
          <w:rFonts w:ascii="Arial" w:hAnsi="Arial" w:cs="Arial"/>
          <w:color w:val="000000"/>
          <w:sz w:val="20"/>
        </w:rPr>
        <w:t xml:space="preserve"> were engaged, that a plea of guilty had been made at the first available opportunity and that the applicant – who had no criminal antecedents – had good prospects of rehabilitation.  EC was sentenced to </w:t>
      </w:r>
      <w:r>
        <w:rPr>
          <w:rFonts w:ascii="Arial" w:hAnsi="Arial" w:cs="Arial"/>
          <w:color w:val="000000"/>
          <w:sz w:val="20"/>
        </w:rPr>
        <w:t xml:space="preserve">IMP16y on the murder charge and IMP8y on each attempted murder charge, </w:t>
      </w:r>
      <w:r w:rsidR="001212B2">
        <w:rPr>
          <w:rFonts w:ascii="Arial" w:hAnsi="Arial" w:cs="Arial"/>
          <w:color w:val="000000"/>
          <w:sz w:val="20"/>
        </w:rPr>
        <w:t xml:space="preserve">2y </w:t>
      </w:r>
      <w:r>
        <w:rPr>
          <w:rFonts w:ascii="Arial" w:hAnsi="Arial" w:cs="Arial"/>
          <w:color w:val="000000"/>
          <w:sz w:val="20"/>
        </w:rPr>
        <w:t xml:space="preserve">of </w:t>
      </w:r>
      <w:r w:rsidR="001212B2">
        <w:rPr>
          <w:rFonts w:ascii="Arial" w:hAnsi="Arial" w:cs="Arial"/>
          <w:color w:val="000000"/>
          <w:sz w:val="20"/>
        </w:rPr>
        <w:t xml:space="preserve">each being </w:t>
      </w:r>
      <w:r w:rsidR="00B74171">
        <w:rPr>
          <w:rFonts w:ascii="Arial" w:hAnsi="Arial" w:cs="Arial"/>
          <w:color w:val="000000"/>
          <w:sz w:val="20"/>
        </w:rPr>
        <w:t>c</w:t>
      </w:r>
      <w:r>
        <w:rPr>
          <w:rFonts w:ascii="Arial" w:hAnsi="Arial" w:cs="Arial"/>
          <w:color w:val="000000"/>
          <w:sz w:val="20"/>
        </w:rPr>
        <w:t>umulative on the 16y</w:t>
      </w:r>
      <w:r w:rsidR="00284187">
        <w:rPr>
          <w:rFonts w:ascii="Arial" w:hAnsi="Arial" w:cs="Arial"/>
          <w:color w:val="000000"/>
          <w:sz w:val="20"/>
        </w:rPr>
        <w:t xml:space="preserve"> base sentence</w:t>
      </w:r>
      <w:r>
        <w:rPr>
          <w:rFonts w:ascii="Arial" w:hAnsi="Arial" w:cs="Arial"/>
          <w:color w:val="000000"/>
          <w:sz w:val="20"/>
        </w:rPr>
        <w:t>.  The TES was IMP20y/14y</w:t>
      </w:r>
      <w:r w:rsidR="001212B2">
        <w:rPr>
          <w:rFonts w:ascii="Arial" w:hAnsi="Arial" w:cs="Arial"/>
          <w:color w:val="000000"/>
          <w:sz w:val="20"/>
        </w:rPr>
        <w:t xml:space="preserve">: see </w:t>
      </w:r>
      <w:r w:rsidR="001212B2" w:rsidRPr="001212B2">
        <w:rPr>
          <w:rFonts w:ascii="Arial" w:hAnsi="Arial" w:cs="Arial"/>
          <w:i/>
          <w:iCs/>
          <w:color w:val="000000"/>
          <w:sz w:val="20"/>
        </w:rPr>
        <w:t>R v EC</w:t>
      </w:r>
      <w:r w:rsidR="001212B2">
        <w:rPr>
          <w:rFonts w:ascii="Arial" w:hAnsi="Arial" w:cs="Arial"/>
          <w:color w:val="000000"/>
          <w:sz w:val="20"/>
        </w:rPr>
        <w:t xml:space="preserve"> [2021] VSC 843</w:t>
      </w:r>
      <w:r>
        <w:rPr>
          <w:rFonts w:ascii="Arial" w:hAnsi="Arial" w:cs="Arial"/>
          <w:color w:val="000000"/>
          <w:sz w:val="20"/>
        </w:rPr>
        <w:t>.</w:t>
      </w:r>
      <w:r w:rsidR="001212B2">
        <w:rPr>
          <w:rFonts w:ascii="Arial" w:hAnsi="Arial" w:cs="Arial"/>
          <w:color w:val="000000"/>
          <w:sz w:val="20"/>
        </w:rPr>
        <w:t xml:space="preserve">  The Court of Appeal (Priest &amp; T</w:t>
      </w:r>
      <w:r w:rsidR="00284187">
        <w:rPr>
          <w:rFonts w:ascii="Arial" w:hAnsi="Arial" w:cs="Arial"/>
          <w:color w:val="000000"/>
          <w:sz w:val="20"/>
        </w:rPr>
        <w:t> </w:t>
      </w:r>
      <w:r w:rsidR="001212B2">
        <w:rPr>
          <w:rFonts w:ascii="Arial" w:hAnsi="Arial" w:cs="Arial"/>
          <w:color w:val="000000"/>
          <w:sz w:val="20"/>
        </w:rPr>
        <w:t xml:space="preserve">Forrest JJA &amp; Kidd AJA) granted leave to appeal and allowed the appeal, </w:t>
      </w:r>
      <w:r w:rsidR="00284187">
        <w:rPr>
          <w:rFonts w:ascii="Arial" w:hAnsi="Arial" w:cs="Arial"/>
          <w:sz w:val="20"/>
          <w:szCs w:val="20"/>
        </w:rPr>
        <w:t>resentencing the applicant</w:t>
      </w:r>
      <w:r w:rsidR="00B74171">
        <w:rPr>
          <w:rFonts w:ascii="Arial" w:hAnsi="Arial" w:cs="Arial"/>
          <w:sz w:val="20"/>
          <w:szCs w:val="20"/>
        </w:rPr>
        <w:t xml:space="preserve"> to </w:t>
      </w:r>
      <w:r w:rsidR="00B74171">
        <w:rPr>
          <w:rFonts w:ascii="Arial" w:hAnsi="Arial" w:cs="Arial"/>
          <w:color w:val="000000"/>
          <w:sz w:val="20"/>
        </w:rPr>
        <w:t>IMP13y on the murder charge and IMP6y on each attempted murder charge, 18m of each being cumulative on the 13y.  The TES was IMP16y/11y.  Pursuant to s.471 CYFA the Court of Appeal recommended – as had the sentencing judge – that the “</w:t>
      </w:r>
      <w:r w:rsidR="00B74171" w:rsidRPr="00B74171">
        <w:rPr>
          <w:rFonts w:ascii="Arial" w:hAnsi="Arial" w:cs="Arial"/>
          <w:sz w:val="20"/>
          <w:szCs w:val="20"/>
        </w:rPr>
        <w:t>Adult Parole Board arrange for the applicant to serve his sentence at a Youth Justice Centre for as long as possible</w:t>
      </w:r>
      <w:r w:rsidR="00B74171">
        <w:rPr>
          <w:rFonts w:ascii="Arial" w:hAnsi="Arial" w:cs="Arial"/>
          <w:sz w:val="20"/>
          <w:szCs w:val="20"/>
        </w:rPr>
        <w:t>”.  At [</w:t>
      </w:r>
      <w:r w:rsidR="00E87A07">
        <w:rPr>
          <w:rFonts w:ascii="Arial" w:hAnsi="Arial" w:cs="Arial"/>
          <w:sz w:val="20"/>
          <w:szCs w:val="20"/>
        </w:rPr>
        <w:t>41</w:t>
      </w:r>
      <w:r w:rsidR="00B74171">
        <w:rPr>
          <w:rFonts w:ascii="Arial" w:hAnsi="Arial" w:cs="Arial"/>
          <w:sz w:val="20"/>
          <w:szCs w:val="20"/>
        </w:rPr>
        <w:t>]-[</w:t>
      </w:r>
      <w:r w:rsidR="00E87A07">
        <w:rPr>
          <w:rFonts w:ascii="Arial" w:hAnsi="Arial" w:cs="Arial"/>
          <w:sz w:val="20"/>
          <w:szCs w:val="20"/>
        </w:rPr>
        <w:t>42</w:t>
      </w:r>
      <w:r w:rsidR="00B74171">
        <w:rPr>
          <w:rFonts w:ascii="Arial" w:hAnsi="Arial" w:cs="Arial"/>
          <w:sz w:val="20"/>
          <w:szCs w:val="20"/>
        </w:rPr>
        <w:t>] &amp; [</w:t>
      </w:r>
      <w:r w:rsidR="00E87A07">
        <w:rPr>
          <w:rFonts w:ascii="Arial" w:hAnsi="Arial" w:cs="Arial"/>
          <w:sz w:val="20"/>
          <w:szCs w:val="20"/>
        </w:rPr>
        <w:t>47</w:t>
      </w:r>
      <w:r w:rsidR="00B74171">
        <w:rPr>
          <w:rFonts w:ascii="Arial" w:hAnsi="Arial" w:cs="Arial"/>
          <w:sz w:val="20"/>
          <w:szCs w:val="20"/>
        </w:rPr>
        <w:t>]-[</w:t>
      </w:r>
      <w:r w:rsidR="00E87A07">
        <w:rPr>
          <w:rFonts w:ascii="Arial" w:hAnsi="Arial" w:cs="Arial"/>
          <w:sz w:val="20"/>
          <w:szCs w:val="20"/>
        </w:rPr>
        <w:t>49</w:t>
      </w:r>
      <w:r w:rsidR="00B74171">
        <w:rPr>
          <w:rFonts w:ascii="Arial" w:hAnsi="Arial" w:cs="Arial"/>
          <w:sz w:val="20"/>
          <w:szCs w:val="20"/>
        </w:rPr>
        <w:t>] the Court of Appeal said:</w:t>
      </w:r>
    </w:p>
    <w:p w14:paraId="33214081" w14:textId="248B888A" w:rsidR="00B74171" w:rsidRDefault="00B74171" w:rsidP="00B74171">
      <w:pPr>
        <w:spacing w:before="80"/>
        <w:ind w:left="720" w:right="567"/>
        <w:jc w:val="both"/>
        <w:rPr>
          <w:rFonts w:ascii="Arial" w:hAnsi="Arial" w:cs="Arial"/>
          <w:sz w:val="20"/>
          <w:szCs w:val="20"/>
        </w:rPr>
      </w:pPr>
      <w:r>
        <w:rPr>
          <w:rFonts w:ascii="Arial" w:hAnsi="Arial" w:cs="Arial"/>
          <w:sz w:val="20"/>
          <w:szCs w:val="20"/>
        </w:rPr>
        <w:t>[41] “</w:t>
      </w:r>
      <w:r w:rsidRPr="00B74171">
        <w:rPr>
          <w:rFonts w:ascii="Arial" w:hAnsi="Arial" w:cs="Arial"/>
          <w:sz w:val="20"/>
          <w:szCs w:val="20"/>
        </w:rPr>
        <w:t xml:space="preserve">On the charge of murder, an adult, in objectively the same position as the applicant, would be confronted by a standard sentence of 25 years. That standard sentence would be one of the many factors a sentencing judge would need to consider </w:t>
      </w:r>
      <w:r w:rsidRPr="00B74171">
        <w:rPr>
          <w:rFonts w:ascii="Arial" w:hAnsi="Arial" w:cs="Arial"/>
          <w:sz w:val="20"/>
          <w:szCs w:val="20"/>
        </w:rPr>
        <w:lastRenderedPageBreak/>
        <w:t>in the exercise of the instinctive synthesis. A child under the age of 18 is not subject to the standard sentence regime, presumably — as counsel for the respondent conceded — because its operation is considered too harsh to be part of the sentencing synthesis for child offenders.</w:t>
      </w:r>
    </w:p>
    <w:p w14:paraId="54D62205" w14:textId="37D06310" w:rsidR="00B74171" w:rsidRDefault="00B74171" w:rsidP="00B74171">
      <w:pPr>
        <w:spacing w:before="80"/>
        <w:ind w:left="720" w:right="567"/>
        <w:jc w:val="both"/>
        <w:rPr>
          <w:rFonts w:ascii="Arial" w:hAnsi="Arial" w:cs="Arial"/>
          <w:sz w:val="20"/>
          <w:szCs w:val="20"/>
        </w:rPr>
      </w:pPr>
      <w:r>
        <w:rPr>
          <w:rFonts w:ascii="Arial" w:hAnsi="Arial" w:cs="Arial"/>
          <w:sz w:val="20"/>
          <w:szCs w:val="20"/>
        </w:rPr>
        <w:t xml:space="preserve">[42] </w:t>
      </w:r>
      <w:r w:rsidRPr="00B74171">
        <w:rPr>
          <w:rFonts w:ascii="Arial" w:hAnsi="Arial" w:cs="Arial"/>
          <w:sz w:val="20"/>
          <w:szCs w:val="20"/>
        </w:rPr>
        <w:t xml:space="preserve">As a consequence of the gravity of the offending the applicant was sentenced under the Sentencing Act 1991 rather than the Children Youth and Families Act 2005, and thus is subject to the Sentencing Principles set out in Part 2 of the Sentencing Act 1991. In </w:t>
      </w:r>
      <w:r w:rsidRPr="00B74171">
        <w:rPr>
          <w:rFonts w:ascii="Arial" w:hAnsi="Arial" w:cs="Arial"/>
          <w:i/>
          <w:iCs/>
          <w:sz w:val="20"/>
          <w:szCs w:val="20"/>
        </w:rPr>
        <w:t>DPP v JF</w:t>
      </w:r>
      <w:r w:rsidR="00E87A07">
        <w:rPr>
          <w:rFonts w:ascii="Arial" w:hAnsi="Arial" w:cs="Arial"/>
          <w:i/>
          <w:iCs/>
          <w:sz w:val="20"/>
          <w:szCs w:val="20"/>
        </w:rPr>
        <w:t xml:space="preserve"> </w:t>
      </w:r>
      <w:r w:rsidR="00E87A07" w:rsidRPr="00E87A07">
        <w:rPr>
          <w:rFonts w:ascii="Arial" w:hAnsi="Arial" w:cs="Arial"/>
          <w:sz w:val="20"/>
          <w:szCs w:val="20"/>
        </w:rPr>
        <w:t>[2021] VSC 328</w:t>
      </w:r>
      <w:r w:rsidR="00E87A07">
        <w:rPr>
          <w:rFonts w:ascii="Arial" w:hAnsi="Arial" w:cs="Arial"/>
          <w:i/>
          <w:iCs/>
          <w:sz w:val="20"/>
          <w:szCs w:val="20"/>
        </w:rPr>
        <w:t xml:space="preserve"> </w:t>
      </w:r>
      <w:r w:rsidRPr="00B74171">
        <w:rPr>
          <w:rFonts w:ascii="Arial" w:hAnsi="Arial" w:cs="Arial"/>
          <w:sz w:val="20"/>
          <w:szCs w:val="20"/>
        </w:rPr>
        <w:t xml:space="preserve">Hollingworth J was dealing with a 15 year old child found guilty by a jury of murder. We respectfully endorse her Honour’s observation </w:t>
      </w:r>
      <w:r w:rsidR="00E87A07">
        <w:rPr>
          <w:rFonts w:ascii="Arial" w:hAnsi="Arial" w:cs="Arial"/>
          <w:sz w:val="20"/>
          <w:szCs w:val="20"/>
        </w:rPr>
        <w:t xml:space="preserve">at [70]-[75] </w:t>
      </w:r>
      <w:r w:rsidRPr="00B74171">
        <w:rPr>
          <w:rFonts w:ascii="Arial" w:hAnsi="Arial" w:cs="Arial"/>
          <w:sz w:val="20"/>
          <w:szCs w:val="20"/>
        </w:rPr>
        <w:t>concerning child offenders:</w:t>
      </w:r>
    </w:p>
    <w:p w14:paraId="2124C3D4" w14:textId="77777777" w:rsidR="00E87A07" w:rsidRDefault="00E87A07" w:rsidP="00B74171">
      <w:pPr>
        <w:spacing w:before="80"/>
        <w:ind w:left="1287" w:right="1134"/>
        <w:jc w:val="both"/>
        <w:rPr>
          <w:rFonts w:ascii="Arial" w:hAnsi="Arial" w:cs="Arial"/>
          <w:sz w:val="18"/>
          <w:szCs w:val="18"/>
        </w:rPr>
      </w:pPr>
      <w:r>
        <w:rPr>
          <w:rFonts w:ascii="Arial" w:hAnsi="Arial" w:cs="Arial"/>
          <w:sz w:val="18"/>
          <w:szCs w:val="18"/>
        </w:rPr>
        <w:t>‘</w:t>
      </w:r>
      <w:r w:rsidR="00B74171" w:rsidRPr="00E87A07">
        <w:rPr>
          <w:rFonts w:ascii="Arial" w:hAnsi="Arial" w:cs="Arial"/>
          <w:sz w:val="18"/>
          <w:szCs w:val="18"/>
        </w:rPr>
        <w:t>Your age is another very relevant sentencing consideration. Because you were 15 at the time of this offending, you are to be sentenced as a child offender.</w:t>
      </w:r>
    </w:p>
    <w:p w14:paraId="143E0220"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w:t>
      </w:r>
    </w:p>
    <w:p w14:paraId="2EBF1712"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w:t>
      </w:r>
    </w:p>
    <w:p w14:paraId="03C17945"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 xml:space="preserve">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 </w:t>
      </w:r>
    </w:p>
    <w:p w14:paraId="70EE09FF"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standard sentence scheme, which applies to adult offenders, does not apply to child offenders.</w:t>
      </w:r>
    </w:p>
    <w:p w14:paraId="1801D05B" w14:textId="44F24CCB" w:rsidR="00B74171" w:rsidRP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All of these considerations can and do lead to children receiving sentences which would be regarded as entirely inappropriate in the case of older individuals.</w:t>
      </w:r>
      <w:r w:rsidR="00E87A07">
        <w:rPr>
          <w:rFonts w:ascii="Arial" w:hAnsi="Arial" w:cs="Arial"/>
          <w:sz w:val="18"/>
          <w:szCs w:val="18"/>
        </w:rPr>
        <w:t>’</w:t>
      </w:r>
    </w:p>
    <w:p w14:paraId="051B2C0F" w14:textId="5D069765" w:rsidR="00E87A07" w:rsidRDefault="00E87A07" w:rsidP="00E87A07">
      <w:pPr>
        <w:spacing w:before="80"/>
        <w:ind w:left="720" w:right="567"/>
        <w:jc w:val="both"/>
        <w:rPr>
          <w:rFonts w:ascii="Arial" w:hAnsi="Arial" w:cs="Arial"/>
          <w:sz w:val="20"/>
          <w:szCs w:val="20"/>
        </w:rPr>
      </w:pPr>
      <w:r>
        <w:rPr>
          <w:rFonts w:ascii="Arial" w:hAnsi="Arial" w:cs="Arial"/>
          <w:sz w:val="20"/>
          <w:szCs w:val="20"/>
        </w:rPr>
        <w:t xml:space="preserve">[47] </w:t>
      </w:r>
      <w:r w:rsidRPr="00E87A07">
        <w:rPr>
          <w:rFonts w:ascii="Arial" w:hAnsi="Arial" w:cs="Arial"/>
          <w:sz w:val="20"/>
          <w:szCs w:val="20"/>
        </w:rPr>
        <w:t>We have not needed to look beyond his Honour’s conscientious reasons for sentence to understand that, in this case, there were very substantial factors weighing in the applicant’s favour. In summary:</w:t>
      </w:r>
    </w:p>
    <w:p w14:paraId="60EADF06" w14:textId="585A810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87A07">
        <w:rPr>
          <w:rFonts w:ascii="Arial" w:hAnsi="Arial" w:cs="Arial"/>
          <w:sz w:val="20"/>
          <w:szCs w:val="20"/>
        </w:rPr>
        <w:t>The interaction of undiagnosed autism spectrum disorder and an undiagnosed major depressive disorder over an extended period of time substantially contributed to the tragic outburst of violence.</w:t>
      </w:r>
    </w:p>
    <w:p w14:paraId="23160161" w14:textId="18C3BF37"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As a consequence </w:t>
      </w:r>
      <w:r w:rsidRPr="00E87A07">
        <w:rPr>
          <w:rFonts w:ascii="Arial" w:hAnsi="Arial" w:cs="Arial"/>
          <w:sz w:val="20"/>
          <w:szCs w:val="20"/>
        </w:rPr>
        <w:t>the applicant</w:t>
      </w:r>
      <w:r>
        <w:rPr>
          <w:rFonts w:ascii="Arial" w:hAnsi="Arial" w:cs="Arial"/>
          <w:sz w:val="20"/>
          <w:szCs w:val="20"/>
        </w:rPr>
        <w:t>’</w:t>
      </w:r>
      <w:r w:rsidRPr="00E87A07">
        <w:rPr>
          <w:rFonts w:ascii="Arial" w:hAnsi="Arial" w:cs="Arial"/>
          <w:sz w:val="20"/>
          <w:szCs w:val="20"/>
        </w:rPr>
        <w:t>s moral culpability on all charges is reduced.</w:t>
      </w:r>
    </w:p>
    <w:p w14:paraId="288B50B6" w14:textId="608A56A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Pr="00E87A07">
        <w:rPr>
          <w:rFonts w:ascii="Arial" w:hAnsi="Arial" w:cs="Arial"/>
          <w:sz w:val="20"/>
          <w:szCs w:val="20"/>
        </w:rPr>
        <w:t>need for general deterrence must be sensibly moderated</w:t>
      </w:r>
      <w:r w:rsidR="00C12652">
        <w:rPr>
          <w:rFonts w:ascii="Arial" w:hAnsi="Arial" w:cs="Arial"/>
          <w:sz w:val="20"/>
          <w:szCs w:val="20"/>
        </w:rPr>
        <w:t>.</w:t>
      </w:r>
    </w:p>
    <w:p w14:paraId="357515DF" w14:textId="644F4580"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The </w:t>
      </w:r>
      <w:r w:rsidRPr="00E87A07">
        <w:rPr>
          <w:rFonts w:ascii="Arial" w:hAnsi="Arial" w:cs="Arial"/>
          <w:sz w:val="20"/>
          <w:szCs w:val="20"/>
        </w:rPr>
        <w:t xml:space="preserve">need for </w:t>
      </w:r>
      <w:r>
        <w:rPr>
          <w:rFonts w:ascii="Arial" w:hAnsi="Arial" w:cs="Arial"/>
          <w:sz w:val="20"/>
          <w:szCs w:val="20"/>
        </w:rPr>
        <w:t>specific</w:t>
      </w:r>
      <w:r w:rsidRPr="00E87A07">
        <w:rPr>
          <w:rFonts w:ascii="Arial" w:hAnsi="Arial" w:cs="Arial"/>
          <w:sz w:val="20"/>
          <w:szCs w:val="20"/>
        </w:rPr>
        <w:t xml:space="preserve"> deterrence must be sensibly moderated</w:t>
      </w:r>
      <w:r w:rsidR="00C12652">
        <w:rPr>
          <w:rFonts w:ascii="Arial" w:hAnsi="Arial" w:cs="Arial"/>
          <w:sz w:val="20"/>
          <w:szCs w:val="20"/>
        </w:rPr>
        <w:t>.</w:t>
      </w:r>
    </w:p>
    <w:p w14:paraId="4E7089D2" w14:textId="0BAAB41A"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Incarceration </w:t>
      </w:r>
      <w:r w:rsidRPr="00E87A07">
        <w:rPr>
          <w:rFonts w:ascii="Arial" w:hAnsi="Arial" w:cs="Arial"/>
          <w:sz w:val="20"/>
          <w:szCs w:val="20"/>
        </w:rPr>
        <w:t>will be harder for the applicant when he is transferred to adult prison, than for others not affected by autism</w:t>
      </w:r>
      <w:r w:rsidR="00C12652">
        <w:rPr>
          <w:rFonts w:ascii="Arial" w:hAnsi="Arial" w:cs="Arial"/>
          <w:sz w:val="20"/>
          <w:szCs w:val="20"/>
        </w:rPr>
        <w:t>.</w:t>
      </w:r>
    </w:p>
    <w:p w14:paraId="2095AF7A" w14:textId="779B3D8C"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E87A07">
        <w:rPr>
          <w:rFonts w:ascii="Arial" w:hAnsi="Arial" w:cs="Arial"/>
          <w:sz w:val="20"/>
          <w:szCs w:val="20"/>
        </w:rPr>
        <w:t>There is a serious risk of incarceration having a significant adverse effect on the applicant’s mental health when he is transferred to an adult prison</w:t>
      </w:r>
      <w:r w:rsidR="00C12652">
        <w:rPr>
          <w:rFonts w:ascii="Arial" w:hAnsi="Arial" w:cs="Arial"/>
          <w:sz w:val="20"/>
          <w:szCs w:val="20"/>
        </w:rPr>
        <w:t>.</w:t>
      </w:r>
    </w:p>
    <w:p w14:paraId="64BAC470" w14:textId="062C92C6"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E87A07">
        <w:rPr>
          <w:rFonts w:ascii="Arial" w:hAnsi="Arial" w:cs="Arial"/>
          <w:sz w:val="20"/>
          <w:szCs w:val="20"/>
        </w:rPr>
        <w:t>The applicant is genuinely remorseful</w:t>
      </w:r>
      <w:r w:rsidR="00C12652">
        <w:rPr>
          <w:rFonts w:ascii="Arial" w:hAnsi="Arial" w:cs="Arial"/>
          <w:sz w:val="20"/>
          <w:szCs w:val="20"/>
        </w:rPr>
        <w:t>.</w:t>
      </w:r>
    </w:p>
    <w:p w14:paraId="77076D13" w14:textId="14011CFC"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(h)</w:t>
      </w:r>
      <w:r>
        <w:rPr>
          <w:rFonts w:ascii="Arial" w:hAnsi="Arial" w:cs="Arial"/>
          <w:sz w:val="20"/>
          <w:szCs w:val="20"/>
        </w:rPr>
        <w:tab/>
      </w:r>
      <w:r w:rsidRPr="00E87A07">
        <w:rPr>
          <w:rFonts w:ascii="Arial" w:hAnsi="Arial" w:cs="Arial"/>
          <w:sz w:val="20"/>
          <w:szCs w:val="20"/>
        </w:rPr>
        <w:t>The applicant pleaded guilty at an early stage, during the pandemic. His plea bespeaks remorse and carries with it significant utilitarian benefit.</w:t>
      </w:r>
    </w:p>
    <w:p w14:paraId="09C19A42" w14:textId="33520A00"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(i)</w:t>
      </w:r>
      <w:r>
        <w:rPr>
          <w:rFonts w:ascii="Arial" w:hAnsi="Arial" w:cs="Arial"/>
          <w:sz w:val="20"/>
          <w:szCs w:val="20"/>
        </w:rPr>
        <w:tab/>
      </w:r>
      <w:r w:rsidRPr="00E87A07">
        <w:rPr>
          <w:rFonts w:ascii="Arial" w:hAnsi="Arial" w:cs="Arial"/>
          <w:sz w:val="20"/>
          <w:szCs w:val="20"/>
        </w:rPr>
        <w:t>The applicant was 15 years and 3 weeks at the time of offending. He is immature although the seriousness of the offending requires this to be given less weight than it would carry in lesser offending.</w:t>
      </w:r>
    </w:p>
    <w:p w14:paraId="6D5669A1" w14:textId="28D35CA9"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(j)</w:t>
      </w:r>
      <w:r>
        <w:rPr>
          <w:rFonts w:ascii="Arial" w:hAnsi="Arial" w:cs="Arial"/>
          <w:sz w:val="20"/>
          <w:szCs w:val="20"/>
        </w:rPr>
        <w:tab/>
      </w:r>
      <w:r w:rsidRPr="00E87A07">
        <w:rPr>
          <w:rFonts w:ascii="Arial" w:hAnsi="Arial" w:cs="Arial"/>
          <w:sz w:val="20"/>
          <w:szCs w:val="20"/>
        </w:rPr>
        <w:t>The applicant has good prospects for rehabilitation.</w:t>
      </w:r>
    </w:p>
    <w:p w14:paraId="17DCDE8B" w14:textId="4311210D" w:rsidR="00C12652" w:rsidRDefault="00C12652" w:rsidP="00C12652">
      <w:pPr>
        <w:spacing w:before="80"/>
        <w:ind w:left="720" w:right="567"/>
        <w:jc w:val="both"/>
        <w:rPr>
          <w:rFonts w:ascii="Arial" w:hAnsi="Arial" w:cs="Arial"/>
          <w:sz w:val="20"/>
          <w:szCs w:val="20"/>
        </w:rPr>
      </w:pPr>
      <w:r>
        <w:rPr>
          <w:rFonts w:ascii="Arial" w:hAnsi="Arial" w:cs="Arial"/>
          <w:sz w:val="20"/>
          <w:szCs w:val="20"/>
        </w:rPr>
        <w:t xml:space="preserve">[48] </w:t>
      </w:r>
      <w:r w:rsidRPr="00E87A07">
        <w:rPr>
          <w:rFonts w:ascii="Arial" w:hAnsi="Arial" w:cs="Arial"/>
          <w:sz w:val="20"/>
          <w:szCs w:val="20"/>
        </w:rPr>
        <w:t>The judge’s finding that the applicant’s major depressive disorder and autism spectrum disorder substantially contributed to this violence is of particular importance. The effect of a mental state on moral culpability is informed by the extent to which the impairment contributed to the offending. In this case, the judge found the applicant’s disorders contributed to the offending in a substantial way. This results in a corresponding reduction in the level of his moral culpability for this offending, and consequently calls for significant moderation of the sentence.</w:t>
      </w:r>
    </w:p>
    <w:p w14:paraId="6D4A2D6C" w14:textId="4003B73C" w:rsidR="00284187" w:rsidRPr="00284187" w:rsidRDefault="00C12652" w:rsidP="00284187">
      <w:pPr>
        <w:spacing w:before="80"/>
        <w:ind w:left="720" w:right="567"/>
        <w:jc w:val="both"/>
        <w:rPr>
          <w:rFonts w:ascii="Arial" w:hAnsi="Arial" w:cs="Arial"/>
          <w:sz w:val="20"/>
          <w:szCs w:val="20"/>
        </w:rPr>
      </w:pPr>
      <w:r>
        <w:rPr>
          <w:rFonts w:ascii="Arial" w:hAnsi="Arial" w:cs="Arial"/>
          <w:sz w:val="20"/>
          <w:szCs w:val="20"/>
        </w:rPr>
        <w:lastRenderedPageBreak/>
        <w:t xml:space="preserve">[49] </w:t>
      </w:r>
      <w:r w:rsidRPr="00E87A07">
        <w:rPr>
          <w:rFonts w:ascii="Arial" w:hAnsi="Arial" w:cs="Arial"/>
          <w:sz w:val="20"/>
          <w:szCs w:val="20"/>
        </w:rPr>
        <w:t>In our view the potent combination of these factors is not adequately reflected in the total effective sentence of 20 years imprisonment.</w:t>
      </w:r>
      <w:r w:rsidR="00284187">
        <w:rPr>
          <w:rFonts w:ascii="Arial" w:hAnsi="Arial" w:cs="Arial"/>
          <w:sz w:val="20"/>
          <w:szCs w:val="20"/>
        </w:rPr>
        <w:t xml:space="preserve">  After anxious consideration, we are satisfied that the  </w:t>
      </w:r>
      <w:r w:rsidR="00284187" w:rsidRPr="00B74171">
        <w:rPr>
          <w:rFonts w:ascii="Arial" w:hAnsi="Arial" w:cs="Arial"/>
          <w:sz w:val="20"/>
          <w:szCs w:val="20"/>
        </w:rPr>
        <w:t>sentence of 16</w:t>
      </w:r>
      <w:r w:rsidR="00284187">
        <w:rPr>
          <w:rFonts w:ascii="Arial" w:hAnsi="Arial" w:cs="Arial"/>
          <w:sz w:val="20"/>
          <w:szCs w:val="20"/>
        </w:rPr>
        <w:t> </w:t>
      </w:r>
      <w:r w:rsidR="00284187" w:rsidRPr="00B74171">
        <w:rPr>
          <w:rFonts w:ascii="Arial" w:hAnsi="Arial" w:cs="Arial"/>
          <w:sz w:val="20"/>
          <w:szCs w:val="20"/>
        </w:rPr>
        <w:t>years imprisonment for murder, and the cumulation ordered on that base sentence are wholly outside the range of sentences available to his Honour in the sound exercise of his sentencing discretion.</w:t>
      </w:r>
      <w:r w:rsidR="00284187">
        <w:rPr>
          <w:rFonts w:ascii="Arial" w:hAnsi="Arial" w:cs="Arial"/>
          <w:sz w:val="20"/>
          <w:szCs w:val="20"/>
        </w:rPr>
        <w:t>”</w:t>
      </w:r>
    </w:p>
    <w:p w14:paraId="3BBBD51A" w14:textId="77777777" w:rsidR="00284187" w:rsidRDefault="00284187" w:rsidP="00D82BF3">
      <w:pPr>
        <w:jc w:val="both"/>
        <w:rPr>
          <w:rFonts w:ascii="Arial" w:hAnsi="Arial" w:cs="Arial"/>
          <w:color w:val="000000"/>
          <w:sz w:val="20"/>
        </w:rPr>
      </w:pPr>
    </w:p>
    <w:p w14:paraId="2DC276D9" w14:textId="7558A35F" w:rsidR="00141BDB" w:rsidRDefault="00141BDB" w:rsidP="00D82BF3">
      <w:pPr>
        <w:jc w:val="both"/>
        <w:rPr>
          <w:rFonts w:ascii="Arial" w:hAnsi="Arial" w:cs="Arial"/>
          <w:color w:val="000000"/>
          <w:sz w:val="20"/>
        </w:rPr>
      </w:pPr>
      <w:r>
        <w:rPr>
          <w:rFonts w:ascii="Arial" w:hAnsi="Arial" w:cs="Arial"/>
          <w:color w:val="000000"/>
          <w:sz w:val="20"/>
        </w:rPr>
        <w:t xml:space="preserve">In </w:t>
      </w:r>
      <w:r w:rsidRPr="00141BDB">
        <w:rPr>
          <w:rFonts w:ascii="Arial" w:hAnsi="Arial" w:cs="Arial"/>
          <w:i/>
          <w:iCs/>
          <w:color w:val="000000"/>
          <w:sz w:val="20"/>
        </w:rPr>
        <w:t>DPP v XQ</w:t>
      </w:r>
      <w:r>
        <w:rPr>
          <w:rFonts w:ascii="Arial" w:hAnsi="Arial" w:cs="Arial"/>
          <w:color w:val="000000"/>
          <w:sz w:val="20"/>
        </w:rPr>
        <w:t xml:space="preserve"> [2025] VSC 188 the offender – who was 15y3m old at the time of the offence and who had an autism spectrum disorder and an induced rare delusional disorder known as </w:t>
      </w:r>
      <w:r w:rsidRPr="00141BDB">
        <w:rPr>
          <w:rFonts w:ascii="Arial" w:hAnsi="Arial" w:cs="Arial"/>
          <w:color w:val="000000"/>
          <w:sz w:val="20"/>
        </w:rPr>
        <w:t xml:space="preserve">known as </w:t>
      </w:r>
      <w:r w:rsidRPr="00141BDB">
        <w:rPr>
          <w:rFonts w:ascii="Arial" w:hAnsi="Arial" w:cs="Arial"/>
          <w:i/>
          <w:iCs/>
          <w:color w:val="000000"/>
          <w:sz w:val="20"/>
        </w:rPr>
        <w:t>folie à deux</w:t>
      </w:r>
      <w:r>
        <w:rPr>
          <w:rFonts w:ascii="Arial" w:hAnsi="Arial" w:cs="Arial"/>
          <w:color w:val="000000"/>
          <w:sz w:val="20"/>
        </w:rPr>
        <w:t xml:space="preserve"> – had pleaded guilty to </w:t>
      </w:r>
      <w:r w:rsidR="0065174E">
        <w:rPr>
          <w:rFonts w:ascii="Arial" w:hAnsi="Arial" w:cs="Arial"/>
          <w:color w:val="000000"/>
          <w:sz w:val="20"/>
        </w:rPr>
        <w:t xml:space="preserve">the shocking </w:t>
      </w:r>
      <w:r>
        <w:rPr>
          <w:rFonts w:ascii="Arial" w:hAnsi="Arial" w:cs="Arial"/>
          <w:color w:val="000000"/>
          <w:sz w:val="20"/>
        </w:rPr>
        <w:t>murder of his mother in the “truly exceptional circumstances” summarised by Elliott J at [3]-[29]. He was sentenced to IMP15y/10y. At [72] Elliott J said:</w:t>
      </w:r>
    </w:p>
    <w:p w14:paraId="75334771" w14:textId="71AC3437" w:rsidR="00141BDB" w:rsidRPr="008504D4" w:rsidRDefault="00141BDB" w:rsidP="008504D4">
      <w:pPr>
        <w:spacing w:before="80"/>
        <w:ind w:left="720" w:right="567"/>
        <w:jc w:val="both"/>
        <w:rPr>
          <w:rFonts w:ascii="Arial" w:hAnsi="Arial" w:cs="Arial"/>
          <w:sz w:val="20"/>
          <w:szCs w:val="20"/>
        </w:rPr>
      </w:pPr>
      <w:r>
        <w:rPr>
          <w:rFonts w:ascii="Arial" w:hAnsi="Arial" w:cs="Arial"/>
          <w:sz w:val="20"/>
          <w:szCs w:val="20"/>
        </w:rPr>
        <w:t>“Although I am announcing the reasons for your sentence today [</w:t>
      </w:r>
      <w:r w:rsidR="008504D4">
        <w:rPr>
          <w:rFonts w:ascii="Arial" w:hAnsi="Arial" w:cs="Arial"/>
          <w:sz w:val="20"/>
          <w:szCs w:val="20"/>
        </w:rPr>
        <w:t xml:space="preserve">11 April 2025], </w:t>
      </w:r>
      <w:r w:rsidRPr="00141BDB">
        <w:rPr>
          <w:rFonts w:ascii="Arial" w:hAnsi="Arial" w:cs="Arial"/>
          <w:color w:val="000000"/>
          <w:sz w:val="20"/>
        </w:rPr>
        <w:t>your sentence will not be imposed until the Adult Parole Board has considered my reasons for sentence, which is expected to have occurred by next Tuesday, 15 April 2025. Unless the court is advised that the Adult Parole Board has not been able to consider the matter in that timeframe and to schedule a meeting for 16 April 2025, I will then impose the sentence upon you on the morning of Wednesday, 16 April 2025 and the Adult Parole Board may convene that same day to make its decision. This is to ensure that you will not be required to be transferred to adult prison and will instead remain at a youth justice centre until that decision is made.</w:t>
      </w:r>
      <w:r w:rsidR="008504D4">
        <w:rPr>
          <w:rFonts w:ascii="Arial" w:hAnsi="Arial" w:cs="Arial"/>
          <w:color w:val="000000"/>
          <w:sz w:val="20"/>
        </w:rPr>
        <w:t>”</w:t>
      </w:r>
    </w:p>
    <w:p w14:paraId="3F1FD62C" w14:textId="77777777" w:rsidR="00141BDB" w:rsidRDefault="00141BDB" w:rsidP="00D82BF3">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rsidP="00141BDB">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Canham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Sengoz</w:t>
      </w:r>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unknown to offender was friends with offender’s exgirlfriend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murder of 50y old friend – murder plan found on computer – descration of body – lacing in empathy a</w:t>
      </w:r>
      <w:r w:rsidR="007726B8" w:rsidRPr="00F86035">
        <w:rPr>
          <w:rFonts w:ascii="Arial" w:hAnsi="Arial" w:cs="Arial"/>
          <w:color w:val="000000"/>
          <w:sz w:val="20"/>
        </w:rPr>
        <w:t>nd exceedingly limited remorse];</w:t>
      </w:r>
    </w:p>
    <w:p w14:paraId="6524DDBD" w14:textId="77777777" w:rsidR="008E4B49" w:rsidRDefault="007726B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an ‘ICE’ addict and a member of a drug syndicate, was found guilty of murder comiitted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rsidP="00C9099E">
      <w:pPr>
        <w:pStyle w:val="Catchwords"/>
        <w:widowControl/>
        <w:numPr>
          <w:ilvl w:val="0"/>
          <w:numId w:val="88"/>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rsidP="00C9099E">
      <w:pPr>
        <w:pStyle w:val="Catchwords"/>
        <w:widowControl/>
        <w:numPr>
          <w:ilvl w:val="0"/>
          <w:numId w:val="88"/>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rsidP="00C9099E">
      <w:pPr>
        <w:pStyle w:val="Catchwords"/>
        <w:widowControl/>
        <w:numPr>
          <w:ilvl w:val="0"/>
          <w:numId w:val="88"/>
        </w:numPr>
        <w:ind w:left="357" w:hanging="357"/>
        <w:rPr>
          <w:rFonts w:ascii="Arial" w:hAnsi="Arial" w:cs="Arial"/>
          <w:color w:val="000000"/>
          <w:sz w:val="20"/>
        </w:rPr>
      </w:pPr>
      <w:r w:rsidRPr="00206733">
        <w:rPr>
          <w:rFonts w:ascii="Arial" w:hAnsi="Arial" w:cs="Arial"/>
          <w:i/>
          <w:iCs/>
          <w:color w:val="000000"/>
          <w:sz w:val="20"/>
        </w:rPr>
        <w:lastRenderedPageBreak/>
        <w:t>DPP v JF</w:t>
      </w:r>
      <w:r>
        <w:rPr>
          <w:rFonts w:ascii="Arial" w:hAnsi="Arial" w:cs="Arial"/>
          <w:color w:val="000000"/>
          <w:sz w:val="20"/>
        </w:rPr>
        <w:t xml:space="preserve"> [2021] VSC 328 [15YO: 14y/9y; offender &amp; 17YO cooffender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rsidP="00C9099E">
      <w:pPr>
        <w:pStyle w:val="Catchwords"/>
        <w:widowControl/>
        <w:numPr>
          <w:ilvl w:val="0"/>
          <w:numId w:val="88"/>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53DD4CBF" w14:textId="6ACB1655" w:rsidR="00E54519" w:rsidRDefault="00632E8C"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DPP v Elliott &amp; Fares (Sentence)</w:t>
      </w:r>
      <w:r w:rsidRPr="00632E8C">
        <w:rPr>
          <w:rFonts w:ascii="Arial" w:hAnsi="Arial" w:cs="Arial"/>
          <w:color w:val="000000"/>
          <w:sz w:val="20"/>
        </w:rPr>
        <w:t xml:space="preserve"> [2022] VSC 554 [E-</w:t>
      </w:r>
      <w:r w:rsidR="00273D2E">
        <w:rPr>
          <w:rFonts w:ascii="Arial" w:hAnsi="Arial" w:cs="Arial"/>
          <w:color w:val="000000"/>
          <w:sz w:val="20"/>
        </w:rPr>
        <w:t>18¼</w:t>
      </w:r>
      <w:r w:rsidRPr="00632E8C">
        <w:rPr>
          <w:rFonts w:ascii="Arial" w:hAnsi="Arial" w:cs="Arial"/>
          <w:color w:val="000000"/>
          <w:sz w:val="20"/>
        </w:rPr>
        <w:t>YO at time of offence, F-</w:t>
      </w:r>
      <w:r w:rsidR="00273D2E">
        <w:rPr>
          <w:rFonts w:ascii="Arial" w:hAnsi="Arial" w:cs="Arial"/>
          <w:color w:val="000000"/>
          <w:sz w:val="20"/>
        </w:rPr>
        <w:t>21¾</w:t>
      </w:r>
      <w:r w:rsidRPr="00632E8C">
        <w:rPr>
          <w:rFonts w:ascii="Arial" w:hAnsi="Arial" w:cs="Arial"/>
          <w:color w:val="000000"/>
          <w:sz w:val="20"/>
        </w:rPr>
        <w:t xml:space="preserve">YO at time of offence </w:t>
      </w:r>
      <w:r>
        <w:rPr>
          <w:rFonts w:ascii="Arial" w:hAnsi="Arial" w:cs="Arial"/>
          <w:color w:val="000000"/>
          <w:sz w:val="20"/>
        </w:rPr>
        <w:t>–</w:t>
      </w:r>
      <w:r w:rsidRPr="00632E8C">
        <w:rPr>
          <w:rFonts w:ascii="Arial" w:hAnsi="Arial" w:cs="Arial"/>
          <w:color w:val="000000"/>
          <w:sz w:val="20"/>
        </w:rPr>
        <w:t xml:space="preserve"> </w:t>
      </w:r>
      <w:r>
        <w:rPr>
          <w:rFonts w:ascii="Arial" w:hAnsi="Arial" w:cs="Arial"/>
          <w:color w:val="000000"/>
          <w:sz w:val="20"/>
        </w:rPr>
        <w:t xml:space="preserve">found guilty of ‘drive by’ shooting at the ‘Love Machine’ night club in Prahran in which 4 shots were fired with intention to kill – </w:t>
      </w:r>
      <w:r w:rsidR="00273D2E">
        <w:rPr>
          <w:rFonts w:ascii="Arial" w:hAnsi="Arial" w:cs="Arial"/>
          <w:color w:val="000000"/>
          <w:sz w:val="20"/>
        </w:rPr>
        <w:t xml:space="preserve">F was the driver and E was the shooter – </w:t>
      </w:r>
      <w:r>
        <w:rPr>
          <w:rFonts w:ascii="Arial" w:hAnsi="Arial" w:cs="Arial"/>
          <w:color w:val="000000"/>
          <w:sz w:val="20"/>
        </w:rPr>
        <w:t>two</w:t>
      </w:r>
      <w:r w:rsidR="00273D2E">
        <w:rPr>
          <w:rFonts w:ascii="Arial" w:hAnsi="Arial" w:cs="Arial"/>
          <w:color w:val="000000"/>
          <w:sz w:val="20"/>
        </w:rPr>
        <w:t xml:space="preserve"> </w:t>
      </w:r>
      <w:r>
        <w:rPr>
          <w:rFonts w:ascii="Arial" w:hAnsi="Arial" w:cs="Arial"/>
          <w:color w:val="000000"/>
          <w:sz w:val="20"/>
        </w:rPr>
        <w:t>persons were killed and t</w:t>
      </w:r>
      <w:r w:rsidR="00181785">
        <w:rPr>
          <w:rFonts w:ascii="Arial" w:hAnsi="Arial" w:cs="Arial"/>
          <w:color w:val="000000"/>
          <w:sz w:val="20"/>
        </w:rPr>
        <w:t>hree</w:t>
      </w:r>
      <w:r>
        <w:rPr>
          <w:rFonts w:ascii="Arial" w:hAnsi="Arial" w:cs="Arial"/>
          <w:color w:val="000000"/>
          <w:sz w:val="20"/>
        </w:rPr>
        <w:t xml:space="preserve"> suffered serious injury – </w:t>
      </w:r>
      <w:r w:rsidR="00181785">
        <w:rPr>
          <w:rFonts w:ascii="Arial" w:hAnsi="Arial" w:cs="Arial"/>
          <w:color w:val="000000"/>
          <w:sz w:val="20"/>
        </w:rPr>
        <w:t xml:space="preserve">extremely grave offending with the murders described as being “in the worst category” – </w:t>
      </w:r>
      <w:r>
        <w:rPr>
          <w:rFonts w:ascii="Arial" w:hAnsi="Arial" w:cs="Arial"/>
          <w:color w:val="000000"/>
          <w:sz w:val="20"/>
        </w:rPr>
        <w:t>on</w:t>
      </w:r>
      <w:r w:rsidR="00181785">
        <w:rPr>
          <w:rFonts w:ascii="Arial" w:hAnsi="Arial" w:cs="Arial"/>
          <w:color w:val="000000"/>
          <w:sz w:val="20"/>
        </w:rPr>
        <w:t xml:space="preserve"> </w:t>
      </w:r>
      <w:r>
        <w:rPr>
          <w:rFonts w:ascii="Arial" w:hAnsi="Arial" w:cs="Arial"/>
          <w:color w:val="000000"/>
          <w:sz w:val="20"/>
        </w:rPr>
        <w:t>the 2</w:t>
      </w:r>
      <w:r w:rsidR="00181785">
        <w:rPr>
          <w:rFonts w:ascii="Arial" w:hAnsi="Arial" w:cs="Arial"/>
          <w:color w:val="000000"/>
          <w:sz w:val="20"/>
        </w:rPr>
        <w:t> </w:t>
      </w:r>
      <w:r>
        <w:rPr>
          <w:rFonts w:ascii="Arial" w:hAnsi="Arial" w:cs="Arial"/>
          <w:color w:val="000000"/>
          <w:sz w:val="20"/>
        </w:rPr>
        <w:t>charges of murder E&amp;F were each sentenced to IMP for life – on the 2 charges of attempted murder E&amp;F were sentenced to IMP14y &amp; IMP1</w:t>
      </w:r>
      <w:r w:rsidR="00181785">
        <w:rPr>
          <w:rFonts w:ascii="Arial" w:hAnsi="Arial" w:cs="Arial"/>
          <w:color w:val="000000"/>
          <w:sz w:val="20"/>
        </w:rPr>
        <w:t>2</w:t>
      </w:r>
      <w:r>
        <w:rPr>
          <w:rFonts w:ascii="Arial" w:hAnsi="Arial" w:cs="Arial"/>
          <w:color w:val="000000"/>
          <w:sz w:val="20"/>
        </w:rPr>
        <w:t xml:space="preserve">y respectively </w:t>
      </w:r>
      <w:r w:rsidR="00181785">
        <w:rPr>
          <w:rFonts w:ascii="Arial" w:hAnsi="Arial" w:cs="Arial"/>
          <w:color w:val="000000"/>
          <w:sz w:val="20"/>
        </w:rPr>
        <w:t>–</w:t>
      </w:r>
      <w:r>
        <w:rPr>
          <w:rFonts w:ascii="Arial" w:hAnsi="Arial" w:cs="Arial"/>
          <w:color w:val="000000"/>
          <w:sz w:val="20"/>
        </w:rPr>
        <w:t xml:space="preserve"> </w:t>
      </w:r>
      <w:r w:rsidR="00181785">
        <w:rPr>
          <w:rFonts w:ascii="Arial" w:hAnsi="Arial" w:cs="Arial"/>
          <w:color w:val="000000"/>
          <w:sz w:val="20"/>
        </w:rPr>
        <w:t>on 1 charge of intentionally cause serious injury E&amp;F were sentenced to IMP6y &amp; IMP5y respectively – non-parole periods set for E 29y and for F 27y</w:t>
      </w:r>
      <w:r w:rsidR="00E54519">
        <w:rPr>
          <w:rFonts w:ascii="Arial" w:hAnsi="Arial" w:cs="Arial"/>
          <w:color w:val="000000"/>
          <w:sz w:val="20"/>
        </w:rPr>
        <w:t>].</w:t>
      </w:r>
    </w:p>
    <w:p w14:paraId="12C1D82A" w14:textId="1A10C098" w:rsidR="00E54519" w:rsidRDefault="00E54519" w:rsidP="00E54519">
      <w:pPr>
        <w:pStyle w:val="Catchwords"/>
        <w:widowControl/>
        <w:pBdr>
          <w:top w:val="single" w:sz="4" w:space="1" w:color="auto"/>
          <w:left w:val="single" w:sz="4" w:space="4" w:color="auto"/>
          <w:bottom w:val="single" w:sz="4" w:space="1" w:color="auto"/>
          <w:right w:val="single" w:sz="4" w:space="4" w:color="auto"/>
        </w:pBdr>
        <w:ind w:left="357"/>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 esp at [200]-[227].</w:t>
      </w:r>
    </w:p>
    <w:p w14:paraId="7907BF1E" w14:textId="5A1DB56D" w:rsidR="00D72FC5" w:rsidRDefault="00D72FC5"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DPP v Ledlin </w:t>
      </w:r>
      <w:r w:rsidRPr="00D72FC5">
        <w:rPr>
          <w:rFonts w:ascii="Arial" w:hAnsi="Arial" w:cs="Arial"/>
          <w:color w:val="000000"/>
          <w:sz w:val="20"/>
        </w:rPr>
        <w:t xml:space="preserve">[2022] VSC </w:t>
      </w:r>
      <w:r>
        <w:rPr>
          <w:rFonts w:ascii="Arial" w:hAnsi="Arial" w:cs="Arial"/>
          <w:color w:val="000000"/>
          <w:sz w:val="20"/>
        </w:rPr>
        <w:t xml:space="preserve">826 </w:t>
      </w:r>
      <w:r w:rsidRPr="00D72FC5">
        <w:rPr>
          <w:rFonts w:ascii="Arial" w:hAnsi="Arial" w:cs="Arial"/>
          <w:color w:val="000000"/>
          <w:sz w:val="20"/>
        </w:rPr>
        <w:t xml:space="preserve">[19YO at time of offence, 21YO at time of sentencing: 22y/16y </w:t>
      </w:r>
      <w:r>
        <w:rPr>
          <w:rFonts w:ascii="Arial" w:hAnsi="Arial" w:cs="Arial"/>
          <w:color w:val="000000"/>
          <w:sz w:val="20"/>
        </w:rPr>
        <w:t>–</w:t>
      </w:r>
      <w:r w:rsidRPr="00D72FC5">
        <w:rPr>
          <w:rFonts w:ascii="Arial" w:hAnsi="Arial" w:cs="Arial"/>
          <w:color w:val="000000"/>
          <w:sz w:val="20"/>
        </w:rPr>
        <w:t xml:space="preserve"> </w:t>
      </w:r>
      <w:r>
        <w:rPr>
          <w:rFonts w:ascii="Arial" w:hAnsi="Arial" w:cs="Arial"/>
          <w:color w:val="000000"/>
          <w:sz w:val="20"/>
        </w:rPr>
        <w:t xml:space="preserve">cowardly attack on the deceased by 3 males in offender’s group who were the initial provokers and attackers – deceased was unarmed and was struck by offender in the chest with a sharp object – offender had deprived and dysfunctional childhood with 8 reports to DFFH from the age of 2 noting his </w:t>
      </w:r>
      <w:r w:rsidR="009B2107">
        <w:rPr>
          <w:rFonts w:ascii="Arial" w:hAnsi="Arial" w:cs="Arial"/>
          <w:color w:val="000000"/>
          <w:sz w:val="20"/>
        </w:rPr>
        <w:t>parents’</w:t>
      </w:r>
      <w:r>
        <w:rPr>
          <w:rFonts w:ascii="Arial" w:hAnsi="Arial" w:cs="Arial"/>
          <w:color w:val="000000"/>
          <w:sz w:val="20"/>
        </w:rPr>
        <w:t xml:space="preserve"> ongoing substance abuse, environmental neglect and violence from his grandfather </w:t>
      </w:r>
      <w:r w:rsidR="009B2107">
        <w:rPr>
          <w:rFonts w:ascii="Arial" w:hAnsi="Arial" w:cs="Arial"/>
          <w:color w:val="000000"/>
          <w:sz w:val="20"/>
        </w:rPr>
        <w:t>–</w:t>
      </w:r>
      <w:r>
        <w:rPr>
          <w:rFonts w:ascii="Arial" w:hAnsi="Arial" w:cs="Arial"/>
          <w:color w:val="000000"/>
          <w:sz w:val="20"/>
        </w:rPr>
        <w:t xml:space="preserve"> </w:t>
      </w:r>
      <w:r w:rsidR="009B2107">
        <w:rPr>
          <w:rFonts w:ascii="Arial" w:hAnsi="Arial" w:cs="Arial"/>
          <w:color w:val="000000"/>
          <w:sz w:val="20"/>
        </w:rPr>
        <w:t xml:space="preserve">offender had unstable accommodation and education throughout his childhood and extensive substance abuse history – weight given to </w:t>
      </w:r>
      <w:r w:rsidR="009B2107" w:rsidRPr="009B2107">
        <w:rPr>
          <w:rFonts w:ascii="Arial" w:hAnsi="Arial" w:cs="Arial"/>
          <w:i/>
          <w:iCs/>
          <w:color w:val="000000"/>
          <w:sz w:val="20"/>
        </w:rPr>
        <w:t>Bugmy</w:t>
      </w:r>
      <w:r w:rsidR="009B2107">
        <w:rPr>
          <w:rFonts w:ascii="Arial" w:hAnsi="Arial" w:cs="Arial"/>
          <w:color w:val="000000"/>
          <w:sz w:val="20"/>
        </w:rPr>
        <w:t xml:space="preserve"> principles].</w:t>
      </w:r>
    </w:p>
    <w:p w14:paraId="40C5EE0A" w14:textId="7FB76842" w:rsidR="00447E06" w:rsidRDefault="00447E06"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R v Minhinnick </w:t>
      </w:r>
      <w:r w:rsidRPr="007946DA">
        <w:rPr>
          <w:rFonts w:ascii="Arial" w:hAnsi="Arial" w:cs="Arial"/>
          <w:color w:val="000000"/>
          <w:sz w:val="20"/>
        </w:rPr>
        <w:t>[2023] VSC 736 [20YO at time of offence, 2</w:t>
      </w:r>
      <w:r w:rsidR="007946DA" w:rsidRPr="007946DA">
        <w:rPr>
          <w:rFonts w:ascii="Arial" w:hAnsi="Arial" w:cs="Arial"/>
          <w:color w:val="000000"/>
          <w:sz w:val="20"/>
        </w:rPr>
        <w:t>2</w:t>
      </w:r>
      <w:r w:rsidRPr="007946DA">
        <w:rPr>
          <w:rFonts w:ascii="Arial" w:hAnsi="Arial" w:cs="Arial"/>
          <w:color w:val="000000"/>
          <w:sz w:val="20"/>
        </w:rPr>
        <w:t xml:space="preserve">YO at time of sentencing: 21y/15y – </w:t>
      </w:r>
      <w:r w:rsidR="007946DA" w:rsidRPr="007946DA">
        <w:rPr>
          <w:rFonts w:ascii="Arial" w:hAnsi="Arial" w:cs="Arial"/>
          <w:color w:val="000000"/>
          <w:sz w:val="20"/>
        </w:rPr>
        <w:t xml:space="preserve">violent attack on his mother who suffered from a degenerative medical condition – importance of rehabilitation – </w:t>
      </w:r>
      <w:r w:rsidR="007946DA">
        <w:rPr>
          <w:rFonts w:ascii="Arial" w:hAnsi="Arial" w:cs="Arial"/>
          <w:color w:val="000000"/>
          <w:sz w:val="20"/>
        </w:rPr>
        <w:t>d</w:t>
      </w:r>
      <w:r w:rsidR="007946DA" w:rsidRPr="007946DA">
        <w:rPr>
          <w:rFonts w:ascii="Arial" w:hAnsi="Arial" w:cs="Arial"/>
          <w:color w:val="000000"/>
          <w:sz w:val="20"/>
        </w:rPr>
        <w:t>eparture from sentence indication based on new material].</w:t>
      </w:r>
    </w:p>
    <w:p w14:paraId="505AE463" w14:textId="15CD1385" w:rsidR="00126142" w:rsidRDefault="00126142">
      <w:pPr>
        <w:jc w:val="both"/>
        <w:rPr>
          <w:rFonts w:ascii="Arial" w:hAnsi="Arial" w:cs="Arial"/>
          <w:color w:val="000000"/>
          <w:sz w:val="20"/>
        </w:rPr>
      </w:pPr>
    </w:p>
    <w:p w14:paraId="3C4E5431" w14:textId="77777777" w:rsidR="00C00BE5" w:rsidRPr="001C6E0E" w:rsidRDefault="00C00BE5" w:rsidP="00C00B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Dunne</w:t>
      </w:r>
      <w:r w:rsidRPr="001C6E0E">
        <w:rPr>
          <w:rFonts w:ascii="Arial" w:hAnsi="Arial" w:cs="Arial"/>
          <w:color w:val="000000"/>
          <w:sz w:val="20"/>
        </w:rPr>
        <w:t xml:space="preserve"> [2010] VSC 220 in the course of sentencing a 22 year old man with several relevant prior convictions to 17y imprisonment with a 13½ year non-parole period on a count of murder, Lasry J said: “This is yet another tragic case where the impetuous use of a knife has created tragic circumstances for several families.”</w:t>
      </w:r>
    </w:p>
    <w:p w14:paraId="2400B09F" w14:textId="77777777" w:rsidR="00C00BE5" w:rsidRDefault="00C00BE5" w:rsidP="00C00BE5">
      <w:pPr>
        <w:jc w:val="both"/>
        <w:rPr>
          <w:rFonts w:ascii="Arial" w:hAnsi="Arial" w:cs="Arial"/>
          <w:color w:val="000000"/>
          <w:sz w:val="20"/>
        </w:rPr>
      </w:pPr>
    </w:p>
    <w:p w14:paraId="49848EEA" w14:textId="77777777" w:rsidR="00C00BE5" w:rsidRPr="00F86035" w:rsidRDefault="00C00BE5" w:rsidP="00C00BE5">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Jie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D6B87F6" w14:textId="77777777" w:rsidR="00C00BE5" w:rsidRPr="00F86035" w:rsidRDefault="00C00BE5" w:rsidP="00C00BE5">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Baltatzis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214BEA38" w14:textId="77777777" w:rsidR="00C00BE5" w:rsidRDefault="00C00BE5" w:rsidP="00C00BE5">
      <w:pPr>
        <w:jc w:val="both"/>
        <w:rPr>
          <w:rFonts w:ascii="Arial" w:hAnsi="Arial" w:cs="Arial"/>
          <w:color w:val="000000"/>
          <w:sz w:val="20"/>
        </w:rPr>
      </w:pPr>
    </w:p>
    <w:p w14:paraId="786537F0" w14:textId="77777777" w:rsidR="00C00BE5" w:rsidRDefault="00C00BE5" w:rsidP="00C00BE5">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[49]-[50] Priest, Niall &amp; T Forrest JJA said [emphasis added]:</w:t>
      </w:r>
    </w:p>
    <w:p w14:paraId="5E1FEAF8" w14:textId="77777777" w:rsidR="00C00BE5" w:rsidRDefault="00C00BE5" w:rsidP="00C00BE5">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098624CF" w14:textId="77777777" w:rsidR="00C00BE5" w:rsidRDefault="00C00BE5" w:rsidP="00C00BE5">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R v Aiton</w:t>
      </w:r>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 xml:space="preserve">The adult male applicant in that case </w:t>
      </w:r>
      <w:r w:rsidRPr="004B4372">
        <w:rPr>
          <w:rFonts w:ascii="Arial" w:hAnsi="Arial" w:cs="Arial"/>
          <w:sz w:val="20"/>
          <w:szCs w:val="20"/>
        </w:rPr>
        <w:lastRenderedPageBreak/>
        <w:t>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7A3EBE36" w14:textId="77777777" w:rsidR="00C00BE5" w:rsidRPr="00F86035" w:rsidRDefault="00C00BE5" w:rsidP="00C00BE5">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made it clear 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5414137A" w14:textId="77777777" w:rsidR="00C00BE5" w:rsidRDefault="00C00BE5" w:rsidP="00C00BE5">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[24]–[30].</w:t>
      </w:r>
      <w:r>
        <w:rPr>
          <w:rFonts w:ascii="Arial" w:hAnsi="Arial" w:cs="Arial"/>
          <w:sz w:val="20"/>
          <w:szCs w:val="20"/>
        </w:rPr>
        <w:t>”</w:t>
      </w:r>
    </w:p>
    <w:p w14:paraId="1B5FCBB8" w14:textId="77777777" w:rsidR="00C00BE5" w:rsidRDefault="00C00BE5" w:rsidP="007C0286">
      <w:pPr>
        <w:jc w:val="both"/>
        <w:rPr>
          <w:rFonts w:ascii="Arial" w:hAnsi="Arial" w:cs="Arial"/>
          <w:color w:val="000000"/>
          <w:sz w:val="20"/>
        </w:rPr>
      </w:pPr>
    </w:p>
    <w:p w14:paraId="00EBC0C4" w14:textId="213C24E3"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49" w:name="ORIGHIT_2"/>
      <w:bookmarkStart w:id="650" w:name="HIT_2"/>
      <w:bookmarkEnd w:id="649"/>
      <w:bookmarkEnd w:id="650"/>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contexts is totally unacceptable. The community expectation is that the punishment assigned to such conduct must be condign so as to denounce in the strongest terms the abhorrent nature of domestic murder and to deter others from taking a similar course. Accordingly, the 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R v Shapta</w:t>
      </w:r>
      <w:r w:rsidR="003613EC">
        <w:rPr>
          <w:rFonts w:ascii="Arial" w:hAnsi="Arial" w:cs="Arial"/>
          <w:i/>
          <w:iCs/>
          <w:color w:val="000000"/>
          <w:sz w:val="20"/>
        </w:rPr>
        <w:t>f</w:t>
      </w:r>
      <w:r w:rsidRPr="00CA400D">
        <w:rPr>
          <w:rFonts w:ascii="Arial" w:hAnsi="Arial" w:cs="Arial"/>
          <w:i/>
          <w:iCs/>
          <w:color w:val="000000"/>
          <w:sz w:val="20"/>
        </w:rPr>
        <w:t>aj</w:t>
      </w:r>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Tinney J cited with approval at [99] the above dicta of Redlich JA in </w:t>
      </w:r>
      <w:r w:rsidR="00E94124" w:rsidRPr="001C6E0E">
        <w:rPr>
          <w:rFonts w:ascii="Arial" w:hAnsi="Arial" w:cs="Arial"/>
          <w:i/>
          <w:color w:val="000000"/>
          <w:sz w:val="20"/>
        </w:rPr>
        <w:t>Felicite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Pengl</w:t>
      </w:r>
      <w:r w:rsidR="001B5D8B" w:rsidRPr="001C6E0E">
        <w:rPr>
          <w:rFonts w:ascii="Arial" w:hAnsi="Arial" w:cs="Arial"/>
          <w:i/>
          <w:color w:val="000000"/>
          <w:sz w:val="20"/>
        </w:rPr>
        <w:t>a</w:t>
      </w:r>
      <w:r w:rsidRPr="001C6E0E">
        <w:rPr>
          <w:rFonts w:ascii="Arial" w:hAnsi="Arial" w:cs="Arial"/>
          <w:i/>
          <w:color w:val="000000"/>
          <w:sz w:val="20"/>
        </w:rPr>
        <w:t>se</w:t>
      </w:r>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R v Karageorges</w:t>
      </w:r>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77777777"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Xypolitos v The Queen</w:t>
      </w:r>
      <w:r w:rsidRPr="00F86035">
        <w:rPr>
          <w:rFonts w:ascii="Arial" w:hAnsi="Arial" w:cs="Arial"/>
          <w:color w:val="000000"/>
          <w:sz w:val="20"/>
        </w:rPr>
        <w:t xml:space="preserve"> [2014] VSCA 339 the accused pleaded not guilty to murder of his defacto stepson.  The victim was killed with a hammer.  Post-offence conduct involved dismemberment and concealment of the victim’s body and continued debial over a very protracted period of any knowledge of the circumstances surrounding the victim’s disappearance.  No remose.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DPP v Freeburn</w:t>
      </w:r>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“Courts have repeatedly spoken of the primary importance of general deterrence, denuniciation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lastRenderedPageBreak/>
        <w:t xml:space="preserve">In </w:t>
      </w:r>
      <w:r>
        <w:rPr>
          <w:rFonts w:ascii="Arial" w:hAnsi="Arial" w:cs="Arial"/>
          <w:i/>
          <w:color w:val="000000"/>
          <w:sz w:val="20"/>
        </w:rPr>
        <w:t>R</w:t>
      </w:r>
      <w:r w:rsidRPr="0036414B">
        <w:rPr>
          <w:rFonts w:ascii="Arial" w:hAnsi="Arial" w:cs="Arial"/>
          <w:i/>
          <w:color w:val="000000"/>
          <w:sz w:val="20"/>
        </w:rPr>
        <w:t xml:space="preserve"> v </w:t>
      </w:r>
      <w:r>
        <w:rPr>
          <w:rFonts w:ascii="Arial" w:hAnsi="Arial" w:cs="Arial"/>
          <w:i/>
          <w:color w:val="000000"/>
          <w:sz w:val="20"/>
        </w:rPr>
        <w:t>Davsanoglu</w:t>
      </w:r>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Lasry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DPP v Fairhall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to IMP25y/18y6m on a charge of 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r w:rsidR="008D663B" w:rsidRPr="008D663B">
        <w:rPr>
          <w:rFonts w:ascii="Arial" w:hAnsi="Arial" w:cs="Arial"/>
          <w:i/>
          <w:iCs/>
          <w:color w:val="000000"/>
          <w:sz w:val="20"/>
        </w:rPr>
        <w:t>Bugmy</w:t>
      </w:r>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t>“</w:t>
      </w:r>
      <w:r w:rsidRPr="00D23859">
        <w:rPr>
          <w:rFonts w:ascii="Arial" w:hAnsi="Arial" w:cs="Arial"/>
          <w:sz w:val="20"/>
          <w:szCs w:val="20"/>
        </w:rPr>
        <w:t xml:space="preserve">Your younger daughter experiences ongoing sadness, anger and frustration. Life is hard for her without her mother. She is upset in the knowledge that her parents will not be there for big occasions in her life such as birthdays, her first job, marriage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643CE547" w:rsidR="00462798" w:rsidRDefault="00462798" w:rsidP="00023E85">
      <w:pPr>
        <w:jc w:val="both"/>
        <w:rPr>
          <w:rFonts w:ascii="Arial" w:hAnsi="Arial" w:cs="Arial"/>
          <w:color w:val="000000"/>
          <w:sz w:val="20"/>
        </w:rPr>
      </w:pPr>
    </w:p>
    <w:p w14:paraId="0F34C68A" w14:textId="01BB6EB7" w:rsidR="008E506D" w:rsidRDefault="008E506D" w:rsidP="00023E85">
      <w:pPr>
        <w:jc w:val="both"/>
        <w:rPr>
          <w:rFonts w:ascii="Arial" w:hAnsi="Arial" w:cs="Arial"/>
          <w:color w:val="000000"/>
          <w:sz w:val="20"/>
        </w:rPr>
      </w:pPr>
      <w:r>
        <w:rPr>
          <w:rFonts w:ascii="Arial" w:hAnsi="Arial" w:cs="Arial"/>
          <w:color w:val="000000"/>
          <w:sz w:val="20"/>
        </w:rPr>
        <w:t xml:space="preserve">In </w:t>
      </w:r>
      <w:r w:rsidRPr="008E506D">
        <w:rPr>
          <w:rFonts w:ascii="Arial" w:hAnsi="Arial" w:cs="Arial"/>
          <w:i/>
          <w:iCs/>
          <w:color w:val="000000"/>
          <w:sz w:val="20"/>
        </w:rPr>
        <w:t>DPP v Deng</w:t>
      </w:r>
      <w:r>
        <w:rPr>
          <w:rFonts w:ascii="Arial" w:hAnsi="Arial" w:cs="Arial"/>
          <w:color w:val="000000"/>
          <w:sz w:val="20"/>
        </w:rPr>
        <w:t xml:space="preserve"> [2022] VSC </w:t>
      </w:r>
      <w:r w:rsidR="00AD7166">
        <w:rPr>
          <w:rFonts w:ascii="Arial" w:hAnsi="Arial" w:cs="Arial"/>
          <w:color w:val="000000"/>
          <w:sz w:val="20"/>
        </w:rPr>
        <w:t xml:space="preserve">790 </w:t>
      </w:r>
      <w:r>
        <w:rPr>
          <w:rFonts w:ascii="Arial" w:hAnsi="Arial" w:cs="Arial"/>
          <w:color w:val="000000"/>
          <w:sz w:val="20"/>
        </w:rPr>
        <w:t xml:space="preserve">the accused had indicated a plea of guilty to manslaughter but a jury verdict of murder had been entered.  The accused had arranged to meet with and confront the deceased, a former friend of his, over a minor grievance.  A fight had ensued not involving the use of weapons.  The fight had ended and the deceased had retreated.  </w:t>
      </w:r>
      <w:r w:rsidR="00AD7166">
        <w:rPr>
          <w:rFonts w:ascii="Arial" w:hAnsi="Arial" w:cs="Arial"/>
          <w:color w:val="000000"/>
          <w:sz w:val="20"/>
        </w:rPr>
        <w:t>The accused had then pursued the deceased armed with a knife and had inflicted a single stab wound with mild to moderate force.  The accused, who was 22 years old at the time of offending, had relevant but very limited criminal history and had been sentenced in the County Court between the jury verdict and the plea for unrelated earlier offending.  In sentencing him to IMP 19y/14y Fox J said at [39]:</w:t>
      </w:r>
    </w:p>
    <w:p w14:paraId="71B2749A" w14:textId="2C6971BB" w:rsidR="008E506D" w:rsidRPr="00F86035" w:rsidRDefault="008E506D" w:rsidP="008E506D">
      <w:pPr>
        <w:spacing w:before="60"/>
        <w:ind w:left="567" w:right="567"/>
        <w:jc w:val="both"/>
        <w:rPr>
          <w:rFonts w:ascii="Arial" w:hAnsi="Arial" w:cs="Arial"/>
          <w:color w:val="000000"/>
          <w:sz w:val="20"/>
          <w:szCs w:val="20"/>
        </w:rPr>
      </w:pPr>
      <w:r>
        <w:rPr>
          <w:rFonts w:ascii="Arial" w:hAnsi="Arial" w:cs="Arial"/>
          <w:sz w:val="20"/>
          <w:szCs w:val="20"/>
        </w:rPr>
        <w:t>“</w:t>
      </w:r>
      <w:r w:rsidRPr="008E506D">
        <w:rPr>
          <w:rFonts w:ascii="Arial" w:hAnsi="Arial" w:cs="Arial"/>
          <w:sz w:val="20"/>
          <w:szCs w:val="20"/>
        </w:rPr>
        <w:t xml:space="preserve">Murder is the most serious crime in our legal system. You have taken the life of Machar Kot, who was just 21 years old and had his whole life ahead of him. His mother and sister, and no doubt all his family and friends, have been devastated by his death. The sentence I impose must adequately punish you for your crime, and publicly denounce your conduct on this night. General deterrence – that is, the need to send a message to other would-be offenders – is a very important sentencing principle in these circumstances. </w:t>
      </w:r>
      <w:r w:rsidRPr="008E506D">
        <w:rPr>
          <w:rFonts w:ascii="Arial" w:hAnsi="Arial" w:cs="Arial"/>
          <w:b/>
          <w:bCs/>
          <w:sz w:val="20"/>
          <w:szCs w:val="20"/>
        </w:rPr>
        <w:t>As this case tragically shows, a single stab wound is all it takes to kill another person and commit the crime of murder. All people, but particularly young people, need to understand that if you use a knife to kill another human being, then you should expect to spend a very lengthy portion of your own life in gaol.</w:t>
      </w:r>
      <w:r>
        <w:rPr>
          <w:rFonts w:ascii="Arial" w:hAnsi="Arial" w:cs="Arial"/>
          <w:sz w:val="20"/>
          <w:szCs w:val="20"/>
        </w:rPr>
        <w:t>”</w:t>
      </w:r>
    </w:p>
    <w:p w14:paraId="088D0762" w14:textId="21B396DF" w:rsidR="008E506D" w:rsidRDefault="008E506D" w:rsidP="00023E85">
      <w:pPr>
        <w:jc w:val="both"/>
        <w:rPr>
          <w:rFonts w:ascii="Arial" w:hAnsi="Arial" w:cs="Arial"/>
          <w:color w:val="000000"/>
          <w:sz w:val="20"/>
        </w:rPr>
      </w:pPr>
    </w:p>
    <w:p w14:paraId="5F3EE4D0" w14:textId="5C312D04" w:rsidR="00080E96" w:rsidRDefault="003C0B14" w:rsidP="00023E85">
      <w:pPr>
        <w:jc w:val="both"/>
        <w:rPr>
          <w:rFonts w:ascii="Arial" w:hAnsi="Arial" w:cs="Arial"/>
          <w:color w:val="000000"/>
          <w:sz w:val="20"/>
        </w:rPr>
      </w:pPr>
      <w:r>
        <w:rPr>
          <w:rFonts w:ascii="Arial" w:hAnsi="Arial" w:cs="Arial"/>
          <w:color w:val="000000"/>
          <w:sz w:val="20"/>
        </w:rPr>
        <w:lastRenderedPageBreak/>
        <w:t xml:space="preserve">In </w:t>
      </w:r>
      <w:r w:rsidRPr="00E5791F">
        <w:rPr>
          <w:rFonts w:ascii="Arial" w:hAnsi="Arial" w:cs="Arial"/>
          <w:i/>
          <w:iCs/>
          <w:color w:val="000000"/>
          <w:sz w:val="20"/>
        </w:rPr>
        <w:t>DPP v Payne</w:t>
      </w:r>
      <w:r>
        <w:rPr>
          <w:rFonts w:ascii="Arial" w:hAnsi="Arial" w:cs="Arial"/>
          <w:color w:val="000000"/>
          <w:sz w:val="20"/>
        </w:rPr>
        <w:t xml:space="preserve"> [2023] VSC 286 the accused was found guilty by a jury of murdering her husband by giving him a biscuit laced with a quantity of temazepam tablets, wrapping his body in a blanket and placing it in a disused chest freezer.  </w:t>
      </w:r>
      <w:r w:rsidR="00E5791F">
        <w:rPr>
          <w:rFonts w:ascii="Arial" w:hAnsi="Arial" w:cs="Arial"/>
          <w:color w:val="000000"/>
          <w:sz w:val="20"/>
        </w:rPr>
        <w:t xml:space="preserve">The cause of death was unascertainable but was either suffocation or overdose.  </w:t>
      </w:r>
      <w:r w:rsidR="009F013E">
        <w:rPr>
          <w:rFonts w:ascii="Arial" w:hAnsi="Arial" w:cs="Arial"/>
          <w:color w:val="000000"/>
          <w:sz w:val="20"/>
        </w:rPr>
        <w:t xml:space="preserve">The accused had </w:t>
      </w:r>
      <w:r w:rsidR="00080E96">
        <w:rPr>
          <w:rFonts w:ascii="Arial" w:hAnsi="Arial" w:cs="Arial"/>
          <w:color w:val="000000"/>
          <w:sz w:val="20"/>
        </w:rPr>
        <w:t>In imposed a sentence of IMP16y/10y, Incerti J held-</w:t>
      </w:r>
    </w:p>
    <w:p w14:paraId="298EC9A9" w14:textId="1AC6B912" w:rsidR="00CC27A5" w:rsidRPr="00CC27A5" w:rsidRDefault="00CC27A5" w:rsidP="00CC27A5">
      <w:pPr>
        <w:pStyle w:val="ListParagraph"/>
        <w:numPr>
          <w:ilvl w:val="0"/>
          <w:numId w:val="128"/>
        </w:numPr>
        <w:spacing w:after="60"/>
        <w:ind w:left="357" w:hanging="357"/>
        <w:jc w:val="both"/>
        <w:rPr>
          <w:rFonts w:ascii="Arial" w:hAnsi="Arial" w:cs="Arial"/>
          <w:color w:val="000000"/>
          <w:sz w:val="20"/>
        </w:rPr>
      </w:pPr>
      <w:r>
        <w:rPr>
          <w:rFonts w:ascii="Arial" w:hAnsi="Arial" w:cs="Arial"/>
          <w:color w:val="000000"/>
          <w:sz w:val="20"/>
        </w:rPr>
        <w:t xml:space="preserve">at [72] that Ms Payne’s </w:t>
      </w:r>
      <w:r w:rsidRPr="00CC27A5">
        <w:rPr>
          <w:rFonts w:ascii="Arial" w:hAnsi="Arial" w:cs="Arial"/>
          <w:sz w:val="20"/>
          <w:szCs w:val="20"/>
        </w:rPr>
        <w:t xml:space="preserve">exposure to family violence from a very young age and the circumstances of </w:t>
      </w:r>
      <w:r>
        <w:rPr>
          <w:rFonts w:ascii="Arial" w:hAnsi="Arial" w:cs="Arial"/>
          <w:sz w:val="20"/>
          <w:szCs w:val="20"/>
        </w:rPr>
        <w:t>he</w:t>
      </w:r>
      <w:r w:rsidRPr="00CC27A5">
        <w:rPr>
          <w:rFonts w:ascii="Arial" w:hAnsi="Arial" w:cs="Arial"/>
          <w:sz w:val="20"/>
          <w:szCs w:val="20"/>
        </w:rPr>
        <w:t xml:space="preserve">r offending make </w:t>
      </w:r>
      <w:r>
        <w:rPr>
          <w:rFonts w:ascii="Arial" w:hAnsi="Arial" w:cs="Arial"/>
          <w:sz w:val="20"/>
          <w:szCs w:val="20"/>
        </w:rPr>
        <w:t>her</w:t>
      </w:r>
      <w:r w:rsidRPr="00CC27A5">
        <w:rPr>
          <w:rFonts w:ascii="Arial" w:hAnsi="Arial" w:cs="Arial"/>
          <w:sz w:val="20"/>
          <w:szCs w:val="20"/>
        </w:rPr>
        <w:t xml:space="preserve"> less morally culpable than an offender whose formative years were not marred in that way. </w:t>
      </w:r>
      <w:r>
        <w:rPr>
          <w:rFonts w:ascii="Arial" w:hAnsi="Arial" w:cs="Arial"/>
          <w:sz w:val="20"/>
          <w:szCs w:val="20"/>
        </w:rPr>
        <w:t>He</w:t>
      </w:r>
      <w:r w:rsidRPr="00CC27A5">
        <w:rPr>
          <w:rFonts w:ascii="Arial" w:hAnsi="Arial" w:cs="Arial"/>
          <w:sz w:val="20"/>
          <w:szCs w:val="20"/>
        </w:rPr>
        <w:t xml:space="preserve">r traumatic childhood experiences contributed to </w:t>
      </w:r>
      <w:r>
        <w:rPr>
          <w:rFonts w:ascii="Arial" w:hAnsi="Arial" w:cs="Arial"/>
          <w:sz w:val="20"/>
          <w:szCs w:val="20"/>
        </w:rPr>
        <w:t>he</w:t>
      </w:r>
      <w:r w:rsidRPr="00CC27A5">
        <w:rPr>
          <w:rFonts w:ascii="Arial" w:hAnsi="Arial" w:cs="Arial"/>
          <w:sz w:val="20"/>
          <w:szCs w:val="20"/>
        </w:rPr>
        <w:t xml:space="preserve">r entrapment in an abusive relationship with Mr Payne and most likely impacted upon </w:t>
      </w:r>
      <w:r>
        <w:rPr>
          <w:rFonts w:ascii="Arial" w:hAnsi="Arial" w:cs="Arial"/>
          <w:sz w:val="20"/>
          <w:szCs w:val="20"/>
        </w:rPr>
        <w:t>he</w:t>
      </w:r>
      <w:r w:rsidRPr="00CC27A5">
        <w:rPr>
          <w:rFonts w:ascii="Arial" w:hAnsi="Arial" w:cs="Arial"/>
          <w:sz w:val="20"/>
          <w:szCs w:val="20"/>
        </w:rPr>
        <w:t>r consequential decision-making</w:t>
      </w:r>
      <w:r>
        <w:rPr>
          <w:rFonts w:ascii="Arial" w:hAnsi="Arial" w:cs="Arial"/>
          <w:sz w:val="20"/>
          <w:szCs w:val="20"/>
        </w:rPr>
        <w:t>; and</w:t>
      </w:r>
    </w:p>
    <w:p w14:paraId="01AFA9D4" w14:textId="7FDDF229" w:rsidR="003C0B14" w:rsidRDefault="00080E96" w:rsidP="00CC27A5">
      <w:pPr>
        <w:pStyle w:val="ListParagraph"/>
        <w:numPr>
          <w:ilvl w:val="0"/>
          <w:numId w:val="128"/>
        </w:numPr>
        <w:ind w:left="357" w:hanging="357"/>
        <w:jc w:val="both"/>
        <w:rPr>
          <w:rFonts w:ascii="Arial" w:hAnsi="Arial" w:cs="Arial"/>
          <w:color w:val="000000"/>
          <w:sz w:val="20"/>
        </w:rPr>
      </w:pPr>
      <w:r w:rsidRPr="00080E96">
        <w:rPr>
          <w:rFonts w:ascii="Arial" w:hAnsi="Arial" w:cs="Arial"/>
          <w:color w:val="000000"/>
          <w:sz w:val="20"/>
        </w:rPr>
        <w:t xml:space="preserve">at [32]-[33] that extensive family violence perpetrated against the accused and other members of the household by the deceased </w:t>
      </w:r>
      <w:r w:rsidR="00CC27A5">
        <w:rPr>
          <w:rFonts w:ascii="Arial" w:hAnsi="Arial" w:cs="Arial"/>
          <w:color w:val="000000"/>
          <w:sz w:val="20"/>
        </w:rPr>
        <w:t>resulted in Ms Payne’s moral culpability being at the lower end:</w:t>
      </w:r>
    </w:p>
    <w:p w14:paraId="76CF1CD4" w14:textId="2434874A" w:rsidR="003C0B14" w:rsidRDefault="003C0B14" w:rsidP="003C0B14">
      <w:pPr>
        <w:spacing w:before="60"/>
        <w:ind w:left="567" w:right="567"/>
        <w:jc w:val="both"/>
        <w:rPr>
          <w:rFonts w:ascii="Arial" w:hAnsi="Arial" w:cs="Arial"/>
          <w:sz w:val="20"/>
          <w:szCs w:val="20"/>
        </w:rPr>
      </w:pPr>
      <w:r>
        <w:rPr>
          <w:rFonts w:ascii="Arial" w:hAnsi="Arial" w:cs="Arial"/>
          <w:sz w:val="20"/>
          <w:szCs w:val="20"/>
        </w:rPr>
        <w:t>[32] “</w:t>
      </w:r>
      <w:r w:rsidRPr="003C0B14">
        <w:rPr>
          <w:rFonts w:ascii="Arial" w:hAnsi="Arial" w:cs="Arial"/>
          <w:sz w:val="20"/>
          <w:szCs w:val="20"/>
        </w:rPr>
        <w:t>The prosecution submits that Mr Payne’s behaviour towards you is relevant to your moral culpability and his behaviour over the course of your relationship ‘goes some way towards ameliorating the aggravating factor of a breach of trust’. However, the prosecution also submits that these considerations can only go so far given the lack of any legal justification for killing Mr Payne and given the sanctity of each and every human life. Further, the prosecution submits that you had the option to leave and that your conduct, including putting Mr Payne’s body in the freezer, reflects your determination to kill him.</w:t>
      </w:r>
    </w:p>
    <w:p w14:paraId="15EB1942" w14:textId="1C14A9B4" w:rsidR="003C0B14" w:rsidRPr="003C0B14" w:rsidRDefault="003C0B14" w:rsidP="003C0B14">
      <w:pPr>
        <w:spacing w:before="60"/>
        <w:ind w:left="567" w:right="567"/>
        <w:jc w:val="both"/>
        <w:rPr>
          <w:rFonts w:ascii="Arial" w:hAnsi="Arial" w:cs="Arial"/>
          <w:color w:val="000000"/>
          <w:sz w:val="16"/>
          <w:szCs w:val="20"/>
        </w:rPr>
      </w:pPr>
      <w:r>
        <w:rPr>
          <w:rFonts w:ascii="Arial" w:hAnsi="Arial" w:cs="Arial"/>
          <w:sz w:val="20"/>
          <w:szCs w:val="20"/>
        </w:rPr>
        <w:t xml:space="preserve">[33] </w:t>
      </w:r>
      <w:r w:rsidRPr="003C0B14">
        <w:rPr>
          <w:rFonts w:ascii="Arial" w:hAnsi="Arial" w:cs="Arial"/>
          <w:sz w:val="20"/>
          <w:szCs w:val="20"/>
        </w:rPr>
        <w:t>You were living in intolerable and inescapable circumstances. I reject the prosecution’s submission that you had options and could have left. You did not feel under threat of death from Mr Payne at the time you killed him. However, given his controlling and coercive behaviours, the existing court orders stopping you from taking the children, your limited financial means, and the fact you were residing in a remote and isolated part of Victoria during COVID-19 lockdowns, you had no realistic option to leave. This does not provide a legal excuse for murdering Mr Payne. However, it provides a necessary explanation as to why your moral culpability is at the lower end</w:t>
      </w:r>
      <w:r>
        <w:rPr>
          <w:rFonts w:ascii="Arial" w:hAnsi="Arial" w:cs="Arial"/>
          <w:sz w:val="20"/>
          <w:szCs w:val="20"/>
        </w:rPr>
        <w:t>.”</w:t>
      </w:r>
    </w:p>
    <w:p w14:paraId="37A1ABF4" w14:textId="1EBD66EC" w:rsidR="009F013E" w:rsidRDefault="009F013E" w:rsidP="00253614">
      <w:pPr>
        <w:spacing w:before="120"/>
        <w:jc w:val="both"/>
        <w:rPr>
          <w:rFonts w:ascii="Arial" w:hAnsi="Arial" w:cs="Arial"/>
          <w:color w:val="000000"/>
          <w:sz w:val="20"/>
        </w:rPr>
      </w:pPr>
      <w:r>
        <w:rPr>
          <w:rFonts w:ascii="Arial" w:hAnsi="Arial" w:cs="Arial"/>
          <w:color w:val="000000"/>
          <w:sz w:val="20"/>
        </w:rPr>
        <w:t xml:space="preserve">Leave to appeal against conviction was refused but the sentence was reduced to IMP12y7y. In </w:t>
      </w:r>
      <w:r w:rsidR="00EC086F" w:rsidRPr="009F013E">
        <w:rPr>
          <w:rFonts w:ascii="Arial" w:hAnsi="Arial" w:cs="Arial"/>
          <w:i/>
          <w:iCs/>
          <w:color w:val="000000"/>
          <w:sz w:val="20"/>
        </w:rPr>
        <w:t xml:space="preserve">Payne </w:t>
      </w:r>
      <w:r w:rsidRPr="009F013E">
        <w:rPr>
          <w:rFonts w:ascii="Arial" w:hAnsi="Arial" w:cs="Arial"/>
          <w:i/>
          <w:iCs/>
          <w:color w:val="000000"/>
          <w:sz w:val="20"/>
        </w:rPr>
        <w:t>v The King</w:t>
      </w:r>
      <w:r>
        <w:rPr>
          <w:rFonts w:ascii="Arial" w:hAnsi="Arial" w:cs="Arial"/>
          <w:color w:val="000000"/>
          <w:sz w:val="20"/>
        </w:rPr>
        <w:t xml:space="preserve"> [2024] VSCA 273 McLeish, Kaye &amp; T Forrest JJA said at [134]-[137]:</w:t>
      </w:r>
    </w:p>
    <w:p w14:paraId="2D710CFF" w14:textId="6E17A916"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[134] “</w:t>
      </w:r>
      <w:r w:rsidRPr="009F013E">
        <w:rPr>
          <w:rFonts w:ascii="Arial" w:hAnsi="Arial" w:cs="Arial"/>
          <w:color w:val="000000"/>
          <w:sz w:val="20"/>
        </w:rPr>
        <w:t>The judge</w:t>
      </w:r>
      <w:r>
        <w:rPr>
          <w:rFonts w:ascii="Arial" w:hAnsi="Arial" w:cs="Arial"/>
          <w:color w:val="000000"/>
          <w:sz w:val="20"/>
        </w:rPr>
        <w:t>...</w:t>
      </w:r>
      <w:r w:rsidRPr="009F013E">
        <w:rPr>
          <w:rFonts w:ascii="Arial" w:hAnsi="Arial" w:cs="Arial"/>
          <w:color w:val="000000"/>
          <w:sz w:val="20"/>
        </w:rPr>
        <w:t>appropriately acknowledged that the case was one calling for mercy. At</w:t>
      </w:r>
      <w:r>
        <w:rPr>
          <w:rFonts w:ascii="Arial" w:hAnsi="Arial" w:cs="Arial"/>
          <w:color w:val="000000"/>
          <w:sz w:val="20"/>
        </w:rPr>
        <w:t> </w:t>
      </w:r>
      <w:r w:rsidRPr="009F013E">
        <w:rPr>
          <w:rFonts w:ascii="Arial" w:hAnsi="Arial" w:cs="Arial"/>
          <w:color w:val="000000"/>
          <w:sz w:val="20"/>
        </w:rPr>
        <w:t>the same time, the sentence needed to denounce the deliberate taking of human life, and to act as a general deterrent, lest it be mistakenly perceived that the law encourages others to act as this offender did. And the applicant did not have the sentencing benefit that a plea of guilty would have conferred. It is significant, however, that when the applicant was arraigned at the commencement of the trial, she did plead guilty to manslaughter, and, to that extent, she admitted to, and took responsibility for, causing the death of Noel Payne by an unlawful and dangerous act.</w:t>
      </w:r>
    </w:p>
    <w:p w14:paraId="56E647D9" w14:textId="73D3F32E"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 xml:space="preserve">[135] </w:t>
      </w:r>
      <w:r w:rsidR="00253614" w:rsidRPr="009F013E">
        <w:rPr>
          <w:rFonts w:ascii="Arial" w:hAnsi="Arial" w:cs="Arial"/>
          <w:color w:val="000000"/>
          <w:sz w:val="20"/>
        </w:rPr>
        <w:t>It is important not to understate the significance of the judge’s finding as to the applicant’s reduced moral culpability. In that respect, it is noted that the defence of provocation, which formerly supported a verdict of manslaughter in cases like this one, where the accused caused death while provoked in a manner capable of causing an ordinary person to lose self-control and act as the accused did, was abolished in 2005; the successor offence of defensive homicide was itself abolished in 2014. Although the law as to criminal responsibility has changed in this way, however, the circumstances which underlay the former defence of provocation remain relevant to sentencing generally, and to an assessment of an accused’s moral culpability, in particular</w:t>
      </w:r>
      <w:r w:rsidR="00253614">
        <w:rPr>
          <w:rFonts w:ascii="Arial" w:hAnsi="Arial" w:cs="Arial"/>
          <w:color w:val="000000"/>
          <w:sz w:val="20"/>
        </w:rPr>
        <w:t xml:space="preserve">: see </w:t>
      </w:r>
      <w:r w:rsidR="00253614" w:rsidRPr="00253614">
        <w:rPr>
          <w:rFonts w:ascii="Arial" w:hAnsi="Arial" w:cs="Arial"/>
          <w:i/>
          <w:iCs/>
          <w:color w:val="000000"/>
          <w:sz w:val="20"/>
        </w:rPr>
        <w:t>Tyne v Tasmania</w:t>
      </w:r>
      <w:r w:rsidR="00253614" w:rsidRPr="00253614">
        <w:rPr>
          <w:rFonts w:ascii="Arial" w:hAnsi="Arial" w:cs="Arial"/>
          <w:color w:val="000000"/>
          <w:sz w:val="20"/>
        </w:rPr>
        <w:t xml:space="preserve"> (2005) 15 Tas R 221, 227 [18]; </w:t>
      </w:r>
      <w:r w:rsidR="00253614" w:rsidRPr="00253614">
        <w:rPr>
          <w:rFonts w:ascii="Arial" w:hAnsi="Arial" w:cs="Arial"/>
          <w:i/>
          <w:iCs/>
          <w:color w:val="000000"/>
          <w:sz w:val="20"/>
        </w:rPr>
        <w:t>Kourpanidis v The Queen</w:t>
      </w:r>
      <w:r w:rsidR="00253614" w:rsidRPr="00253614">
        <w:rPr>
          <w:rFonts w:ascii="Arial" w:hAnsi="Arial" w:cs="Arial"/>
          <w:color w:val="000000"/>
          <w:sz w:val="20"/>
        </w:rPr>
        <w:t xml:space="preserve"> [2022] ACTCA 11 [27]; </w:t>
      </w:r>
      <w:r w:rsidR="00253614" w:rsidRPr="00253614">
        <w:rPr>
          <w:rFonts w:ascii="Arial" w:hAnsi="Arial" w:cs="Arial"/>
          <w:i/>
          <w:iCs/>
          <w:color w:val="000000"/>
          <w:sz w:val="20"/>
        </w:rPr>
        <w:t>R v Freeman</w:t>
      </w:r>
      <w:r w:rsidR="00253614" w:rsidRPr="00253614">
        <w:rPr>
          <w:rFonts w:ascii="Arial" w:hAnsi="Arial" w:cs="Arial"/>
          <w:color w:val="000000"/>
          <w:sz w:val="20"/>
        </w:rPr>
        <w:t xml:space="preserve"> [2015] VSC 506 [34]–[38], [42]; Victoria, Hansard, Legislative Assembly, 6 October 2005, 1349 (the Honourable Rob Hulls, Attorney-General); </w:t>
      </w:r>
      <w:r w:rsidR="00253614" w:rsidRPr="00253614">
        <w:rPr>
          <w:rFonts w:ascii="Arial" w:hAnsi="Arial" w:cs="Arial"/>
          <w:i/>
          <w:iCs/>
          <w:color w:val="000000"/>
          <w:sz w:val="20"/>
        </w:rPr>
        <w:t>Kelly v The Queen</w:t>
      </w:r>
      <w:r w:rsidR="00253614" w:rsidRPr="00253614">
        <w:rPr>
          <w:rFonts w:ascii="Arial" w:hAnsi="Arial" w:cs="Arial"/>
          <w:color w:val="000000"/>
          <w:sz w:val="20"/>
        </w:rPr>
        <w:t xml:space="preserve"> [2000] VSCA 164 [13]–[15]</w:t>
      </w:r>
      <w:r w:rsidR="00253614">
        <w:rPr>
          <w:rFonts w:ascii="Arial" w:hAnsi="Arial" w:cs="Arial"/>
          <w:color w:val="000000"/>
          <w:sz w:val="20"/>
        </w:rPr>
        <w:t>, [26] &amp; [27].</w:t>
      </w:r>
    </w:p>
    <w:p w14:paraId="19A8D4A8" w14:textId="495F5BF1" w:rsidR="00253614"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[136] </w:t>
      </w:r>
      <w:r w:rsidRPr="009F013E">
        <w:rPr>
          <w:rFonts w:ascii="Arial" w:hAnsi="Arial" w:cs="Arial"/>
          <w:color w:val="000000"/>
          <w:sz w:val="20"/>
        </w:rPr>
        <w:t>Taking all these matters together, along with the other factors canvassed in the judge’s comprehensive and thoughtful sentencing remarks, we have come to the view that this sentence, despite the acknowledged role that mercy played in the judge’s instinctive synthesis, was manifestly excessive.</w:t>
      </w:r>
    </w:p>
    <w:p w14:paraId="25E80FA9" w14:textId="51E42B85" w:rsidR="00253614" w:rsidRPr="009F013E"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[137] </w:t>
      </w:r>
      <w:r w:rsidRPr="009F013E">
        <w:rPr>
          <w:rFonts w:ascii="Arial" w:hAnsi="Arial" w:cs="Arial"/>
          <w:color w:val="000000"/>
          <w:sz w:val="20"/>
        </w:rPr>
        <w:t xml:space="preserve">The applicant was 41 years old at the time of the offending. She had endured upwards of ten years of intolerable and seemingly escalating emotional and physical torment at the hands of the deceased. Her situation was, the judge found, inescapable. Having lost her thirties in this way, she now stands to lose her forties and more as a result of the offence she committed. That is no small thing, especially given that she will be separated from her children. These exceptional circumstances are a sure foundation </w:t>
      </w:r>
      <w:r w:rsidRPr="009F013E">
        <w:rPr>
          <w:rFonts w:ascii="Arial" w:hAnsi="Arial" w:cs="Arial"/>
          <w:color w:val="000000"/>
          <w:sz w:val="20"/>
        </w:rPr>
        <w:lastRenderedPageBreak/>
        <w:t>for a proper exercise of mercy, and for an assessment of the applicant’s reduced moral culpability for her offending</w:t>
      </w:r>
      <w:r>
        <w:rPr>
          <w:rFonts w:ascii="Arial" w:hAnsi="Arial" w:cs="Arial"/>
          <w:color w:val="000000"/>
          <w:sz w:val="20"/>
        </w:rPr>
        <w:t>.”</w:t>
      </w:r>
    </w:p>
    <w:p w14:paraId="663D37EB" w14:textId="77777777" w:rsidR="009F013E" w:rsidRDefault="009F013E" w:rsidP="00023E85">
      <w:pPr>
        <w:jc w:val="both"/>
        <w:rPr>
          <w:rFonts w:ascii="Arial" w:hAnsi="Arial" w:cs="Arial"/>
          <w:color w:val="000000"/>
          <w:sz w:val="20"/>
        </w:rPr>
      </w:pPr>
    </w:p>
    <w:p w14:paraId="0B5EC67D" w14:textId="35558FD3" w:rsidR="00354973" w:rsidRDefault="00354973" w:rsidP="00023E85">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(35 years old at the time of the offending and 39 years old at the time of sentence) had pleaded guilty to the stabbing murder of a 23 year old victim following breaking into the victim’s home in the context of an obsessive fixation on the victim who was the offender’s team leader at his previous workplace.  </w:t>
      </w:r>
      <w:r w:rsidR="009730E1">
        <w:rPr>
          <w:rFonts w:ascii="Arial" w:hAnsi="Arial" w:cs="Arial"/>
          <w:color w:val="000000"/>
          <w:sz w:val="20"/>
        </w:rPr>
        <w:t xml:space="preserve">At [59] Jane Dixon J described the offending as “a very grave example of the already grave crime of murder”.  </w:t>
      </w:r>
      <w:r>
        <w:rPr>
          <w:rFonts w:ascii="Arial" w:hAnsi="Arial" w:cs="Arial"/>
          <w:color w:val="000000"/>
          <w:sz w:val="20"/>
        </w:rPr>
        <w:t xml:space="preserve">The offender had an extreme personality disorder and a major depressive disorder at the time of offending and had limited prospects of rehabilitation.  </w:t>
      </w:r>
      <w:r w:rsidR="009730E1">
        <w:rPr>
          <w:rFonts w:ascii="Arial" w:hAnsi="Arial" w:cs="Arial"/>
          <w:color w:val="000000"/>
          <w:sz w:val="20"/>
        </w:rPr>
        <w:t>H</w:t>
      </w:r>
      <w:r>
        <w:rPr>
          <w:rFonts w:ascii="Arial" w:hAnsi="Arial" w:cs="Arial"/>
          <w:color w:val="000000"/>
          <w:sz w:val="20"/>
        </w:rPr>
        <w:t>olding that “</w:t>
      </w:r>
      <w:r w:rsidRPr="00354973">
        <w:rPr>
          <w:rFonts w:ascii="Arial" w:hAnsi="Arial" w:cs="Arial"/>
          <w:i/>
          <w:iCs/>
          <w:color w:val="000000"/>
          <w:sz w:val="20"/>
        </w:rPr>
        <w:t>Verdins</w:t>
      </w:r>
      <w:r>
        <w:rPr>
          <w:rFonts w:ascii="Arial" w:hAnsi="Arial" w:cs="Arial"/>
          <w:color w:val="000000"/>
          <w:sz w:val="20"/>
        </w:rPr>
        <w:t xml:space="preserve"> factors do reduce [the offender’s] </w:t>
      </w:r>
      <w:r w:rsidRPr="00354973">
        <w:rPr>
          <w:rFonts w:ascii="Arial" w:hAnsi="Arial" w:cs="Arial"/>
          <w:sz w:val="20"/>
          <w:szCs w:val="20"/>
        </w:rPr>
        <w:t>moral culpability and act to moderate, but not remove, the importance of general and specific deterrence</w:t>
      </w:r>
      <w:r>
        <w:rPr>
          <w:rFonts w:ascii="Arial" w:hAnsi="Arial" w:cs="Arial"/>
          <w:sz w:val="20"/>
          <w:szCs w:val="20"/>
        </w:rPr>
        <w:t xml:space="preserve">”, </w:t>
      </w:r>
      <w:r>
        <w:rPr>
          <w:rFonts w:ascii="Arial" w:hAnsi="Arial" w:cs="Arial"/>
          <w:color w:val="000000"/>
          <w:sz w:val="20"/>
        </w:rPr>
        <w:t>Jane Dixon J imposed a sentence of IMP36y/30y.</w:t>
      </w:r>
      <w:r w:rsidR="00977CC8">
        <w:rPr>
          <w:rFonts w:ascii="Arial" w:hAnsi="Arial" w:cs="Arial"/>
          <w:color w:val="000000"/>
          <w:sz w:val="20"/>
        </w:rPr>
        <w:t xml:space="preserve">  At [102]-[10</w:t>
      </w:r>
      <w:r w:rsidR="0082709A">
        <w:rPr>
          <w:rFonts w:ascii="Arial" w:hAnsi="Arial" w:cs="Arial"/>
          <w:color w:val="000000"/>
          <w:sz w:val="20"/>
        </w:rPr>
        <w:t>7</w:t>
      </w:r>
      <w:r w:rsidR="00977CC8">
        <w:rPr>
          <w:rFonts w:ascii="Arial" w:hAnsi="Arial" w:cs="Arial"/>
          <w:color w:val="000000"/>
          <w:sz w:val="20"/>
        </w:rPr>
        <w:t>] her Honour said:</w:t>
      </w:r>
    </w:p>
    <w:p w14:paraId="6E1F3AB4" w14:textId="0BFDDC2F" w:rsidR="00977CC8" w:rsidRDefault="00977CC8" w:rsidP="00977CC8">
      <w:pPr>
        <w:spacing w:before="60"/>
        <w:ind w:left="567" w:right="567"/>
        <w:jc w:val="both"/>
        <w:rPr>
          <w:rFonts w:ascii="Arial" w:hAnsi="Arial" w:cs="Arial"/>
          <w:sz w:val="20"/>
          <w:szCs w:val="20"/>
        </w:rPr>
      </w:pPr>
      <w:r>
        <w:rPr>
          <w:rFonts w:ascii="Arial" w:hAnsi="Arial" w:cs="Arial"/>
          <w:color w:val="000000"/>
          <w:sz w:val="20"/>
        </w:rPr>
        <w:t>[102] “</w:t>
      </w:r>
      <w:r w:rsidRPr="00977CC8">
        <w:rPr>
          <w:rFonts w:ascii="Arial" w:hAnsi="Arial" w:cs="Arial"/>
          <w:sz w:val="20"/>
          <w:szCs w:val="20"/>
        </w:rPr>
        <w:t xml:space="preserve">Along with </w:t>
      </w:r>
      <w:r w:rsidRPr="00977CC8">
        <w:rPr>
          <w:rFonts w:ascii="Arial" w:hAnsi="Arial" w:cs="Arial"/>
          <w:i/>
          <w:iCs/>
          <w:sz w:val="20"/>
          <w:szCs w:val="20"/>
        </w:rPr>
        <w:t>Todd v The Queen</w:t>
      </w:r>
      <w:r w:rsidRPr="00977CC8">
        <w:rPr>
          <w:rFonts w:ascii="Arial" w:hAnsi="Arial" w:cs="Arial"/>
          <w:sz w:val="20"/>
          <w:szCs w:val="20"/>
        </w:rPr>
        <w:t xml:space="preserve"> [2020] VSCA 46 and </w:t>
      </w:r>
      <w:r w:rsidRPr="00977CC8">
        <w:rPr>
          <w:rFonts w:ascii="Arial" w:hAnsi="Arial" w:cs="Arial"/>
          <w:i/>
          <w:iCs/>
          <w:sz w:val="20"/>
          <w:szCs w:val="20"/>
        </w:rPr>
        <w:t>DPP v Herrmann</w:t>
      </w:r>
      <w:r>
        <w:rPr>
          <w:rFonts w:ascii="Arial" w:hAnsi="Arial" w:cs="Arial"/>
          <w:sz w:val="20"/>
          <w:szCs w:val="20"/>
        </w:rPr>
        <w:t xml:space="preserve"> [2021] VSCA 160</w:t>
      </w:r>
      <w:r w:rsidRPr="00977CC8">
        <w:rPr>
          <w:rFonts w:ascii="Arial" w:hAnsi="Arial" w:cs="Arial"/>
          <w:sz w:val="20"/>
          <w:szCs w:val="20"/>
        </w:rPr>
        <w:t>, I have considered other sentences imposed for serious examples of murder</w:t>
      </w:r>
      <w:r>
        <w:rPr>
          <w:rFonts w:ascii="Arial" w:hAnsi="Arial" w:cs="Arial"/>
          <w:sz w:val="20"/>
          <w:szCs w:val="20"/>
        </w:rPr>
        <w:t>, including those contained in tables provided by the parties</w:t>
      </w:r>
      <w:r w:rsidRPr="00977CC8">
        <w:rPr>
          <w:rFonts w:ascii="Arial" w:hAnsi="Arial" w:cs="Arial"/>
          <w:sz w:val="20"/>
          <w:szCs w:val="20"/>
        </w:rPr>
        <w:t xml:space="preserve"> since the standard sentencing regime was put in place</w:t>
      </w:r>
      <w:r>
        <w:rPr>
          <w:rFonts w:ascii="Arial" w:hAnsi="Arial" w:cs="Arial"/>
          <w:sz w:val="20"/>
          <w:szCs w:val="20"/>
        </w:rPr>
        <w:t xml:space="preserve"> per s.5B(2)(b) of the </w:t>
      </w:r>
      <w:r w:rsidRPr="00977CC8">
        <w:rPr>
          <w:rFonts w:ascii="Arial" w:hAnsi="Arial" w:cs="Arial"/>
          <w:i/>
          <w:iCs/>
          <w:sz w:val="20"/>
          <w:szCs w:val="20"/>
        </w:rPr>
        <w:t>Sentencing Act 1991</w:t>
      </w:r>
      <w:r>
        <w:rPr>
          <w:rFonts w:ascii="Arial" w:hAnsi="Arial" w:cs="Arial"/>
          <w:sz w:val="20"/>
          <w:szCs w:val="20"/>
        </w:rPr>
        <w:t xml:space="preserve"> (Vic).  </w:t>
      </w:r>
      <w:r w:rsidRPr="00977CC8">
        <w:rPr>
          <w:rFonts w:ascii="Arial" w:hAnsi="Arial" w:cs="Arial"/>
          <w:sz w:val="20"/>
          <w:szCs w:val="20"/>
        </w:rPr>
        <w:t xml:space="preserve">Some of these cases engaged </w:t>
      </w:r>
      <w:r w:rsidRPr="006E4A97">
        <w:rPr>
          <w:rFonts w:ascii="Arial" w:hAnsi="Arial" w:cs="Arial"/>
          <w:i/>
          <w:iCs/>
          <w:sz w:val="20"/>
          <w:szCs w:val="20"/>
        </w:rPr>
        <w:t>Verdins</w:t>
      </w:r>
      <w:r w:rsidRPr="00977CC8">
        <w:rPr>
          <w:rFonts w:ascii="Arial" w:hAnsi="Arial" w:cs="Arial"/>
          <w:sz w:val="20"/>
          <w:szCs w:val="20"/>
        </w:rPr>
        <w:t xml:space="preserve"> principles, whilst others did not. In </w:t>
      </w:r>
      <w:r w:rsidRPr="00977CC8">
        <w:rPr>
          <w:rFonts w:ascii="Arial" w:hAnsi="Arial" w:cs="Arial"/>
          <w:i/>
          <w:iCs/>
          <w:sz w:val="20"/>
          <w:szCs w:val="20"/>
        </w:rPr>
        <w:t>R v Robertson</w:t>
      </w:r>
      <w:r>
        <w:rPr>
          <w:rFonts w:ascii="Arial" w:hAnsi="Arial" w:cs="Arial"/>
          <w:sz w:val="20"/>
          <w:szCs w:val="20"/>
        </w:rPr>
        <w:t xml:space="preserve"> [2019] VSC 145 {IMP24y/19y} </w:t>
      </w:r>
      <w:r w:rsidRPr="00977CC8">
        <w:rPr>
          <w:rFonts w:ascii="Arial" w:hAnsi="Arial" w:cs="Arial"/>
          <w:sz w:val="20"/>
          <w:szCs w:val="20"/>
        </w:rPr>
        <w:t>the offender became jealous over his partner and engaged in surveillance of her via social media and other means. After being told she wished to separate, he used an iron dumbbell to savagely attack her while she was lying on the bed talking on the phone. The couple’s daughter was asleep in another room at the time. The offence was described by the sentencing judge as a grave example of the offence of murder falling above the middle range of seriousness. Tables produced by the parties at the hearing of your plea included several other cases of intimate partner violence where the victims had rejected the offender in some way or had sought intervention orders to keep the offender away.</w:t>
      </w:r>
    </w:p>
    <w:p w14:paraId="31549F36" w14:textId="495CDD65" w:rsidR="00977CC8" w:rsidRPr="00977CC8" w:rsidRDefault="00977CC8" w:rsidP="00977CC8">
      <w:pPr>
        <w:spacing w:before="60"/>
        <w:ind w:left="1021" w:right="1021"/>
        <w:jc w:val="both"/>
        <w:rPr>
          <w:rFonts w:ascii="Arial" w:hAnsi="Arial" w:cs="Arial"/>
          <w:sz w:val="18"/>
          <w:szCs w:val="18"/>
        </w:rPr>
      </w:pPr>
      <w:r w:rsidRPr="00977CC8">
        <w:rPr>
          <w:rFonts w:ascii="Arial" w:hAnsi="Arial" w:cs="Arial"/>
          <w:i/>
          <w:iCs/>
          <w:sz w:val="18"/>
          <w:szCs w:val="18"/>
        </w:rPr>
        <w:t>R v Cameron</w:t>
      </w:r>
      <w:r w:rsidRPr="00977CC8">
        <w:rPr>
          <w:rFonts w:ascii="Arial" w:hAnsi="Arial" w:cs="Arial"/>
          <w:sz w:val="18"/>
          <w:szCs w:val="18"/>
        </w:rPr>
        <w:t xml:space="preserve"> [2020] VSC 334 – guilty plea to a ‘very serious example of murder’, offender inflicted multiple stab wounds on victim while she was lying on the bed: 29</w:t>
      </w:r>
      <w:r w:rsidR="00A842B8">
        <w:rPr>
          <w:rFonts w:ascii="Arial" w:hAnsi="Arial" w:cs="Arial"/>
          <w:sz w:val="18"/>
          <w:szCs w:val="18"/>
        </w:rPr>
        <w:t> </w:t>
      </w:r>
      <w:r w:rsidRPr="00977CC8">
        <w:rPr>
          <w:rFonts w:ascii="Arial" w:hAnsi="Arial" w:cs="Arial"/>
          <w:sz w:val="18"/>
          <w:szCs w:val="18"/>
        </w:rPr>
        <w:t xml:space="preserve">years’ imprisonment, non-parole period (‘NPP’) 23 years; </w:t>
      </w:r>
      <w:r w:rsidRPr="00977CC8">
        <w:rPr>
          <w:rFonts w:ascii="Arial" w:hAnsi="Arial" w:cs="Arial"/>
          <w:i/>
          <w:iCs/>
          <w:sz w:val="18"/>
          <w:szCs w:val="18"/>
        </w:rPr>
        <w:t>DPP v Coman</w:t>
      </w:r>
      <w:r w:rsidRPr="00977CC8">
        <w:rPr>
          <w:rFonts w:ascii="Arial" w:hAnsi="Arial" w:cs="Arial"/>
          <w:sz w:val="18"/>
          <w:szCs w:val="18"/>
        </w:rPr>
        <w:t xml:space="preserve"> [2023] VSC 159 – early guilty plea, the offender was suffering psychotic depression when he stabbed his pregnant partner to death, described as falling above the mid-range of seriousness: 25 years’ imprisonment, NPP 20 years; </w:t>
      </w:r>
      <w:r w:rsidRPr="00977CC8">
        <w:rPr>
          <w:rFonts w:ascii="Arial" w:hAnsi="Arial" w:cs="Arial"/>
          <w:i/>
          <w:iCs/>
          <w:sz w:val="18"/>
          <w:szCs w:val="18"/>
        </w:rPr>
        <w:t>DPP v Gonzalez</w:t>
      </w:r>
      <w:r w:rsidRPr="00977CC8">
        <w:rPr>
          <w:rFonts w:ascii="Arial" w:hAnsi="Arial" w:cs="Arial"/>
          <w:sz w:val="18"/>
          <w:szCs w:val="18"/>
        </w:rPr>
        <w:t xml:space="preserve"> [2022] VSC 331 – guilty plea to planned murder of ex-girlfriend by trespass into her home and shooting her twice at close range, previous rejection by victim: 24 years’ imprisonment, NPP 17</w:t>
      </w:r>
      <w:r w:rsidR="00A842B8">
        <w:rPr>
          <w:rFonts w:ascii="Arial" w:hAnsi="Arial" w:cs="Arial"/>
          <w:sz w:val="18"/>
          <w:szCs w:val="18"/>
        </w:rPr>
        <w:t> </w:t>
      </w:r>
      <w:r w:rsidRPr="00977CC8">
        <w:rPr>
          <w:rFonts w:ascii="Arial" w:hAnsi="Arial" w:cs="Arial"/>
          <w:sz w:val="18"/>
          <w:szCs w:val="18"/>
        </w:rPr>
        <w:t xml:space="preserve">years; </w:t>
      </w:r>
      <w:r w:rsidRPr="00977CC8">
        <w:rPr>
          <w:rFonts w:ascii="Arial" w:hAnsi="Arial" w:cs="Arial"/>
          <w:i/>
          <w:iCs/>
          <w:sz w:val="18"/>
          <w:szCs w:val="18"/>
        </w:rPr>
        <w:t>R v Margolis</w:t>
      </w:r>
      <w:r w:rsidRPr="00977CC8">
        <w:rPr>
          <w:rFonts w:ascii="Arial" w:hAnsi="Arial" w:cs="Arial"/>
          <w:sz w:val="18"/>
          <w:szCs w:val="18"/>
        </w:rPr>
        <w:t xml:space="preserve"> [2021] VSC 341 – conviction following trial, the offender choked his 26 year-old girlfriend to death during an argument, the pair had been in a brief relationship, offender’s moral culpability reduced by his severe PD and PTSD, guarded prospects for rehabilitation: 23 years’ imprisonment, NPP 17 years; </w:t>
      </w:r>
      <w:r w:rsidRPr="00977CC8">
        <w:rPr>
          <w:rFonts w:ascii="Arial" w:hAnsi="Arial" w:cs="Arial"/>
          <w:i/>
          <w:iCs/>
          <w:sz w:val="18"/>
          <w:szCs w:val="18"/>
        </w:rPr>
        <w:t>DPP v Bell</w:t>
      </w:r>
      <w:r w:rsidRPr="00977CC8">
        <w:rPr>
          <w:rFonts w:ascii="Arial" w:hAnsi="Arial" w:cs="Arial"/>
          <w:sz w:val="18"/>
          <w:szCs w:val="18"/>
        </w:rPr>
        <w:t xml:space="preserve"> [2020] VSC 664 – guilty plea, the offender strangled his partner in breach of family violence intervention order (‘FVIO’), </w:t>
      </w:r>
      <w:r w:rsidRPr="00977CC8">
        <w:rPr>
          <w:rFonts w:ascii="Arial" w:hAnsi="Arial" w:cs="Arial"/>
          <w:i/>
          <w:iCs/>
          <w:sz w:val="18"/>
          <w:szCs w:val="18"/>
        </w:rPr>
        <w:t>Verdins</w:t>
      </w:r>
      <w:r w:rsidRPr="00977CC8">
        <w:rPr>
          <w:rFonts w:ascii="Arial" w:hAnsi="Arial" w:cs="Arial"/>
          <w:sz w:val="18"/>
          <w:szCs w:val="18"/>
        </w:rPr>
        <w:t xml:space="preserve"> applicable but rehabilitative prospects guarded: 21</w:t>
      </w:r>
      <w:r w:rsidR="00A842B8">
        <w:rPr>
          <w:rFonts w:ascii="Arial" w:hAnsi="Arial" w:cs="Arial"/>
          <w:sz w:val="18"/>
          <w:szCs w:val="18"/>
        </w:rPr>
        <w:t> </w:t>
      </w:r>
      <w:r w:rsidRPr="00977CC8">
        <w:rPr>
          <w:rFonts w:ascii="Arial" w:hAnsi="Arial" w:cs="Arial"/>
          <w:sz w:val="18"/>
          <w:szCs w:val="18"/>
        </w:rPr>
        <w:t xml:space="preserve">years’ imprisonment, NPP 15 years; </w:t>
      </w:r>
      <w:r w:rsidRPr="00977CC8">
        <w:rPr>
          <w:rFonts w:ascii="Arial" w:hAnsi="Arial" w:cs="Arial"/>
          <w:i/>
          <w:iCs/>
          <w:sz w:val="18"/>
          <w:szCs w:val="18"/>
        </w:rPr>
        <w:t>DPP v Fairhall</w:t>
      </w:r>
      <w:r w:rsidRPr="00977CC8">
        <w:rPr>
          <w:rFonts w:ascii="Arial" w:hAnsi="Arial" w:cs="Arial"/>
          <w:sz w:val="18"/>
          <w:szCs w:val="18"/>
        </w:rPr>
        <w:t xml:space="preserve"> [2022] VSC 444 – conviction after trial, stabbing of intimate partner in breach of FVIO, </w:t>
      </w:r>
      <w:r w:rsidRPr="00977CC8">
        <w:rPr>
          <w:rFonts w:ascii="Arial" w:hAnsi="Arial" w:cs="Arial"/>
          <w:i/>
          <w:iCs/>
          <w:sz w:val="18"/>
          <w:szCs w:val="18"/>
        </w:rPr>
        <w:t>Verdins</w:t>
      </w:r>
      <w:r w:rsidRPr="00977CC8">
        <w:rPr>
          <w:rFonts w:ascii="Arial" w:hAnsi="Arial" w:cs="Arial"/>
          <w:sz w:val="18"/>
          <w:szCs w:val="18"/>
        </w:rPr>
        <w:t xml:space="preserve"> and </w:t>
      </w:r>
      <w:r w:rsidRPr="00977CC8">
        <w:rPr>
          <w:rFonts w:ascii="Arial" w:hAnsi="Arial" w:cs="Arial"/>
          <w:i/>
          <w:iCs/>
          <w:sz w:val="18"/>
          <w:szCs w:val="18"/>
        </w:rPr>
        <w:t>Bugmy</w:t>
      </w:r>
      <w:r w:rsidRPr="00977CC8">
        <w:rPr>
          <w:rFonts w:ascii="Arial" w:hAnsi="Arial" w:cs="Arial"/>
          <w:sz w:val="18"/>
          <w:szCs w:val="18"/>
        </w:rPr>
        <w:t xml:space="preserve"> factors applied: 25 years’ imprisonment, NPP 18 years and 6 months; </w:t>
      </w:r>
      <w:r w:rsidRPr="00977CC8">
        <w:rPr>
          <w:rFonts w:ascii="Arial" w:hAnsi="Arial" w:cs="Arial"/>
          <w:i/>
          <w:iCs/>
          <w:sz w:val="18"/>
          <w:szCs w:val="18"/>
        </w:rPr>
        <w:t>R v Basham</w:t>
      </w:r>
      <w:r w:rsidRPr="00977CC8">
        <w:rPr>
          <w:rFonts w:ascii="Arial" w:hAnsi="Arial" w:cs="Arial"/>
          <w:sz w:val="18"/>
          <w:szCs w:val="18"/>
        </w:rPr>
        <w:t xml:space="preserve"> [2023] VSC 79 – conviction following trial, planned murder by trespass into garage of home of estranged wife in breach of FVIO and infliction of 41 blunt force injuries, motivated to prevent her giving evidence on charges of raping her, victim’s body placed in a noose to appear as it suicide, offending described as ‘far exceed[ing] the middle of the range of seriousness’ and ‘at the highest end of that scale’: life imprisonment, NPP 30 years.</w:t>
      </w:r>
    </w:p>
    <w:p w14:paraId="5394AF73" w14:textId="73121054" w:rsidR="00A842B8" w:rsidRDefault="00977CC8" w:rsidP="00A842B8">
      <w:pPr>
        <w:spacing w:before="60"/>
        <w:ind w:left="567" w:right="567"/>
        <w:jc w:val="both"/>
        <w:rPr>
          <w:rFonts w:ascii="Arial" w:hAnsi="Arial" w:cs="Arial"/>
          <w:sz w:val="20"/>
          <w:szCs w:val="20"/>
        </w:rPr>
      </w:pPr>
      <w:r w:rsidRPr="00977CC8">
        <w:rPr>
          <w:rFonts w:ascii="Arial" w:hAnsi="Arial" w:cs="Arial"/>
          <w:sz w:val="20"/>
          <w:szCs w:val="20"/>
        </w:rPr>
        <w:t>A distinguishing feature in this case is the absence of</w:t>
      </w:r>
      <w:r w:rsidR="00A842B8">
        <w:rPr>
          <w:rFonts w:ascii="Arial" w:hAnsi="Arial" w:cs="Arial"/>
          <w:sz w:val="20"/>
          <w:szCs w:val="20"/>
        </w:rPr>
        <w:t xml:space="preserve"> </w:t>
      </w:r>
      <w:r w:rsidRPr="00977CC8">
        <w:rPr>
          <w:rFonts w:ascii="Arial" w:hAnsi="Arial" w:cs="Arial"/>
          <w:sz w:val="20"/>
          <w:szCs w:val="20"/>
        </w:rPr>
        <w:t>any pre-existing intimate relationship.</w:t>
      </w:r>
      <w:r w:rsidR="00A842B8">
        <w:rPr>
          <w:rFonts w:ascii="Arial" w:hAnsi="Arial" w:cs="Arial"/>
          <w:sz w:val="20"/>
          <w:szCs w:val="20"/>
        </w:rPr>
        <w:t xml:space="preserve"> </w:t>
      </w:r>
      <w:r w:rsidR="00A842B8" w:rsidRPr="00977CC8">
        <w:rPr>
          <w:rFonts w:ascii="Arial" w:hAnsi="Arial" w:cs="Arial"/>
          <w:sz w:val="20"/>
          <w:szCs w:val="20"/>
        </w:rPr>
        <w:t>Refer, eg, Defence Submissions on Sentence, [88]: ‘Sentences that are comparable to the instant offending are difficult to identify. … Many of the cases involve offending against former partners; this is an inelegant fit for the offending before the Court’.</w:t>
      </w:r>
    </w:p>
    <w:p w14:paraId="46FE2DDD" w14:textId="23DAF3EA" w:rsidR="00A842B8"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103</w:t>
      </w:r>
      <w:r>
        <w:rPr>
          <w:rFonts w:ascii="Arial" w:hAnsi="Arial" w:cs="Arial"/>
          <w:sz w:val="20"/>
          <w:szCs w:val="20"/>
        </w:rPr>
        <w:t>]</w:t>
      </w:r>
      <w:r w:rsidR="00977CC8" w:rsidRPr="00977CC8">
        <w:rPr>
          <w:rFonts w:ascii="Arial" w:hAnsi="Arial" w:cs="Arial"/>
          <w:sz w:val="20"/>
          <w:szCs w:val="20"/>
        </w:rPr>
        <w:t xml:space="preserve"> Two cases worthy of mention did not involve intimate partner violence. In </w:t>
      </w:r>
      <w:r w:rsidR="00977CC8" w:rsidRPr="00A842B8">
        <w:rPr>
          <w:rFonts w:ascii="Arial" w:hAnsi="Arial" w:cs="Arial"/>
          <w:i/>
          <w:iCs/>
          <w:sz w:val="20"/>
          <w:szCs w:val="20"/>
        </w:rPr>
        <w:t>DPP v Bednar</w:t>
      </w:r>
      <w:r>
        <w:rPr>
          <w:rFonts w:ascii="Arial" w:hAnsi="Arial" w:cs="Arial"/>
          <w:i/>
          <w:iCs/>
          <w:sz w:val="20"/>
          <w:szCs w:val="20"/>
        </w:rPr>
        <w:t xml:space="preserve"> </w:t>
      </w:r>
      <w:r w:rsidRPr="00A842B8">
        <w:rPr>
          <w:rFonts w:ascii="Arial" w:hAnsi="Arial" w:cs="Arial"/>
          <w:sz w:val="20"/>
          <w:szCs w:val="20"/>
        </w:rPr>
        <w:t>[2023] VSC 67 {29 years’ imprisonment, NPP 23 years</w:t>
      </w:r>
      <w:r w:rsidR="001F3C1C">
        <w:rPr>
          <w:rFonts w:ascii="Arial" w:hAnsi="Arial" w:cs="Arial"/>
          <w:sz w:val="20"/>
          <w:szCs w:val="20"/>
        </w:rPr>
        <w:t xml:space="preserve"> reduced on appeal in [2024] VSCA 180 to 25 years’ imprisonment, NPP 20 years},</w:t>
      </w:r>
      <w:r w:rsidR="00977CC8" w:rsidRPr="00977CC8">
        <w:rPr>
          <w:rFonts w:ascii="Arial" w:hAnsi="Arial" w:cs="Arial"/>
          <w:sz w:val="20"/>
          <w:szCs w:val="20"/>
        </w:rPr>
        <w:t xml:space="preserve"> the offender targeted his elderly mother with a campaign of intimidation and harassment leading up to a planned murder. He broke into her home in breach of an intervention order and inflicted a ferocious beating and then returned two days later to take steps to conceal his involvement. There was no remorse and moral culpability was described as ‘exceedingly high’, with the offence falling comfortably in the upper range of seriousness. </w:t>
      </w:r>
      <w:r w:rsidR="00977CC8" w:rsidRPr="00A842B8">
        <w:rPr>
          <w:rFonts w:ascii="Arial" w:hAnsi="Arial" w:cs="Arial"/>
          <w:i/>
          <w:iCs/>
          <w:sz w:val="20"/>
          <w:szCs w:val="20"/>
        </w:rPr>
        <w:t>R v Leigh</w:t>
      </w:r>
      <w:r>
        <w:rPr>
          <w:rFonts w:ascii="Arial" w:hAnsi="Arial" w:cs="Arial"/>
          <w:sz w:val="20"/>
          <w:szCs w:val="20"/>
        </w:rPr>
        <w:t xml:space="preserve"> </w:t>
      </w:r>
      <w:r w:rsidRPr="00A842B8">
        <w:rPr>
          <w:rFonts w:ascii="Arial" w:hAnsi="Arial" w:cs="Arial"/>
          <w:sz w:val="20"/>
          <w:szCs w:val="20"/>
        </w:rPr>
        <w:t>[20</w:t>
      </w:r>
      <w:r>
        <w:rPr>
          <w:rFonts w:ascii="Arial" w:hAnsi="Arial" w:cs="Arial"/>
          <w:sz w:val="20"/>
          <w:szCs w:val="20"/>
        </w:rPr>
        <w:t>19</w:t>
      </w:r>
      <w:r w:rsidRPr="00A842B8">
        <w:rPr>
          <w:rFonts w:ascii="Arial" w:hAnsi="Arial" w:cs="Arial"/>
          <w:sz w:val="20"/>
          <w:szCs w:val="20"/>
        </w:rPr>
        <w:t xml:space="preserve">] VSC </w:t>
      </w:r>
      <w:r>
        <w:rPr>
          <w:rFonts w:ascii="Arial" w:hAnsi="Arial" w:cs="Arial"/>
          <w:sz w:val="20"/>
          <w:szCs w:val="20"/>
        </w:rPr>
        <w:t>378</w:t>
      </w:r>
      <w:r w:rsidRPr="00A842B8">
        <w:rPr>
          <w:rFonts w:ascii="Arial" w:hAnsi="Arial" w:cs="Arial"/>
          <w:sz w:val="20"/>
          <w:szCs w:val="20"/>
        </w:rPr>
        <w:t xml:space="preserve"> {2</w:t>
      </w:r>
      <w:r>
        <w:rPr>
          <w:rFonts w:ascii="Arial" w:hAnsi="Arial" w:cs="Arial"/>
          <w:sz w:val="20"/>
          <w:szCs w:val="20"/>
        </w:rPr>
        <w:t>8</w:t>
      </w:r>
      <w:r w:rsidRPr="00A842B8">
        <w:rPr>
          <w:rFonts w:ascii="Arial" w:hAnsi="Arial" w:cs="Arial"/>
          <w:sz w:val="20"/>
          <w:szCs w:val="20"/>
        </w:rPr>
        <w:t xml:space="preserve"> years’ imprisonment, NPP 2</w:t>
      </w:r>
      <w:r>
        <w:rPr>
          <w:rFonts w:ascii="Arial" w:hAnsi="Arial" w:cs="Arial"/>
          <w:sz w:val="20"/>
          <w:szCs w:val="20"/>
        </w:rPr>
        <w:t>2</w:t>
      </w:r>
      <w:r w:rsidRPr="00A842B8">
        <w:rPr>
          <w:rFonts w:ascii="Arial" w:hAnsi="Arial" w:cs="Arial"/>
          <w:sz w:val="20"/>
          <w:szCs w:val="20"/>
        </w:rPr>
        <w:t xml:space="preserve"> years}</w:t>
      </w:r>
      <w:r>
        <w:rPr>
          <w:rFonts w:ascii="Arial" w:hAnsi="Arial" w:cs="Arial"/>
          <w:sz w:val="20"/>
          <w:szCs w:val="20"/>
        </w:rPr>
        <w:t xml:space="preserve"> </w:t>
      </w:r>
      <w:r w:rsidR="00977CC8" w:rsidRPr="00977CC8">
        <w:rPr>
          <w:rFonts w:ascii="Arial" w:hAnsi="Arial" w:cs="Arial"/>
          <w:sz w:val="20"/>
          <w:szCs w:val="20"/>
        </w:rPr>
        <w:t xml:space="preserve">involved a guilty plea where the offender committed a pre-planned, brutal and callous murder of the disabled victim whilst </w:t>
      </w:r>
      <w:r w:rsidR="00977CC8" w:rsidRPr="00977CC8">
        <w:rPr>
          <w:rFonts w:ascii="Arial" w:hAnsi="Arial" w:cs="Arial"/>
          <w:sz w:val="20"/>
          <w:szCs w:val="20"/>
        </w:rPr>
        <w:lastRenderedPageBreak/>
        <w:t xml:space="preserve">visiting him on the pretext of discussing an unpaid debt. He lured the victim into the bathroom and stabbed him 34 times. The murder was described as falling above the mid-range of the spectrum of seriousness. </w:t>
      </w:r>
    </w:p>
    <w:p w14:paraId="6854F167" w14:textId="769A36FA" w:rsidR="0082709A"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104</w:t>
      </w:r>
      <w:r>
        <w:rPr>
          <w:rFonts w:ascii="Arial" w:hAnsi="Arial" w:cs="Arial"/>
          <w:sz w:val="20"/>
          <w:szCs w:val="20"/>
        </w:rPr>
        <w:t>]</w:t>
      </w:r>
      <w:r w:rsidR="00977CC8" w:rsidRPr="00977CC8">
        <w:rPr>
          <w:rFonts w:ascii="Arial" w:hAnsi="Arial" w:cs="Arial"/>
          <w:sz w:val="20"/>
          <w:szCs w:val="20"/>
        </w:rPr>
        <w:t xml:space="preserve"> I have considered current sentencing practice as I am required to do, but previous sentences do not create a precedent which must be followed unless capable of being distinguished</w:t>
      </w:r>
      <w:r>
        <w:rPr>
          <w:rFonts w:ascii="Arial" w:hAnsi="Arial" w:cs="Arial"/>
          <w:sz w:val="20"/>
          <w:szCs w:val="20"/>
        </w:rPr>
        <w:t xml:space="preserve">: see e.g. </w:t>
      </w:r>
      <w:r w:rsidRPr="0082709A">
        <w:rPr>
          <w:rFonts w:ascii="Arial" w:hAnsi="Arial" w:cs="Arial"/>
          <w:i/>
          <w:iCs/>
          <w:sz w:val="20"/>
          <w:szCs w:val="20"/>
        </w:rPr>
        <w:t>Todd v The Queen</w:t>
      </w:r>
      <w:r>
        <w:rPr>
          <w:rFonts w:ascii="Arial" w:hAnsi="Arial" w:cs="Arial"/>
          <w:sz w:val="20"/>
          <w:szCs w:val="20"/>
        </w:rPr>
        <w:t xml:space="preserve"> [2020] VSCA 46, [54]; </w:t>
      </w:r>
      <w:r w:rsidRPr="0082709A">
        <w:rPr>
          <w:rFonts w:ascii="Arial" w:hAnsi="Arial" w:cs="Arial"/>
          <w:i/>
          <w:iCs/>
          <w:sz w:val="20"/>
          <w:szCs w:val="20"/>
        </w:rPr>
        <w:t xml:space="preserve">Likiardopoulos v R </w:t>
      </w:r>
      <w:r>
        <w:rPr>
          <w:rFonts w:ascii="Arial" w:hAnsi="Arial" w:cs="Arial"/>
          <w:sz w:val="20"/>
          <w:szCs w:val="20"/>
        </w:rPr>
        <w:t>(2010) 30 VR 654</w:t>
      </w:r>
      <w:r w:rsidR="0082709A">
        <w:rPr>
          <w:rFonts w:ascii="Arial" w:hAnsi="Arial" w:cs="Arial"/>
          <w:sz w:val="20"/>
          <w:szCs w:val="20"/>
        </w:rPr>
        <w:t>, 690 [172]</w:t>
      </w:r>
      <w:r w:rsidR="00977CC8" w:rsidRPr="00977CC8">
        <w:rPr>
          <w:rFonts w:ascii="Arial" w:hAnsi="Arial" w:cs="Arial"/>
          <w:sz w:val="20"/>
          <w:szCs w:val="20"/>
        </w:rPr>
        <w:t>.</w:t>
      </w:r>
    </w:p>
    <w:p w14:paraId="66D3E0A9" w14:textId="56FAA3FB"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105</w:t>
      </w:r>
      <w:r>
        <w:rPr>
          <w:rFonts w:ascii="Arial" w:hAnsi="Arial" w:cs="Arial"/>
          <w:sz w:val="20"/>
          <w:szCs w:val="20"/>
        </w:rPr>
        <w:t>]</w:t>
      </w:r>
      <w:r w:rsidR="00977CC8" w:rsidRPr="00977CC8">
        <w:rPr>
          <w:rFonts w:ascii="Arial" w:hAnsi="Arial" w:cs="Arial"/>
          <w:sz w:val="20"/>
          <w:szCs w:val="20"/>
        </w:rPr>
        <w:t xml:space="preserve"> 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w:t>
      </w:r>
      <w:r w:rsidR="00977CC8" w:rsidRPr="00977CC8">
        <w:rPr>
          <w:rFonts w:ascii="Arial" w:hAnsi="Arial" w:cs="Arial"/>
          <w:sz w:val="20"/>
          <w:szCs w:val="20"/>
        </w:rPr>
        <w:t xml:space="preserve"> As noted by Hollingworth J in </w:t>
      </w:r>
      <w:r w:rsidR="00977CC8" w:rsidRPr="0082709A">
        <w:rPr>
          <w:rFonts w:ascii="Arial" w:hAnsi="Arial" w:cs="Arial"/>
          <w:i/>
          <w:iCs/>
          <w:sz w:val="20"/>
          <w:szCs w:val="20"/>
        </w:rPr>
        <w:t>Herrmann</w:t>
      </w:r>
      <w:r w:rsidR="00977CC8"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00977CC8" w:rsidRPr="00977CC8">
        <w:rPr>
          <w:rFonts w:ascii="Arial" w:hAnsi="Arial" w:cs="Arial"/>
          <w:sz w:val="20"/>
          <w:szCs w:val="20"/>
        </w:rPr>
        <w:t>. Justice Hollingworth said</w:t>
      </w:r>
      <w:r>
        <w:rPr>
          <w:rFonts w:ascii="Arial" w:hAnsi="Arial" w:cs="Arial"/>
          <w:sz w:val="20"/>
          <w:szCs w:val="20"/>
        </w:rPr>
        <w:t xml:space="preserve"> at [104]</w:t>
      </w:r>
      <w:r w:rsidR="00977CC8" w:rsidRPr="00977CC8">
        <w:rPr>
          <w:rFonts w:ascii="Arial" w:hAnsi="Arial" w:cs="Arial"/>
          <w:sz w:val="20"/>
          <w:szCs w:val="20"/>
        </w:rPr>
        <w:t>:</w:t>
      </w:r>
    </w:p>
    <w:p w14:paraId="2EA34611" w14:textId="48B07897" w:rsidR="0082709A" w:rsidRPr="0082709A" w:rsidRDefault="0082709A" w:rsidP="0082709A">
      <w:pPr>
        <w:spacing w:before="60"/>
        <w:ind w:left="1021" w:right="1021"/>
        <w:jc w:val="both"/>
        <w:rPr>
          <w:rFonts w:ascii="Arial" w:hAnsi="Arial" w:cs="Arial"/>
          <w:sz w:val="18"/>
          <w:szCs w:val="18"/>
        </w:rPr>
      </w:pPr>
      <w:r w:rsidRPr="0082709A">
        <w:rPr>
          <w:rFonts w:ascii="Arial" w:hAnsi="Arial" w:cs="Arial"/>
          <w:sz w:val="18"/>
          <w:szCs w:val="18"/>
        </w:rPr>
        <w:t>‘</w:t>
      </w:r>
      <w:r w:rsidR="00977CC8"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w:t>
      </w:r>
      <w:r w:rsidRPr="0082709A">
        <w:rPr>
          <w:rFonts w:ascii="Arial" w:hAnsi="Arial" w:cs="Arial"/>
          <w:sz w:val="18"/>
          <w:szCs w:val="18"/>
        </w:rPr>
        <w:t>method of sentencing.</w:t>
      </w:r>
      <w:r>
        <w:rPr>
          <w:rFonts w:ascii="Arial" w:hAnsi="Arial" w:cs="Arial"/>
          <w:sz w:val="18"/>
          <w:szCs w:val="18"/>
        </w:rPr>
        <w:t>’</w:t>
      </w:r>
    </w:p>
    <w:p w14:paraId="1BC62DD6" w14:textId="46DB2455"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106</w:t>
      </w:r>
      <w:r>
        <w:rPr>
          <w:rFonts w:ascii="Arial" w:hAnsi="Arial" w:cs="Arial"/>
          <w:sz w:val="20"/>
          <w:szCs w:val="20"/>
        </w:rPr>
        <w:t>]</w:t>
      </w:r>
      <w:r w:rsidRPr="00977CC8">
        <w:rPr>
          <w:rFonts w:ascii="Arial" w:hAnsi="Arial" w:cs="Arial"/>
          <w:sz w:val="20"/>
          <w:szCs w:val="20"/>
        </w:rPr>
        <w:t xml:space="preserve"> In my view, the objective factors attaching to your offence place it well above the ‘middle of the range’ of seriousness. However, in sentencing you, I am required to synthesise all of the matters I have discussed, including matters personal to you.</w:t>
      </w:r>
    </w:p>
    <w:p w14:paraId="4FEAA1B5" w14:textId="42B19D40" w:rsidR="0082709A" w:rsidRDefault="0082709A" w:rsidP="00A842B8">
      <w:pPr>
        <w:spacing w:before="60"/>
        <w:ind w:left="567" w:right="567"/>
        <w:jc w:val="both"/>
        <w:rPr>
          <w:rFonts w:ascii="Arial" w:hAnsi="Arial" w:cs="Arial"/>
          <w:sz w:val="20"/>
          <w:szCs w:val="20"/>
        </w:rPr>
      </w:pPr>
      <w:r>
        <w:rPr>
          <w:rFonts w:ascii="Arial" w:hAnsi="Arial" w:cs="Arial"/>
          <w:sz w:val="20"/>
          <w:szCs w:val="20"/>
        </w:rPr>
        <w:t xml:space="preserve">[107] </w:t>
      </w:r>
      <w:r w:rsidRPr="00977CC8">
        <w:rPr>
          <w:rFonts w:ascii="Arial" w:hAnsi="Arial" w:cs="Arial"/>
          <w:sz w:val="20"/>
          <w:szCs w:val="20"/>
        </w:rPr>
        <w:t xml:space="preserve">In </w:t>
      </w:r>
      <w:r w:rsidRPr="0082709A">
        <w:rPr>
          <w:rFonts w:ascii="Arial" w:hAnsi="Arial" w:cs="Arial"/>
          <w:i/>
          <w:iCs/>
          <w:sz w:val="20"/>
          <w:szCs w:val="20"/>
        </w:rPr>
        <w:t>Herrmann</w:t>
      </w:r>
      <w:r w:rsidRPr="00977CC8">
        <w:rPr>
          <w:rFonts w:ascii="Arial" w:hAnsi="Arial" w:cs="Arial"/>
          <w:sz w:val="20"/>
          <w:szCs w:val="20"/>
        </w:rPr>
        <w:t xml:space="preserve">, the Crown cited </w:t>
      </w:r>
      <w:r w:rsidRPr="0082709A">
        <w:rPr>
          <w:rFonts w:ascii="Arial" w:hAnsi="Arial" w:cs="Arial"/>
          <w:i/>
          <w:iCs/>
          <w:sz w:val="20"/>
          <w:szCs w:val="20"/>
        </w:rPr>
        <w:t>Todd</w:t>
      </w:r>
      <w:r w:rsidRPr="00977CC8">
        <w:rPr>
          <w:rFonts w:ascii="Arial" w:hAnsi="Arial" w:cs="Arial"/>
          <w:sz w:val="20"/>
          <w:szCs w:val="20"/>
        </w:rPr>
        <w:t xml:space="preserve"> to argue in favour of the imposition of life imprisonment. Justice Hollingworth found that while there were some similar features there were also important points of difference, notwithstanding that </w:t>
      </w:r>
      <w:r w:rsidRPr="0082709A">
        <w:rPr>
          <w:rFonts w:ascii="Arial" w:hAnsi="Arial" w:cs="Arial"/>
          <w:i/>
          <w:iCs/>
          <w:sz w:val="20"/>
          <w:szCs w:val="20"/>
        </w:rPr>
        <w:t>Todd</w:t>
      </w:r>
      <w:r w:rsidRPr="00977CC8">
        <w:rPr>
          <w:rFonts w:ascii="Arial" w:hAnsi="Arial" w:cs="Arial"/>
          <w:sz w:val="20"/>
          <w:szCs w:val="20"/>
        </w:rPr>
        <w:t xml:space="preserve">, like </w:t>
      </w:r>
      <w:r w:rsidRPr="0082709A">
        <w:rPr>
          <w:rFonts w:ascii="Arial" w:hAnsi="Arial" w:cs="Arial"/>
          <w:i/>
          <w:iCs/>
          <w:sz w:val="20"/>
          <w:szCs w:val="20"/>
        </w:rPr>
        <w:t>Herrmann</w:t>
      </w:r>
      <w:r w:rsidRPr="00977CC8">
        <w:rPr>
          <w:rFonts w:ascii="Arial" w:hAnsi="Arial" w:cs="Arial"/>
          <w:sz w:val="20"/>
          <w:szCs w:val="20"/>
        </w:rPr>
        <w:t xml:space="preserve">, concerned a murder in the context of a rape. In the present case, Mr Bourke also cited </w:t>
      </w:r>
      <w:r w:rsidRPr="0082709A">
        <w:rPr>
          <w:rFonts w:ascii="Arial" w:hAnsi="Arial" w:cs="Arial"/>
          <w:i/>
          <w:iCs/>
          <w:sz w:val="20"/>
          <w:szCs w:val="20"/>
        </w:rPr>
        <w:t>Todd</w:t>
      </w:r>
      <w:r w:rsidRPr="00977CC8">
        <w:rPr>
          <w:rFonts w:ascii="Arial" w:hAnsi="Arial" w:cs="Arial"/>
          <w:sz w:val="20"/>
          <w:szCs w:val="20"/>
        </w:rPr>
        <w:t xml:space="preserve"> and argued in favour of life imprisonment. However, as discussed above, I am also persuaded that there are important points of difference between this case and </w:t>
      </w:r>
      <w:r w:rsidRPr="0082709A">
        <w:rPr>
          <w:rFonts w:ascii="Arial" w:hAnsi="Arial" w:cs="Arial"/>
          <w:i/>
          <w:iCs/>
          <w:sz w:val="20"/>
          <w:szCs w:val="20"/>
        </w:rPr>
        <w:t>Todd</w:t>
      </w:r>
      <w:r w:rsidRPr="00977CC8">
        <w:rPr>
          <w:rFonts w:ascii="Arial" w:hAnsi="Arial" w:cs="Arial"/>
          <w:sz w:val="20"/>
          <w:szCs w:val="20"/>
        </w:rPr>
        <w:t>. Having regard to all of the matters I have discussed, despite the objective gravity of the offence, I consider that your offending does not warrant life imprisonment, although it does warrant a very stern sentence</w:t>
      </w:r>
      <w:r>
        <w:rPr>
          <w:rFonts w:ascii="Arial" w:hAnsi="Arial" w:cs="Arial"/>
          <w:sz w:val="20"/>
          <w:szCs w:val="20"/>
        </w:rPr>
        <w:t xml:space="preserve">: see e.g. </w:t>
      </w:r>
      <w:r w:rsidRPr="0082709A">
        <w:rPr>
          <w:rFonts w:ascii="Arial" w:hAnsi="Arial" w:cs="Arial"/>
          <w:i/>
          <w:iCs/>
          <w:sz w:val="20"/>
          <w:szCs w:val="20"/>
        </w:rPr>
        <w:t>R v Kilic</w:t>
      </w:r>
      <w:r>
        <w:rPr>
          <w:rFonts w:ascii="Arial" w:hAnsi="Arial" w:cs="Arial"/>
          <w:sz w:val="20"/>
          <w:szCs w:val="20"/>
        </w:rPr>
        <w:t xml:space="preserve"> (2016) 259 CLR 256 at [17]-[20]</w:t>
      </w:r>
      <w:r w:rsidRPr="00977CC8">
        <w:rPr>
          <w:rFonts w:ascii="Arial" w:hAnsi="Arial" w:cs="Arial"/>
          <w:sz w:val="20"/>
          <w:szCs w:val="20"/>
        </w:rPr>
        <w:t>.</w:t>
      </w:r>
      <w:r>
        <w:rPr>
          <w:rFonts w:ascii="Arial" w:hAnsi="Arial" w:cs="Arial"/>
          <w:sz w:val="20"/>
          <w:szCs w:val="20"/>
        </w:rPr>
        <w:t>”</w:t>
      </w:r>
    </w:p>
    <w:p w14:paraId="563A67A9" w14:textId="77777777" w:rsidR="00506DEF" w:rsidRDefault="00506DEF" w:rsidP="00023E85">
      <w:pPr>
        <w:jc w:val="both"/>
        <w:rPr>
          <w:rFonts w:ascii="Arial" w:hAnsi="Arial" w:cs="Arial"/>
          <w:color w:val="000000"/>
          <w:sz w:val="20"/>
          <w:szCs w:val="20"/>
        </w:rPr>
      </w:pPr>
    </w:p>
    <w:p w14:paraId="356982C7" w14:textId="74F54FDC" w:rsidR="003367A6" w:rsidRDefault="00AB191B" w:rsidP="00AB191B">
      <w:pPr>
        <w:jc w:val="both"/>
        <w:rPr>
          <w:rFonts w:ascii="Arial" w:hAnsi="Arial" w:cs="Arial"/>
          <w:color w:val="000000"/>
          <w:sz w:val="20"/>
          <w:szCs w:val="20"/>
        </w:rPr>
      </w:pPr>
      <w:r>
        <w:rPr>
          <w:rFonts w:ascii="Arial" w:hAnsi="Arial" w:cs="Arial"/>
          <w:color w:val="000000"/>
          <w:sz w:val="20"/>
          <w:szCs w:val="20"/>
        </w:rPr>
        <w:t xml:space="preserve">In </w:t>
      </w:r>
      <w:r w:rsidRPr="00AB191B">
        <w:rPr>
          <w:rFonts w:ascii="Arial" w:hAnsi="Arial" w:cs="Arial"/>
          <w:i/>
          <w:iCs/>
          <w:color w:val="000000"/>
          <w:sz w:val="20"/>
          <w:szCs w:val="20"/>
        </w:rPr>
        <w:t>DPP v Kurera</w:t>
      </w:r>
      <w:r>
        <w:rPr>
          <w:rFonts w:ascii="Arial" w:hAnsi="Arial" w:cs="Arial"/>
          <w:color w:val="000000"/>
          <w:sz w:val="20"/>
          <w:szCs w:val="20"/>
        </w:rPr>
        <w:t xml:space="preserve"> [2024] VSC 809 the accused had pleaded not guilty to murder of his </w:t>
      </w:r>
      <w:r w:rsidR="003367A6">
        <w:rPr>
          <w:rFonts w:ascii="Arial" w:hAnsi="Arial" w:cs="Arial"/>
          <w:color w:val="000000"/>
          <w:sz w:val="20"/>
          <w:szCs w:val="20"/>
        </w:rPr>
        <w:t xml:space="preserve">estranged </w:t>
      </w:r>
      <w:r>
        <w:rPr>
          <w:rFonts w:ascii="Arial" w:hAnsi="Arial" w:cs="Arial"/>
          <w:color w:val="000000"/>
          <w:sz w:val="20"/>
          <w:szCs w:val="20"/>
        </w:rPr>
        <w:t>wife and common law assault of his son but was found guilty by a jury.  He had attended t</w:t>
      </w:r>
      <w:r w:rsidR="003367A6">
        <w:rPr>
          <w:rFonts w:ascii="Arial" w:hAnsi="Arial" w:cs="Arial"/>
          <w:color w:val="000000"/>
          <w:sz w:val="20"/>
          <w:szCs w:val="20"/>
        </w:rPr>
        <w:t>h</w:t>
      </w:r>
      <w:r>
        <w:rPr>
          <w:rFonts w:ascii="Arial" w:hAnsi="Arial" w:cs="Arial"/>
          <w:color w:val="000000"/>
          <w:sz w:val="20"/>
          <w:szCs w:val="20"/>
        </w:rPr>
        <w:t xml:space="preserve">e family home late at night in breach of an intervention order and in possession of </w:t>
      </w:r>
      <w:r w:rsidRPr="00AB191B">
        <w:rPr>
          <w:rFonts w:ascii="Arial" w:hAnsi="Arial" w:cs="Arial"/>
          <w:color w:val="000000"/>
          <w:sz w:val="20"/>
          <w:szCs w:val="20"/>
        </w:rPr>
        <w:t>a hatchet, a tin of petrol and a lighter</w:t>
      </w:r>
      <w:r w:rsidR="003367A6">
        <w:rPr>
          <w:rFonts w:ascii="Arial" w:hAnsi="Arial" w:cs="Arial"/>
          <w:color w:val="000000"/>
          <w:sz w:val="20"/>
          <w:szCs w:val="20"/>
        </w:rPr>
        <w:t>. He ambushed the deceased on the rear patio. His t</w:t>
      </w:r>
      <w:r w:rsidRPr="00AB191B">
        <w:rPr>
          <w:rFonts w:ascii="Arial" w:hAnsi="Arial" w:cs="Arial"/>
          <w:color w:val="000000"/>
          <w:sz w:val="20"/>
          <w:szCs w:val="20"/>
        </w:rPr>
        <w:t>eenage children tried to intervene</w:t>
      </w:r>
      <w:r w:rsidR="003367A6">
        <w:rPr>
          <w:rFonts w:ascii="Arial" w:hAnsi="Arial" w:cs="Arial"/>
          <w:color w:val="000000"/>
          <w:sz w:val="20"/>
          <w:szCs w:val="20"/>
        </w:rPr>
        <w:t>. H</w:t>
      </w:r>
      <w:r w:rsidR="006F2787">
        <w:rPr>
          <w:rFonts w:ascii="Arial" w:hAnsi="Arial" w:cs="Arial"/>
          <w:color w:val="000000"/>
          <w:sz w:val="20"/>
          <w:szCs w:val="20"/>
        </w:rPr>
        <w:t xml:space="preserve">e struck his </w:t>
      </w:r>
      <w:r w:rsidR="003367A6">
        <w:rPr>
          <w:rFonts w:ascii="Arial" w:hAnsi="Arial" w:cs="Arial"/>
          <w:color w:val="000000"/>
          <w:sz w:val="20"/>
          <w:szCs w:val="20"/>
        </w:rPr>
        <w:t xml:space="preserve">son </w:t>
      </w:r>
      <w:r w:rsidRPr="00AB191B">
        <w:rPr>
          <w:rFonts w:ascii="Arial" w:hAnsi="Arial" w:cs="Arial"/>
          <w:color w:val="000000"/>
          <w:sz w:val="20"/>
          <w:szCs w:val="20"/>
        </w:rPr>
        <w:t>twice with the hatchet in the course of fleeing the house</w:t>
      </w:r>
      <w:r w:rsidR="003367A6">
        <w:rPr>
          <w:rFonts w:ascii="Arial" w:hAnsi="Arial" w:cs="Arial"/>
          <w:color w:val="000000"/>
          <w:sz w:val="20"/>
          <w:szCs w:val="20"/>
        </w:rPr>
        <w:t xml:space="preserve">. </w:t>
      </w:r>
      <w:r w:rsidR="006F2787">
        <w:rPr>
          <w:rFonts w:ascii="Arial" w:hAnsi="Arial" w:cs="Arial"/>
          <w:color w:val="000000"/>
          <w:sz w:val="20"/>
          <w:szCs w:val="20"/>
        </w:rPr>
        <w:t>He</w:t>
      </w:r>
      <w:r w:rsidRPr="00AB191B">
        <w:rPr>
          <w:rFonts w:ascii="Arial" w:hAnsi="Arial" w:cs="Arial"/>
          <w:color w:val="000000"/>
          <w:sz w:val="20"/>
          <w:szCs w:val="20"/>
        </w:rPr>
        <w:t xml:space="preserve"> then killed </w:t>
      </w:r>
      <w:r w:rsidR="003367A6">
        <w:rPr>
          <w:rFonts w:ascii="Arial" w:hAnsi="Arial" w:cs="Arial"/>
          <w:color w:val="000000"/>
          <w:sz w:val="20"/>
          <w:szCs w:val="20"/>
        </w:rPr>
        <w:t>his wife</w:t>
      </w:r>
      <w:r w:rsidRPr="00AB191B">
        <w:rPr>
          <w:rFonts w:ascii="Arial" w:hAnsi="Arial" w:cs="Arial"/>
          <w:color w:val="000000"/>
          <w:sz w:val="20"/>
          <w:szCs w:val="20"/>
        </w:rPr>
        <w:t xml:space="preserve"> in the kitchen using </w:t>
      </w:r>
      <w:r w:rsidR="003367A6">
        <w:rPr>
          <w:rFonts w:ascii="Arial" w:hAnsi="Arial" w:cs="Arial"/>
          <w:color w:val="000000"/>
          <w:sz w:val="20"/>
          <w:szCs w:val="20"/>
        </w:rPr>
        <w:t xml:space="preserve">the </w:t>
      </w:r>
      <w:r w:rsidRPr="00AB191B">
        <w:rPr>
          <w:rFonts w:ascii="Arial" w:hAnsi="Arial" w:cs="Arial"/>
          <w:color w:val="000000"/>
          <w:sz w:val="20"/>
          <w:szCs w:val="20"/>
        </w:rPr>
        <w:t>hatchet and a knife</w:t>
      </w:r>
      <w:r w:rsidR="003367A6">
        <w:rPr>
          <w:rFonts w:ascii="Arial" w:hAnsi="Arial" w:cs="Arial"/>
          <w:color w:val="000000"/>
          <w:sz w:val="20"/>
          <w:szCs w:val="20"/>
        </w:rPr>
        <w:t>. His d</w:t>
      </w:r>
      <w:r w:rsidRPr="00AB191B">
        <w:rPr>
          <w:rFonts w:ascii="Arial" w:hAnsi="Arial" w:cs="Arial"/>
          <w:color w:val="000000"/>
          <w:sz w:val="20"/>
          <w:szCs w:val="20"/>
        </w:rPr>
        <w:t xml:space="preserve">aughter </w:t>
      </w:r>
      <w:r w:rsidR="004C5837">
        <w:rPr>
          <w:rFonts w:ascii="Arial" w:hAnsi="Arial" w:cs="Arial"/>
          <w:color w:val="000000"/>
          <w:sz w:val="20"/>
          <w:szCs w:val="20"/>
        </w:rPr>
        <w:t xml:space="preserve">A </w:t>
      </w:r>
      <w:r w:rsidR="003367A6">
        <w:rPr>
          <w:rFonts w:ascii="Arial" w:hAnsi="Arial" w:cs="Arial"/>
          <w:color w:val="000000"/>
          <w:sz w:val="20"/>
          <w:szCs w:val="20"/>
        </w:rPr>
        <w:t xml:space="preserve">was </w:t>
      </w:r>
      <w:r w:rsidRPr="00AB191B">
        <w:rPr>
          <w:rFonts w:ascii="Arial" w:hAnsi="Arial" w:cs="Arial"/>
          <w:color w:val="000000"/>
          <w:sz w:val="20"/>
          <w:szCs w:val="20"/>
        </w:rPr>
        <w:t xml:space="preserve">present during </w:t>
      </w:r>
      <w:r w:rsidR="003367A6">
        <w:rPr>
          <w:rFonts w:ascii="Arial" w:hAnsi="Arial" w:cs="Arial"/>
          <w:color w:val="000000"/>
          <w:sz w:val="20"/>
          <w:szCs w:val="20"/>
        </w:rPr>
        <w:t xml:space="preserve">the </w:t>
      </w:r>
      <w:r w:rsidRPr="00AB191B">
        <w:rPr>
          <w:rFonts w:ascii="Arial" w:hAnsi="Arial" w:cs="Arial"/>
          <w:color w:val="000000"/>
          <w:sz w:val="20"/>
          <w:szCs w:val="20"/>
        </w:rPr>
        <w:t xml:space="preserve">fatal attack on her mother and pleaded with </w:t>
      </w:r>
      <w:r w:rsidR="006F2787">
        <w:rPr>
          <w:rFonts w:ascii="Arial" w:hAnsi="Arial" w:cs="Arial"/>
          <w:color w:val="000000"/>
          <w:sz w:val="20"/>
          <w:szCs w:val="20"/>
        </w:rPr>
        <w:t>him</w:t>
      </w:r>
      <w:r w:rsidRPr="00AB191B">
        <w:rPr>
          <w:rFonts w:ascii="Arial" w:hAnsi="Arial" w:cs="Arial"/>
          <w:color w:val="000000"/>
          <w:sz w:val="20"/>
          <w:szCs w:val="20"/>
        </w:rPr>
        <w:t xml:space="preserve"> to stop</w:t>
      </w:r>
      <w:r w:rsidR="003367A6">
        <w:rPr>
          <w:rFonts w:ascii="Arial" w:hAnsi="Arial" w:cs="Arial"/>
          <w:color w:val="000000"/>
          <w:sz w:val="20"/>
          <w:szCs w:val="20"/>
        </w:rPr>
        <w:t>. The m</w:t>
      </w:r>
      <w:r w:rsidRPr="00AB191B">
        <w:rPr>
          <w:rFonts w:ascii="Arial" w:hAnsi="Arial" w:cs="Arial"/>
          <w:color w:val="000000"/>
          <w:sz w:val="20"/>
          <w:szCs w:val="20"/>
        </w:rPr>
        <w:t xml:space="preserve">urder </w:t>
      </w:r>
      <w:r w:rsidR="003367A6">
        <w:rPr>
          <w:rFonts w:ascii="Arial" w:hAnsi="Arial" w:cs="Arial"/>
          <w:color w:val="000000"/>
          <w:sz w:val="20"/>
          <w:szCs w:val="20"/>
        </w:rPr>
        <w:t xml:space="preserve">was </w:t>
      </w:r>
      <w:r w:rsidRPr="00AB191B">
        <w:rPr>
          <w:rFonts w:ascii="Arial" w:hAnsi="Arial" w:cs="Arial"/>
          <w:color w:val="000000"/>
          <w:sz w:val="20"/>
          <w:szCs w:val="20"/>
        </w:rPr>
        <w:t xml:space="preserve">not premeditated but </w:t>
      </w:r>
      <w:r w:rsidR="003367A6">
        <w:rPr>
          <w:rFonts w:ascii="Arial" w:hAnsi="Arial" w:cs="Arial"/>
          <w:color w:val="000000"/>
          <w:sz w:val="20"/>
          <w:szCs w:val="20"/>
        </w:rPr>
        <w:t xml:space="preserve">the </w:t>
      </w:r>
      <w:r w:rsidRPr="00AB191B">
        <w:rPr>
          <w:rFonts w:ascii="Arial" w:hAnsi="Arial" w:cs="Arial"/>
          <w:color w:val="000000"/>
          <w:sz w:val="20"/>
          <w:szCs w:val="20"/>
        </w:rPr>
        <w:t xml:space="preserve">confrontation </w:t>
      </w:r>
      <w:r w:rsidR="003367A6">
        <w:rPr>
          <w:rFonts w:ascii="Arial" w:hAnsi="Arial" w:cs="Arial"/>
          <w:color w:val="000000"/>
          <w:sz w:val="20"/>
          <w:szCs w:val="20"/>
        </w:rPr>
        <w:t xml:space="preserve">was </w:t>
      </w:r>
      <w:r w:rsidRPr="00AB191B">
        <w:rPr>
          <w:rFonts w:ascii="Arial" w:hAnsi="Arial" w:cs="Arial"/>
          <w:color w:val="000000"/>
          <w:sz w:val="20"/>
          <w:szCs w:val="20"/>
        </w:rPr>
        <w:t>planned</w:t>
      </w:r>
      <w:r w:rsidR="003367A6">
        <w:rPr>
          <w:rFonts w:ascii="Arial" w:hAnsi="Arial" w:cs="Arial"/>
          <w:color w:val="000000"/>
          <w:sz w:val="20"/>
          <w:szCs w:val="20"/>
        </w:rPr>
        <w:t xml:space="preserve">. The offender had no prior convictions but some history of </w:t>
      </w:r>
      <w:r w:rsidRPr="00AB191B">
        <w:rPr>
          <w:rFonts w:ascii="Arial" w:hAnsi="Arial" w:cs="Arial"/>
          <w:color w:val="000000"/>
          <w:sz w:val="20"/>
          <w:szCs w:val="20"/>
        </w:rPr>
        <w:t>domestic violence</w:t>
      </w:r>
      <w:r w:rsidR="003367A6">
        <w:rPr>
          <w:rFonts w:ascii="Arial" w:hAnsi="Arial" w:cs="Arial"/>
          <w:color w:val="000000"/>
          <w:sz w:val="20"/>
          <w:szCs w:val="20"/>
        </w:rPr>
        <w:t>. He had p</w:t>
      </w:r>
      <w:r w:rsidRPr="00AB191B">
        <w:rPr>
          <w:rFonts w:ascii="Arial" w:hAnsi="Arial" w:cs="Arial"/>
          <w:color w:val="000000"/>
          <w:sz w:val="20"/>
          <w:szCs w:val="20"/>
        </w:rPr>
        <w:t>oor prospects of rehabilitation</w:t>
      </w:r>
      <w:r w:rsidR="003367A6">
        <w:rPr>
          <w:rFonts w:ascii="Arial" w:hAnsi="Arial" w:cs="Arial"/>
          <w:color w:val="000000"/>
          <w:sz w:val="20"/>
          <w:szCs w:val="20"/>
        </w:rPr>
        <w:t xml:space="preserve">.  He was sentenced to IMP36y for murder and IMP4y </w:t>
      </w:r>
      <w:r w:rsidR="004C5837">
        <w:rPr>
          <w:rFonts w:ascii="Arial" w:hAnsi="Arial" w:cs="Arial"/>
          <w:color w:val="000000"/>
          <w:sz w:val="20"/>
          <w:szCs w:val="20"/>
        </w:rPr>
        <w:t xml:space="preserve">for assault </w:t>
      </w:r>
      <w:r w:rsidR="003367A6">
        <w:rPr>
          <w:rFonts w:ascii="Arial" w:hAnsi="Arial" w:cs="Arial"/>
          <w:color w:val="000000"/>
          <w:sz w:val="20"/>
          <w:szCs w:val="20"/>
        </w:rPr>
        <w:t>of which 1y was cumulative leading to TES IMP37y/30y.</w:t>
      </w:r>
      <w:r w:rsidR="004C5837">
        <w:rPr>
          <w:rFonts w:ascii="Arial" w:hAnsi="Arial" w:cs="Arial"/>
          <w:color w:val="000000"/>
          <w:sz w:val="20"/>
          <w:szCs w:val="20"/>
        </w:rPr>
        <w:t xml:space="preserve">  At [59] Fox J said:</w:t>
      </w:r>
    </w:p>
    <w:p w14:paraId="7CBD0170" w14:textId="5E57CA96" w:rsidR="004C5837" w:rsidRPr="004C5837" w:rsidRDefault="004C5837" w:rsidP="004C5837">
      <w:pPr>
        <w:spacing w:before="60"/>
        <w:ind w:left="567" w:right="567"/>
        <w:jc w:val="both"/>
        <w:rPr>
          <w:rFonts w:ascii="Arial" w:hAnsi="Arial" w:cs="Arial"/>
          <w:sz w:val="20"/>
          <w:szCs w:val="20"/>
        </w:rPr>
      </w:pPr>
      <w:r>
        <w:rPr>
          <w:rFonts w:ascii="Arial" w:hAnsi="Arial" w:cs="Arial"/>
          <w:sz w:val="20"/>
          <w:szCs w:val="20"/>
        </w:rPr>
        <w:t>“</w:t>
      </w:r>
      <w:r w:rsidRPr="004C5837">
        <w:rPr>
          <w:rFonts w:ascii="Arial" w:hAnsi="Arial" w:cs="Arial"/>
          <w:color w:val="000000"/>
          <w:sz w:val="20"/>
          <w:szCs w:val="20"/>
        </w:rPr>
        <w:t>One of the most aggravating features of your offending is that it occurred in the presence of your children. It was a shocking breach of trust as both a husband and a father. It is hard to comprehend how you were not moved to lay down your weapon and leave once your children arrived downstairs. It is even harder to comprehend</w:t>
      </w:r>
      <w:r>
        <w:rPr>
          <w:rFonts w:ascii="Arial" w:hAnsi="Arial" w:cs="Arial"/>
          <w:color w:val="000000"/>
          <w:sz w:val="20"/>
          <w:szCs w:val="20"/>
        </w:rPr>
        <w:t xml:space="preserve"> </w:t>
      </w:r>
      <w:r w:rsidRPr="004C5837">
        <w:rPr>
          <w:rFonts w:ascii="Arial" w:hAnsi="Arial" w:cs="Arial"/>
          <w:color w:val="000000"/>
          <w:sz w:val="20"/>
          <w:szCs w:val="20"/>
        </w:rPr>
        <w:t xml:space="preserve">how you could ignore the pleas of </w:t>
      </w:r>
      <w:r>
        <w:rPr>
          <w:rFonts w:ascii="Arial" w:hAnsi="Arial" w:cs="Arial"/>
          <w:color w:val="000000"/>
          <w:sz w:val="20"/>
          <w:szCs w:val="20"/>
        </w:rPr>
        <w:t>[your daughter A]</w:t>
      </w:r>
      <w:r w:rsidRPr="004C5837">
        <w:rPr>
          <w:rFonts w:ascii="Arial" w:hAnsi="Arial" w:cs="Arial"/>
          <w:color w:val="000000"/>
          <w:sz w:val="20"/>
          <w:szCs w:val="20"/>
        </w:rPr>
        <w:t xml:space="preserve"> and brutally kill her mother in front of her. You displayed a callousness and cruel disregard for your own children and you still maintain that they are not telling the truth when they most certainly are.</w:t>
      </w:r>
      <w:r>
        <w:rPr>
          <w:rFonts w:ascii="Arial" w:hAnsi="Arial" w:cs="Arial"/>
          <w:color w:val="000000"/>
          <w:sz w:val="20"/>
          <w:szCs w:val="20"/>
        </w:rPr>
        <w:t>”</w:t>
      </w:r>
    </w:p>
    <w:p w14:paraId="21EB7807" w14:textId="77777777" w:rsidR="003367A6" w:rsidRDefault="003367A6" w:rsidP="00AB191B">
      <w:pPr>
        <w:jc w:val="both"/>
        <w:rPr>
          <w:rFonts w:ascii="Arial" w:hAnsi="Arial" w:cs="Arial"/>
          <w:color w:val="000000"/>
          <w:sz w:val="20"/>
          <w:szCs w:val="20"/>
        </w:rPr>
      </w:pPr>
    </w:p>
    <w:p w14:paraId="3ED60545" w14:textId="77777777" w:rsidR="00506DEF" w:rsidRDefault="00506DEF" w:rsidP="00AB191B">
      <w:pPr>
        <w:jc w:val="both"/>
        <w:rPr>
          <w:rFonts w:ascii="Arial" w:hAnsi="Arial" w:cs="Arial"/>
          <w:color w:val="000000"/>
          <w:sz w:val="20"/>
          <w:szCs w:val="20"/>
        </w:rPr>
      </w:pPr>
      <w:r>
        <w:rPr>
          <w:rFonts w:ascii="Arial" w:hAnsi="Arial" w:cs="Arial"/>
          <w:color w:val="000000"/>
          <w:sz w:val="20"/>
          <w:szCs w:val="20"/>
        </w:rPr>
        <w:t xml:space="preserve">In </w:t>
      </w:r>
      <w:r w:rsidRPr="00506DEF">
        <w:rPr>
          <w:rFonts w:ascii="Arial" w:hAnsi="Arial" w:cs="Arial"/>
          <w:i/>
          <w:iCs/>
          <w:color w:val="000000"/>
          <w:sz w:val="20"/>
          <w:szCs w:val="20"/>
        </w:rPr>
        <w:t>Director of Public Prosecutions v Wal</w:t>
      </w:r>
      <w:r>
        <w:rPr>
          <w:rFonts w:ascii="Arial" w:hAnsi="Arial" w:cs="Arial"/>
          <w:color w:val="000000"/>
          <w:sz w:val="20"/>
          <w:szCs w:val="20"/>
        </w:rPr>
        <w:t xml:space="preserve"> [2025] VSC 111 the 40 year old offender – who had used a knife and hammer to kill a friend who lived in a neighbouring room in an accommodation home – pleaded guilty to murder after a sentence indication. At the time of the offending Mr Wal was suffering from:</w:t>
      </w:r>
    </w:p>
    <w:p w14:paraId="7620A7A3" w14:textId="77777777" w:rsid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Schizophrenia, which by that time had been untreated for approximately 5 months, with active auditory hallucinations, pathological suspiciousness and persecutory delusions regarding people in your environment.</w:t>
      </w:r>
    </w:p>
    <w:p w14:paraId="0BFB7624" w14:textId="77777777" w:rsid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 xml:space="preserve">A mixed substance use disorder with ongoing usage of alcohol, cannabis and methamphetamine; and related to this, at the actual time of offending </w:t>
      </w:r>
      <w:r>
        <w:rPr>
          <w:rFonts w:ascii="Arial" w:hAnsi="Arial" w:cs="Arial"/>
          <w:color w:val="000000"/>
          <w:sz w:val="20"/>
          <w:szCs w:val="20"/>
        </w:rPr>
        <w:t>he was</w:t>
      </w:r>
      <w:r w:rsidRPr="00506DEF">
        <w:rPr>
          <w:rFonts w:ascii="Arial" w:hAnsi="Arial" w:cs="Arial"/>
          <w:color w:val="000000"/>
          <w:sz w:val="20"/>
          <w:szCs w:val="20"/>
        </w:rPr>
        <w:t xml:space="preserve"> severely intoxicated with alcohol.</w:t>
      </w:r>
    </w:p>
    <w:p w14:paraId="4EDB3835" w14:textId="3FF7152D" w:rsidR="00506DEF" w:rsidRP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The longstanding cognitive effects of a major neurocognitive disorder.</w:t>
      </w:r>
    </w:p>
    <w:p w14:paraId="2C751311" w14:textId="731036B7" w:rsidR="00506DEF" w:rsidRDefault="00506DEF" w:rsidP="00AB191B">
      <w:pPr>
        <w:jc w:val="both"/>
        <w:rPr>
          <w:rFonts w:ascii="Arial" w:hAnsi="Arial" w:cs="Arial"/>
          <w:color w:val="000000"/>
          <w:sz w:val="20"/>
          <w:szCs w:val="20"/>
        </w:rPr>
      </w:pPr>
      <w:r>
        <w:rPr>
          <w:rFonts w:ascii="Arial" w:hAnsi="Arial" w:cs="Arial"/>
          <w:color w:val="000000"/>
          <w:sz w:val="20"/>
          <w:szCs w:val="20"/>
        </w:rPr>
        <w:lastRenderedPageBreak/>
        <w:t xml:space="preserve">The offender appeared to have held the belief that the victim was deliberately not paying back a debt but there was no clear evidence that this belief was delusional or that it related to the offender’s cognitive deficits. There was expert evidence that the offender’s various mental disorders did significantly contribute causally to his offending. The offender had had a traumatic childhood in South Sudan where he was exposed to conflict and violence. He had a prior criminal history and the prospect of deportation. </w:t>
      </w:r>
      <w:r w:rsidR="00B37389">
        <w:rPr>
          <w:rFonts w:ascii="Arial" w:hAnsi="Arial" w:cs="Arial"/>
          <w:color w:val="000000"/>
          <w:sz w:val="20"/>
          <w:szCs w:val="20"/>
        </w:rPr>
        <w:t xml:space="preserve">Consistent with the principles in </w:t>
      </w:r>
      <w:r w:rsidR="00B37389" w:rsidRPr="00B37389">
        <w:rPr>
          <w:rFonts w:ascii="Arial" w:hAnsi="Arial" w:cs="Arial"/>
          <w:i/>
          <w:iCs/>
          <w:color w:val="000000"/>
          <w:sz w:val="20"/>
          <w:szCs w:val="20"/>
        </w:rPr>
        <w:t>R v Verdins</w:t>
      </w:r>
      <w:r w:rsidR="00B37389" w:rsidRPr="00B37389">
        <w:rPr>
          <w:rFonts w:ascii="Arial" w:hAnsi="Arial" w:cs="Arial"/>
          <w:color w:val="000000"/>
          <w:sz w:val="20"/>
          <w:szCs w:val="20"/>
        </w:rPr>
        <w:t xml:space="preserve">, </w:t>
      </w:r>
      <w:r w:rsidR="00B37389">
        <w:rPr>
          <w:rFonts w:ascii="Arial" w:hAnsi="Arial" w:cs="Arial"/>
          <w:color w:val="000000"/>
          <w:sz w:val="20"/>
          <w:szCs w:val="20"/>
        </w:rPr>
        <w:t>the offender’s</w:t>
      </w:r>
      <w:r w:rsidR="00B37389" w:rsidRPr="00B37389">
        <w:rPr>
          <w:rFonts w:ascii="Arial" w:hAnsi="Arial" w:cs="Arial"/>
          <w:color w:val="000000"/>
          <w:sz w:val="20"/>
          <w:szCs w:val="20"/>
        </w:rPr>
        <w:t xml:space="preserve"> moral culpability must be sensibly reduced</w:t>
      </w:r>
      <w:r w:rsidR="00B37389">
        <w:rPr>
          <w:rFonts w:ascii="Arial" w:hAnsi="Arial" w:cs="Arial"/>
          <w:color w:val="000000"/>
          <w:sz w:val="20"/>
          <w:szCs w:val="20"/>
        </w:rPr>
        <w:t>. Prison was likely to be more burdensome than for the average prisoner. IMP22y/16y.</w:t>
      </w:r>
    </w:p>
    <w:p w14:paraId="453ACB83" w14:textId="0FAAE759" w:rsidR="00506DEF" w:rsidRDefault="00506DEF" w:rsidP="00AB191B">
      <w:pPr>
        <w:jc w:val="both"/>
        <w:rPr>
          <w:rFonts w:ascii="Arial" w:hAnsi="Arial" w:cs="Arial"/>
          <w:color w:val="000000"/>
          <w:sz w:val="20"/>
          <w:szCs w:val="20"/>
        </w:rPr>
      </w:pPr>
    </w:p>
    <w:p w14:paraId="1026F357" w14:textId="51B77315" w:rsidR="007B1609" w:rsidRDefault="00F33584">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Winneke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DPP v Kamalasanan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R v Missen</w:t>
      </w:r>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Gargaso</w:t>
      </w:r>
      <w:r w:rsidR="006D2298">
        <w:rPr>
          <w:rFonts w:ascii="Arial" w:hAnsi="Arial" w:cs="Arial"/>
          <w:i/>
          <w:sz w:val="20"/>
          <w:szCs w:val="20"/>
        </w:rPr>
        <w:t>u</w:t>
      </w:r>
      <w:r w:rsidR="006D2298" w:rsidRPr="006D2298">
        <w:rPr>
          <w:rFonts w:ascii="Arial" w:hAnsi="Arial" w:cs="Arial"/>
          <w:i/>
          <w:sz w:val="20"/>
          <w:szCs w:val="20"/>
        </w:rPr>
        <w:t>las</w:t>
      </w:r>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R v Pyliotis</w:t>
      </w:r>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anor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R v Solmaz</w:t>
      </w:r>
      <w:r w:rsidR="00D27DBA">
        <w:rPr>
          <w:rFonts w:ascii="Arial" w:hAnsi="Arial" w:cs="Arial"/>
          <w:sz w:val="20"/>
        </w:rPr>
        <w:t xml:space="preserve"> [2019] VSC 530; </w:t>
      </w:r>
      <w:r w:rsidR="0061649E" w:rsidRPr="0061649E">
        <w:rPr>
          <w:rFonts w:ascii="Arial" w:hAnsi="Arial" w:cs="Arial"/>
          <w:i/>
          <w:iCs/>
          <w:color w:val="000000"/>
          <w:sz w:val="20"/>
        </w:rPr>
        <w:t>R v Pozzebon</w:t>
      </w:r>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DPP v Heddergott</w:t>
      </w:r>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DPP v 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r w:rsidR="00700872">
        <w:rPr>
          <w:rFonts w:ascii="Arial" w:hAnsi="Arial" w:cs="Arial"/>
          <w:color w:val="000000"/>
          <w:sz w:val="20"/>
          <w:szCs w:val="20"/>
        </w:rPr>
        <w:t xml:space="preserve"> [2021]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sidRPr="00F62C25">
        <w:rPr>
          <w:rFonts w:ascii="Arial" w:hAnsi="Arial" w:cs="Arial"/>
          <w:color w:val="000000"/>
          <w:sz w:val="20"/>
          <w:szCs w:val="20"/>
        </w:rPr>
        <w:t xml:space="preserve"> [2022] VSC 86</w:t>
      </w:r>
      <w:r w:rsidR="006313E6">
        <w:rPr>
          <w:rFonts w:ascii="Arial" w:hAnsi="Arial" w:cs="Arial"/>
          <w:color w:val="000000"/>
          <w:sz w:val="20"/>
          <w:szCs w:val="20"/>
        </w:rPr>
        <w:t xml:space="preserve"> – leave to appeal refused </w:t>
      </w:r>
      <w:r w:rsidR="004E7D03" w:rsidRPr="004E7D03">
        <w:rPr>
          <w:rFonts w:ascii="Arial" w:hAnsi="Arial" w:cs="Arial"/>
          <w:i/>
          <w:iCs/>
          <w:color w:val="000000"/>
          <w:sz w:val="20"/>
          <w:szCs w:val="20"/>
        </w:rPr>
        <w:t>Wilio v The King</w:t>
      </w:r>
      <w:r w:rsidR="004E7D03">
        <w:rPr>
          <w:rFonts w:ascii="Arial" w:hAnsi="Arial" w:cs="Arial"/>
          <w:color w:val="000000"/>
          <w:sz w:val="20"/>
          <w:szCs w:val="20"/>
        </w:rPr>
        <w:t xml:space="preserve"> </w:t>
      </w:r>
      <w:r w:rsidR="006313E6">
        <w:rPr>
          <w:rFonts w:ascii="Arial" w:hAnsi="Arial" w:cs="Arial"/>
          <w:color w:val="000000"/>
          <w:sz w:val="20"/>
          <w:szCs w:val="20"/>
        </w:rPr>
        <w:t>[2023] VSCA 88</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DPP v Marrogi</w:t>
      </w:r>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DPP v Fairhall</w:t>
      </w:r>
      <w:r w:rsidR="00D23859">
        <w:rPr>
          <w:rFonts w:ascii="Arial" w:hAnsi="Arial" w:cs="Arial"/>
          <w:color w:val="000000"/>
          <w:sz w:val="20"/>
          <w:szCs w:val="20"/>
        </w:rPr>
        <w:t xml:space="preserve"> [2022] VSC 444</w:t>
      </w:r>
      <w:r w:rsidR="00AB0F1D">
        <w:rPr>
          <w:rFonts w:ascii="Arial" w:hAnsi="Arial" w:cs="Arial"/>
          <w:color w:val="000000"/>
          <w:sz w:val="20"/>
          <w:szCs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w:t>
      </w:r>
      <w:r w:rsidR="007D3A98">
        <w:rPr>
          <w:rFonts w:ascii="Arial" w:hAnsi="Arial" w:cs="Arial"/>
          <w:color w:val="000000"/>
          <w:sz w:val="20"/>
        </w:rPr>
        <w:t xml:space="preserve">; </w:t>
      </w:r>
      <w:r w:rsidR="007D3A98" w:rsidRPr="007D3A98">
        <w:rPr>
          <w:rFonts w:ascii="Arial" w:hAnsi="Arial" w:cs="Arial"/>
          <w:i/>
          <w:iCs/>
          <w:color w:val="000000"/>
          <w:sz w:val="20"/>
        </w:rPr>
        <w:t>DPP v Cross</w:t>
      </w:r>
      <w:r w:rsidR="007D3A98">
        <w:rPr>
          <w:rFonts w:ascii="Arial" w:hAnsi="Arial" w:cs="Arial"/>
          <w:i/>
          <w:iCs/>
          <w:color w:val="000000"/>
          <w:sz w:val="20"/>
        </w:rPr>
        <w:t xml:space="preserve"> (No 2)</w:t>
      </w:r>
      <w:r w:rsidR="007D3A98">
        <w:rPr>
          <w:rFonts w:ascii="Arial" w:hAnsi="Arial" w:cs="Arial"/>
          <w:color w:val="000000"/>
          <w:sz w:val="20"/>
        </w:rPr>
        <w:t xml:space="preserve"> [2023] VSC 40</w:t>
      </w:r>
      <w:r w:rsidR="00BB1FDF">
        <w:rPr>
          <w:rFonts w:ascii="Arial" w:hAnsi="Arial" w:cs="Arial"/>
          <w:color w:val="000000"/>
          <w:sz w:val="20"/>
        </w:rPr>
        <w:t xml:space="preserve">; </w:t>
      </w:r>
      <w:r w:rsidR="00BB1FDF" w:rsidRPr="00BB1FDF">
        <w:rPr>
          <w:rFonts w:ascii="Arial" w:hAnsi="Arial" w:cs="Arial"/>
          <w:i/>
          <w:iCs/>
          <w:color w:val="000000"/>
          <w:sz w:val="20"/>
        </w:rPr>
        <w:t>DPP v Bednar</w:t>
      </w:r>
      <w:r w:rsidR="00BB1FDF">
        <w:rPr>
          <w:rFonts w:ascii="Arial" w:hAnsi="Arial" w:cs="Arial"/>
          <w:color w:val="000000"/>
          <w:sz w:val="20"/>
        </w:rPr>
        <w:t xml:space="preserve"> [2023] VSC 67</w:t>
      </w:r>
      <w:r w:rsidR="00EF124E">
        <w:rPr>
          <w:rFonts w:ascii="Arial" w:hAnsi="Arial" w:cs="Arial"/>
          <w:color w:val="000000"/>
          <w:sz w:val="20"/>
        </w:rPr>
        <w:t xml:space="preserve"> sentence appeal allowed in </w:t>
      </w:r>
      <w:r w:rsidR="00EF124E" w:rsidRPr="00EF124E">
        <w:rPr>
          <w:rFonts w:ascii="Arial" w:hAnsi="Arial" w:cs="Arial"/>
          <w:i/>
          <w:iCs/>
          <w:color w:val="000000"/>
          <w:sz w:val="20"/>
        </w:rPr>
        <w:t>Bednar v The King</w:t>
      </w:r>
      <w:r w:rsidR="00EF124E">
        <w:rPr>
          <w:rFonts w:ascii="Arial" w:hAnsi="Arial" w:cs="Arial"/>
          <w:color w:val="000000"/>
          <w:sz w:val="20"/>
        </w:rPr>
        <w:t xml:space="preserve"> [2024] VSCA 180;</w:t>
      </w:r>
      <w:r w:rsidR="000E1F42">
        <w:rPr>
          <w:rFonts w:ascii="Arial" w:hAnsi="Arial" w:cs="Arial"/>
          <w:color w:val="000000"/>
          <w:sz w:val="20"/>
        </w:rPr>
        <w:t xml:space="preserve"> </w:t>
      </w:r>
      <w:r w:rsidR="000E1F42" w:rsidRPr="000E1F42">
        <w:rPr>
          <w:rFonts w:ascii="Arial" w:hAnsi="Arial" w:cs="Arial"/>
          <w:i/>
          <w:iCs/>
          <w:color w:val="000000"/>
          <w:sz w:val="20"/>
        </w:rPr>
        <w:t>R v Basham (</w:t>
      </w:r>
      <w:r w:rsidR="000E1F42">
        <w:rPr>
          <w:rFonts w:ascii="Arial" w:hAnsi="Arial" w:cs="Arial"/>
          <w:i/>
          <w:iCs/>
          <w:color w:val="000000"/>
          <w:sz w:val="20"/>
        </w:rPr>
        <w:t>S</w:t>
      </w:r>
      <w:r w:rsidR="000E1F42" w:rsidRPr="000E1F42">
        <w:rPr>
          <w:rFonts w:ascii="Arial" w:hAnsi="Arial" w:cs="Arial"/>
          <w:i/>
          <w:iCs/>
          <w:color w:val="000000"/>
          <w:sz w:val="20"/>
        </w:rPr>
        <w:t>entence)</w:t>
      </w:r>
      <w:r w:rsidR="000E1F42">
        <w:rPr>
          <w:rFonts w:ascii="Arial" w:hAnsi="Arial" w:cs="Arial"/>
          <w:color w:val="000000"/>
          <w:sz w:val="20"/>
        </w:rPr>
        <w:t xml:space="preserve"> [2023] VSC 79</w:t>
      </w:r>
      <w:r w:rsidR="00D35A58">
        <w:rPr>
          <w:rFonts w:ascii="Arial" w:hAnsi="Arial" w:cs="Arial"/>
          <w:color w:val="000000"/>
          <w:sz w:val="20"/>
        </w:rPr>
        <w:t xml:space="preserve">; </w:t>
      </w:r>
      <w:r w:rsidR="00D35A58" w:rsidRPr="00D35A58">
        <w:rPr>
          <w:rFonts w:ascii="Arial" w:hAnsi="Arial" w:cs="Arial"/>
          <w:i/>
          <w:iCs/>
          <w:color w:val="000000"/>
          <w:sz w:val="20"/>
        </w:rPr>
        <w:t>DPP v Coman</w:t>
      </w:r>
      <w:r w:rsidR="00D35A58">
        <w:rPr>
          <w:rFonts w:ascii="Arial" w:hAnsi="Arial" w:cs="Arial"/>
          <w:color w:val="000000"/>
          <w:sz w:val="20"/>
        </w:rPr>
        <w:t xml:space="preserve"> [2023] VSC 159</w:t>
      </w:r>
      <w:r w:rsidR="00FA15A7">
        <w:rPr>
          <w:rFonts w:ascii="Arial" w:hAnsi="Arial" w:cs="Arial"/>
          <w:color w:val="000000"/>
          <w:sz w:val="20"/>
        </w:rPr>
        <w:t xml:space="preserve">; </w:t>
      </w:r>
      <w:r w:rsidR="00FA15A7" w:rsidRPr="00931BC0">
        <w:rPr>
          <w:rFonts w:ascii="Arial" w:hAnsi="Arial" w:cs="Arial"/>
          <w:i/>
          <w:iCs/>
          <w:sz w:val="20"/>
          <w:szCs w:val="20"/>
        </w:rPr>
        <w:t>DPP v McCartin &amp; Anor (Sentence)</w:t>
      </w:r>
      <w:r w:rsidR="00FA15A7" w:rsidRPr="00931BC0">
        <w:rPr>
          <w:rFonts w:ascii="Arial" w:hAnsi="Arial" w:cs="Arial"/>
          <w:sz w:val="20"/>
          <w:szCs w:val="20"/>
        </w:rPr>
        <w:t xml:space="preserve"> [2023] VSC 193</w:t>
      </w:r>
      <w:r w:rsidR="002C5958">
        <w:rPr>
          <w:rFonts w:ascii="Arial" w:hAnsi="Arial" w:cs="Arial"/>
          <w:color w:val="000000"/>
          <w:sz w:val="20"/>
          <w:szCs w:val="20"/>
        </w:rPr>
        <w:t xml:space="preserve">; </w:t>
      </w:r>
      <w:r w:rsidR="002C5958" w:rsidRPr="00E710D1">
        <w:rPr>
          <w:rFonts w:ascii="Arial" w:hAnsi="Arial" w:cs="Arial"/>
          <w:i/>
          <w:color w:val="000000"/>
          <w:sz w:val="20"/>
        </w:rPr>
        <w:t>Shaptafaj v The King</w:t>
      </w:r>
      <w:r w:rsidR="002C5958">
        <w:rPr>
          <w:rFonts w:ascii="Arial" w:hAnsi="Arial" w:cs="Arial"/>
          <w:iCs/>
          <w:color w:val="000000"/>
          <w:sz w:val="20"/>
        </w:rPr>
        <w:t xml:space="preserve"> [2023] VSCA 93</w:t>
      </w:r>
      <w:r w:rsidR="000B69E4">
        <w:rPr>
          <w:rFonts w:ascii="Arial" w:hAnsi="Arial" w:cs="Arial"/>
          <w:color w:val="000000"/>
          <w:sz w:val="20"/>
          <w:szCs w:val="20"/>
        </w:rPr>
        <w:t xml:space="preserve">; </w:t>
      </w:r>
      <w:r w:rsidR="000B69E4" w:rsidRPr="000B69E4">
        <w:rPr>
          <w:rFonts w:ascii="Arial" w:hAnsi="Arial" w:cs="Arial"/>
          <w:i/>
          <w:iCs/>
          <w:color w:val="000000"/>
          <w:sz w:val="20"/>
          <w:szCs w:val="20"/>
        </w:rPr>
        <w:t>DPP v Brown</w:t>
      </w:r>
      <w:r w:rsidR="000B69E4">
        <w:rPr>
          <w:rFonts w:ascii="Arial" w:hAnsi="Arial" w:cs="Arial"/>
          <w:color w:val="000000"/>
          <w:sz w:val="20"/>
          <w:szCs w:val="20"/>
        </w:rPr>
        <w:t xml:space="preserve"> [2023] VSC 311</w:t>
      </w:r>
      <w:r w:rsidR="00577C77">
        <w:rPr>
          <w:rFonts w:ascii="Arial" w:hAnsi="Arial" w:cs="Arial"/>
          <w:color w:val="000000"/>
          <w:sz w:val="20"/>
          <w:szCs w:val="20"/>
        </w:rPr>
        <w:t xml:space="preserve">; </w:t>
      </w:r>
      <w:r w:rsidR="00577C77" w:rsidRPr="00577C77">
        <w:rPr>
          <w:rFonts w:ascii="Arial" w:hAnsi="Arial" w:cs="Arial"/>
          <w:i/>
          <w:iCs/>
          <w:color w:val="000000"/>
          <w:sz w:val="20"/>
          <w:szCs w:val="20"/>
        </w:rPr>
        <w:t>DPP v Rider &amp; Ong</w:t>
      </w:r>
      <w:r w:rsidR="00577C77">
        <w:rPr>
          <w:rFonts w:ascii="Arial" w:hAnsi="Arial" w:cs="Arial"/>
          <w:color w:val="000000"/>
          <w:sz w:val="20"/>
          <w:szCs w:val="20"/>
        </w:rPr>
        <w:t xml:space="preserve"> [2023] VSC 466</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Holt (Sentence)</w:t>
      </w:r>
      <w:r w:rsidR="00EE36F8">
        <w:rPr>
          <w:rFonts w:ascii="Arial" w:hAnsi="Arial" w:cs="Arial"/>
          <w:color w:val="000000"/>
          <w:sz w:val="20"/>
          <w:szCs w:val="20"/>
        </w:rPr>
        <w:t xml:space="preserve"> [2023] VSC 515</w:t>
      </w:r>
      <w:r w:rsidR="0090160F">
        <w:rPr>
          <w:rFonts w:ascii="Arial" w:hAnsi="Arial" w:cs="Arial"/>
          <w:color w:val="000000"/>
          <w:sz w:val="20"/>
          <w:szCs w:val="20"/>
        </w:rPr>
        <w:t xml:space="preserve">; </w:t>
      </w:r>
      <w:r w:rsidR="0090160F" w:rsidRPr="0090160F">
        <w:rPr>
          <w:rFonts w:ascii="Arial" w:hAnsi="Arial" w:cs="Arial"/>
          <w:i/>
          <w:iCs/>
          <w:color w:val="000000"/>
          <w:sz w:val="20"/>
          <w:szCs w:val="20"/>
        </w:rPr>
        <w:t>DPP v Pandilovsky</w:t>
      </w:r>
      <w:r w:rsidR="0090160F">
        <w:rPr>
          <w:rFonts w:ascii="Arial" w:hAnsi="Arial" w:cs="Arial"/>
          <w:color w:val="000000"/>
          <w:sz w:val="20"/>
          <w:szCs w:val="20"/>
        </w:rPr>
        <w:t xml:space="preserve"> [2023] VSC 514</w:t>
      </w:r>
      <w:r w:rsidR="00ED48F2">
        <w:rPr>
          <w:rFonts w:ascii="Arial" w:hAnsi="Arial" w:cs="Arial"/>
          <w:color w:val="000000"/>
          <w:sz w:val="20"/>
          <w:szCs w:val="20"/>
        </w:rPr>
        <w:t xml:space="preserve">; </w:t>
      </w:r>
      <w:r w:rsidR="00ED48F2" w:rsidRPr="00ED48F2">
        <w:rPr>
          <w:rFonts w:ascii="Arial" w:hAnsi="Arial" w:cs="Arial"/>
          <w:i/>
          <w:iCs/>
          <w:color w:val="000000"/>
          <w:sz w:val="20"/>
          <w:szCs w:val="20"/>
        </w:rPr>
        <w:t>R v Heron</w:t>
      </w:r>
      <w:r w:rsidR="00ED48F2">
        <w:rPr>
          <w:rFonts w:ascii="Arial" w:hAnsi="Arial" w:cs="Arial"/>
          <w:color w:val="000000"/>
          <w:sz w:val="20"/>
          <w:szCs w:val="20"/>
        </w:rPr>
        <w:t xml:space="preserve"> [2023] VSC 539</w:t>
      </w:r>
      <w:r w:rsidR="00CB7C96">
        <w:rPr>
          <w:rFonts w:ascii="Arial" w:hAnsi="Arial" w:cs="Arial"/>
          <w:color w:val="000000"/>
          <w:sz w:val="20"/>
          <w:szCs w:val="20"/>
        </w:rPr>
        <w:t xml:space="preserve">; </w:t>
      </w:r>
      <w:r w:rsidR="00CB7C96" w:rsidRPr="00CB7C96">
        <w:rPr>
          <w:rFonts w:ascii="Arial" w:hAnsi="Arial" w:cs="Arial"/>
          <w:i/>
          <w:iCs/>
          <w:color w:val="000000"/>
          <w:sz w:val="20"/>
          <w:szCs w:val="20"/>
        </w:rPr>
        <w:t>DPP v Edmunds</w:t>
      </w:r>
      <w:r w:rsidR="00CB7C96">
        <w:rPr>
          <w:rFonts w:ascii="Arial" w:hAnsi="Arial" w:cs="Arial"/>
          <w:color w:val="000000"/>
          <w:sz w:val="20"/>
          <w:szCs w:val="20"/>
        </w:rPr>
        <w:t xml:space="preserve"> [2023] VSC 581</w:t>
      </w:r>
      <w:r w:rsidR="007555C5">
        <w:rPr>
          <w:rFonts w:ascii="Arial" w:hAnsi="Arial" w:cs="Arial"/>
          <w:color w:val="000000"/>
          <w:sz w:val="20"/>
          <w:szCs w:val="20"/>
        </w:rPr>
        <w:t xml:space="preserve">; </w:t>
      </w:r>
      <w:r w:rsidR="007555C5" w:rsidRPr="007555C5">
        <w:rPr>
          <w:rFonts w:ascii="Arial" w:hAnsi="Arial" w:cs="Arial"/>
          <w:i/>
          <w:iCs/>
          <w:color w:val="000000"/>
          <w:sz w:val="20"/>
          <w:szCs w:val="20"/>
        </w:rPr>
        <w:t>DPP v Whyte</w:t>
      </w:r>
      <w:r w:rsidR="007555C5">
        <w:rPr>
          <w:rFonts w:ascii="Arial" w:hAnsi="Arial" w:cs="Arial"/>
          <w:color w:val="000000"/>
          <w:sz w:val="20"/>
          <w:szCs w:val="20"/>
        </w:rPr>
        <w:t xml:space="preserve"> [2023] VSC 645</w:t>
      </w:r>
      <w:r w:rsidR="00E40C87">
        <w:rPr>
          <w:rFonts w:ascii="Arial" w:hAnsi="Arial" w:cs="Arial"/>
          <w:color w:val="000000"/>
          <w:sz w:val="20"/>
          <w:szCs w:val="20"/>
        </w:rPr>
        <w:t xml:space="preserve">; </w:t>
      </w:r>
      <w:r w:rsidR="00E40C87" w:rsidRPr="00E40C87">
        <w:rPr>
          <w:rFonts w:ascii="Arial" w:hAnsi="Arial" w:cs="Arial"/>
          <w:i/>
          <w:iCs/>
          <w:color w:val="000000"/>
          <w:sz w:val="20"/>
          <w:szCs w:val="20"/>
        </w:rPr>
        <w:t>DPP v Charlton (No 2)</w:t>
      </w:r>
      <w:r w:rsidR="00E40C87">
        <w:rPr>
          <w:rFonts w:ascii="Arial" w:hAnsi="Arial" w:cs="Arial"/>
          <w:color w:val="000000"/>
          <w:sz w:val="20"/>
          <w:szCs w:val="20"/>
        </w:rPr>
        <w:t xml:space="preserve"> [2023] VSC 707</w:t>
      </w:r>
      <w:r w:rsidR="005D1478">
        <w:rPr>
          <w:rFonts w:ascii="Arial" w:hAnsi="Arial" w:cs="Arial"/>
          <w:color w:val="000000"/>
          <w:sz w:val="20"/>
          <w:szCs w:val="20"/>
        </w:rPr>
        <w:t xml:space="preserve">; </w:t>
      </w:r>
      <w:r w:rsidR="005D1478" w:rsidRPr="005D1478">
        <w:rPr>
          <w:rFonts w:ascii="Arial" w:hAnsi="Arial" w:cs="Arial"/>
          <w:i/>
          <w:iCs/>
          <w:color w:val="000000"/>
          <w:sz w:val="20"/>
          <w:szCs w:val="20"/>
        </w:rPr>
        <w:t>DPP v El Nasher</w:t>
      </w:r>
      <w:r w:rsidR="005D1478">
        <w:rPr>
          <w:rFonts w:ascii="Arial" w:hAnsi="Arial" w:cs="Arial"/>
          <w:color w:val="000000"/>
          <w:sz w:val="20"/>
          <w:szCs w:val="20"/>
        </w:rPr>
        <w:t xml:space="preserve"> [2023] VSC 694</w:t>
      </w:r>
      <w:r w:rsidR="00822C9F">
        <w:rPr>
          <w:rFonts w:ascii="Arial" w:hAnsi="Arial" w:cs="Arial"/>
          <w:color w:val="000000"/>
          <w:sz w:val="20"/>
          <w:szCs w:val="20"/>
        </w:rPr>
        <w:t xml:space="preserve">; </w:t>
      </w:r>
      <w:r w:rsidR="00822C9F" w:rsidRPr="00822C9F">
        <w:rPr>
          <w:rFonts w:ascii="Arial" w:hAnsi="Arial" w:cs="Arial"/>
          <w:i/>
          <w:iCs/>
          <w:color w:val="000000"/>
          <w:sz w:val="20"/>
          <w:szCs w:val="20"/>
        </w:rPr>
        <w:t>R v Rozynski (No 2)</w:t>
      </w:r>
      <w:r w:rsidR="00822C9F">
        <w:rPr>
          <w:rFonts w:ascii="Arial" w:hAnsi="Arial" w:cs="Arial"/>
          <w:color w:val="000000"/>
          <w:sz w:val="20"/>
          <w:szCs w:val="20"/>
        </w:rPr>
        <w:t xml:space="preserve"> [2023] VSC 773</w:t>
      </w:r>
      <w:r w:rsidR="009C2962">
        <w:rPr>
          <w:rFonts w:ascii="Arial" w:hAnsi="Arial" w:cs="Arial"/>
          <w:color w:val="000000"/>
          <w:sz w:val="20"/>
          <w:szCs w:val="20"/>
        </w:rPr>
        <w:t xml:space="preserve">; </w:t>
      </w:r>
      <w:r w:rsidR="009C2962" w:rsidRPr="009C2962">
        <w:rPr>
          <w:rFonts w:ascii="Arial" w:hAnsi="Arial" w:cs="Arial"/>
          <w:i/>
          <w:iCs/>
          <w:color w:val="000000"/>
          <w:sz w:val="20"/>
          <w:szCs w:val="20"/>
        </w:rPr>
        <w:t>DPP v Hillman</w:t>
      </w:r>
      <w:r w:rsidR="009C2962">
        <w:rPr>
          <w:rFonts w:ascii="Arial" w:hAnsi="Arial" w:cs="Arial"/>
          <w:color w:val="000000"/>
          <w:sz w:val="20"/>
          <w:szCs w:val="20"/>
        </w:rPr>
        <w:t xml:space="preserve"> [2024] VSC 100</w:t>
      </w:r>
      <w:r w:rsidR="00130F4C">
        <w:rPr>
          <w:rFonts w:ascii="Arial" w:hAnsi="Arial" w:cs="Arial"/>
          <w:color w:val="000000"/>
          <w:sz w:val="20"/>
          <w:szCs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w:t>
      </w:r>
      <w:r w:rsidR="003A108D">
        <w:rPr>
          <w:rFonts w:ascii="Arial" w:hAnsi="Arial" w:cs="Arial"/>
          <w:sz w:val="20"/>
          <w:szCs w:val="20"/>
        </w:rPr>
        <w:t xml:space="preserve">; </w:t>
      </w:r>
      <w:r w:rsidR="003A108D" w:rsidRPr="003A108D">
        <w:rPr>
          <w:rFonts w:ascii="Arial" w:hAnsi="Arial" w:cs="Arial"/>
          <w:i/>
          <w:iCs/>
          <w:sz w:val="20"/>
          <w:szCs w:val="20"/>
        </w:rPr>
        <w:t>DPP v Anderson (Sentence)</w:t>
      </w:r>
      <w:r w:rsidR="003A108D">
        <w:rPr>
          <w:rFonts w:ascii="Arial" w:hAnsi="Arial" w:cs="Arial"/>
          <w:sz w:val="20"/>
          <w:szCs w:val="20"/>
        </w:rPr>
        <w:t xml:space="preserve"> [2024] VSC 565</w:t>
      </w:r>
      <w:r w:rsidR="00E557B2">
        <w:rPr>
          <w:rFonts w:ascii="Arial" w:hAnsi="Arial" w:cs="Arial"/>
          <w:sz w:val="20"/>
          <w:szCs w:val="20"/>
        </w:rPr>
        <w:t xml:space="preserve">; </w:t>
      </w:r>
      <w:r w:rsidR="00E557B2" w:rsidRPr="00E557B2">
        <w:rPr>
          <w:rFonts w:ascii="Arial" w:hAnsi="Arial" w:cs="Arial"/>
          <w:i/>
          <w:iCs/>
          <w:sz w:val="20"/>
          <w:szCs w:val="20"/>
        </w:rPr>
        <w:t>R v Cohrs</w:t>
      </w:r>
      <w:r w:rsidR="00E557B2">
        <w:rPr>
          <w:rFonts w:ascii="Arial" w:hAnsi="Arial" w:cs="Arial"/>
          <w:sz w:val="20"/>
          <w:szCs w:val="20"/>
        </w:rPr>
        <w:t xml:space="preserve"> [2024] VSC 617</w:t>
      </w:r>
      <w:r w:rsidR="007B1609">
        <w:rPr>
          <w:rFonts w:ascii="Arial" w:hAnsi="Arial" w:cs="Arial"/>
          <w:sz w:val="20"/>
          <w:szCs w:val="20"/>
        </w:rPr>
        <w:t xml:space="preserve">; </w:t>
      </w:r>
      <w:r w:rsidR="007B1609" w:rsidRPr="007B1609">
        <w:rPr>
          <w:rFonts w:ascii="Arial" w:hAnsi="Arial" w:cs="Arial"/>
          <w:i/>
          <w:iCs/>
          <w:sz w:val="20"/>
          <w:szCs w:val="20"/>
        </w:rPr>
        <w:t>R v Nguyen &amp; Curham</w:t>
      </w:r>
      <w:r w:rsidR="007B1609">
        <w:rPr>
          <w:rFonts w:ascii="Arial" w:hAnsi="Arial" w:cs="Arial"/>
          <w:sz w:val="20"/>
          <w:szCs w:val="20"/>
        </w:rPr>
        <w:t xml:space="preserve"> [2024] VSC 616</w:t>
      </w:r>
      <w:r w:rsidR="00F559C3">
        <w:rPr>
          <w:rFonts w:ascii="Arial" w:hAnsi="Arial" w:cs="Arial"/>
          <w:sz w:val="20"/>
          <w:szCs w:val="20"/>
        </w:rPr>
        <w:t xml:space="preserve">; </w:t>
      </w:r>
      <w:r w:rsidR="00F559C3" w:rsidRPr="00F559C3">
        <w:rPr>
          <w:rFonts w:ascii="Arial" w:hAnsi="Arial" w:cs="Arial"/>
          <w:i/>
          <w:iCs/>
          <w:sz w:val="20"/>
          <w:szCs w:val="20"/>
        </w:rPr>
        <w:t>R v Lynn</w:t>
      </w:r>
      <w:r w:rsidR="00F559C3">
        <w:rPr>
          <w:rFonts w:ascii="Arial" w:hAnsi="Arial" w:cs="Arial"/>
          <w:sz w:val="20"/>
          <w:szCs w:val="20"/>
        </w:rPr>
        <w:t xml:space="preserve"> [2024] VSC </w:t>
      </w:r>
      <w:r w:rsidR="00F559C3" w:rsidRPr="00F559C3">
        <w:rPr>
          <w:rFonts w:ascii="Arial" w:hAnsi="Arial" w:cs="Arial"/>
          <w:sz w:val="20"/>
          <w:szCs w:val="20"/>
        </w:rPr>
        <w:t>635</w:t>
      </w:r>
      <w:r w:rsidR="00EF29B9">
        <w:rPr>
          <w:rFonts w:ascii="Arial" w:hAnsi="Arial" w:cs="Arial"/>
          <w:sz w:val="20"/>
          <w:szCs w:val="20"/>
        </w:rPr>
        <w:t xml:space="preserve">; </w:t>
      </w:r>
      <w:r w:rsidR="00EF29B9" w:rsidRPr="00EF29B9">
        <w:rPr>
          <w:rFonts w:ascii="Arial" w:hAnsi="Arial" w:cs="Arial"/>
          <w:i/>
          <w:iCs/>
          <w:sz w:val="20"/>
          <w:szCs w:val="20"/>
        </w:rPr>
        <w:t>DPP v Pualic</w:t>
      </w:r>
      <w:r w:rsidR="00EF29B9">
        <w:rPr>
          <w:rFonts w:ascii="Arial" w:hAnsi="Arial" w:cs="Arial"/>
          <w:sz w:val="20"/>
          <w:szCs w:val="20"/>
        </w:rPr>
        <w:t xml:space="preserve"> [2024] VSC 817</w:t>
      </w:r>
      <w:r w:rsidR="00AE02EF">
        <w:rPr>
          <w:rFonts w:ascii="Arial" w:hAnsi="Arial" w:cs="Arial"/>
          <w:sz w:val="20"/>
          <w:szCs w:val="20"/>
        </w:rPr>
        <w:t xml:space="preserve"> [see summary in </w:t>
      </w:r>
      <w:r w:rsidR="00AE02EF" w:rsidRPr="00AE02EF">
        <w:rPr>
          <w:rFonts w:ascii="Arial" w:hAnsi="Arial" w:cs="Arial"/>
          <w:b/>
          <w:bCs/>
          <w:sz w:val="20"/>
          <w:szCs w:val="20"/>
          <w:shd w:val="clear" w:color="auto" w:fill="C5E0B3" w:themeFill="accent6" w:themeFillTint="66"/>
        </w:rPr>
        <w:t>section 11.</w:t>
      </w:r>
      <w:r w:rsidR="00AE02EF">
        <w:rPr>
          <w:rFonts w:ascii="Arial" w:hAnsi="Arial" w:cs="Arial"/>
          <w:b/>
          <w:bCs/>
          <w:sz w:val="20"/>
          <w:szCs w:val="20"/>
          <w:shd w:val="clear" w:color="auto" w:fill="C5E0B3" w:themeFill="accent6" w:themeFillTint="66"/>
        </w:rPr>
        <w:t>2.</w:t>
      </w:r>
      <w:r w:rsidR="00AE02EF" w:rsidRPr="00AE02EF">
        <w:rPr>
          <w:rFonts w:ascii="Arial" w:hAnsi="Arial" w:cs="Arial"/>
          <w:b/>
          <w:bCs/>
          <w:sz w:val="20"/>
          <w:szCs w:val="20"/>
          <w:shd w:val="clear" w:color="auto" w:fill="C5E0B3" w:themeFill="accent6" w:themeFillTint="66"/>
        </w:rPr>
        <w:t>36</w:t>
      </w:r>
      <w:r w:rsidR="00AE02EF">
        <w:rPr>
          <w:rFonts w:ascii="Arial" w:hAnsi="Arial" w:cs="Arial"/>
          <w:sz w:val="20"/>
          <w:szCs w:val="20"/>
        </w:rPr>
        <w:t>]</w:t>
      </w:r>
      <w:r w:rsidR="00476DB3">
        <w:rPr>
          <w:rFonts w:ascii="Arial" w:hAnsi="Arial" w:cs="Arial"/>
          <w:sz w:val="20"/>
          <w:szCs w:val="20"/>
        </w:rPr>
        <w:t xml:space="preserve">; </w:t>
      </w:r>
      <w:r w:rsidR="00476DB3" w:rsidRPr="00476DB3">
        <w:rPr>
          <w:rFonts w:ascii="Arial" w:hAnsi="Arial" w:cs="Arial"/>
          <w:i/>
          <w:iCs/>
          <w:sz w:val="20"/>
          <w:szCs w:val="20"/>
        </w:rPr>
        <w:t>R v Loughnane</w:t>
      </w:r>
      <w:r w:rsidR="00476DB3">
        <w:rPr>
          <w:rFonts w:ascii="Arial" w:hAnsi="Arial" w:cs="Arial"/>
          <w:sz w:val="20"/>
          <w:szCs w:val="20"/>
        </w:rPr>
        <w:t xml:space="preserve"> [2025] VSC 41</w:t>
      </w:r>
      <w:r w:rsidR="00EA403D">
        <w:rPr>
          <w:rFonts w:ascii="Arial" w:hAnsi="Arial" w:cs="Arial"/>
          <w:sz w:val="20"/>
          <w:szCs w:val="20"/>
        </w:rPr>
        <w:t xml:space="preserve">; </w:t>
      </w:r>
      <w:r w:rsidR="00EA403D" w:rsidRPr="00EA403D">
        <w:rPr>
          <w:rFonts w:ascii="Arial" w:hAnsi="Arial" w:cs="Arial"/>
          <w:i/>
          <w:iCs/>
          <w:sz w:val="20"/>
          <w:szCs w:val="20"/>
        </w:rPr>
        <w:t>R v Gebregiorgis; R v Kassa</w:t>
      </w:r>
      <w:r w:rsidR="00EA403D">
        <w:rPr>
          <w:rFonts w:ascii="Arial" w:hAnsi="Arial" w:cs="Arial"/>
          <w:sz w:val="20"/>
          <w:szCs w:val="20"/>
        </w:rPr>
        <w:t xml:space="preserve"> [2025] VSC 86</w:t>
      </w:r>
      <w:r w:rsidR="00031572">
        <w:rPr>
          <w:rFonts w:ascii="Arial" w:hAnsi="Arial" w:cs="Arial"/>
          <w:sz w:val="20"/>
          <w:szCs w:val="20"/>
        </w:rPr>
        <w:t xml:space="preserve">; </w:t>
      </w:r>
      <w:r w:rsidR="00031572" w:rsidRPr="00031572">
        <w:rPr>
          <w:rFonts w:ascii="Arial" w:hAnsi="Arial" w:cs="Arial"/>
          <w:i/>
          <w:iCs/>
          <w:sz w:val="20"/>
          <w:szCs w:val="20"/>
        </w:rPr>
        <w:t>R v Birchall</w:t>
      </w:r>
      <w:r w:rsidR="00031572">
        <w:rPr>
          <w:rFonts w:ascii="Arial" w:hAnsi="Arial" w:cs="Arial"/>
          <w:sz w:val="20"/>
          <w:szCs w:val="20"/>
        </w:rPr>
        <w:t xml:space="preserve"> [2025] VSC 170</w:t>
      </w:r>
      <w:r w:rsidR="00476DB3">
        <w:rPr>
          <w:rFonts w:ascii="Arial" w:hAnsi="Arial" w:cs="Arial"/>
          <w:sz w:val="20"/>
          <w:szCs w:val="20"/>
        </w:rPr>
        <w:t>.</w:t>
      </w:r>
    </w:p>
    <w:p w14:paraId="67CE0B67" w14:textId="77777777" w:rsidR="004D28EF" w:rsidRDefault="004D28EF" w:rsidP="004D28EF">
      <w:pPr>
        <w:jc w:val="both"/>
        <w:rPr>
          <w:rFonts w:ascii="Arial" w:hAnsi="Arial" w:cs="Arial"/>
          <w:color w:val="000000"/>
          <w:sz w:val="20"/>
        </w:rPr>
      </w:pPr>
    </w:p>
    <w:p w14:paraId="410BF40E" w14:textId="2E2A823D" w:rsidR="00652FC9" w:rsidRPr="001C6E0E" w:rsidRDefault="00427D57" w:rsidP="00652FC9">
      <w:pPr>
        <w:pStyle w:val="Heading3"/>
        <w:keepNext/>
        <w:spacing w:line="240" w:lineRule="auto"/>
        <w:rPr>
          <w:rFonts w:ascii="Arial" w:hAnsi="Arial" w:cs="Arial"/>
          <w:b/>
          <w:bCs/>
          <w:color w:val="000000"/>
          <w:sz w:val="20"/>
        </w:rPr>
      </w:pPr>
      <w:bookmarkStart w:id="651" w:name="_11.2.22.5__"/>
      <w:bookmarkEnd w:id="651"/>
      <w:r w:rsidRPr="001C6E0E">
        <w:rPr>
          <w:rFonts w:ascii="Arial" w:hAnsi="Arial" w:cs="Arial"/>
          <w:b/>
          <w:color w:val="000000"/>
          <w:sz w:val="20"/>
        </w:rPr>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Garve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 xml:space="preserve">The offending in the present case was more serious, however. The CCTV evidence showed very clearly the forceful manner in which Perry stabbed Mr O’Toole, twice, in the upper chest region. On the view of the law set out in these reasons, the </w:t>
      </w:r>
      <w:r w:rsidRPr="00AE61B4">
        <w:rPr>
          <w:rFonts w:ascii="Arial" w:hAnsi="Arial" w:cs="Arial"/>
          <w:sz w:val="20"/>
          <w:szCs w:val="23"/>
        </w:rPr>
        <w:lastRenderedPageBreak/>
        <w:t>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R v Duca</w:t>
      </w:r>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That calls for an assessment of whether, in being party to the act of violence that caused the death of Mr Vuong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R v Considine and anor</w:t>
      </w:r>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4D1A0AC6" w:rsidR="00EE529B" w:rsidRDefault="00EE529B" w:rsidP="00EE529B">
      <w:pPr>
        <w:pStyle w:val="Heading2"/>
        <w:tabs>
          <w:tab w:val="left" w:pos="567"/>
        </w:tabs>
        <w:spacing w:line="240" w:lineRule="auto"/>
        <w:ind w:left="567" w:hanging="567"/>
        <w:rPr>
          <w:rFonts w:ascii="Arial" w:hAnsi="Arial" w:cs="Arial"/>
          <w:b/>
          <w:bCs/>
          <w:color w:val="000000"/>
          <w:sz w:val="20"/>
        </w:rPr>
      </w:pPr>
    </w:p>
    <w:p w14:paraId="052B1FD7" w14:textId="4E448A40" w:rsidR="001D4C66" w:rsidRPr="001C6E0E" w:rsidRDefault="001D4C66" w:rsidP="001D4C66">
      <w:pPr>
        <w:pStyle w:val="Heading3"/>
        <w:keepNext/>
        <w:spacing w:after="120" w:line="240" w:lineRule="auto"/>
        <w:rPr>
          <w:rFonts w:ascii="Arial" w:hAnsi="Arial" w:cs="Arial"/>
          <w:b/>
          <w:bCs/>
          <w:color w:val="000000"/>
          <w:sz w:val="20"/>
        </w:rPr>
      </w:pPr>
      <w:bookmarkStart w:id="652" w:name="_11.2.22.6___1"/>
      <w:bookmarkEnd w:id="652"/>
      <w:r>
        <w:rPr>
          <w:rFonts w:ascii="Arial" w:hAnsi="Arial" w:cs="Arial"/>
          <w:b/>
          <w:color w:val="000000"/>
          <w:sz w:val="20"/>
        </w:rPr>
        <w:t xml:space="preserve">11.2.22.6   </w:t>
      </w:r>
      <w:r w:rsidRPr="001C6E0E">
        <w:rPr>
          <w:rFonts w:ascii="Arial" w:hAnsi="Arial" w:cs="Arial"/>
          <w:b/>
          <w:color w:val="000000"/>
          <w:sz w:val="20"/>
        </w:rPr>
        <w:t xml:space="preserve">Sentencing for </w:t>
      </w:r>
      <w:r>
        <w:rPr>
          <w:rFonts w:ascii="Arial" w:hAnsi="Arial" w:cs="Arial"/>
          <w:b/>
          <w:color w:val="000000"/>
          <w:sz w:val="20"/>
        </w:rPr>
        <w:t>incitement</w:t>
      </w:r>
      <w:r w:rsidRPr="001C6E0E">
        <w:rPr>
          <w:rFonts w:ascii="Arial" w:hAnsi="Arial" w:cs="Arial"/>
          <w:b/>
          <w:color w:val="000000"/>
          <w:sz w:val="20"/>
        </w:rPr>
        <w:t xml:space="preserve"> to murder</w:t>
      </w:r>
    </w:p>
    <w:p w14:paraId="0B70A1B3" w14:textId="77777777" w:rsidR="00302CF8" w:rsidRPr="001C6E0E" w:rsidRDefault="006F5E5C" w:rsidP="00302CF8">
      <w:pPr>
        <w:jc w:val="both"/>
        <w:rPr>
          <w:rFonts w:ascii="Arial" w:hAnsi="Arial" w:cs="Arial"/>
          <w:color w:val="000000"/>
          <w:sz w:val="20"/>
          <w:szCs w:val="20"/>
        </w:rPr>
      </w:pPr>
      <w:r w:rsidRPr="006F5E5C">
        <w:rPr>
          <w:rFonts w:ascii="Arial" w:hAnsi="Arial" w:cs="Arial"/>
          <w:color w:val="000000"/>
          <w:sz w:val="20"/>
        </w:rPr>
        <w:t xml:space="preserve">In </w:t>
      </w:r>
      <w:r w:rsidRPr="006F5E5C">
        <w:rPr>
          <w:rFonts w:ascii="Arial" w:hAnsi="Arial" w:cs="Arial"/>
          <w:i/>
          <w:iCs/>
          <w:color w:val="000000"/>
          <w:sz w:val="20"/>
        </w:rPr>
        <w:t>R v Assaad</w:t>
      </w:r>
      <w:r w:rsidRPr="006F5E5C">
        <w:rPr>
          <w:rFonts w:ascii="Arial" w:hAnsi="Arial" w:cs="Arial"/>
          <w:color w:val="000000"/>
          <w:sz w:val="20"/>
        </w:rPr>
        <w:t xml:space="preserve"> [2022] VSC 800 Croucher J </w:t>
      </w:r>
      <w:r>
        <w:rPr>
          <w:rFonts w:ascii="Arial" w:hAnsi="Arial" w:cs="Arial"/>
          <w:color w:val="000000"/>
          <w:sz w:val="20"/>
        </w:rPr>
        <w:t xml:space="preserve">imposed a sentence of IMP 5y/2y6m on a </w:t>
      </w:r>
      <w:r w:rsidR="007354FA">
        <w:rPr>
          <w:rFonts w:ascii="Arial" w:hAnsi="Arial" w:cs="Arial"/>
          <w:color w:val="000000"/>
          <w:sz w:val="20"/>
        </w:rPr>
        <w:t xml:space="preserve">50 </w:t>
      </w:r>
      <w:r>
        <w:rPr>
          <w:rFonts w:ascii="Arial" w:hAnsi="Arial" w:cs="Arial"/>
          <w:color w:val="000000"/>
          <w:sz w:val="20"/>
        </w:rPr>
        <w:t xml:space="preserve">year old man who had pleaded guilty following a sentence indication to a charge of incitement to murder.  </w:t>
      </w:r>
      <w:r w:rsidR="00895C41">
        <w:rPr>
          <w:rFonts w:ascii="Arial" w:hAnsi="Arial" w:cs="Arial"/>
          <w:color w:val="000000"/>
          <w:sz w:val="20"/>
        </w:rPr>
        <w:t xml:space="preserve">The intended victim was a pastor at a church attended by the accused’s family </w:t>
      </w:r>
      <w:r w:rsidR="00A3092B">
        <w:rPr>
          <w:rFonts w:ascii="Arial" w:hAnsi="Arial" w:cs="Arial"/>
          <w:color w:val="000000"/>
          <w:sz w:val="20"/>
        </w:rPr>
        <w:t xml:space="preserve">whom the accused believed had improperly intervened in his marriage 6 years earlier over allegations of family violence.  </w:t>
      </w:r>
      <w:r w:rsidR="00477CAE">
        <w:rPr>
          <w:rFonts w:ascii="Arial" w:hAnsi="Arial" w:cs="Arial"/>
          <w:color w:val="000000"/>
          <w:sz w:val="20"/>
        </w:rPr>
        <w:t xml:space="preserve">The accused met an undercover operative pretending to be a hitman twice and provided a cash deposit and a dossier on the pastor.  </w:t>
      </w:r>
      <w:r w:rsidR="002772A0">
        <w:rPr>
          <w:rFonts w:ascii="Arial" w:hAnsi="Arial" w:cs="Arial"/>
          <w:color w:val="000000"/>
          <w:sz w:val="20"/>
        </w:rPr>
        <w:t xml:space="preserve">The accused had a limited criminal history and otherwise </w:t>
      </w:r>
      <w:r w:rsidR="006638F2">
        <w:rPr>
          <w:rFonts w:ascii="Arial" w:hAnsi="Arial" w:cs="Arial"/>
          <w:color w:val="000000"/>
          <w:sz w:val="20"/>
        </w:rPr>
        <w:t>a strong history of good character and good prospects of rehabilitation.</w:t>
      </w:r>
    </w:p>
    <w:p w14:paraId="179A09D1" w14:textId="77777777" w:rsidR="00302CF8" w:rsidRPr="001C6E0E" w:rsidRDefault="002772A0" w:rsidP="00302CF8">
      <w:pPr>
        <w:spacing w:before="120"/>
        <w:jc w:val="both"/>
        <w:rPr>
          <w:rFonts w:ascii="Arial" w:hAnsi="Arial" w:cs="Arial"/>
          <w:color w:val="000000"/>
          <w:sz w:val="20"/>
          <w:szCs w:val="20"/>
        </w:rPr>
      </w:pPr>
      <w:r w:rsidRPr="002772A0">
        <w:rPr>
          <w:rFonts w:ascii="Arial" w:hAnsi="Arial" w:cs="Arial"/>
          <w:color w:val="000000"/>
          <w:sz w:val="20"/>
        </w:rPr>
        <w:t xml:space="preserve">At [51]-[60] Croucher J explained why – contrary to a view he had expressed in an earlier case </w:t>
      </w:r>
      <w:r>
        <w:rPr>
          <w:rFonts w:ascii="Arial" w:hAnsi="Arial" w:cs="Arial"/>
          <w:color w:val="000000"/>
          <w:sz w:val="20"/>
        </w:rPr>
        <w:t>–</w:t>
      </w:r>
      <w:r w:rsidRPr="002772A0">
        <w:rPr>
          <w:rFonts w:ascii="Arial" w:hAnsi="Arial" w:cs="Arial"/>
          <w:color w:val="000000"/>
          <w:sz w:val="20"/>
        </w:rPr>
        <w:t xml:space="preserve"> </w:t>
      </w:r>
      <w:r>
        <w:rPr>
          <w:rFonts w:ascii="Arial" w:hAnsi="Arial" w:cs="Arial"/>
          <w:color w:val="000000"/>
          <w:sz w:val="20"/>
        </w:rPr>
        <w:t xml:space="preserve">s.207 of the </w:t>
      </w:r>
      <w:r w:rsidRPr="002772A0">
        <w:rPr>
          <w:rFonts w:ascii="Arial" w:hAnsi="Arial" w:cs="Arial"/>
          <w:i/>
          <w:iCs/>
          <w:color w:val="000000"/>
          <w:sz w:val="20"/>
        </w:rPr>
        <w:t>Criminal Procedure Act 2009</w:t>
      </w:r>
      <w:r>
        <w:rPr>
          <w:rFonts w:ascii="Arial" w:hAnsi="Arial" w:cs="Arial"/>
          <w:color w:val="000000"/>
          <w:sz w:val="20"/>
        </w:rPr>
        <w:t xml:space="preserve"> empowered him – or at least did not prevent him – from indicating a maximum head sentence of imprisonment together with a non-parole period, saying at [51]: “</w:t>
      </w:r>
      <w:r w:rsidRPr="001701D6">
        <w:rPr>
          <w:rFonts w:ascii="Arial" w:hAnsi="Arial" w:cs="Arial"/>
          <w:sz w:val="20"/>
          <w:szCs w:val="18"/>
        </w:rPr>
        <w:t>After all, in order to make an informed decision, an accused will want to know of the non-parole period indicated as much as he or she will want to know of the head or total effective sentence indicated.</w:t>
      </w:r>
      <w:r>
        <w:rPr>
          <w:rFonts w:ascii="Arial" w:hAnsi="Arial" w:cs="Arial"/>
          <w:sz w:val="20"/>
          <w:szCs w:val="18"/>
        </w:rPr>
        <w:t>”</w:t>
      </w:r>
    </w:p>
    <w:p w14:paraId="6F022961"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[62]-[63] Croucher J said:</w:t>
      </w:r>
    </w:p>
    <w:p w14:paraId="3E6830FB" w14:textId="52C85108" w:rsidR="00286639" w:rsidRDefault="006638F2" w:rsidP="00286639">
      <w:pPr>
        <w:spacing w:before="60"/>
        <w:ind w:left="567" w:right="567"/>
        <w:jc w:val="both"/>
        <w:rPr>
          <w:rFonts w:ascii="Arial" w:hAnsi="Arial" w:cs="Arial"/>
          <w:sz w:val="20"/>
          <w:szCs w:val="20"/>
        </w:rPr>
      </w:pPr>
      <w:r>
        <w:rPr>
          <w:rFonts w:ascii="Arial" w:hAnsi="Arial" w:cs="Arial"/>
          <w:sz w:val="20"/>
          <w:szCs w:val="23"/>
        </w:rPr>
        <w:t xml:space="preserve">[62] </w:t>
      </w:r>
      <w:r w:rsidR="00286639" w:rsidRPr="00286639">
        <w:rPr>
          <w:rFonts w:ascii="Arial" w:hAnsi="Arial" w:cs="Arial"/>
          <w:sz w:val="20"/>
          <w:szCs w:val="23"/>
        </w:rPr>
        <w:t>“</w:t>
      </w:r>
      <w:r w:rsidR="00286639" w:rsidRPr="00286639">
        <w:rPr>
          <w:rFonts w:ascii="Arial" w:hAnsi="Arial" w:cs="Arial"/>
          <w:sz w:val="20"/>
          <w:szCs w:val="20"/>
        </w:rPr>
        <w:t>Incitement to murde</w:t>
      </w:r>
      <w:r w:rsidR="00286639">
        <w:rPr>
          <w:rFonts w:ascii="Arial" w:hAnsi="Arial" w:cs="Arial"/>
          <w:sz w:val="20"/>
          <w:szCs w:val="20"/>
        </w:rPr>
        <w:t xml:space="preserve">r contrary to s.321G of the </w:t>
      </w:r>
      <w:r w:rsidR="00286639" w:rsidRPr="00286639">
        <w:rPr>
          <w:rFonts w:ascii="Arial" w:hAnsi="Arial" w:cs="Arial"/>
          <w:i/>
          <w:iCs/>
          <w:sz w:val="20"/>
          <w:szCs w:val="20"/>
        </w:rPr>
        <w:t>Crimes Act 1958</w:t>
      </w:r>
      <w:r w:rsidR="00286639" w:rsidRPr="00286639">
        <w:rPr>
          <w:rFonts w:ascii="Arial" w:hAnsi="Arial" w:cs="Arial"/>
          <w:sz w:val="20"/>
          <w:szCs w:val="20"/>
        </w:rPr>
        <w:t xml:space="preserve"> is, by definition, a very serious offence.  It carries a maximum penalty of imprisonment for life.  To be guilty of the offence, the accused must intend that the offence the subject of the incitement </w:t>
      </w:r>
      <w:r w:rsidR="00286639" w:rsidRPr="00286639">
        <w:rPr>
          <w:rFonts w:ascii="Arial" w:eastAsia="Book Antiqua" w:hAnsi="Arial" w:cs="Arial"/>
          <w:sz w:val="20"/>
          <w:szCs w:val="20"/>
        </w:rPr>
        <w:t>—</w:t>
      </w:r>
      <w:r w:rsidR="00286639" w:rsidRPr="00286639">
        <w:rPr>
          <w:rFonts w:ascii="Arial" w:hAnsi="Arial" w:cs="Arial"/>
          <w:sz w:val="20"/>
          <w:szCs w:val="20"/>
        </w:rPr>
        <w:t xml:space="preserve"> in this case, murder </w:t>
      </w:r>
      <w:r w:rsidR="00286639" w:rsidRPr="00286639">
        <w:rPr>
          <w:rFonts w:ascii="Arial" w:eastAsia="Book Antiqua" w:hAnsi="Arial" w:cs="Arial"/>
          <w:sz w:val="20"/>
          <w:szCs w:val="20"/>
        </w:rPr>
        <w:t>—</w:t>
      </w:r>
      <w:r w:rsidR="00286639" w:rsidRPr="00286639">
        <w:rPr>
          <w:rFonts w:ascii="Arial" w:hAnsi="Arial" w:cs="Arial"/>
          <w:sz w:val="20"/>
          <w:szCs w:val="20"/>
        </w:rPr>
        <w:t xml:space="preserve"> be committed.  It has been said that, as murder is a crime of the utmost gravity, incitement to murder is an extremely serious example of the crime of incitement</w:t>
      </w:r>
      <w:r w:rsidR="00286639">
        <w:rPr>
          <w:rFonts w:ascii="Arial" w:hAnsi="Arial" w:cs="Arial"/>
          <w:sz w:val="20"/>
          <w:szCs w:val="20"/>
        </w:rPr>
        <w:t xml:space="preserve">: </w:t>
      </w:r>
      <w:r w:rsidR="00286639" w:rsidRPr="00102FB6">
        <w:rPr>
          <w:rFonts w:ascii="Arial" w:hAnsi="Arial" w:cs="Arial"/>
          <w:i/>
          <w:iCs/>
          <w:sz w:val="20"/>
          <w:szCs w:val="20"/>
        </w:rPr>
        <w:t>Kalala v The Queen</w:t>
      </w:r>
      <w:r w:rsidR="00286639">
        <w:rPr>
          <w:rFonts w:ascii="Arial" w:hAnsi="Arial" w:cs="Arial"/>
          <w:sz w:val="20"/>
          <w:szCs w:val="20"/>
        </w:rPr>
        <w:t xml:space="preserve"> [2017] VSCA 223 at [23] per Maxwell P and Redlich JA</w:t>
      </w:r>
      <w:r w:rsidR="00286639" w:rsidRPr="00286639">
        <w:rPr>
          <w:rFonts w:ascii="Arial" w:hAnsi="Arial" w:cs="Arial"/>
          <w:sz w:val="20"/>
          <w:szCs w:val="20"/>
        </w:rPr>
        <w:t>.</w:t>
      </w:r>
    </w:p>
    <w:p w14:paraId="69D98DE6" w14:textId="4EAA325B" w:rsidR="006638F2" w:rsidRDefault="006638F2" w:rsidP="00286639">
      <w:pPr>
        <w:spacing w:before="60"/>
        <w:ind w:left="567" w:right="567"/>
        <w:jc w:val="both"/>
      </w:pPr>
      <w:r>
        <w:rPr>
          <w:rFonts w:ascii="Arial" w:hAnsi="Arial" w:cs="Arial"/>
          <w:sz w:val="20"/>
          <w:szCs w:val="20"/>
        </w:rPr>
        <w:t xml:space="preserve">[63] </w:t>
      </w:r>
      <w:r w:rsidRPr="006638F2">
        <w:rPr>
          <w:rFonts w:ascii="Arial" w:eastAsia="Book Antiqua" w:hAnsi="Arial" w:cs="Arial"/>
          <w:sz w:val="20"/>
          <w:szCs w:val="20"/>
        </w:rPr>
        <w:t xml:space="preserve">Mr Assaad’s </w:t>
      </w:r>
      <w:r w:rsidRPr="006638F2">
        <w:rPr>
          <w:rFonts w:ascii="Arial" w:hAnsi="Arial" w:cs="Arial"/>
          <w:sz w:val="20"/>
          <w:szCs w:val="20"/>
        </w:rPr>
        <w:t xml:space="preserve">particular offence was a serious instance of incitement to murder, albeit not at the upper end of the spectrum of gravity for this offence.  Factors contributing to the seriousness of the offence include the following.  First, it is plain that Mr Assaad persisted in the encouragement of Zac to follow through with his instruction to kill </w:t>
      </w:r>
      <w:r w:rsidR="00102FB6">
        <w:rPr>
          <w:rFonts w:ascii="Arial" w:hAnsi="Arial" w:cs="Arial"/>
          <w:sz w:val="20"/>
          <w:szCs w:val="20"/>
        </w:rPr>
        <w:t>M</w:t>
      </w:r>
      <w:r w:rsidRPr="006638F2">
        <w:rPr>
          <w:rFonts w:ascii="Arial" w:hAnsi="Arial" w:cs="Arial"/>
          <w:sz w:val="20"/>
          <w:szCs w:val="20"/>
        </w:rPr>
        <w:t xml:space="preserve">r Issa.  Second, I </w:t>
      </w:r>
      <w:r w:rsidRPr="006638F2">
        <w:rPr>
          <w:rFonts w:ascii="Arial" w:eastAsia="Book Antiqua" w:hAnsi="Arial" w:cs="Arial"/>
          <w:sz w:val="20"/>
          <w:szCs w:val="20"/>
        </w:rPr>
        <w:t>accept Mr Rochford’s submission that i</w:t>
      </w:r>
      <w:r w:rsidRPr="006638F2">
        <w:rPr>
          <w:rFonts w:ascii="Arial" w:hAnsi="Arial" w:cs="Arial"/>
          <w:sz w:val="20"/>
          <w:szCs w:val="20"/>
        </w:rPr>
        <w:t xml:space="preserve">t is troubling that Mr </w:t>
      </w:r>
      <w:r w:rsidRPr="006638F2">
        <w:rPr>
          <w:rFonts w:ascii="Arial" w:eastAsia="Book Antiqua" w:hAnsi="Arial" w:cs="Arial"/>
          <w:sz w:val="20"/>
          <w:szCs w:val="20"/>
        </w:rPr>
        <w:t>Assaad’s</w:t>
      </w:r>
      <w:r w:rsidRPr="006638F2">
        <w:rPr>
          <w:rFonts w:ascii="Arial" w:hAnsi="Arial" w:cs="Arial"/>
          <w:sz w:val="20"/>
          <w:szCs w:val="20"/>
        </w:rPr>
        <w:t xml:space="preserve"> motivation for the offence appears to have been his lingering </w:t>
      </w:r>
      <w:r w:rsidRPr="006638F2">
        <w:rPr>
          <w:rFonts w:ascii="Arial" w:eastAsia="Book Antiqua" w:hAnsi="Arial" w:cs="Arial"/>
          <w:i/>
          <w:sz w:val="20"/>
          <w:szCs w:val="20"/>
        </w:rPr>
        <w:t>animus</w:t>
      </w:r>
      <w:r w:rsidRPr="006638F2">
        <w:rPr>
          <w:rFonts w:ascii="Arial" w:hAnsi="Arial" w:cs="Arial"/>
          <w:sz w:val="20"/>
          <w:szCs w:val="20"/>
        </w:rPr>
        <w:t xml:space="preserve"> towards Mr Issa because of his involvement in assisting GH in a time of perceived need for support when dealing with a complaint of family violence.  Third, Mr Assaad diligently persisted in sourcing the information requested by the undercover operative, and kept him updated on the progress of his task.  Fourth, he used public phones to avoid detection when contacting the covert operative.  In those circumstances, I accept Mr Rochford</w:t>
      </w:r>
      <w:r w:rsidRPr="006638F2">
        <w:rPr>
          <w:rFonts w:ascii="Arial" w:eastAsia="Book Antiqua" w:hAnsi="Arial" w:cs="Arial"/>
          <w:sz w:val="20"/>
          <w:szCs w:val="20"/>
        </w:rPr>
        <w:t xml:space="preserve">’s submission </w:t>
      </w:r>
      <w:r w:rsidRPr="006638F2">
        <w:rPr>
          <w:rFonts w:ascii="Arial" w:hAnsi="Arial" w:cs="Arial"/>
          <w:sz w:val="20"/>
          <w:szCs w:val="20"/>
        </w:rPr>
        <w:t>that Mr</w:t>
      </w:r>
      <w:r>
        <w:rPr>
          <w:rFonts w:ascii="Arial" w:hAnsi="Arial" w:cs="Arial"/>
          <w:sz w:val="20"/>
          <w:szCs w:val="20"/>
        </w:rPr>
        <w:t> </w:t>
      </w:r>
      <w:r w:rsidRPr="006638F2">
        <w:rPr>
          <w:rFonts w:ascii="Arial" w:eastAsia="Book Antiqua" w:hAnsi="Arial" w:cs="Arial"/>
          <w:sz w:val="20"/>
          <w:szCs w:val="20"/>
        </w:rPr>
        <w:t xml:space="preserve">Assaad’s moral culpability </w:t>
      </w:r>
      <w:r w:rsidRPr="006638F2">
        <w:rPr>
          <w:rFonts w:ascii="Arial" w:hAnsi="Arial" w:cs="Arial"/>
          <w:sz w:val="20"/>
          <w:szCs w:val="20"/>
        </w:rPr>
        <w:t>was high.</w:t>
      </w:r>
      <w:r>
        <w:rPr>
          <w:rFonts w:ascii="Arial" w:hAnsi="Arial" w:cs="Arial"/>
          <w:sz w:val="20"/>
          <w:szCs w:val="20"/>
        </w:rPr>
        <w:t>”</w:t>
      </w:r>
    </w:p>
    <w:p w14:paraId="617761DD"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[120]-[122] Croucher J said:</w:t>
      </w:r>
    </w:p>
    <w:p w14:paraId="1149D9B8" w14:textId="3A566DBE" w:rsidR="006638F2" w:rsidRDefault="006638F2" w:rsidP="006638F2">
      <w:pPr>
        <w:spacing w:before="60"/>
        <w:ind w:left="567" w:right="567"/>
        <w:jc w:val="both"/>
        <w:rPr>
          <w:rFonts w:ascii="Arial" w:hAnsi="Arial" w:cs="Arial"/>
          <w:sz w:val="20"/>
          <w:szCs w:val="20"/>
        </w:rPr>
      </w:pPr>
      <w:r>
        <w:rPr>
          <w:rFonts w:ascii="Arial" w:hAnsi="Arial" w:cs="Arial"/>
          <w:sz w:val="20"/>
          <w:szCs w:val="20"/>
        </w:rPr>
        <w:t>[120] “…</w:t>
      </w:r>
      <w:r w:rsidRPr="00286639">
        <w:rPr>
          <w:rFonts w:ascii="Arial" w:hAnsi="Arial" w:cs="Arial"/>
          <w:sz w:val="20"/>
          <w:szCs w:val="20"/>
        </w:rPr>
        <w:t>I considered every sentence I could find on Austlii imposed in this Court or in the Court of Appeal for incitement to murder over the last twenty years or so.</w:t>
      </w:r>
    </w:p>
    <w:p w14:paraId="20BCEEB6" w14:textId="6D8B3C1D" w:rsidR="006638F2" w:rsidRPr="006638F2" w:rsidRDefault="006638F2" w:rsidP="00335A47">
      <w:pPr>
        <w:spacing w:before="60"/>
        <w:ind w:left="567" w:right="567"/>
        <w:jc w:val="both"/>
        <w:rPr>
          <w:rFonts w:ascii="Arial" w:hAnsi="Arial" w:cs="Arial"/>
          <w:sz w:val="20"/>
          <w:szCs w:val="20"/>
        </w:rPr>
      </w:pPr>
      <w:r w:rsidRPr="006638F2">
        <w:rPr>
          <w:rFonts w:ascii="Arial" w:hAnsi="Arial" w:cs="Arial"/>
          <w:sz w:val="20"/>
          <w:szCs w:val="20"/>
        </w:rPr>
        <w:t>[121] Those sentences ranged from the imposition of a community correction order in a wholly unique case [</w:t>
      </w:r>
      <w:r w:rsidRPr="006638F2">
        <w:rPr>
          <w:rFonts w:ascii="Arial" w:eastAsia="Book Antiqua" w:hAnsi="Arial" w:cs="Arial"/>
          <w:i/>
          <w:sz w:val="20"/>
          <w:szCs w:val="20"/>
        </w:rPr>
        <w:t>The Queen v Pratley</w:t>
      </w:r>
      <w:r w:rsidRPr="006638F2">
        <w:rPr>
          <w:rFonts w:ascii="Arial" w:hAnsi="Arial" w:cs="Arial"/>
          <w:sz w:val="20"/>
          <w:szCs w:val="20"/>
        </w:rPr>
        <w:t xml:space="preserve"> [2013] VSC 298 (</w:t>
      </w:r>
      <w:r w:rsidRPr="006638F2">
        <w:rPr>
          <w:rFonts w:ascii="Arial" w:eastAsia="Book Antiqua" w:hAnsi="Arial" w:cs="Arial"/>
          <w:i/>
          <w:sz w:val="20"/>
          <w:szCs w:val="20"/>
        </w:rPr>
        <w:t>per</w:t>
      </w:r>
      <w:r w:rsidRPr="006638F2">
        <w:rPr>
          <w:rFonts w:ascii="Arial" w:hAnsi="Arial" w:cs="Arial"/>
          <w:sz w:val="20"/>
          <w:szCs w:val="20"/>
        </w:rPr>
        <w:t xml:space="preserve"> Priest JA)] to a </w:t>
      </w:r>
      <w:r w:rsidRPr="006638F2">
        <w:rPr>
          <w:rFonts w:ascii="Arial" w:eastAsia="Book Antiqua" w:hAnsi="Arial" w:cs="Arial"/>
          <w:sz w:val="20"/>
          <w:szCs w:val="20"/>
        </w:rPr>
        <w:t xml:space="preserve">sentence of </w:t>
      </w:r>
      <w:r w:rsidR="00335A47">
        <w:rPr>
          <w:rFonts w:ascii="Arial" w:eastAsia="Book Antiqua" w:hAnsi="Arial" w:cs="Arial"/>
          <w:sz w:val="20"/>
          <w:szCs w:val="20"/>
        </w:rPr>
        <w:t>9</w:t>
      </w:r>
      <w:r w:rsidRPr="006638F2">
        <w:rPr>
          <w:rFonts w:ascii="Arial" w:eastAsia="Book Antiqua" w:hAnsi="Arial" w:cs="Arial"/>
          <w:sz w:val="20"/>
          <w:szCs w:val="20"/>
        </w:rPr>
        <w:t xml:space="preserve"> years’ imprisonment with a non</w:t>
      </w:r>
      <w:r w:rsidRPr="006638F2">
        <w:rPr>
          <w:rFonts w:ascii="Arial" w:hAnsi="Arial" w:cs="Arial"/>
          <w:sz w:val="20"/>
          <w:szCs w:val="20"/>
        </w:rPr>
        <w:t xml:space="preserve">-parole period of </w:t>
      </w:r>
      <w:r w:rsidR="00335A47">
        <w:rPr>
          <w:rFonts w:ascii="Arial" w:hAnsi="Arial" w:cs="Arial"/>
          <w:sz w:val="20"/>
          <w:szCs w:val="20"/>
        </w:rPr>
        <w:t>6</w:t>
      </w:r>
      <w:r w:rsidRPr="006638F2">
        <w:rPr>
          <w:rFonts w:ascii="Arial" w:hAnsi="Arial" w:cs="Arial"/>
          <w:sz w:val="20"/>
          <w:szCs w:val="20"/>
        </w:rPr>
        <w:t xml:space="preserve"> years at the other end of the spectrum: </w:t>
      </w:r>
      <w:r w:rsidRPr="006638F2">
        <w:rPr>
          <w:rFonts w:ascii="Arial" w:eastAsia="Book Antiqua" w:hAnsi="Arial" w:cs="Arial"/>
          <w:i/>
          <w:sz w:val="20"/>
          <w:szCs w:val="20"/>
        </w:rPr>
        <w:t>Kalala v The Queen</w:t>
      </w:r>
      <w:r w:rsidRPr="006638F2">
        <w:rPr>
          <w:rFonts w:ascii="Arial" w:hAnsi="Arial" w:cs="Arial"/>
          <w:sz w:val="20"/>
          <w:szCs w:val="20"/>
        </w:rPr>
        <w:t xml:space="preserve"> [2017] VSCA 223 (</w:t>
      </w:r>
      <w:r w:rsidRPr="006638F2">
        <w:rPr>
          <w:rFonts w:ascii="Arial" w:eastAsia="Book Antiqua" w:hAnsi="Arial" w:cs="Arial"/>
          <w:i/>
          <w:sz w:val="20"/>
          <w:szCs w:val="20"/>
        </w:rPr>
        <w:t>per</w:t>
      </w:r>
      <w:r w:rsidRPr="006638F2">
        <w:rPr>
          <w:rFonts w:ascii="Arial" w:hAnsi="Arial" w:cs="Arial"/>
          <w:sz w:val="20"/>
          <w:szCs w:val="20"/>
        </w:rPr>
        <w:t xml:space="preserve"> Maxwell P, Redlich and Osborn JJA) (the appeal against sentence imposed by Warren CJ in </w:t>
      </w:r>
      <w:r w:rsidRPr="006638F2">
        <w:rPr>
          <w:rFonts w:ascii="Arial" w:eastAsia="Book Antiqua" w:hAnsi="Arial" w:cs="Arial"/>
          <w:i/>
          <w:sz w:val="20"/>
          <w:szCs w:val="20"/>
        </w:rPr>
        <w:t>The Queen v Kalala</w:t>
      </w:r>
      <w:r w:rsidRPr="006638F2">
        <w:rPr>
          <w:rFonts w:ascii="Arial" w:hAnsi="Arial" w:cs="Arial"/>
          <w:sz w:val="20"/>
          <w:szCs w:val="20"/>
        </w:rPr>
        <w:t xml:space="preserve"> [2015] VSC 713 was dismissed).  Each of those matters involved a plea of guilty.</w:t>
      </w:r>
    </w:p>
    <w:p w14:paraId="14571D45" w14:textId="4239D9C1" w:rsidR="006638F2" w:rsidRPr="00335A47" w:rsidRDefault="006638F2" w:rsidP="006638F2">
      <w:pPr>
        <w:spacing w:before="60"/>
        <w:ind w:left="567" w:right="567"/>
        <w:jc w:val="both"/>
        <w:rPr>
          <w:rFonts w:ascii="Arial" w:hAnsi="Arial" w:cs="Arial"/>
          <w:sz w:val="20"/>
          <w:szCs w:val="20"/>
        </w:rPr>
      </w:pPr>
      <w:r w:rsidRPr="006638F2">
        <w:rPr>
          <w:rFonts w:ascii="Arial" w:hAnsi="Arial" w:cs="Arial"/>
          <w:sz w:val="20"/>
          <w:szCs w:val="20"/>
        </w:rPr>
        <w:lastRenderedPageBreak/>
        <w:t xml:space="preserve">[122] Other sentences at the higher end of the sentencing spectrum were two sentences of </w:t>
      </w:r>
      <w:r w:rsidR="00335A47">
        <w:rPr>
          <w:rFonts w:ascii="Arial" w:eastAsia="Book Antiqua" w:hAnsi="Arial" w:cs="Arial"/>
          <w:sz w:val="20"/>
          <w:szCs w:val="20"/>
        </w:rPr>
        <w:t xml:space="preserve">8 </w:t>
      </w:r>
      <w:r w:rsidRPr="006638F2">
        <w:rPr>
          <w:rFonts w:ascii="Arial" w:eastAsia="Book Antiqua" w:hAnsi="Arial" w:cs="Arial"/>
          <w:sz w:val="20"/>
          <w:szCs w:val="20"/>
        </w:rPr>
        <w:t xml:space="preserve">years’ imprisonment, one </w:t>
      </w:r>
      <w:r w:rsidRPr="006638F2">
        <w:rPr>
          <w:rFonts w:ascii="Arial" w:hAnsi="Arial" w:cs="Arial"/>
          <w:sz w:val="20"/>
          <w:szCs w:val="20"/>
        </w:rPr>
        <w:t xml:space="preserve">of which was imposed following a plea of not guilty: </w:t>
      </w:r>
      <w:r w:rsidRPr="006638F2">
        <w:rPr>
          <w:rFonts w:ascii="Arial" w:eastAsia="Book Antiqua" w:hAnsi="Arial" w:cs="Arial"/>
          <w:i/>
          <w:sz w:val="20"/>
          <w:szCs w:val="20"/>
        </w:rPr>
        <w:t>The Queen v Najibi</w:t>
      </w:r>
      <w:r w:rsidRPr="006638F2">
        <w:rPr>
          <w:rFonts w:ascii="Arial" w:hAnsi="Arial" w:cs="Arial"/>
          <w:sz w:val="20"/>
          <w:szCs w:val="20"/>
        </w:rPr>
        <w:t xml:space="preserve"> [2015] VSC 260 (</w:t>
      </w:r>
      <w:r w:rsidRPr="006638F2">
        <w:rPr>
          <w:rFonts w:ascii="Arial" w:eastAsia="Book Antiqua" w:hAnsi="Arial" w:cs="Arial"/>
          <w:i/>
          <w:sz w:val="20"/>
          <w:szCs w:val="20"/>
        </w:rPr>
        <w:t>per</w:t>
      </w:r>
      <w:r w:rsidRPr="006638F2">
        <w:rPr>
          <w:rFonts w:ascii="Arial" w:hAnsi="Arial" w:cs="Arial"/>
          <w:sz w:val="20"/>
          <w:szCs w:val="20"/>
        </w:rPr>
        <w:t xml:space="preserve"> Emerton J).  The other involved a very serious example of the offence that followed a plea of guilty but which was connected with a murder so grave as to attract a life sentence: </w:t>
      </w:r>
      <w:r w:rsidRPr="006638F2">
        <w:rPr>
          <w:rFonts w:ascii="Arial" w:eastAsia="Book Antiqua" w:hAnsi="Arial" w:cs="Arial"/>
          <w:i/>
          <w:sz w:val="20"/>
          <w:szCs w:val="20"/>
        </w:rPr>
        <w:t>The Queen v Cardamone</w:t>
      </w:r>
      <w:r w:rsidRPr="006638F2">
        <w:rPr>
          <w:rFonts w:ascii="Arial" w:hAnsi="Arial" w:cs="Arial"/>
          <w:sz w:val="20"/>
          <w:szCs w:val="20"/>
        </w:rPr>
        <w:t xml:space="preserve"> [2017] VSC 493 (</w:t>
      </w:r>
      <w:r w:rsidRPr="006638F2">
        <w:rPr>
          <w:rFonts w:ascii="Arial" w:eastAsia="Book Antiqua" w:hAnsi="Arial" w:cs="Arial"/>
          <w:i/>
          <w:sz w:val="20"/>
          <w:szCs w:val="20"/>
        </w:rPr>
        <w:t>per</w:t>
      </w:r>
      <w:r w:rsidRPr="006638F2">
        <w:rPr>
          <w:rFonts w:ascii="Arial" w:hAnsi="Arial" w:cs="Arial"/>
          <w:sz w:val="20"/>
          <w:szCs w:val="20"/>
        </w:rPr>
        <w:t xml:space="preserve"> Lasry J).  Most of the sentences ranged </w:t>
      </w:r>
      <w:r w:rsidRPr="006638F2">
        <w:rPr>
          <w:rFonts w:ascii="Arial" w:eastAsia="Book Antiqua" w:hAnsi="Arial" w:cs="Arial"/>
          <w:sz w:val="20"/>
          <w:szCs w:val="20"/>
        </w:rPr>
        <w:t xml:space="preserve">between </w:t>
      </w:r>
      <w:r w:rsidR="00335A47">
        <w:rPr>
          <w:rFonts w:ascii="Arial" w:eastAsia="Book Antiqua" w:hAnsi="Arial" w:cs="Arial"/>
          <w:sz w:val="20"/>
          <w:szCs w:val="20"/>
        </w:rPr>
        <w:t>3</w:t>
      </w:r>
      <w:r w:rsidRPr="006638F2">
        <w:rPr>
          <w:rFonts w:ascii="Arial" w:eastAsia="Book Antiqua" w:hAnsi="Arial" w:cs="Arial"/>
          <w:sz w:val="20"/>
          <w:szCs w:val="20"/>
        </w:rPr>
        <w:t xml:space="preserve"> and </w:t>
      </w:r>
      <w:r w:rsidR="00335A47">
        <w:rPr>
          <w:rFonts w:ascii="Arial" w:eastAsia="Book Antiqua" w:hAnsi="Arial" w:cs="Arial"/>
          <w:sz w:val="20"/>
          <w:szCs w:val="20"/>
        </w:rPr>
        <w:t>7</w:t>
      </w:r>
      <w:r w:rsidRPr="006638F2">
        <w:rPr>
          <w:rFonts w:ascii="Arial" w:eastAsia="Book Antiqua" w:hAnsi="Arial" w:cs="Arial"/>
          <w:sz w:val="20"/>
          <w:szCs w:val="20"/>
        </w:rPr>
        <w:t xml:space="preserve"> years’ imprisonment.</w:t>
      </w:r>
      <w:r w:rsidRPr="006638F2">
        <w:rPr>
          <w:rFonts w:ascii="Arial" w:hAnsi="Arial" w:cs="Arial"/>
          <w:sz w:val="20"/>
          <w:szCs w:val="20"/>
        </w:rPr>
        <w:t xml:space="preserve">  Four of the </w:t>
      </w:r>
      <w:r w:rsidR="00335A47">
        <w:rPr>
          <w:rFonts w:ascii="Arial" w:hAnsi="Arial" w:cs="Arial"/>
          <w:sz w:val="20"/>
          <w:szCs w:val="20"/>
        </w:rPr>
        <w:t>7</w:t>
      </w:r>
      <w:r w:rsidRPr="006638F2">
        <w:rPr>
          <w:rFonts w:ascii="Arial" w:hAnsi="Arial" w:cs="Arial"/>
          <w:sz w:val="20"/>
          <w:szCs w:val="20"/>
        </w:rPr>
        <w:t>-year sentences involved pleas of not guilty [</w:t>
      </w:r>
      <w:r w:rsidRPr="006638F2">
        <w:rPr>
          <w:rFonts w:ascii="Arial" w:eastAsia="Book Antiqua" w:hAnsi="Arial" w:cs="Arial"/>
          <w:i/>
          <w:sz w:val="20"/>
          <w:szCs w:val="20"/>
        </w:rPr>
        <w:t>Withers v The Queen [No 2]</w:t>
      </w:r>
      <w:r w:rsidRPr="006638F2">
        <w:rPr>
          <w:rFonts w:ascii="Arial" w:hAnsi="Arial" w:cs="Arial"/>
          <w:sz w:val="20"/>
          <w:szCs w:val="20"/>
        </w:rPr>
        <w:t xml:space="preserve"> [2010] VSCA 411 (</w:t>
      </w:r>
      <w:r w:rsidRPr="006638F2">
        <w:rPr>
          <w:rFonts w:ascii="Arial" w:eastAsia="Book Antiqua" w:hAnsi="Arial" w:cs="Arial"/>
          <w:i/>
          <w:sz w:val="20"/>
          <w:szCs w:val="20"/>
        </w:rPr>
        <w:t>per</w:t>
      </w:r>
      <w:r w:rsidRPr="006638F2">
        <w:rPr>
          <w:rFonts w:ascii="Arial" w:hAnsi="Arial" w:cs="Arial"/>
          <w:sz w:val="20"/>
          <w:szCs w:val="20"/>
        </w:rPr>
        <w:t xml:space="preserve"> Buchanan, Ashley and Weinberg JJA) (resentencing on appeal from </w:t>
      </w:r>
      <w:r w:rsidRPr="006638F2">
        <w:rPr>
          <w:rFonts w:ascii="Arial" w:eastAsia="Book Antiqua" w:hAnsi="Arial" w:cs="Arial"/>
          <w:i/>
          <w:sz w:val="20"/>
          <w:szCs w:val="20"/>
        </w:rPr>
        <w:t>DPP v Withers</w:t>
      </w:r>
      <w:r w:rsidRPr="006638F2">
        <w:rPr>
          <w:rFonts w:ascii="Arial" w:hAnsi="Arial" w:cs="Arial"/>
          <w:sz w:val="20"/>
          <w:szCs w:val="20"/>
        </w:rPr>
        <w:t xml:space="preserve"> [2007] VSC 411 (</w:t>
      </w:r>
      <w:r w:rsidRPr="006638F2">
        <w:rPr>
          <w:rFonts w:ascii="Arial" w:eastAsia="Book Antiqua" w:hAnsi="Arial" w:cs="Arial"/>
          <w:i/>
          <w:sz w:val="20"/>
          <w:szCs w:val="20"/>
        </w:rPr>
        <w:t>per</w:t>
      </w:r>
      <w:r w:rsidRPr="006638F2">
        <w:rPr>
          <w:rFonts w:ascii="Arial" w:hAnsi="Arial" w:cs="Arial"/>
          <w:sz w:val="20"/>
          <w:szCs w:val="20"/>
        </w:rPr>
        <w:t xml:space="preserve"> Harper J); </w:t>
      </w:r>
      <w:r w:rsidRPr="006638F2">
        <w:rPr>
          <w:rFonts w:ascii="Arial" w:eastAsia="Book Antiqua" w:hAnsi="Arial" w:cs="Arial"/>
          <w:i/>
          <w:sz w:val="20"/>
          <w:szCs w:val="20"/>
        </w:rPr>
        <w:t>The Queen v Wilson</w:t>
      </w:r>
      <w:r w:rsidRPr="006638F2">
        <w:rPr>
          <w:rFonts w:ascii="Arial" w:hAnsi="Arial" w:cs="Arial"/>
          <w:sz w:val="20"/>
          <w:szCs w:val="20"/>
        </w:rPr>
        <w:t xml:space="preserve"> [2015] VSC 394 (</w:t>
      </w:r>
      <w:r w:rsidRPr="006638F2">
        <w:rPr>
          <w:rFonts w:ascii="Arial" w:eastAsia="Book Antiqua" w:hAnsi="Arial" w:cs="Arial"/>
          <w:i/>
          <w:sz w:val="20"/>
          <w:szCs w:val="20"/>
        </w:rPr>
        <w:t>per</w:t>
      </w:r>
      <w:r w:rsidRPr="006638F2">
        <w:rPr>
          <w:rFonts w:ascii="Arial" w:hAnsi="Arial" w:cs="Arial"/>
          <w:sz w:val="20"/>
          <w:szCs w:val="20"/>
        </w:rPr>
        <w:t xml:space="preserve"> King J)] and two followed pleas of guilty</w:t>
      </w:r>
      <w:r w:rsidR="00335A47">
        <w:rPr>
          <w:rFonts w:ascii="Arial" w:hAnsi="Arial" w:cs="Arial"/>
          <w:sz w:val="20"/>
          <w:szCs w:val="20"/>
        </w:rPr>
        <w:t xml:space="preserve"> [</w:t>
      </w:r>
      <w:r w:rsidRPr="006638F2">
        <w:rPr>
          <w:rFonts w:ascii="Arial" w:eastAsia="Book Antiqua" w:hAnsi="Arial" w:cs="Arial"/>
          <w:i/>
          <w:sz w:val="20"/>
          <w:szCs w:val="20"/>
        </w:rPr>
        <w:t xml:space="preserve">Natale v The </w:t>
      </w:r>
      <w:r w:rsidRPr="00335A47">
        <w:rPr>
          <w:rFonts w:ascii="Arial" w:eastAsia="Book Antiqua" w:hAnsi="Arial" w:cs="Arial"/>
          <w:i/>
          <w:sz w:val="20"/>
          <w:szCs w:val="20"/>
        </w:rPr>
        <w:t>Queen; Stallone v The Queen</w:t>
      </w:r>
      <w:r w:rsidRPr="00335A47">
        <w:rPr>
          <w:rFonts w:ascii="Arial" w:hAnsi="Arial" w:cs="Arial"/>
          <w:sz w:val="20"/>
          <w:szCs w:val="20"/>
        </w:rPr>
        <w:t xml:space="preserve"> [2011] VSCA 28 (</w:t>
      </w:r>
      <w:r w:rsidRPr="00335A47">
        <w:rPr>
          <w:rFonts w:ascii="Arial" w:eastAsia="Book Antiqua" w:hAnsi="Arial" w:cs="Arial"/>
          <w:i/>
          <w:sz w:val="20"/>
          <w:szCs w:val="20"/>
        </w:rPr>
        <w:t>per</w:t>
      </w:r>
      <w:r w:rsidRPr="00335A47">
        <w:rPr>
          <w:rFonts w:ascii="Arial" w:hAnsi="Arial" w:cs="Arial"/>
          <w:sz w:val="20"/>
          <w:szCs w:val="20"/>
        </w:rPr>
        <w:t xml:space="preserve"> Maxwell P, Ashley and Bongiorno JJA)</w:t>
      </w:r>
      <w:r w:rsidR="00335A47">
        <w:rPr>
          <w:rFonts w:ascii="Arial" w:hAnsi="Arial" w:cs="Arial"/>
          <w:sz w:val="20"/>
          <w:szCs w:val="20"/>
        </w:rPr>
        <w:t>]</w:t>
      </w:r>
      <w:r w:rsidRPr="00335A47">
        <w:rPr>
          <w:rFonts w:ascii="Arial" w:hAnsi="Arial" w:cs="Arial"/>
          <w:sz w:val="20"/>
          <w:szCs w:val="20"/>
        </w:rPr>
        <w:t xml:space="preserve">.  </w:t>
      </w:r>
      <w:r w:rsidRPr="00335A47">
        <w:rPr>
          <w:rFonts w:ascii="Arial" w:eastAsia="Book Antiqua" w:hAnsi="Arial" w:cs="Arial"/>
          <w:sz w:val="20"/>
          <w:szCs w:val="20"/>
        </w:rPr>
        <w:t xml:space="preserve">Those attracting sentences of </w:t>
      </w:r>
      <w:r w:rsidR="00335A47">
        <w:rPr>
          <w:rFonts w:ascii="Arial" w:eastAsia="Book Antiqua" w:hAnsi="Arial" w:cs="Arial"/>
          <w:sz w:val="20"/>
          <w:szCs w:val="20"/>
        </w:rPr>
        <w:t>6 </w:t>
      </w:r>
      <w:r w:rsidRPr="00335A47">
        <w:rPr>
          <w:rFonts w:ascii="Arial" w:eastAsia="Book Antiqua" w:hAnsi="Arial" w:cs="Arial"/>
          <w:sz w:val="20"/>
          <w:szCs w:val="20"/>
        </w:rPr>
        <w:t xml:space="preserve">years’ imprisonment </w:t>
      </w:r>
      <w:r w:rsidRPr="00335A47">
        <w:rPr>
          <w:rFonts w:ascii="Arial" w:hAnsi="Arial" w:cs="Arial"/>
          <w:sz w:val="20"/>
          <w:szCs w:val="20"/>
        </w:rPr>
        <w:t>also followed a mixture of pleas of guilty [</w:t>
      </w:r>
      <w:r w:rsidRPr="00335A47">
        <w:rPr>
          <w:rFonts w:ascii="Arial" w:eastAsia="Book Antiqua" w:hAnsi="Arial" w:cs="Arial"/>
          <w:i/>
          <w:sz w:val="20"/>
          <w:szCs w:val="20"/>
        </w:rPr>
        <w:t>R v Maccia</w:t>
      </w:r>
      <w:r w:rsidRPr="00335A47">
        <w:rPr>
          <w:rFonts w:ascii="Arial" w:hAnsi="Arial" w:cs="Arial"/>
          <w:sz w:val="20"/>
          <w:szCs w:val="20"/>
        </w:rPr>
        <w:t xml:space="preserve"> [2003] VSC 384 (</w:t>
      </w:r>
      <w:r w:rsidRPr="00335A47">
        <w:rPr>
          <w:rFonts w:ascii="Arial" w:eastAsia="Book Antiqua" w:hAnsi="Arial" w:cs="Arial"/>
          <w:i/>
          <w:sz w:val="20"/>
          <w:szCs w:val="20"/>
        </w:rPr>
        <w:t>per</w:t>
      </w:r>
      <w:r w:rsidRPr="00335A47">
        <w:rPr>
          <w:rFonts w:ascii="Arial" w:hAnsi="Arial" w:cs="Arial"/>
          <w:sz w:val="20"/>
          <w:szCs w:val="20"/>
        </w:rPr>
        <w:t xml:space="preserve"> Gillard J); </w:t>
      </w:r>
      <w:r w:rsidRPr="00335A47">
        <w:rPr>
          <w:rFonts w:ascii="Arial" w:eastAsia="Book Antiqua" w:hAnsi="Arial" w:cs="Arial"/>
          <w:i/>
          <w:sz w:val="20"/>
          <w:szCs w:val="20"/>
        </w:rPr>
        <w:t>R v Leak &amp; Cherry</w:t>
      </w:r>
      <w:r w:rsidRPr="00335A47">
        <w:rPr>
          <w:rFonts w:ascii="Arial" w:hAnsi="Arial" w:cs="Arial"/>
          <w:sz w:val="20"/>
          <w:szCs w:val="20"/>
        </w:rPr>
        <w:t xml:space="preserve"> [2011] VSC 212 (</w:t>
      </w:r>
      <w:r w:rsidRPr="00335A47">
        <w:rPr>
          <w:rFonts w:ascii="Arial" w:eastAsia="Book Antiqua" w:hAnsi="Arial" w:cs="Arial"/>
          <w:i/>
          <w:sz w:val="20"/>
          <w:szCs w:val="20"/>
        </w:rPr>
        <w:t>per</w:t>
      </w:r>
      <w:r w:rsidRPr="00335A47">
        <w:rPr>
          <w:rFonts w:ascii="Arial" w:hAnsi="Arial" w:cs="Arial"/>
          <w:sz w:val="20"/>
          <w:szCs w:val="20"/>
        </w:rPr>
        <w:t xml:space="preserve"> Curtain J)] and not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Zhong</w:t>
      </w:r>
      <w:r w:rsidR="00335A47" w:rsidRPr="00335A47">
        <w:rPr>
          <w:rFonts w:ascii="Arial" w:hAnsi="Arial" w:cs="Arial"/>
          <w:sz w:val="20"/>
          <w:szCs w:val="20"/>
        </w:rPr>
        <w:t xml:space="preserve"> [2001] VSC 523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Flatman J); </w:t>
      </w:r>
      <w:r w:rsidR="00335A47" w:rsidRPr="00335A47">
        <w:rPr>
          <w:rFonts w:ascii="Arial" w:eastAsia="Book Antiqua" w:hAnsi="Arial" w:cs="Arial"/>
          <w:i/>
          <w:sz w:val="20"/>
          <w:szCs w:val="20"/>
        </w:rPr>
        <w:t>DPP v LW</w:t>
      </w:r>
      <w:r w:rsidR="00335A47" w:rsidRPr="00335A47">
        <w:rPr>
          <w:rFonts w:ascii="Arial" w:hAnsi="Arial" w:cs="Arial"/>
          <w:sz w:val="20"/>
          <w:szCs w:val="20"/>
        </w:rPr>
        <w:t xml:space="preserve"> [2009] VSC 227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Hollingworth J); </w:t>
      </w:r>
      <w:r w:rsidR="00335A47" w:rsidRPr="00335A47">
        <w:rPr>
          <w:rFonts w:ascii="Arial" w:eastAsia="Book Antiqua" w:hAnsi="Arial" w:cs="Arial"/>
          <w:i/>
          <w:sz w:val="20"/>
          <w:szCs w:val="20"/>
        </w:rPr>
        <w:t>R v Skura</w:t>
      </w:r>
      <w:r w:rsidR="00335A47" w:rsidRPr="00335A47">
        <w:rPr>
          <w:rFonts w:ascii="Arial" w:hAnsi="Arial" w:cs="Arial"/>
          <w:sz w:val="20"/>
          <w:szCs w:val="20"/>
        </w:rPr>
        <w:t xml:space="preserve"> [2004] VSCA 53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Buchanan and Eames JJA &amp; Smith AJA).]</w:t>
      </w:r>
      <w:r w:rsidRPr="00335A47">
        <w:rPr>
          <w:rFonts w:ascii="Arial" w:hAnsi="Arial" w:cs="Arial"/>
          <w:sz w:val="20"/>
          <w:szCs w:val="20"/>
        </w:rPr>
        <w:t xml:space="preserve">  Two</w:t>
      </w:r>
      <w:r w:rsidRPr="006638F2">
        <w:rPr>
          <w:rFonts w:ascii="Arial" w:hAnsi="Arial" w:cs="Arial"/>
          <w:sz w:val="20"/>
          <w:szCs w:val="20"/>
        </w:rPr>
        <w:t xml:space="preserve"> </w:t>
      </w:r>
      <w:r w:rsidRPr="00335A47">
        <w:rPr>
          <w:rFonts w:ascii="Arial" w:hAnsi="Arial" w:cs="Arial"/>
          <w:sz w:val="20"/>
          <w:szCs w:val="20"/>
        </w:rPr>
        <w:t xml:space="preserve">concurrent sentences of </w:t>
      </w:r>
      <w:r w:rsidR="00335A47" w:rsidRPr="00335A47">
        <w:rPr>
          <w:rFonts w:ascii="Arial" w:hAnsi="Arial" w:cs="Arial"/>
          <w:sz w:val="20"/>
          <w:szCs w:val="20"/>
        </w:rPr>
        <w:t xml:space="preserve">5½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(together with a concurrent sentence of </w:t>
      </w:r>
      <w:r w:rsidR="00335A47" w:rsidRPr="00335A47">
        <w:rPr>
          <w:rFonts w:ascii="Arial" w:hAnsi="Arial" w:cs="Arial"/>
          <w:sz w:val="20"/>
          <w:szCs w:val="20"/>
        </w:rPr>
        <w:t xml:space="preserve">3½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for inciting serious injury), with a non-parole period of </w:t>
      </w:r>
      <w:r w:rsidR="00335A47" w:rsidRPr="00335A47">
        <w:rPr>
          <w:rFonts w:ascii="Arial" w:hAnsi="Arial" w:cs="Arial"/>
          <w:sz w:val="20"/>
          <w:szCs w:val="20"/>
        </w:rPr>
        <w:t>2</w:t>
      </w:r>
      <w:r w:rsidRPr="00335A47">
        <w:rPr>
          <w:rFonts w:ascii="Arial" w:hAnsi="Arial" w:cs="Arial"/>
          <w:sz w:val="20"/>
          <w:szCs w:val="20"/>
        </w:rPr>
        <w:t xml:space="preserve"> years, were imposed on one offender</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Gazdovic</w:t>
      </w:r>
      <w:r w:rsidR="00335A47" w:rsidRPr="00335A47">
        <w:rPr>
          <w:rFonts w:ascii="Arial" w:hAnsi="Arial" w:cs="Arial"/>
          <w:sz w:val="20"/>
          <w:szCs w:val="20"/>
        </w:rPr>
        <w:t xml:space="preserve"> [2002] VSC 485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Coldrey J).]</w:t>
      </w:r>
      <w:r w:rsidRPr="00335A47">
        <w:rPr>
          <w:rFonts w:ascii="Arial" w:hAnsi="Arial" w:cs="Arial"/>
          <w:sz w:val="20"/>
          <w:szCs w:val="20"/>
        </w:rPr>
        <w:t xml:space="preserve">  In</w:t>
      </w:r>
      <w:r w:rsidR="00102FB6">
        <w:rPr>
          <w:rFonts w:ascii="Arial" w:hAnsi="Arial" w:cs="Arial"/>
          <w:sz w:val="20"/>
          <w:szCs w:val="20"/>
        </w:rPr>
        <w:t> </w:t>
      </w:r>
      <w:r w:rsidRPr="00335A47">
        <w:rPr>
          <w:rFonts w:ascii="Arial" w:hAnsi="Arial" w:cs="Arial"/>
          <w:sz w:val="20"/>
          <w:szCs w:val="20"/>
        </w:rPr>
        <w:t xml:space="preserve">another matter, on pleas of guilty, sentences </w:t>
      </w:r>
      <w:r w:rsidR="00335A47" w:rsidRPr="00335A47">
        <w:rPr>
          <w:rFonts w:ascii="Arial" w:hAnsi="Arial" w:cs="Arial"/>
          <w:sz w:val="20"/>
          <w:szCs w:val="20"/>
        </w:rPr>
        <w:t xml:space="preserve">of 5½ </w:t>
      </w:r>
      <w:r w:rsidRPr="00335A47">
        <w:rPr>
          <w:rFonts w:ascii="Arial" w:hAnsi="Arial" w:cs="Arial"/>
          <w:sz w:val="20"/>
          <w:szCs w:val="20"/>
        </w:rPr>
        <w:t>and-a-</w:t>
      </w:r>
      <w:r w:rsidRPr="00335A47">
        <w:rPr>
          <w:rFonts w:ascii="Arial" w:eastAsia="Book Antiqua" w:hAnsi="Arial" w:cs="Arial"/>
          <w:sz w:val="20"/>
          <w:szCs w:val="20"/>
        </w:rPr>
        <w:t xml:space="preserve">half years and </w:t>
      </w:r>
      <w:r w:rsidR="00335A47" w:rsidRPr="00335A47">
        <w:rPr>
          <w:rFonts w:ascii="Arial" w:eastAsia="Book Antiqua" w:hAnsi="Arial" w:cs="Arial"/>
          <w:sz w:val="20"/>
          <w:szCs w:val="20"/>
        </w:rPr>
        <w:t>5</w:t>
      </w:r>
      <w:r w:rsidRPr="00335A47">
        <w:rPr>
          <w:rFonts w:ascii="Arial" w:eastAsia="Book Antiqua" w:hAnsi="Arial" w:cs="Arial"/>
          <w:sz w:val="20"/>
          <w:szCs w:val="20"/>
        </w:rPr>
        <w:t xml:space="preserve"> years’ imprisonment were imposed</w:t>
      </w:r>
      <w:r w:rsidRPr="00335A47">
        <w:rPr>
          <w:rFonts w:ascii="Arial" w:hAnsi="Arial" w:cs="Arial"/>
          <w:sz w:val="20"/>
          <w:szCs w:val="20"/>
        </w:rPr>
        <w:t xml:space="preserve"> on separate counts</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Traycevska</w:t>
      </w:r>
      <w:r w:rsidR="00335A47" w:rsidRPr="00335A47">
        <w:rPr>
          <w:rFonts w:ascii="Arial" w:hAnsi="Arial" w:cs="Arial"/>
          <w:sz w:val="20"/>
          <w:szCs w:val="20"/>
        </w:rPr>
        <w:t xml:space="preserve"> [2010] VSC 270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Coghlan J) (with cumulation, his Honour fixed a total effective </w:t>
      </w:r>
      <w:r w:rsidR="00335A47" w:rsidRPr="00335A47">
        <w:rPr>
          <w:rFonts w:ascii="Arial" w:eastAsia="Book Antiqua" w:hAnsi="Arial" w:cs="Arial"/>
          <w:sz w:val="20"/>
          <w:szCs w:val="20"/>
        </w:rPr>
        <w:t>sentence of 7 years’ imprisonment</w:t>
      </w:r>
      <w:r w:rsidR="00335A47" w:rsidRPr="00335A47">
        <w:rPr>
          <w:rFonts w:ascii="Arial" w:hAnsi="Arial" w:cs="Arial"/>
          <w:sz w:val="20"/>
          <w:szCs w:val="20"/>
        </w:rPr>
        <w:t xml:space="preserve"> with a non-parole period of 4 years)].</w:t>
      </w:r>
      <w:r w:rsidRPr="00335A47">
        <w:rPr>
          <w:rFonts w:ascii="Arial" w:hAnsi="Arial" w:cs="Arial"/>
          <w:sz w:val="20"/>
          <w:szCs w:val="20"/>
        </w:rPr>
        <w:t xml:space="preserve">  The s</w:t>
      </w:r>
      <w:r w:rsidRPr="00335A47">
        <w:rPr>
          <w:rFonts w:ascii="Arial" w:eastAsia="Book Antiqua" w:hAnsi="Arial" w:cs="Arial"/>
          <w:sz w:val="20"/>
          <w:szCs w:val="20"/>
        </w:rPr>
        <w:t xml:space="preserve">entences of </w:t>
      </w:r>
      <w:r w:rsidR="00335A47" w:rsidRPr="00335A47">
        <w:rPr>
          <w:rFonts w:ascii="Arial" w:eastAsia="Book Antiqua" w:hAnsi="Arial" w:cs="Arial"/>
          <w:sz w:val="20"/>
          <w:szCs w:val="20"/>
        </w:rPr>
        <w:t>3</w:t>
      </w:r>
      <w:r w:rsidRPr="00335A47">
        <w:rPr>
          <w:rFonts w:ascii="Arial" w:eastAsia="Book Antiqua" w:hAnsi="Arial" w:cs="Arial"/>
          <w:sz w:val="20"/>
          <w:szCs w:val="20"/>
        </w:rPr>
        <w:t xml:space="preserve"> years’ imprisonment tended to involve lower level</w:t>
      </w:r>
      <w:r w:rsidRPr="00335A47">
        <w:rPr>
          <w:rFonts w:ascii="Arial" w:hAnsi="Arial" w:cs="Arial"/>
          <w:sz w:val="20"/>
          <w:szCs w:val="20"/>
        </w:rPr>
        <w:t>s of gravity of offending than the present case (or lesser roles therein) accompanied by pleas of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K-B</w:t>
      </w:r>
      <w:r w:rsidR="00335A47" w:rsidRPr="00335A47">
        <w:rPr>
          <w:rFonts w:ascii="Arial" w:hAnsi="Arial" w:cs="Arial"/>
          <w:sz w:val="20"/>
          <w:szCs w:val="20"/>
        </w:rPr>
        <w:t xml:space="preserve"> [2011] VSC 124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King J); </w:t>
      </w:r>
      <w:r w:rsidR="00335A47" w:rsidRPr="00335A47">
        <w:rPr>
          <w:rFonts w:ascii="Arial" w:eastAsia="Book Antiqua" w:hAnsi="Arial" w:cs="Arial"/>
          <w:i/>
          <w:sz w:val="20"/>
          <w:szCs w:val="20"/>
        </w:rPr>
        <w:t>R v Leak &amp; Cherry</w:t>
      </w:r>
      <w:r w:rsidR="00335A47" w:rsidRPr="00335A47">
        <w:rPr>
          <w:rFonts w:ascii="Arial" w:hAnsi="Arial" w:cs="Arial"/>
          <w:sz w:val="20"/>
          <w:szCs w:val="20"/>
        </w:rPr>
        <w:t xml:space="preserve"> [2011] VSC 212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Curtain J)].</w:t>
      </w:r>
      <w:r w:rsidR="0039670A">
        <w:rPr>
          <w:rFonts w:ascii="Arial" w:hAnsi="Arial" w:cs="Arial"/>
          <w:sz w:val="20"/>
          <w:szCs w:val="20"/>
        </w:rPr>
        <w:t>”</w:t>
      </w:r>
    </w:p>
    <w:p w14:paraId="58B2DE5A"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In footnote 22 in [127] Croucher J noted:</w:t>
      </w:r>
    </w:p>
    <w:p w14:paraId="182DD00A" w14:textId="195B1F99" w:rsidR="00C34E0F" w:rsidRPr="00335A47" w:rsidRDefault="00C34E0F" w:rsidP="00C34E0F">
      <w:pPr>
        <w:spacing w:before="60"/>
        <w:ind w:left="567" w:right="567"/>
        <w:jc w:val="both"/>
        <w:rPr>
          <w:rFonts w:ascii="Arial" w:hAnsi="Arial" w:cs="Arial"/>
          <w:sz w:val="20"/>
          <w:szCs w:val="20"/>
        </w:rPr>
      </w:pPr>
      <w:r>
        <w:rPr>
          <w:rFonts w:ascii="Arial" w:hAnsi="Arial" w:cs="Arial"/>
          <w:sz w:val="20"/>
          <w:szCs w:val="20"/>
        </w:rPr>
        <w:t>“</w:t>
      </w:r>
      <w:r w:rsidRPr="00C34E0F">
        <w:rPr>
          <w:rFonts w:ascii="Arial" w:hAnsi="Arial" w:cs="Arial"/>
          <w:sz w:val="20"/>
          <w:szCs w:val="16"/>
        </w:rPr>
        <w:t xml:space="preserve">In </w:t>
      </w:r>
      <w:r w:rsidRPr="00C34E0F">
        <w:rPr>
          <w:rFonts w:ascii="Arial" w:eastAsia="Book Antiqua" w:hAnsi="Arial" w:cs="Arial"/>
          <w:i/>
          <w:sz w:val="20"/>
          <w:szCs w:val="16"/>
        </w:rPr>
        <w:t>Kalala v The Queen</w:t>
      </w:r>
      <w:r w:rsidRPr="00C34E0F">
        <w:rPr>
          <w:rFonts w:ascii="Arial" w:hAnsi="Arial" w:cs="Arial"/>
          <w:sz w:val="20"/>
          <w:szCs w:val="16"/>
        </w:rPr>
        <w:t xml:space="preserve"> [2017] VSCA 223, the Court included as an annexure a table of sentences imposed in Victoria in cases of incitement to murder.  Helpfully, in each case, the table summarised the sentence imposed, the plea, whether there were prior convictions, the intended </w:t>
      </w:r>
      <w:r w:rsidRPr="00C34E0F">
        <w:rPr>
          <w:rFonts w:ascii="Arial" w:eastAsia="Book Antiqua" w:hAnsi="Arial" w:cs="Arial"/>
          <w:sz w:val="20"/>
          <w:szCs w:val="16"/>
        </w:rPr>
        <w:t xml:space="preserve">victim/s, the offender’s motive, </w:t>
      </w:r>
      <w:r w:rsidRPr="00C34E0F">
        <w:rPr>
          <w:rFonts w:ascii="Arial" w:hAnsi="Arial" w:cs="Arial"/>
          <w:sz w:val="20"/>
          <w:szCs w:val="16"/>
        </w:rPr>
        <w:t xml:space="preserve">mitigating factors, aggravating factors and other relevant factors.  The table refers to some of the cases I have mentioned above, but also two older cases (namely, </w:t>
      </w:r>
      <w:r w:rsidRPr="00C34E0F">
        <w:rPr>
          <w:rFonts w:ascii="Arial" w:eastAsia="Book Antiqua" w:hAnsi="Arial" w:cs="Arial"/>
          <w:i/>
          <w:sz w:val="20"/>
          <w:szCs w:val="16"/>
        </w:rPr>
        <w:t>R v Massie</w:t>
      </w:r>
      <w:r w:rsidRPr="00C34E0F">
        <w:rPr>
          <w:rFonts w:ascii="Arial" w:hAnsi="Arial" w:cs="Arial"/>
          <w:sz w:val="20"/>
          <w:szCs w:val="16"/>
        </w:rPr>
        <w:t xml:space="preserve"> [1999] 1 VR 542; </w:t>
      </w:r>
      <w:r w:rsidRPr="00C34E0F">
        <w:rPr>
          <w:rFonts w:ascii="Arial" w:eastAsia="Book Antiqua" w:hAnsi="Arial" w:cs="Arial"/>
          <w:i/>
          <w:sz w:val="20"/>
          <w:szCs w:val="16"/>
        </w:rPr>
        <w:t>R v Shoukan</w:t>
      </w:r>
      <w:r w:rsidRPr="00C34E0F">
        <w:rPr>
          <w:rFonts w:ascii="Arial" w:hAnsi="Arial" w:cs="Arial"/>
          <w:sz w:val="20"/>
          <w:szCs w:val="16"/>
        </w:rPr>
        <w:t xml:space="preserve"> (unreported, Victorian CCA, 15 February 1996)), which I have considered as well.</w:t>
      </w:r>
      <w:r>
        <w:rPr>
          <w:rFonts w:ascii="Arial" w:hAnsi="Arial" w:cs="Arial"/>
          <w:sz w:val="20"/>
          <w:szCs w:val="16"/>
        </w:rPr>
        <w:t>”</w:t>
      </w:r>
    </w:p>
    <w:p w14:paraId="336AA74F"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 xml:space="preserve">At </w:t>
      </w:r>
      <w:r w:rsidR="0039670A">
        <w:rPr>
          <w:rFonts w:ascii="Arial" w:hAnsi="Arial" w:cs="Arial"/>
          <w:color w:val="000000"/>
          <w:sz w:val="20"/>
        </w:rPr>
        <w:t xml:space="preserve">[128]-[131] </w:t>
      </w:r>
      <w:r w:rsidR="00335A47">
        <w:rPr>
          <w:rFonts w:ascii="Arial" w:hAnsi="Arial" w:cs="Arial"/>
          <w:color w:val="000000"/>
          <w:sz w:val="20"/>
        </w:rPr>
        <w:t xml:space="preserve">Croucher J </w:t>
      </w:r>
      <w:r w:rsidR="0039670A">
        <w:rPr>
          <w:rFonts w:ascii="Arial" w:hAnsi="Arial" w:cs="Arial"/>
          <w:color w:val="000000"/>
          <w:sz w:val="20"/>
        </w:rPr>
        <w:t xml:space="preserve">discussed the judgments of the Court of Appeal in </w:t>
      </w:r>
      <w:r w:rsidR="0039670A" w:rsidRPr="006638F2">
        <w:rPr>
          <w:rFonts w:ascii="Arial" w:eastAsia="Book Antiqua" w:hAnsi="Arial" w:cs="Arial"/>
          <w:i/>
          <w:sz w:val="20"/>
        </w:rPr>
        <w:t>Kalala v The Queen</w:t>
      </w:r>
      <w:r w:rsidR="0039670A">
        <w:rPr>
          <w:rFonts w:ascii="Arial" w:eastAsia="Book Antiqua" w:hAnsi="Arial" w:cs="Arial"/>
          <w:i/>
          <w:sz w:val="20"/>
        </w:rPr>
        <w:t xml:space="preserve"> </w:t>
      </w:r>
      <w:r w:rsidR="0039670A" w:rsidRPr="0039670A">
        <w:rPr>
          <w:rFonts w:ascii="Arial" w:eastAsia="Book Antiqua" w:hAnsi="Arial" w:cs="Arial"/>
          <w:iCs/>
          <w:sz w:val="20"/>
        </w:rPr>
        <w:t>and</w:t>
      </w:r>
      <w:r w:rsidR="0039670A" w:rsidRPr="0039670A">
        <w:rPr>
          <w:rFonts w:ascii="Arial" w:hAnsi="Arial" w:cs="Arial"/>
          <w:color w:val="000000"/>
          <w:sz w:val="20"/>
        </w:rPr>
        <w:t xml:space="preserve"> </w:t>
      </w:r>
      <w:r w:rsidR="0039670A">
        <w:rPr>
          <w:rFonts w:ascii="Arial" w:hAnsi="Arial" w:cs="Arial"/>
          <w:color w:val="000000"/>
          <w:sz w:val="20"/>
        </w:rPr>
        <w:t xml:space="preserve">distinguished </w:t>
      </w:r>
      <w:r w:rsidR="0039670A" w:rsidRPr="0039670A">
        <w:rPr>
          <w:rFonts w:ascii="Arial" w:hAnsi="Arial" w:cs="Arial"/>
          <w:i/>
          <w:iCs/>
          <w:color w:val="000000"/>
          <w:sz w:val="20"/>
        </w:rPr>
        <w:t>Kalala</w:t>
      </w:r>
      <w:r w:rsidR="0039670A">
        <w:rPr>
          <w:rFonts w:ascii="Arial" w:hAnsi="Arial" w:cs="Arial"/>
          <w:color w:val="000000"/>
          <w:sz w:val="20"/>
        </w:rPr>
        <w:t>, saying at [131]: “</w:t>
      </w:r>
      <w:r w:rsidR="0039670A" w:rsidRPr="00C200A8">
        <w:rPr>
          <w:rFonts w:ascii="Arial" w:hAnsi="Arial" w:cs="Arial"/>
          <w:sz w:val="20"/>
          <w:szCs w:val="18"/>
        </w:rPr>
        <w:t>As I apprehend it, the present case would not fall into the category of cases which, on the views expressed by Maxwell P and Redlich JA, should more closely align to sentences for conspiracy to murder.</w:t>
      </w:r>
      <w:r w:rsidR="0039670A">
        <w:rPr>
          <w:rFonts w:ascii="Arial" w:hAnsi="Arial" w:cs="Arial"/>
          <w:sz w:val="20"/>
          <w:szCs w:val="18"/>
        </w:rPr>
        <w:t>”</w:t>
      </w:r>
    </w:p>
    <w:p w14:paraId="080A3A4F" w14:textId="77777777" w:rsidR="00302CF8" w:rsidRPr="001C6E0E" w:rsidRDefault="0039670A" w:rsidP="00302CF8">
      <w:pPr>
        <w:spacing w:before="120"/>
        <w:jc w:val="both"/>
        <w:rPr>
          <w:rFonts w:ascii="Arial" w:hAnsi="Arial" w:cs="Arial"/>
          <w:color w:val="000000"/>
          <w:sz w:val="20"/>
          <w:szCs w:val="20"/>
        </w:rPr>
      </w:pPr>
      <w:r w:rsidRPr="0039670A">
        <w:rPr>
          <w:rFonts w:ascii="Arial" w:hAnsi="Arial" w:cs="Arial"/>
          <w:color w:val="000000"/>
          <w:sz w:val="20"/>
        </w:rPr>
        <w:t xml:space="preserve">It is noteworthy that Croucher J sentenced Mr Assaad on the day of the plea, instead of reserving in the more usual way, </w:t>
      </w:r>
      <w:r>
        <w:rPr>
          <w:rFonts w:ascii="Arial" w:hAnsi="Arial" w:cs="Arial"/>
          <w:color w:val="000000"/>
          <w:sz w:val="20"/>
        </w:rPr>
        <w:t xml:space="preserve">given that Mr Assaad had been in custody on remand for 908 days and the </w:t>
      </w:r>
      <w:r w:rsidR="007354FA">
        <w:rPr>
          <w:rFonts w:ascii="Arial" w:hAnsi="Arial" w:cs="Arial"/>
          <w:color w:val="000000"/>
          <w:sz w:val="20"/>
        </w:rPr>
        <w:t>non-parole period his Honour proposed to fix was due to expire in the next few days if it had not expired already.  Accordingly, sentencing him on the day of the plea “would allow him immediately to take the steps necessary to apply to the Adult Parole Board for release on parole, which is a process that can take some time”.  His Honour followed up with a more detailed 30-page judgment six days later.</w:t>
      </w:r>
    </w:p>
    <w:p w14:paraId="20E62AE8" w14:textId="3908D388" w:rsidR="0039670A" w:rsidRPr="00302CF8" w:rsidRDefault="0039670A" w:rsidP="00EE529B">
      <w:pPr>
        <w:pStyle w:val="Heading2"/>
        <w:tabs>
          <w:tab w:val="left" w:pos="567"/>
        </w:tabs>
        <w:spacing w:line="240" w:lineRule="auto"/>
        <w:ind w:left="567" w:hanging="567"/>
        <w:rPr>
          <w:rFonts w:ascii="Arial" w:hAnsi="Arial" w:cs="Arial"/>
          <w:color w:val="000000"/>
          <w:sz w:val="20"/>
        </w:rPr>
      </w:pPr>
    </w:p>
    <w:p w14:paraId="74FF3019" w14:textId="3CB491EF" w:rsidR="00652FC9" w:rsidRPr="001C6E0E" w:rsidRDefault="00427D57" w:rsidP="00652FC9">
      <w:pPr>
        <w:pStyle w:val="Heading3"/>
        <w:keepNext/>
        <w:spacing w:after="120" w:line="240" w:lineRule="auto"/>
        <w:rPr>
          <w:rFonts w:ascii="Arial" w:hAnsi="Arial" w:cs="Arial"/>
          <w:b/>
          <w:bCs/>
          <w:color w:val="000000"/>
          <w:sz w:val="20"/>
        </w:rPr>
      </w:pPr>
      <w:bookmarkStart w:id="653" w:name="_11.2.22.6__"/>
      <w:bookmarkStart w:id="654" w:name="_11.2.22.7__"/>
      <w:bookmarkEnd w:id="653"/>
      <w:bookmarkEnd w:id="654"/>
      <w:r>
        <w:rPr>
          <w:rFonts w:ascii="Arial" w:hAnsi="Arial" w:cs="Arial"/>
          <w:b/>
          <w:color w:val="000000"/>
          <w:sz w:val="20"/>
        </w:rPr>
        <w:t>11.2.22.</w:t>
      </w:r>
      <w:r w:rsidR="001D4C66">
        <w:rPr>
          <w:rFonts w:ascii="Arial" w:hAnsi="Arial" w:cs="Arial"/>
          <w:b/>
          <w:color w:val="000000"/>
          <w:sz w:val="20"/>
        </w:rPr>
        <w:t>7</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5B2D253E" w:rsidR="006D3DEE" w:rsidRDefault="006D3DEE">
      <w:pPr>
        <w:jc w:val="both"/>
        <w:rPr>
          <w:rFonts w:ascii="Arial" w:hAnsi="Arial" w:cs="Arial"/>
          <w:color w:val="000000"/>
          <w:sz w:val="20"/>
        </w:rPr>
      </w:pPr>
    </w:p>
    <w:p w14:paraId="6DFAAF83" w14:textId="6F7D8326" w:rsidR="00E0538F" w:rsidRDefault="00E0538F">
      <w:pPr>
        <w:jc w:val="both"/>
        <w:rPr>
          <w:rFonts w:ascii="Arial" w:hAnsi="Arial" w:cs="Arial"/>
          <w:color w:val="000000"/>
          <w:sz w:val="20"/>
        </w:rPr>
      </w:pPr>
      <w:r>
        <w:rPr>
          <w:rFonts w:ascii="Arial" w:hAnsi="Arial" w:cs="Arial"/>
          <w:color w:val="000000"/>
          <w:sz w:val="20"/>
        </w:rPr>
        <w:t xml:space="preserve">In </w:t>
      </w:r>
      <w:r w:rsidR="00AB4A22" w:rsidRPr="00AB4A22">
        <w:rPr>
          <w:rFonts w:ascii="Arial" w:hAnsi="Arial" w:cs="Arial"/>
          <w:i/>
          <w:iCs/>
          <w:color w:val="000000"/>
          <w:sz w:val="20"/>
        </w:rPr>
        <w:t>DPP v Hamka</w:t>
      </w:r>
      <w:r w:rsidR="00AB4A22">
        <w:rPr>
          <w:rFonts w:ascii="Arial" w:hAnsi="Arial" w:cs="Arial"/>
          <w:color w:val="000000"/>
          <w:sz w:val="20"/>
        </w:rPr>
        <w:t xml:space="preserve"> [2022] VSC 609 the offender was found guilty after a trial on the charge of assisting an offender following a murder by secreting for a significant period of time a handgun used in a double murder outside the Love Machine nightclub in Prahran: see </w:t>
      </w:r>
      <w:r w:rsidR="00AB4A22">
        <w:rPr>
          <w:rFonts w:ascii="Arial" w:hAnsi="Arial" w:cs="Arial"/>
          <w:i/>
          <w:iCs/>
          <w:color w:val="000000"/>
          <w:sz w:val="20"/>
        </w:rPr>
        <w:t>DPP v Elliott &amp; Fares (Sentence)</w:t>
      </w:r>
      <w:r w:rsidR="00AB4A22" w:rsidRPr="00632E8C">
        <w:rPr>
          <w:rFonts w:ascii="Arial" w:hAnsi="Arial" w:cs="Arial"/>
          <w:color w:val="000000"/>
          <w:sz w:val="20"/>
        </w:rPr>
        <w:t xml:space="preserve"> [2022] VSC 554</w:t>
      </w:r>
      <w:r w:rsidR="00AB4A22">
        <w:rPr>
          <w:rFonts w:ascii="Arial" w:hAnsi="Arial" w:cs="Arial"/>
          <w:color w:val="000000"/>
          <w:sz w:val="20"/>
        </w:rPr>
        <w:t>.  Mr Hamka had a l</w:t>
      </w:r>
      <w:r w:rsidR="00AB4A22" w:rsidRPr="00AB4A22">
        <w:rPr>
          <w:rFonts w:ascii="Arial" w:hAnsi="Arial" w:cs="Arial"/>
          <w:sz w:val="20"/>
          <w:szCs w:val="20"/>
        </w:rPr>
        <w:t xml:space="preserve">imited prior criminal history </w:t>
      </w:r>
      <w:r w:rsidR="00AB4A22">
        <w:rPr>
          <w:rFonts w:ascii="Arial" w:hAnsi="Arial" w:cs="Arial"/>
          <w:sz w:val="20"/>
          <w:szCs w:val="20"/>
        </w:rPr>
        <w:t>but s</w:t>
      </w:r>
      <w:r w:rsidR="00AB4A22" w:rsidRPr="00AB4A22">
        <w:rPr>
          <w:rFonts w:ascii="Arial" w:hAnsi="Arial" w:cs="Arial"/>
          <w:sz w:val="20"/>
          <w:szCs w:val="20"/>
        </w:rPr>
        <w:t>ignificant subsequent conviction for crimes of violence</w:t>
      </w:r>
      <w:r w:rsidR="00AB4A22">
        <w:rPr>
          <w:rFonts w:ascii="Arial" w:hAnsi="Arial" w:cs="Arial"/>
          <w:sz w:val="20"/>
          <w:szCs w:val="20"/>
        </w:rPr>
        <w:t>.  He also had a s</w:t>
      </w:r>
      <w:r w:rsidR="00AB4A22" w:rsidRPr="00AB4A22">
        <w:rPr>
          <w:rFonts w:ascii="Arial" w:hAnsi="Arial" w:cs="Arial"/>
          <w:sz w:val="20"/>
          <w:szCs w:val="20"/>
        </w:rPr>
        <w:t xml:space="preserve">upportive family background </w:t>
      </w:r>
      <w:r w:rsidR="00AB4A22">
        <w:rPr>
          <w:rFonts w:ascii="Arial" w:hAnsi="Arial" w:cs="Arial"/>
          <w:sz w:val="20"/>
          <w:szCs w:val="20"/>
        </w:rPr>
        <w:t>and r</w:t>
      </w:r>
      <w:r w:rsidR="00AB4A22" w:rsidRPr="00AB4A22">
        <w:rPr>
          <w:rFonts w:ascii="Arial" w:hAnsi="Arial" w:cs="Arial"/>
          <w:sz w:val="20"/>
          <w:szCs w:val="20"/>
        </w:rPr>
        <w:t>easonable prospects of rehabilitation</w:t>
      </w:r>
      <w:r w:rsidR="00AB4A22">
        <w:rPr>
          <w:rFonts w:ascii="Arial" w:hAnsi="Arial" w:cs="Arial"/>
          <w:sz w:val="20"/>
          <w:szCs w:val="20"/>
        </w:rPr>
        <w:t>.</w:t>
      </w:r>
      <w:r w:rsidR="00AD693B">
        <w:rPr>
          <w:rFonts w:ascii="Arial" w:hAnsi="Arial" w:cs="Arial"/>
          <w:sz w:val="20"/>
          <w:szCs w:val="20"/>
        </w:rPr>
        <w:t xml:space="preserve">  Describing the offending as “extremely serious” and involving “high moral culpability”, Tinney J sentenced him to IMP5½y on the assisting charge and IMP2½y on a charge of being a </w:t>
      </w:r>
      <w:r w:rsidR="00AD693B">
        <w:rPr>
          <w:rFonts w:ascii="Arial" w:hAnsi="Arial" w:cs="Arial"/>
          <w:sz w:val="20"/>
          <w:szCs w:val="20"/>
        </w:rPr>
        <w:lastRenderedPageBreak/>
        <w:t>prohibited person in charge of a firearm to which he had pleaded guilty.  With partial concurrency the TES was IMP6y/4y.</w:t>
      </w:r>
    </w:p>
    <w:p w14:paraId="473AD7CF" w14:textId="7D9CE9ED" w:rsidR="00E0538F" w:rsidRDefault="00E0538F">
      <w:pPr>
        <w:jc w:val="both"/>
        <w:rPr>
          <w:rFonts w:ascii="Arial" w:hAnsi="Arial" w:cs="Arial"/>
          <w:color w:val="000000"/>
          <w:sz w:val="20"/>
        </w:rPr>
      </w:pPr>
    </w:p>
    <w:p w14:paraId="3531A318" w14:textId="07660A15" w:rsidR="00274EB3" w:rsidRPr="00274EB3" w:rsidRDefault="00BF52E5" w:rsidP="009A6CB5">
      <w:pPr>
        <w:pStyle w:val="Heading3"/>
        <w:keepNext/>
        <w:keepLines/>
        <w:widowControl/>
        <w:spacing w:line="240" w:lineRule="auto"/>
        <w:rPr>
          <w:rFonts w:ascii="Arial" w:hAnsi="Arial" w:cs="Arial"/>
          <w:b/>
          <w:bCs/>
          <w:color w:val="000000"/>
          <w:sz w:val="20"/>
        </w:rPr>
      </w:pPr>
      <w:bookmarkStart w:id="655" w:name="_11.2.23_Sentencing_for"/>
      <w:bookmarkStart w:id="656" w:name="_Toc107101763"/>
      <w:bookmarkEnd w:id="655"/>
      <w:r w:rsidRPr="001C6E0E">
        <w:rPr>
          <w:rFonts w:ascii="Arial" w:hAnsi="Arial" w:cs="Arial"/>
          <w:b/>
          <w:bCs/>
          <w:color w:val="000000"/>
          <w:sz w:val="20"/>
        </w:rPr>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56"/>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28F36866" w14:textId="77777777" w:rsidR="00D96B36" w:rsidRPr="001C6E0E" w:rsidRDefault="00773BC3" w:rsidP="00D96B36">
      <w:pPr>
        <w:pStyle w:val="Heading3"/>
        <w:keepNext/>
        <w:keepLines/>
        <w:widowControl/>
        <w:spacing w:before="120" w:after="120" w:line="240" w:lineRule="auto"/>
        <w:ind w:left="284" w:hanging="284"/>
        <w:rPr>
          <w:rFonts w:ascii="Arial" w:hAnsi="Arial" w:cs="Arial"/>
          <w:b/>
          <w:bCs/>
          <w:color w:val="000000"/>
          <w:sz w:val="20"/>
        </w:rPr>
      </w:pPr>
      <w:bookmarkStart w:id="657" w:name="_A_CULPABLE_DRIVING"/>
      <w:bookmarkEnd w:id="657"/>
      <w:r w:rsidRPr="00C90CE8">
        <w:rPr>
          <w:rFonts w:ascii="Arial" w:hAnsi="Arial" w:cs="Arial"/>
          <w:b/>
          <w:color w:val="FFFFFF" w:themeColor="background1"/>
          <w:sz w:val="20"/>
          <w:szCs w:val="22"/>
          <w:shd w:val="clear" w:color="auto" w:fill="000000"/>
        </w:rPr>
        <w:t>A</w:t>
      </w:r>
      <w:r>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Chernov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643AAF">
      <w:pPr>
        <w:pStyle w:val="Normal-Indent"/>
        <w:widowControl/>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Winneke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Caldarera</w:t>
      </w:r>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lastRenderedPageBreak/>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DPP v 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Tadgell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R v Leesley</w:t>
      </w:r>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Winneke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R v Satalich</w:t>
      </w:r>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Caldarera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Winneke P</w:t>
      </w:r>
      <w:r w:rsidRPr="001C6E0E">
        <w:rPr>
          <w:rFonts w:ascii="Arial" w:hAnsi="Arial" w:cs="Arial"/>
          <w:color w:val="000000"/>
          <w:sz w:val="20"/>
        </w:rPr>
        <w:t xml:space="preserve">.  In the </w:t>
      </w:r>
      <w:r w:rsidRPr="001C6E0E">
        <w:rPr>
          <w:rFonts w:ascii="Arial" w:hAnsi="Arial" w:cs="Arial"/>
          <w:color w:val="000000"/>
          <w:sz w:val="20"/>
        </w:rPr>
        <w:lastRenderedPageBreak/>
        <w:t>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Audino</w:t>
      </w:r>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eg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186 </w:t>
      </w:r>
      <w:r w:rsidRPr="00E93D6F">
        <w:rPr>
          <w:rFonts w:ascii="Arial" w:hAnsi="Arial" w:cs="Arial"/>
          <w:color w:val="000000"/>
          <w:sz w:val="20"/>
        </w:rPr>
        <w:t xml:space="preserve"> [2013]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[82] “[L]ack of restraint in consequence of the combination of the appellant’s premorbid state and the effects of his head injury provide an explanation, though not an excuse, for his offending before, at the time ofl, and subsequent to the instant offending.  Specific 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of IMP 5y10m/3y on one charge of cuplable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AB1BC5">
      <w:pPr>
        <w:pStyle w:val="Normal-Indent"/>
        <w:widowControl/>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cuplable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lastRenderedPageBreak/>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place">
        <w:smartTag w:uri="urn:schemas-microsoft-com:office:smarttags" w:element="country-region">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Street">
        <w:smartTag w:uri="urn:schemas-microsoft-com:office:smarttags" w:element="address">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r w:rsidR="00BF52E5" w:rsidRPr="001C6E0E">
        <w:rPr>
          <w:rFonts w:ascii="Arial" w:hAnsi="Arial" w:cs="Arial"/>
          <w:i/>
          <w:color w:val="000000"/>
          <w:sz w:val="20"/>
          <w:szCs w:val="20"/>
        </w:rPr>
        <w:t>Calwell</w:t>
      </w:r>
      <w:r w:rsidR="00BF52E5" w:rsidRPr="001C6E0E">
        <w:rPr>
          <w:rFonts w:ascii="Arial" w:hAnsi="Arial" w:cs="Arial"/>
          <w:color w:val="000000"/>
          <w:sz w:val="20"/>
          <w:szCs w:val="20"/>
        </w:rPr>
        <w:t xml:space="preserve"> [2004] VSCA 40}, fatigue {</w:t>
      </w:r>
      <w:r w:rsidR="00BF52E5" w:rsidRPr="001C6E0E">
        <w:rPr>
          <w:rFonts w:ascii="Arial" w:hAnsi="Arial" w:cs="Arial"/>
          <w:i/>
          <w:color w:val="000000"/>
          <w:sz w:val="20"/>
          <w:szCs w:val="20"/>
        </w:rPr>
        <w:t>Rudebeck</w:t>
      </w:r>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r w:rsidR="00BF52E5" w:rsidRPr="001C6E0E">
        <w:rPr>
          <w:rFonts w:ascii="Arial" w:hAnsi="Arial" w:cs="Arial"/>
          <w:i/>
          <w:color w:val="000000"/>
          <w:sz w:val="20"/>
          <w:szCs w:val="20"/>
        </w:rPr>
        <w:t>Satalich</w:t>
      </w:r>
      <w:r w:rsidR="00BF52E5" w:rsidRPr="001C6E0E">
        <w:rPr>
          <w:rFonts w:ascii="Arial" w:hAnsi="Arial" w:cs="Arial"/>
          <w:color w:val="000000"/>
          <w:sz w:val="20"/>
          <w:szCs w:val="20"/>
        </w:rPr>
        <w:t xml:space="preserve"> [2004] VSCA 132} and counter-intuitive driving requirements {</w:t>
      </w:r>
      <w:r w:rsidR="00BF52E5" w:rsidRPr="001C6E0E">
        <w:rPr>
          <w:rFonts w:ascii="Arial" w:hAnsi="Arial" w:cs="Arial"/>
          <w:i/>
          <w:color w:val="000000"/>
          <w:sz w:val="20"/>
          <w:szCs w:val="20"/>
        </w:rPr>
        <w:t>Guariglia</w:t>
      </w:r>
      <w:r w:rsidR="00BF52E5" w:rsidRPr="001C6E0E">
        <w:rPr>
          <w:rFonts w:ascii="Arial" w:hAnsi="Arial" w:cs="Arial"/>
          <w:color w:val="000000"/>
          <w:sz w:val="20"/>
          <w:szCs w:val="20"/>
        </w:rPr>
        <w:t xml:space="preserve"> [2001] VSCA 27;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Vincent &amp; Nettle JJA 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274EB3">
      <w:pPr>
        <w:jc w:val="both"/>
        <w:rPr>
          <w:rFonts w:ascii="Arial" w:hAnsi="Arial" w:cs="Arial"/>
          <w:color w:val="000000"/>
          <w:sz w:val="20"/>
        </w:rPr>
      </w:pPr>
      <w:r>
        <w:rPr>
          <w:rFonts w:ascii="Arial" w:hAnsi="Arial" w:cs="Arial"/>
          <w:color w:val="000000"/>
          <w:sz w:val="20"/>
        </w:rPr>
        <w:t xml:space="preserve">In </w:t>
      </w:r>
      <w:r w:rsidRPr="00465674">
        <w:rPr>
          <w:rFonts w:ascii="Arial" w:hAnsi="Arial" w:cs="Arial"/>
          <w:i/>
          <w:color w:val="000000"/>
          <w:sz w:val="20"/>
        </w:rPr>
        <w:t>Guseli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R v Rudebeck</w:t>
      </w:r>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AB1BC5">
      <w:pPr>
        <w:pStyle w:val="Normal-Indent"/>
        <w:widowControl/>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r w:rsidRPr="00274EB3">
        <w:rPr>
          <w:rFonts w:ascii="Arial" w:hAnsi="Arial" w:cs="Arial"/>
          <w:i/>
          <w:color w:val="000000"/>
          <w:sz w:val="20"/>
        </w:rPr>
        <w:t>Spanjol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r w:rsidRPr="00274EB3">
        <w:rPr>
          <w:rFonts w:ascii="Arial" w:hAnsi="Arial" w:cs="Arial"/>
          <w:i/>
          <w:color w:val="000000"/>
          <w:sz w:val="20"/>
        </w:rPr>
        <w:t>Spanjol</w:t>
      </w:r>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Spanjol</w:t>
      </w:r>
      <w:r w:rsidR="00B6583E" w:rsidRPr="00B6583E">
        <w:rPr>
          <w:rFonts w:ascii="Arial" w:hAnsi="Arial" w:cs="Arial"/>
          <w:color w:val="000000"/>
          <w:sz w:val="20"/>
        </w:rPr>
        <w:t xml:space="preserve"> involved a charge of </w:t>
      </w:r>
      <w:r w:rsidR="00DA1350">
        <w:rPr>
          <w:rFonts w:ascii="Arial" w:hAnsi="Arial" w:cs="Arial"/>
          <w:color w:val="000000"/>
          <w:sz w:val="20"/>
        </w:rPr>
        <w:t>negligently causing seriosus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3A38F0D0" w:rsidR="00DA1350" w:rsidRPr="00D74ECA" w:rsidRDefault="00D74ECA">
      <w:pPr>
        <w:pStyle w:val="Normal-Indent"/>
        <w:widowControl/>
        <w:numPr>
          <w:ilvl w:val="0"/>
          <w:numId w:val="133"/>
        </w:numPr>
        <w:spacing w:before="60" w:line="240" w:lineRule="auto"/>
        <w:ind w:left="867" w:right="510" w:hanging="357"/>
        <w:rPr>
          <w:rFonts w:ascii="Arial" w:hAnsi="Arial" w:cs="Arial"/>
          <w:color w:val="000000"/>
          <w:sz w:val="20"/>
        </w:rPr>
      </w:pPr>
      <w:r>
        <w:rPr>
          <w:rFonts w:ascii="Arial" w:hAnsi="Arial" w:cs="Arial"/>
          <w:color w:val="000000"/>
          <w:sz w:val="20"/>
        </w:rPr>
        <w:t>I</w:t>
      </w:r>
      <w:r w:rsidR="00DA1350" w:rsidRPr="00D74ECA">
        <w:rPr>
          <w:rFonts w:ascii="Arial" w:hAnsi="Arial" w:cs="Arial"/>
          <w:color w:val="000000"/>
          <w:sz w:val="20"/>
        </w:rPr>
        <w:t>n a case of negligently causing serious injury by driving, the finding of guilt (or plea of guilty) establishes that the offender’s driving was criminally negligent and that the negligent driving caused the victim’s serious injury.</w:t>
      </w:r>
    </w:p>
    <w:p w14:paraId="50DF034F" w14:textId="77777777" w:rsidR="00DA1350" w:rsidRDefault="00DA1350" w:rsidP="00D74EC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 xml:space="preserve">The sentencing court will treat as its starting point that the offender was solely responsible for the manner of his driving and that the manner of his driving was the </w:t>
      </w:r>
      <w:r w:rsidRPr="00B6583E">
        <w:rPr>
          <w:rFonts w:ascii="Arial" w:hAnsi="Arial" w:cs="Arial"/>
          <w:color w:val="000000"/>
          <w:sz w:val="20"/>
        </w:rPr>
        <w:lastRenderedPageBreak/>
        <w:t>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language of ‘complicity’ should be avoided in this context.  ‘Complicity’ is a technical term, with a well-defined meaning.  It connotes the attribution of criminal responsibility 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r w:rsidRPr="00E93D6F">
        <w:rPr>
          <w:rFonts w:ascii="Arial" w:hAnsi="Arial" w:cs="Arial"/>
          <w:i/>
          <w:color w:val="000000"/>
          <w:sz w:val="20"/>
        </w:rPr>
        <w:t>Paszynk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Ciantar</w:t>
      </w:r>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Chernov,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DPP v Ga</w:t>
      </w:r>
      <w:r w:rsidR="00E053FA" w:rsidRPr="001C6E0E">
        <w:rPr>
          <w:rFonts w:ascii="Arial" w:hAnsi="Arial" w:cs="Arial"/>
          <w:i/>
          <w:color w:val="000000"/>
          <w:sz w:val="20"/>
        </w:rPr>
        <w:t>n</w:t>
      </w:r>
      <w:r w:rsidR="00E35B78" w:rsidRPr="001C6E0E">
        <w:rPr>
          <w:rFonts w:ascii="Arial" w:hAnsi="Arial" w:cs="Arial"/>
          <w:i/>
          <w:color w:val="000000"/>
          <w:sz w:val="20"/>
        </w:rPr>
        <w:t>y</w:t>
      </w:r>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Serious driving offences frequently involve offenders who are of generally good character and who have excellent prospects for reformation.  No-one likes sending such people to gaol but there has been much publicity about the consequences for those who choose to 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643AAF">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eg, </w:t>
      </w:r>
      <w:r w:rsidRPr="001C6E0E">
        <w:rPr>
          <w:rFonts w:ascii="Arial" w:hAnsi="Arial" w:cs="Arial"/>
          <w:i/>
          <w:color w:val="000000"/>
          <w:sz w:val="20"/>
        </w:rPr>
        <w:t>DPP v Rongonui</w:t>
      </w:r>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lastRenderedPageBreak/>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of holding a drivers licence must ensure that they make decisions carefully and responsibly, because the failure to do so may have catastrophic 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The appellant was aged 17 at the time of 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In resentencing the applicant, the fact that this was a very bad case of culpable driving cannot be ignored.  The victim impact statements speak eloquently of the effect that the 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DPP v Huby</w:t>
      </w:r>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lastRenderedPageBreak/>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admissions that he should not have been driving, he was fatigued, his senses 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D8558E">
      <w:pPr>
        <w:jc w:val="both"/>
        <w:rPr>
          <w:rFonts w:ascii="Arial" w:hAnsi="Arial" w:cs="Arial"/>
          <w:color w:val="000000"/>
          <w:sz w:val="20"/>
        </w:rPr>
      </w:pPr>
      <w:r>
        <w:rPr>
          <w:rFonts w:ascii="Arial" w:hAnsi="Arial" w:cs="Arial"/>
          <w:color w:val="000000"/>
          <w:sz w:val="20"/>
        </w:rPr>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178 the 49 year old truck driver had pleaded guilty to a number of charges including 4 counts of culpable driving</w:t>
      </w:r>
      <w:r w:rsidR="00A17D28">
        <w:rPr>
          <w:rFonts w:ascii="Arial" w:hAnsi="Arial" w:cs="Arial"/>
          <w:color w:val="000000"/>
          <w:sz w:val="20"/>
        </w:rPr>
        <w:t xml:space="preserve"> on which he had been sentenced to IMP12y with 3y part cumulation on charges 2-4.  In allowing his appeal on the ground of the Crown’s belated acceptance of the appellant’s offer to give evidence against a coaccused,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[58]</w:t>
      </w:r>
      <w:r w:rsidR="00A17D28">
        <w:rPr>
          <w:rFonts w:ascii="Arial" w:hAnsi="Arial" w:cs="Arial"/>
          <w:color w:val="000000"/>
          <w:sz w:val="20"/>
        </w:rPr>
        <w:noBreakHyphen/>
      </w:r>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(Winneke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brought to mind, the appellant’s offending in this case can also be appropriately described as truly dreadful offending. He had not slept for days; he had used ice repeatedly; he was hallucinating and knew that he was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34850C7F"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In resentencing the appellant, we take into account all factors that were before the sentencing judge, including the principle of totality. We agree with the sentencing judge, essentially for the same reasons, that there was no causal connexion between the appellant’s mental state and the offending. Further, even if such a connexion were made out, it would make little, if any, difference to the ultimate sentence, because of the nature of the offence, which involved both gross negligence and driving under the influence of drugs. We agree that Verdins35 principles one to four are not engaged, but that principle five is engaged as we consider the sentence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We also take into account that the appellant remains the principal offender and that he is proposing to give evidence against an alleged accomplice. We must bear steadily in mind 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BD67467"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 xml:space="preserve">Adequate punishment for the driving offending requires us also to keep steadily in mind the moral culpability of the appellant, the appalling consequences of that offending to the victims and their loved ones, the need for deterrence, both specific and general, and </w:t>
      </w:r>
      <w:r w:rsidRPr="00C12123">
        <w:rPr>
          <w:rFonts w:ascii="Arial" w:hAnsi="Arial" w:cs="Arial"/>
          <w:sz w:val="20"/>
          <w:szCs w:val="20"/>
        </w:rPr>
        <w:lastRenderedPageBreak/>
        <w:t>the need for denunciation. We also must consider the maximum penalties for the offending conduct,</w:t>
      </w:r>
      <w:r>
        <w:rPr>
          <w:rFonts w:ascii="Arial" w:hAnsi="Arial" w:cs="Arial"/>
          <w:sz w:val="20"/>
          <w:szCs w:val="20"/>
        </w:rPr>
        <w:t xml:space="preserve"> </w:t>
      </w:r>
      <w:r w:rsidRPr="00C12123">
        <w:rPr>
          <w:rFonts w:ascii="Arial" w:hAnsi="Arial" w:cs="Arial"/>
          <w:sz w:val="20"/>
          <w:szCs w:val="20"/>
        </w:rPr>
        <w:t xml:space="preserve"> and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5006BF40" w14:textId="2E6A70B1"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r w:rsidR="0078454F" w:rsidRPr="0078454F">
        <w:rPr>
          <w:rFonts w:ascii="Arial" w:hAnsi="Arial" w:cs="Arial"/>
          <w:i/>
          <w:iCs/>
          <w:color w:val="000000"/>
          <w:sz w:val="20"/>
        </w:rPr>
        <w:t>Victorsen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R v McStay</w:t>
      </w:r>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392D59">
        <w:rPr>
          <w:rFonts w:ascii="Arial" w:hAnsi="Arial" w:cs="Arial"/>
          <w:color w:val="000000"/>
          <w:sz w:val="20"/>
        </w:rPr>
        <w:t xml:space="preserve">; </w:t>
      </w:r>
      <w:r w:rsidR="00392D59" w:rsidRPr="00392D59">
        <w:rPr>
          <w:rFonts w:ascii="Arial" w:hAnsi="Arial" w:cs="Arial"/>
          <w:i/>
          <w:iCs/>
          <w:color w:val="000000"/>
          <w:sz w:val="20"/>
        </w:rPr>
        <w:t>Henness</w:t>
      </w:r>
      <w:r w:rsidR="00D96F00">
        <w:rPr>
          <w:rFonts w:ascii="Arial" w:hAnsi="Arial" w:cs="Arial"/>
          <w:i/>
          <w:iCs/>
          <w:color w:val="000000"/>
          <w:sz w:val="20"/>
        </w:rPr>
        <w:t>e</w:t>
      </w:r>
      <w:r w:rsidR="00392D59" w:rsidRPr="00392D59">
        <w:rPr>
          <w:rFonts w:ascii="Arial" w:hAnsi="Arial" w:cs="Arial"/>
          <w:i/>
          <w:iCs/>
          <w:color w:val="000000"/>
          <w:sz w:val="20"/>
        </w:rPr>
        <w:t>y v The King</w:t>
      </w:r>
      <w:r w:rsidR="00392D59">
        <w:rPr>
          <w:rFonts w:ascii="Arial" w:hAnsi="Arial" w:cs="Arial"/>
          <w:color w:val="000000"/>
          <w:sz w:val="20"/>
        </w:rPr>
        <w:t xml:space="preserve"> [2024] VSCA</w:t>
      </w:r>
      <w:r w:rsidR="00B56230">
        <w:rPr>
          <w:rFonts w:ascii="Arial" w:hAnsi="Arial" w:cs="Arial"/>
          <w:color w:val="000000"/>
          <w:sz w:val="20"/>
        </w:rPr>
        <w:t> </w:t>
      </w:r>
      <w:r w:rsidR="00392D59">
        <w:rPr>
          <w:rFonts w:ascii="Arial" w:hAnsi="Arial" w:cs="Arial"/>
          <w:color w:val="000000"/>
          <w:sz w:val="20"/>
        </w:rPr>
        <w:t>2</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3B222B64" w14:textId="77777777" w:rsidR="00D96B36" w:rsidRPr="001C6E0E" w:rsidRDefault="00773BC3" w:rsidP="00D96B36">
      <w:pPr>
        <w:pStyle w:val="Heading3"/>
        <w:keepNext/>
        <w:keepLines/>
        <w:widowControl/>
        <w:spacing w:after="120" w:line="240" w:lineRule="auto"/>
        <w:ind w:left="284" w:hanging="284"/>
        <w:rPr>
          <w:rFonts w:ascii="Arial" w:hAnsi="Arial" w:cs="Arial"/>
          <w:b/>
          <w:bCs/>
          <w:color w:val="000000"/>
          <w:sz w:val="20"/>
        </w:rPr>
      </w:pPr>
      <w:bookmarkStart w:id="658" w:name="_B_DANGEROUS_DRIVING"/>
      <w:bookmarkStart w:id="659" w:name="_Hlk158025989"/>
      <w:bookmarkEnd w:id="658"/>
      <w:r>
        <w:rPr>
          <w:rFonts w:ascii="Arial" w:hAnsi="Arial" w:cs="Arial"/>
          <w:b/>
          <w:color w:val="FFFFFF" w:themeColor="background1"/>
          <w:sz w:val="20"/>
          <w:szCs w:val="22"/>
          <w:shd w:val="clear" w:color="auto" w:fill="000000"/>
        </w:rPr>
        <w:t>B</w:t>
      </w:r>
      <w:bookmarkEnd w:id="659"/>
      <w:r w:rsidRPr="002979EC">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(2002) 55 NSWLR 252 at 286 at [214] per Spigelman CJ, a custodial sentence will usually be appropriate for an offence of this kind, except in cases where the offender’s level of moral culpability is low.</w:t>
      </w:r>
    </w:p>
    <w:p w14:paraId="6ACEA501" w14:textId="77777777" w:rsidR="00DA0BED" w:rsidRPr="001C6E0E" w:rsidRDefault="00DA0BED"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lastRenderedPageBreak/>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referable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t xml:space="preserve">In </w:t>
      </w:r>
      <w:r w:rsidRPr="00B60B53">
        <w:rPr>
          <w:rFonts w:ascii="Arial" w:hAnsi="Arial" w:cs="Arial"/>
          <w:i/>
          <w:color w:val="000000"/>
          <w:sz w:val="20"/>
        </w:rPr>
        <w:t>Woldesi</w:t>
      </w:r>
      <w:r w:rsidR="00B60B53" w:rsidRPr="00B60B53">
        <w:rPr>
          <w:rFonts w:ascii="Arial" w:hAnsi="Arial" w:cs="Arial"/>
          <w:i/>
          <w:color w:val="000000"/>
          <w:sz w:val="20"/>
        </w:rPr>
        <w:t>lassie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37440BBE" w:rsidR="00A04F3F" w:rsidRDefault="00A04F3F" w:rsidP="00A04F3F">
      <w:pPr>
        <w:jc w:val="both"/>
        <w:rPr>
          <w:rFonts w:ascii="Arial" w:hAnsi="Arial" w:cs="Arial"/>
          <w:color w:val="000000"/>
          <w:sz w:val="20"/>
        </w:rPr>
      </w:pPr>
    </w:p>
    <w:p w14:paraId="60729CB7" w14:textId="5B7270CD" w:rsidR="00164D51" w:rsidRDefault="00164D51" w:rsidP="00A04F3F">
      <w:pPr>
        <w:jc w:val="both"/>
        <w:rPr>
          <w:rFonts w:ascii="Arial" w:hAnsi="Arial" w:cs="Arial"/>
          <w:color w:val="000000"/>
          <w:sz w:val="20"/>
        </w:rPr>
      </w:pPr>
      <w:r>
        <w:rPr>
          <w:rFonts w:ascii="Arial" w:hAnsi="Arial" w:cs="Arial"/>
          <w:color w:val="000000"/>
          <w:sz w:val="20"/>
        </w:rPr>
        <w:t xml:space="preserve">In </w:t>
      </w:r>
      <w:r w:rsidRPr="00164D51">
        <w:rPr>
          <w:rFonts w:ascii="Arial" w:hAnsi="Arial" w:cs="Arial"/>
          <w:i/>
          <w:iCs/>
          <w:color w:val="000000"/>
          <w:sz w:val="20"/>
        </w:rPr>
        <w:t>DPP v Armstrong</w:t>
      </w:r>
      <w:r>
        <w:rPr>
          <w:rFonts w:ascii="Arial" w:hAnsi="Arial" w:cs="Arial"/>
          <w:color w:val="000000"/>
          <w:sz w:val="20"/>
        </w:rPr>
        <w:t xml:space="preserve"> [2022] VSC 827 the accused – aged 74 at the time of the offence and 78 at the time of sentence – had been operating an unseaworthy boat at Portland and his 61 year old friend was killed when the boat capsized and he was trapped beneath the hull and drowned.  Noting the accused’s low moral culpability, plea of guilty, remorse, lack of prior convictions, history of service to the community and poor mental health, Champion J imposed a 2y CCO and a $5,000 fine on a plea of guilty to one count of dangerous driving causing death.  </w:t>
      </w:r>
    </w:p>
    <w:p w14:paraId="2EEDBDF6" w14:textId="5BC85B76" w:rsidR="00164D51" w:rsidRDefault="00164D51" w:rsidP="00A04F3F">
      <w:pPr>
        <w:jc w:val="both"/>
        <w:rPr>
          <w:rFonts w:ascii="Arial" w:hAnsi="Arial" w:cs="Arial"/>
          <w:color w:val="000000"/>
          <w:sz w:val="20"/>
        </w:rPr>
      </w:pPr>
    </w:p>
    <w:p w14:paraId="157C1290" w14:textId="2A84A17A" w:rsidR="00AB1BC5" w:rsidRDefault="00AB1BC5" w:rsidP="00A04F3F">
      <w:pPr>
        <w:jc w:val="both"/>
        <w:rPr>
          <w:rFonts w:ascii="Arial" w:hAnsi="Arial" w:cs="Arial"/>
          <w:sz w:val="20"/>
          <w:szCs w:val="20"/>
        </w:rPr>
      </w:pPr>
      <w:r>
        <w:rPr>
          <w:rFonts w:ascii="Arial" w:hAnsi="Arial" w:cs="Arial"/>
          <w:color w:val="000000"/>
          <w:sz w:val="20"/>
        </w:rPr>
        <w:t xml:space="preserve">In </w:t>
      </w:r>
      <w:r w:rsidRPr="00AB1BC5">
        <w:rPr>
          <w:rFonts w:ascii="Arial" w:hAnsi="Arial" w:cs="Arial"/>
          <w:i/>
          <w:iCs/>
          <w:color w:val="000000"/>
          <w:sz w:val="20"/>
        </w:rPr>
        <w:t>DPP v Christopher Browne</w:t>
      </w:r>
      <w:r>
        <w:rPr>
          <w:rFonts w:ascii="Arial" w:hAnsi="Arial" w:cs="Arial"/>
          <w:color w:val="000000"/>
          <w:sz w:val="20"/>
        </w:rPr>
        <w:t xml:space="preserve"> [2023] VSCA 13 </w:t>
      </w:r>
      <w:r w:rsidRPr="00CF7E5C">
        <w:rPr>
          <w:rFonts w:ascii="Arial" w:hAnsi="Arial" w:cs="Arial"/>
          <w:sz w:val="20"/>
          <w:szCs w:val="20"/>
        </w:rPr>
        <w:t xml:space="preserve">the respondent’s two year old son, who was an unrestrained passenger in a buggy the respondent was driving on a rural paddock, was thrown and killed when the buggy rolled over. The respondent’s sister, who was also a passenger, received minor injuries. Initially, the respondent was charged with culpable driving causing death. He applied for a sentence indication pursuant to s 208 CPA in the event that he pleaded guilty to a charge of dangerous driving causing death and a charge of reckless conduct placing a person in danger of serious injury. </w:t>
      </w:r>
      <w:r>
        <w:rPr>
          <w:rFonts w:ascii="Arial" w:hAnsi="Arial" w:cs="Arial"/>
          <w:sz w:val="20"/>
          <w:szCs w:val="20"/>
        </w:rPr>
        <w:t>A</w:t>
      </w:r>
      <w:r w:rsidRPr="00CF7E5C">
        <w:rPr>
          <w:rFonts w:ascii="Arial" w:hAnsi="Arial" w:cs="Arial"/>
          <w:sz w:val="20"/>
          <w:szCs w:val="20"/>
        </w:rPr>
        <w:t xml:space="preserve"> judge of the County Court gave a sentence indication that, if the respondent were to plead guilty to the two proposed charges, a custodial sentence would not be imposed. On the same day, a new indictment was filed over and the respondent pleaded guilty to a charge of dangerous driving causing death and a charge of reckless conduct placing a person in danger of serious injury.</w:t>
      </w:r>
      <w:r>
        <w:rPr>
          <w:rFonts w:ascii="Arial" w:hAnsi="Arial" w:cs="Arial"/>
          <w:sz w:val="20"/>
          <w:szCs w:val="20"/>
        </w:rPr>
        <w:t xml:space="preserve">  T</w:t>
      </w:r>
      <w:r w:rsidRPr="007009D6">
        <w:rPr>
          <w:rFonts w:ascii="Arial" w:hAnsi="Arial" w:cs="Arial"/>
          <w:sz w:val="20"/>
          <w:szCs w:val="20"/>
        </w:rPr>
        <w:t>he judge sentenced the respondent to an aggregate sentence of a 3 year CCO with a condition that he complete 250 hours of unpaid community work.  The judge also cancelled the respondent’s driver’s licence and disqualified him from obtaining a further licence for 18 months.</w:t>
      </w:r>
    </w:p>
    <w:p w14:paraId="579665E8" w14:textId="0C96915C" w:rsidR="00AB1BC5" w:rsidRDefault="00AB1BC5" w:rsidP="00AB1BC5">
      <w:pPr>
        <w:spacing w:before="120"/>
        <w:jc w:val="both"/>
        <w:rPr>
          <w:rFonts w:ascii="Arial" w:hAnsi="Arial" w:cs="Arial"/>
          <w:sz w:val="20"/>
          <w:szCs w:val="20"/>
        </w:rPr>
      </w:pPr>
      <w:r>
        <w:rPr>
          <w:rFonts w:ascii="Arial" w:hAnsi="Arial" w:cs="Arial"/>
          <w:sz w:val="20"/>
          <w:szCs w:val="20"/>
        </w:rPr>
        <w:t>On appeal by the DPP, the Court of Appeal allowed an appeal by the DPP</w:t>
      </w:r>
      <w:r w:rsidR="00742255">
        <w:rPr>
          <w:rFonts w:ascii="Arial" w:hAnsi="Arial" w:cs="Arial"/>
          <w:sz w:val="20"/>
          <w:szCs w:val="20"/>
        </w:rPr>
        <w:t xml:space="preserve">. Refusing to exercise its residual discretion, the Court </w:t>
      </w:r>
      <w:r>
        <w:rPr>
          <w:rFonts w:ascii="Arial" w:hAnsi="Arial" w:cs="Arial"/>
          <w:sz w:val="20"/>
          <w:szCs w:val="20"/>
        </w:rPr>
        <w:t xml:space="preserve">resentenced the respondent to </w:t>
      </w:r>
      <w:r w:rsidRPr="00AB1BC5">
        <w:rPr>
          <w:rFonts w:ascii="Arial" w:hAnsi="Arial" w:cs="Arial"/>
          <w:sz w:val="20"/>
          <w:szCs w:val="20"/>
        </w:rPr>
        <w:t>an aggregate sentence of 15 months’ imprisonment for both charges and fix</w:t>
      </w:r>
      <w:r>
        <w:rPr>
          <w:rFonts w:ascii="Arial" w:hAnsi="Arial" w:cs="Arial"/>
          <w:sz w:val="20"/>
          <w:szCs w:val="20"/>
        </w:rPr>
        <w:t>ed</w:t>
      </w:r>
      <w:r w:rsidRPr="00AB1BC5">
        <w:rPr>
          <w:rFonts w:ascii="Arial" w:hAnsi="Arial" w:cs="Arial"/>
          <w:sz w:val="20"/>
          <w:szCs w:val="20"/>
        </w:rPr>
        <w:t xml:space="preserve"> a non-parole period of 6 months</w:t>
      </w:r>
      <w:r>
        <w:rPr>
          <w:rFonts w:ascii="Arial" w:hAnsi="Arial" w:cs="Arial"/>
          <w:sz w:val="20"/>
          <w:szCs w:val="20"/>
        </w:rPr>
        <w:t xml:space="preserve">, </w:t>
      </w:r>
      <w:r w:rsidR="00742255">
        <w:rPr>
          <w:rFonts w:ascii="Arial" w:hAnsi="Arial" w:cs="Arial"/>
          <w:sz w:val="20"/>
          <w:szCs w:val="20"/>
        </w:rPr>
        <w:t xml:space="preserve">albeit noting </w:t>
      </w:r>
      <w:r>
        <w:rPr>
          <w:rFonts w:ascii="Arial" w:hAnsi="Arial" w:cs="Arial"/>
          <w:sz w:val="20"/>
          <w:szCs w:val="20"/>
        </w:rPr>
        <w:t xml:space="preserve">at [103] </w:t>
      </w:r>
      <w:r w:rsidRPr="00AB1BC5">
        <w:rPr>
          <w:rFonts w:ascii="Arial" w:hAnsi="Arial" w:cs="Arial"/>
          <w:sz w:val="20"/>
          <w:szCs w:val="20"/>
        </w:rPr>
        <w:t xml:space="preserve">that </w:t>
      </w:r>
      <w:r>
        <w:rPr>
          <w:rFonts w:ascii="Arial" w:hAnsi="Arial" w:cs="Arial"/>
          <w:sz w:val="20"/>
          <w:szCs w:val="20"/>
        </w:rPr>
        <w:t>“</w:t>
      </w:r>
      <w:r w:rsidRPr="00AB1BC5">
        <w:rPr>
          <w:rFonts w:ascii="Arial" w:hAnsi="Arial" w:cs="Arial"/>
          <w:sz w:val="20"/>
          <w:szCs w:val="20"/>
        </w:rPr>
        <w:t>the present case has unique features which limit the extent, if any, to which the sentence we will impose is capable of providing assistance in future cases</w:t>
      </w:r>
      <w:r>
        <w:rPr>
          <w:rFonts w:ascii="Arial" w:hAnsi="Arial" w:cs="Arial"/>
          <w:sz w:val="20"/>
          <w:szCs w:val="20"/>
        </w:rPr>
        <w:t>”</w:t>
      </w:r>
      <w:r w:rsidRPr="00AB1BC5">
        <w:rPr>
          <w:rFonts w:ascii="Arial" w:hAnsi="Arial" w:cs="Arial"/>
          <w:sz w:val="20"/>
          <w:szCs w:val="20"/>
        </w:rPr>
        <w:t>.</w:t>
      </w:r>
    </w:p>
    <w:p w14:paraId="00972A5F" w14:textId="6993DAAC" w:rsidR="00AB1BC5" w:rsidRDefault="00AB1BC5" w:rsidP="00AB1BC5">
      <w:pPr>
        <w:spacing w:before="120"/>
        <w:jc w:val="both"/>
        <w:rPr>
          <w:rFonts w:ascii="Arial" w:hAnsi="Arial" w:cs="Arial"/>
          <w:sz w:val="20"/>
          <w:szCs w:val="20"/>
        </w:rPr>
      </w:pPr>
      <w:r>
        <w:rPr>
          <w:rFonts w:ascii="Arial" w:hAnsi="Arial" w:cs="Arial"/>
          <w:sz w:val="20"/>
          <w:szCs w:val="20"/>
        </w:rPr>
        <w:t>At [40]-[</w:t>
      </w:r>
      <w:r w:rsidR="0003582E">
        <w:rPr>
          <w:rFonts w:ascii="Arial" w:hAnsi="Arial" w:cs="Arial"/>
          <w:sz w:val="20"/>
          <w:szCs w:val="20"/>
        </w:rPr>
        <w:t>47</w:t>
      </w:r>
      <w:r>
        <w:rPr>
          <w:rFonts w:ascii="Arial" w:hAnsi="Arial" w:cs="Arial"/>
          <w:sz w:val="20"/>
          <w:szCs w:val="20"/>
        </w:rPr>
        <w:t xml:space="preserve">] </w:t>
      </w:r>
      <w:bookmarkStart w:id="660" w:name="_Hlk127279700"/>
      <w:r>
        <w:rPr>
          <w:rFonts w:ascii="Arial" w:hAnsi="Arial" w:cs="Arial"/>
          <w:sz w:val="20"/>
          <w:szCs w:val="20"/>
        </w:rPr>
        <w:t xml:space="preserve">Kyrou, T Forrest &amp; Kennedy JJA </w:t>
      </w:r>
      <w:r w:rsidR="00AC3D9D">
        <w:rPr>
          <w:rFonts w:ascii="Arial" w:hAnsi="Arial" w:cs="Arial"/>
          <w:sz w:val="20"/>
          <w:szCs w:val="20"/>
        </w:rPr>
        <w:t>summarise</w:t>
      </w:r>
      <w:r>
        <w:rPr>
          <w:rFonts w:ascii="Arial" w:hAnsi="Arial" w:cs="Arial"/>
          <w:sz w:val="20"/>
          <w:szCs w:val="20"/>
        </w:rPr>
        <w:t xml:space="preserve">d </w:t>
      </w:r>
      <w:bookmarkEnd w:id="660"/>
      <w:r>
        <w:rPr>
          <w:rFonts w:ascii="Arial" w:hAnsi="Arial" w:cs="Arial"/>
          <w:sz w:val="20"/>
          <w:szCs w:val="20"/>
        </w:rPr>
        <w:t>the principles relevant to the offence of dangerous driving causing death as follows:</w:t>
      </w:r>
    </w:p>
    <w:p w14:paraId="5699D38C" w14:textId="4B3412AC" w:rsidR="00AB1BC5" w:rsidRDefault="00AB1BC5" w:rsidP="00AB1BC5">
      <w:pPr>
        <w:spacing w:before="60"/>
        <w:ind w:left="567" w:right="567"/>
        <w:jc w:val="both"/>
        <w:rPr>
          <w:rFonts w:ascii="Arial" w:hAnsi="Arial" w:cs="Arial"/>
          <w:sz w:val="20"/>
          <w:szCs w:val="20"/>
        </w:rPr>
      </w:pPr>
      <w:r>
        <w:rPr>
          <w:rFonts w:ascii="Arial" w:hAnsi="Arial" w:cs="Arial"/>
          <w:sz w:val="20"/>
          <w:szCs w:val="20"/>
        </w:rPr>
        <w:t>[40] “</w:t>
      </w:r>
      <w:r w:rsidRPr="00AB1BC5">
        <w:rPr>
          <w:rFonts w:ascii="Arial" w:hAnsi="Arial" w:cs="Arial"/>
          <w:sz w:val="20"/>
          <w:szCs w:val="20"/>
        </w:rPr>
        <w:t xml:space="preserve">In </w:t>
      </w:r>
      <w:r w:rsidRPr="00AB1BC5">
        <w:rPr>
          <w:rFonts w:ascii="Arial" w:hAnsi="Arial" w:cs="Arial"/>
          <w:i/>
          <w:iCs/>
          <w:sz w:val="20"/>
          <w:szCs w:val="20"/>
        </w:rPr>
        <w:t>Stephens</w:t>
      </w:r>
      <w:r w:rsidR="0003582E">
        <w:rPr>
          <w:rFonts w:ascii="Arial" w:hAnsi="Arial" w:cs="Arial"/>
          <w:i/>
          <w:iCs/>
          <w:sz w:val="20"/>
          <w:szCs w:val="20"/>
        </w:rPr>
        <w:t xml:space="preserve"> v The Queen</w:t>
      </w:r>
      <w:r w:rsidRPr="00AB1BC5">
        <w:rPr>
          <w:rFonts w:ascii="Arial" w:hAnsi="Arial" w:cs="Arial"/>
          <w:sz w:val="20"/>
          <w:szCs w:val="20"/>
        </w:rPr>
        <w:t xml:space="preserve"> </w:t>
      </w:r>
      <w:r w:rsidR="00742255" w:rsidRPr="00AB1BC5">
        <w:rPr>
          <w:rFonts w:ascii="Arial" w:hAnsi="Arial" w:cs="Arial"/>
          <w:sz w:val="20"/>
          <w:szCs w:val="20"/>
        </w:rPr>
        <w:t>(2016) 50 VR 740, 745 [21]</w:t>
      </w:r>
      <w:r w:rsidR="00742255">
        <w:rPr>
          <w:rFonts w:ascii="Arial" w:hAnsi="Arial" w:cs="Arial"/>
          <w:sz w:val="20"/>
          <w:szCs w:val="20"/>
        </w:rPr>
        <w:t xml:space="preserve">, </w:t>
      </w:r>
      <w:r w:rsidRPr="00AB1BC5">
        <w:rPr>
          <w:rFonts w:ascii="Arial" w:hAnsi="Arial" w:cs="Arial"/>
          <w:sz w:val="20"/>
          <w:szCs w:val="20"/>
        </w:rPr>
        <w:t>this Court stated that, although the offence of dangerous driving causing death encompasses a very wide range of conduct, it ‘is likely to receive a significant term of imprisonment’.</w:t>
      </w:r>
      <w:r w:rsidR="00742255">
        <w:rPr>
          <w:rFonts w:ascii="Arial" w:hAnsi="Arial" w:cs="Arial"/>
          <w:sz w:val="20"/>
          <w:szCs w:val="20"/>
        </w:rPr>
        <w:t xml:space="preserve"> </w:t>
      </w:r>
      <w:r w:rsidRPr="00AB1BC5">
        <w:rPr>
          <w:rFonts w:ascii="Arial" w:hAnsi="Arial" w:cs="Arial"/>
          <w:sz w:val="20"/>
          <w:szCs w:val="20"/>
        </w:rPr>
        <w:t xml:space="preserve"> The Court went on to say that, where an offender’s level of moral culpability is low, it may be appropriate for the sentencing court to depart from the usual disposition of a custodial sentence.</w:t>
      </w:r>
    </w:p>
    <w:p w14:paraId="05CDCA18" w14:textId="77777777" w:rsidR="00742255" w:rsidRDefault="00AB1BC5" w:rsidP="00742255">
      <w:pPr>
        <w:spacing w:before="60"/>
        <w:ind w:left="567" w:right="567"/>
        <w:jc w:val="both"/>
        <w:rPr>
          <w:rFonts w:ascii="Arial" w:hAnsi="Arial" w:cs="Arial"/>
          <w:sz w:val="20"/>
          <w:szCs w:val="20"/>
        </w:rPr>
      </w:pPr>
      <w:r>
        <w:rPr>
          <w:rFonts w:ascii="Arial" w:hAnsi="Arial" w:cs="Arial"/>
          <w:sz w:val="20"/>
          <w:szCs w:val="20"/>
        </w:rPr>
        <w:t xml:space="preserve">[41] </w:t>
      </w:r>
      <w:r w:rsidR="00742255" w:rsidRPr="00AB1BC5">
        <w:rPr>
          <w:rFonts w:ascii="Arial" w:hAnsi="Arial" w:cs="Arial"/>
          <w:sz w:val="20"/>
          <w:szCs w:val="20"/>
        </w:rPr>
        <w:t xml:space="preserve">In </w:t>
      </w:r>
      <w:r w:rsidR="00742255" w:rsidRPr="00742255">
        <w:rPr>
          <w:rFonts w:ascii="Arial" w:hAnsi="Arial" w:cs="Arial"/>
          <w:i/>
          <w:iCs/>
          <w:sz w:val="20"/>
          <w:szCs w:val="20"/>
        </w:rPr>
        <w:t>Stephens</w:t>
      </w:r>
      <w:r w:rsidR="00742255" w:rsidRPr="00AB1BC5">
        <w:rPr>
          <w:rFonts w:ascii="Arial" w:hAnsi="Arial" w:cs="Arial"/>
          <w:sz w:val="20"/>
          <w:szCs w:val="20"/>
        </w:rPr>
        <w:t>, the offender was driving an off-road buggy, similar to the buggy in the present case and with similar warnings, on a rural property. The offender’s 11 year old stepson was sitting in the passenger seat and his 9 year old daughter was sitting between his stepson’s legs. The offender and his stepson engaged their seatbelts but his daughter was unrestrained. When the offender attempted a ‘burnout’, the buggy rolled and his daughter was killed. His stepson was not seriously injured. The offender had not driven</w:t>
      </w:r>
      <w:r w:rsidR="00742255">
        <w:rPr>
          <w:rFonts w:ascii="Arial" w:hAnsi="Arial" w:cs="Arial"/>
          <w:sz w:val="20"/>
          <w:szCs w:val="20"/>
        </w:rPr>
        <w:t xml:space="preserve"> </w:t>
      </w:r>
      <w:r w:rsidRPr="00AB1BC5">
        <w:rPr>
          <w:rFonts w:ascii="Arial" w:hAnsi="Arial" w:cs="Arial"/>
          <w:sz w:val="20"/>
          <w:szCs w:val="20"/>
        </w:rPr>
        <w:t>the buggy previously. A collision reconstructionist estimated that the buggy’s speed at the time it rolled over was 34 kilometres per hour.</w:t>
      </w:r>
    </w:p>
    <w:p w14:paraId="4C763258" w14:textId="0FCB3044"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42</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Stephens</w:t>
      </w:r>
      <w:r w:rsidR="00AB1BC5" w:rsidRPr="00AB1BC5">
        <w:rPr>
          <w:rFonts w:ascii="Arial" w:hAnsi="Arial" w:cs="Arial"/>
          <w:sz w:val="20"/>
          <w:szCs w:val="20"/>
        </w:rPr>
        <w:t xml:space="preserve"> assessed the gravity of the offending as ‘serious examples of serious offences’ and found that the offender’s moral culpability was ‘at … a very high’ level and his prospects of rehabilitation were ‘excellent’</w:t>
      </w:r>
      <w:r w:rsidR="0003582E">
        <w:rPr>
          <w:rFonts w:ascii="Arial" w:hAnsi="Arial" w:cs="Arial"/>
          <w:sz w:val="20"/>
          <w:szCs w:val="20"/>
        </w:rPr>
        <w:t>: DPP v Stephens [2015] VCC 1847, [55], [57], [71]</w:t>
      </w:r>
      <w:r w:rsidR="00AB1BC5" w:rsidRPr="00AB1BC5">
        <w:rPr>
          <w:rFonts w:ascii="Arial" w:hAnsi="Arial" w:cs="Arial"/>
          <w:sz w:val="20"/>
          <w:szCs w:val="20"/>
        </w:rPr>
        <w:t xml:space="preserve">. The offender did not have a criminal history, conducted two businesses, was involved in community pursuits, and was deeply remorseful. He was </w:t>
      </w:r>
      <w:r w:rsidR="00AB1BC5" w:rsidRPr="00AB1BC5">
        <w:rPr>
          <w:rFonts w:ascii="Arial" w:hAnsi="Arial" w:cs="Arial"/>
          <w:sz w:val="20"/>
          <w:szCs w:val="20"/>
        </w:rPr>
        <w:lastRenderedPageBreak/>
        <w:t xml:space="preserve">‘grief-stricken’ as a result of the accident and had symptoms consistent with PTSD but they were not sufficient to meet the diagnostic criteria for PTSD. The sentencing judge found that the principles in </w:t>
      </w:r>
      <w:r w:rsidR="00AB1BC5" w:rsidRPr="0003582E">
        <w:rPr>
          <w:rFonts w:ascii="Arial" w:hAnsi="Arial" w:cs="Arial"/>
          <w:i/>
          <w:iCs/>
          <w:sz w:val="20"/>
          <w:szCs w:val="20"/>
        </w:rPr>
        <w:t>R v Verdins</w:t>
      </w:r>
      <w:r w:rsidR="0003582E">
        <w:rPr>
          <w:rFonts w:ascii="Arial" w:hAnsi="Arial" w:cs="Arial"/>
          <w:sz w:val="20"/>
          <w:szCs w:val="20"/>
        </w:rPr>
        <w:t xml:space="preserve"> (2007) 16 VR 269</w:t>
      </w:r>
      <w:r w:rsidR="00AB1BC5" w:rsidRPr="00AB1BC5">
        <w:rPr>
          <w:rFonts w:ascii="Arial" w:hAnsi="Arial" w:cs="Arial"/>
          <w:sz w:val="20"/>
          <w:szCs w:val="20"/>
        </w:rPr>
        <w:t xml:space="preserve"> were not strictly engaged. </w:t>
      </w:r>
    </w:p>
    <w:p w14:paraId="0018DAAB" w14:textId="6D7086FC"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43</w:t>
      </w:r>
      <w:r>
        <w:rPr>
          <w:rFonts w:ascii="Arial" w:hAnsi="Arial" w:cs="Arial"/>
          <w:sz w:val="20"/>
          <w:szCs w:val="20"/>
        </w:rPr>
        <w:t>]</w:t>
      </w:r>
      <w:r w:rsidR="00AB1BC5" w:rsidRPr="00AB1BC5">
        <w:rPr>
          <w:rFonts w:ascii="Arial" w:hAnsi="Arial" w:cs="Arial"/>
          <w:sz w:val="20"/>
          <w:szCs w:val="20"/>
        </w:rPr>
        <w:t xml:space="preserve"> The offender in </w:t>
      </w:r>
      <w:r w:rsidR="00AB1BC5" w:rsidRPr="00742255">
        <w:rPr>
          <w:rFonts w:ascii="Arial" w:hAnsi="Arial" w:cs="Arial"/>
          <w:i/>
          <w:iCs/>
          <w:sz w:val="20"/>
          <w:szCs w:val="20"/>
        </w:rPr>
        <w:t>Stephens</w:t>
      </w:r>
      <w:r w:rsidR="00AB1BC5" w:rsidRPr="00AB1BC5">
        <w:rPr>
          <w:rFonts w:ascii="Arial" w:hAnsi="Arial" w:cs="Arial"/>
          <w:sz w:val="20"/>
          <w:szCs w:val="20"/>
        </w:rPr>
        <w:t xml:space="preserve"> pleaded guilty and was sentenced to 3</w:t>
      </w:r>
      <w:r w:rsidR="0003582E">
        <w:rPr>
          <w:rFonts w:ascii="Arial" w:hAnsi="Arial" w:cs="Arial"/>
          <w:sz w:val="20"/>
          <w:szCs w:val="20"/>
        </w:rPr>
        <w:t>y3m</w:t>
      </w:r>
      <w:r w:rsidR="00AB1BC5" w:rsidRPr="00AB1BC5">
        <w:rPr>
          <w:rFonts w:ascii="Arial" w:hAnsi="Arial" w:cs="Arial"/>
          <w:sz w:val="20"/>
          <w:szCs w:val="20"/>
        </w:rPr>
        <w:t xml:space="preserve"> imprisonment for the offence of dangerous driving causing death and to 18</w:t>
      </w:r>
      <w:r w:rsidR="0003582E">
        <w:rPr>
          <w:rFonts w:ascii="Arial" w:hAnsi="Arial" w:cs="Arial"/>
          <w:sz w:val="20"/>
          <w:szCs w:val="20"/>
        </w:rPr>
        <w:t>m</w:t>
      </w:r>
      <w:r w:rsidR="00AB1BC5" w:rsidRPr="00AB1BC5">
        <w:rPr>
          <w:rFonts w:ascii="Arial" w:hAnsi="Arial" w:cs="Arial"/>
          <w:sz w:val="20"/>
          <w:szCs w:val="20"/>
        </w:rPr>
        <w:t xml:space="preserve"> imprisonment for the offence of reckless conduct endangering life, with cumulation of 6m for the latter sentence. A non-parole period of 2y3</w:t>
      </w:r>
      <w:r w:rsidR="0003582E">
        <w:rPr>
          <w:rFonts w:ascii="Arial" w:hAnsi="Arial" w:cs="Arial"/>
          <w:sz w:val="20"/>
          <w:szCs w:val="20"/>
        </w:rPr>
        <w:t>m</w:t>
      </w:r>
      <w:r w:rsidR="00AB1BC5" w:rsidRPr="00AB1BC5">
        <w:rPr>
          <w:rFonts w:ascii="Arial" w:hAnsi="Arial" w:cs="Arial"/>
          <w:sz w:val="20"/>
          <w:szCs w:val="20"/>
        </w:rPr>
        <w:t xml:space="preserve"> imprisonment was fixed in respect of the total effective sentence of 3</w:t>
      </w:r>
      <w:r w:rsidR="0003582E">
        <w:rPr>
          <w:rFonts w:ascii="Arial" w:hAnsi="Arial" w:cs="Arial"/>
          <w:sz w:val="20"/>
          <w:szCs w:val="20"/>
        </w:rPr>
        <w:t>y9m</w:t>
      </w:r>
      <w:r w:rsidR="00AB1BC5" w:rsidRPr="00AB1BC5">
        <w:rPr>
          <w:rFonts w:ascii="Arial" w:hAnsi="Arial" w:cs="Arial"/>
          <w:sz w:val="20"/>
          <w:szCs w:val="20"/>
        </w:rPr>
        <w:t xml:space="preserve">. This Court dismissed the offender’s appeal against sentence, in which he sought to impugn the sentencing judge’s finding about his moral culpability. The Court rejected </w:t>
      </w:r>
      <w:r w:rsidR="0003582E">
        <w:rPr>
          <w:rFonts w:ascii="Arial" w:hAnsi="Arial" w:cs="Arial"/>
          <w:sz w:val="20"/>
          <w:szCs w:val="20"/>
        </w:rPr>
        <w:t xml:space="preserve">at [31] </w:t>
      </w:r>
      <w:r w:rsidR="00AB1BC5" w:rsidRPr="00AB1BC5">
        <w:rPr>
          <w:rFonts w:ascii="Arial" w:hAnsi="Arial" w:cs="Arial"/>
          <w:sz w:val="20"/>
          <w:szCs w:val="20"/>
        </w:rPr>
        <w:t>the offender’s contention that a CCO would have been an appropriate disposition in the circumstances of that case.</w:t>
      </w:r>
    </w:p>
    <w:p w14:paraId="35417083" w14:textId="2C0A7218"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44</w:t>
      </w:r>
      <w:r>
        <w:rPr>
          <w:rFonts w:ascii="Arial" w:hAnsi="Arial" w:cs="Arial"/>
          <w:sz w:val="20"/>
          <w:szCs w:val="20"/>
        </w:rPr>
        <w:t>]</w:t>
      </w:r>
      <w:r w:rsidR="00AB1BC5" w:rsidRPr="00AB1BC5">
        <w:rPr>
          <w:rFonts w:ascii="Arial" w:hAnsi="Arial" w:cs="Arial"/>
          <w:sz w:val="20"/>
          <w:szCs w:val="20"/>
        </w:rPr>
        <w:t xml:space="preserve"> The inappropriateness of a CCO as a sentencing disposition for the offence of dangerous driving causing death in the vast majority of cases was emphasised by this Court more recently in </w:t>
      </w:r>
      <w:r w:rsidR="00AB1BC5" w:rsidRPr="00742255">
        <w:rPr>
          <w:rFonts w:ascii="Arial" w:hAnsi="Arial" w:cs="Arial"/>
          <w:i/>
          <w:iCs/>
          <w:sz w:val="20"/>
          <w:szCs w:val="20"/>
        </w:rPr>
        <w:t>Peer</w:t>
      </w:r>
      <w:r w:rsidR="00AB1BC5" w:rsidRPr="00AC3D9D">
        <w:rPr>
          <w:rFonts w:ascii="Arial" w:hAnsi="Arial" w:cs="Arial"/>
          <w:i/>
          <w:iCs/>
          <w:sz w:val="20"/>
          <w:szCs w:val="20"/>
        </w:rPr>
        <w:t>s</w:t>
      </w:r>
      <w:r w:rsidR="0003582E" w:rsidRPr="00AC3D9D">
        <w:rPr>
          <w:rFonts w:ascii="Arial" w:hAnsi="Arial" w:cs="Arial"/>
          <w:i/>
          <w:iCs/>
          <w:sz w:val="20"/>
          <w:szCs w:val="20"/>
        </w:rPr>
        <w:t xml:space="preserve"> </w:t>
      </w:r>
      <w:r w:rsidR="00AC3D9D" w:rsidRPr="00AC3D9D">
        <w:rPr>
          <w:rFonts w:ascii="Arial" w:hAnsi="Arial" w:cs="Arial"/>
          <w:i/>
          <w:iCs/>
          <w:sz w:val="20"/>
          <w:szCs w:val="20"/>
        </w:rPr>
        <w:t xml:space="preserve">v The Queen </w:t>
      </w:r>
      <w:r w:rsidR="0003582E">
        <w:rPr>
          <w:rFonts w:ascii="Arial" w:hAnsi="Arial" w:cs="Arial"/>
          <w:sz w:val="20"/>
          <w:szCs w:val="20"/>
        </w:rPr>
        <w:t>(2021) 97 MVR 379; [2021] VSCA 264.</w:t>
      </w:r>
      <w:r w:rsidR="00AB1BC5" w:rsidRPr="00AB1BC5">
        <w:rPr>
          <w:rFonts w:ascii="Arial" w:hAnsi="Arial" w:cs="Arial"/>
          <w:sz w:val="20"/>
          <w:szCs w:val="20"/>
        </w:rPr>
        <w:t xml:space="preserve"> That case involved a relatively youthful female offender who attempted to overtake a truck on a two-lane road which narrowed to a single lane road. The speed of the vehicle was estimated at 128.7 kilometres per hour, well above the speed limit of 100 kilometres per hour. When the offender realised that she did not have sufficient time to overtake the truck, she applied the brakes suddenly and lost control of her car, resulting in it going off the road, impacting a large tree and rolling over. Her front seat passenger died as a result of the collision. She pleaded guilty to a single charge of dangerous driving causing death. The offender suffered from a number of mental conditions, including PTSD.</w:t>
      </w:r>
    </w:p>
    <w:p w14:paraId="0ACE823D" w14:textId="77777777" w:rsidR="0003582E"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45</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Peers</w:t>
      </w:r>
      <w:r w:rsidR="00AB1BC5" w:rsidRPr="00AB1BC5">
        <w:rPr>
          <w:rFonts w:ascii="Arial" w:hAnsi="Arial" w:cs="Arial"/>
          <w:sz w:val="20"/>
          <w:szCs w:val="20"/>
        </w:rPr>
        <w:t xml:space="preserve"> assessed the gravity of the offending as neither at the high nor at the low end and sentenced the offender to 30</w:t>
      </w:r>
      <w:r w:rsidR="0003582E">
        <w:rPr>
          <w:rFonts w:ascii="Arial" w:hAnsi="Arial" w:cs="Arial"/>
          <w:sz w:val="20"/>
          <w:szCs w:val="20"/>
        </w:rPr>
        <w:t>m</w:t>
      </w:r>
      <w:r w:rsidR="00AB1BC5" w:rsidRPr="00AB1BC5">
        <w:rPr>
          <w:rFonts w:ascii="Arial" w:hAnsi="Arial" w:cs="Arial"/>
          <w:sz w:val="20"/>
          <w:szCs w:val="20"/>
        </w:rPr>
        <w:t xml:space="preserve"> imprisonment with a non-parole period of 12</w:t>
      </w:r>
      <w:r w:rsidR="0003582E">
        <w:rPr>
          <w:rFonts w:ascii="Arial" w:hAnsi="Arial" w:cs="Arial"/>
          <w:sz w:val="20"/>
          <w:szCs w:val="20"/>
        </w:rPr>
        <w:t>m</w:t>
      </w:r>
      <w:r w:rsidR="00AB1BC5" w:rsidRPr="00AB1BC5">
        <w:rPr>
          <w:rFonts w:ascii="Arial" w:hAnsi="Arial" w:cs="Arial"/>
          <w:sz w:val="20"/>
          <w:szCs w:val="20"/>
        </w:rPr>
        <w:t xml:space="preserve">. This Court allowed the offender’s appeal against sentence on the basis that the sentencing judge erred in finding that the requirements of s 5(2H)(c)(ii) of the </w:t>
      </w:r>
      <w:r w:rsidR="00AB1BC5" w:rsidRPr="0003582E">
        <w:rPr>
          <w:rFonts w:ascii="Arial" w:hAnsi="Arial" w:cs="Arial"/>
          <w:i/>
          <w:iCs/>
          <w:sz w:val="20"/>
          <w:szCs w:val="20"/>
        </w:rPr>
        <w:t>S</w:t>
      </w:r>
      <w:r w:rsidR="0003582E" w:rsidRPr="0003582E">
        <w:rPr>
          <w:rFonts w:ascii="Arial" w:hAnsi="Arial" w:cs="Arial"/>
          <w:i/>
          <w:iCs/>
          <w:sz w:val="20"/>
          <w:szCs w:val="20"/>
        </w:rPr>
        <w:t xml:space="preserve">entencing </w:t>
      </w:r>
      <w:r w:rsidR="00AB1BC5" w:rsidRPr="0003582E">
        <w:rPr>
          <w:rFonts w:ascii="Arial" w:hAnsi="Arial" w:cs="Arial"/>
          <w:i/>
          <w:iCs/>
          <w:sz w:val="20"/>
          <w:szCs w:val="20"/>
        </w:rPr>
        <w:t>A</w:t>
      </w:r>
      <w:r w:rsidR="0003582E" w:rsidRPr="0003582E">
        <w:rPr>
          <w:rFonts w:ascii="Arial" w:hAnsi="Arial" w:cs="Arial"/>
          <w:i/>
          <w:iCs/>
          <w:sz w:val="20"/>
          <w:szCs w:val="20"/>
        </w:rPr>
        <w:t>ct</w:t>
      </w:r>
      <w:r w:rsidR="00AB1BC5" w:rsidRPr="00AB1BC5">
        <w:rPr>
          <w:rFonts w:ascii="Arial" w:hAnsi="Arial" w:cs="Arial"/>
          <w:sz w:val="20"/>
          <w:szCs w:val="20"/>
        </w:rPr>
        <w:t xml:space="preserve"> were not satisfied. The Court resentenced the offender to 20</w:t>
      </w:r>
      <w:r w:rsidR="0003582E">
        <w:rPr>
          <w:rFonts w:ascii="Arial" w:hAnsi="Arial" w:cs="Arial"/>
          <w:sz w:val="20"/>
          <w:szCs w:val="20"/>
        </w:rPr>
        <w:t>m</w:t>
      </w:r>
      <w:r w:rsidR="00AB1BC5" w:rsidRPr="00AB1BC5">
        <w:rPr>
          <w:rFonts w:ascii="Arial" w:hAnsi="Arial" w:cs="Arial"/>
          <w:sz w:val="20"/>
          <w:szCs w:val="20"/>
        </w:rPr>
        <w:t xml:space="preserve"> imprisonment with a non-parole period of 8</w:t>
      </w:r>
      <w:r w:rsidR="0003582E">
        <w:rPr>
          <w:rFonts w:ascii="Arial" w:hAnsi="Arial" w:cs="Arial"/>
          <w:sz w:val="20"/>
          <w:szCs w:val="20"/>
        </w:rPr>
        <w:t>m</w:t>
      </w:r>
      <w:r w:rsidR="00AB1BC5" w:rsidRPr="00AB1BC5">
        <w:rPr>
          <w:rFonts w:ascii="Arial" w:hAnsi="Arial" w:cs="Arial"/>
          <w:sz w:val="20"/>
          <w:szCs w:val="20"/>
        </w:rPr>
        <w:t>.</w:t>
      </w:r>
    </w:p>
    <w:p w14:paraId="3734186C" w14:textId="44E65675" w:rsidR="0003582E" w:rsidRDefault="0003582E"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46</w:t>
      </w:r>
      <w:r>
        <w:rPr>
          <w:rFonts w:ascii="Arial" w:hAnsi="Arial" w:cs="Arial"/>
          <w:sz w:val="20"/>
          <w:szCs w:val="20"/>
        </w:rPr>
        <w:t>]</w:t>
      </w:r>
      <w:r w:rsidR="00AB1BC5" w:rsidRPr="00AB1BC5">
        <w:rPr>
          <w:rFonts w:ascii="Arial" w:hAnsi="Arial" w:cs="Arial"/>
          <w:sz w:val="20"/>
          <w:szCs w:val="20"/>
        </w:rPr>
        <w:t xml:space="preserve"> This Court in </w:t>
      </w:r>
      <w:r w:rsidR="00AB1BC5" w:rsidRPr="0003582E">
        <w:rPr>
          <w:rFonts w:ascii="Arial" w:hAnsi="Arial" w:cs="Arial"/>
          <w:i/>
          <w:iCs/>
          <w:sz w:val="20"/>
          <w:szCs w:val="20"/>
        </w:rPr>
        <w:t>Peers</w:t>
      </w:r>
      <w:r w:rsidR="00AB1BC5" w:rsidRPr="00AB1BC5">
        <w:rPr>
          <w:rFonts w:ascii="Arial" w:hAnsi="Arial" w:cs="Arial"/>
          <w:sz w:val="20"/>
          <w:szCs w:val="20"/>
        </w:rPr>
        <w:t xml:space="preserve"> made the following pertinent observations</w:t>
      </w:r>
      <w:r>
        <w:rPr>
          <w:rFonts w:ascii="Arial" w:hAnsi="Arial" w:cs="Arial"/>
          <w:sz w:val="20"/>
          <w:szCs w:val="20"/>
        </w:rPr>
        <w:t xml:space="preserve"> at [72]-[73]</w:t>
      </w:r>
      <w:r w:rsidR="00AB1BC5" w:rsidRPr="00AB1BC5">
        <w:rPr>
          <w:rFonts w:ascii="Arial" w:hAnsi="Arial" w:cs="Arial"/>
          <w:sz w:val="20"/>
          <w:szCs w:val="20"/>
        </w:rPr>
        <w:t>:</w:t>
      </w:r>
    </w:p>
    <w:p w14:paraId="0E521D6F" w14:textId="77777777" w:rsidR="0003582E" w:rsidRDefault="0003582E" w:rsidP="0003582E">
      <w:pPr>
        <w:spacing w:before="60"/>
        <w:ind w:left="1021" w:right="1021"/>
        <w:jc w:val="both"/>
        <w:rPr>
          <w:rFonts w:ascii="Arial" w:hAnsi="Arial" w:cs="Arial"/>
          <w:sz w:val="18"/>
          <w:szCs w:val="18"/>
        </w:rPr>
      </w:pPr>
      <w:r>
        <w:rPr>
          <w:rFonts w:ascii="Arial" w:hAnsi="Arial" w:cs="Arial"/>
          <w:sz w:val="20"/>
          <w:szCs w:val="20"/>
        </w:rPr>
        <w:t>‘</w:t>
      </w:r>
      <w:r w:rsidRPr="0003582E">
        <w:rPr>
          <w:rFonts w:ascii="Arial" w:hAnsi="Arial" w:cs="Arial"/>
          <w:sz w:val="18"/>
          <w:szCs w:val="18"/>
        </w:rPr>
        <w:t>This Court has previously noted that the offence of dangerous driving causing death is a serious one, and ‘it is difficult to see how any sentence other than one</w:t>
      </w:r>
      <w:r>
        <w:rPr>
          <w:rFonts w:ascii="Arial" w:hAnsi="Arial" w:cs="Arial"/>
          <w:sz w:val="18"/>
          <w:szCs w:val="18"/>
        </w:rPr>
        <w:t xml:space="preserve"> </w:t>
      </w:r>
      <w:r w:rsidRPr="0003582E">
        <w:rPr>
          <w:rFonts w:ascii="Arial" w:hAnsi="Arial" w:cs="Arial"/>
          <w:sz w:val="18"/>
          <w:szCs w:val="18"/>
        </w:rPr>
        <w:t xml:space="preserve">of immediate imprisonment could possibly meet the needs of general deterrence, adequate punishment, and denunciation’. This Court has previously upheld sentences of imprisonment comparable to that received by the applicant, and found in the case of </w:t>
      </w:r>
      <w:r w:rsidRPr="0003582E">
        <w:rPr>
          <w:rFonts w:ascii="Arial" w:hAnsi="Arial" w:cs="Arial"/>
          <w:i/>
          <w:iCs/>
          <w:sz w:val="18"/>
          <w:szCs w:val="18"/>
        </w:rPr>
        <w:t>Borg</w:t>
      </w:r>
      <w:r w:rsidRPr="0003582E">
        <w:rPr>
          <w:rFonts w:ascii="Arial" w:hAnsi="Arial" w:cs="Arial"/>
          <w:sz w:val="18"/>
          <w:szCs w:val="18"/>
        </w:rPr>
        <w:t>, that the imposition of a five-year CCO without any period of incarceration was a wholly inadequate sentence.</w:t>
      </w:r>
    </w:p>
    <w:p w14:paraId="05E8CC6D" w14:textId="5A571628" w:rsidR="0003582E" w:rsidRPr="008A756E" w:rsidRDefault="0003582E" w:rsidP="0003582E">
      <w:pPr>
        <w:spacing w:before="60"/>
        <w:ind w:left="1021" w:right="1021"/>
        <w:jc w:val="both"/>
        <w:rPr>
          <w:rFonts w:ascii="Arial" w:hAnsi="Arial" w:cs="Arial"/>
          <w:sz w:val="20"/>
          <w:szCs w:val="20"/>
        </w:rPr>
      </w:pPr>
      <w:r w:rsidRPr="0003582E">
        <w:rPr>
          <w:rFonts w:ascii="Arial" w:hAnsi="Arial" w:cs="Arial"/>
          <w:sz w:val="18"/>
          <w:szCs w:val="18"/>
        </w:rPr>
        <w:t>[E]ach case must be considered having regard to its own facts. In our view, a term of imprisonment is required. The speed at which the applicant drove and the overtaking manoeuvre plainly rendered the driving dangerous and general deterrence is important … It is the necessary reality for offending of this kind that people with unblemished records, undoubted remorse, and with little or no prospect of re-offending, will receive an immediate term of imprisonment.</w:t>
      </w:r>
      <w:r>
        <w:rPr>
          <w:rFonts w:ascii="Arial" w:hAnsi="Arial" w:cs="Arial"/>
          <w:sz w:val="18"/>
          <w:szCs w:val="18"/>
        </w:rPr>
        <w:t>’</w:t>
      </w:r>
    </w:p>
    <w:p w14:paraId="4CFABE69" w14:textId="685D99DA" w:rsidR="0003582E" w:rsidRDefault="0003582E" w:rsidP="0003582E">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47</w:t>
      </w:r>
      <w:r>
        <w:rPr>
          <w:rFonts w:ascii="Arial" w:hAnsi="Arial" w:cs="Arial"/>
          <w:sz w:val="20"/>
          <w:szCs w:val="20"/>
        </w:rPr>
        <w:t>]</w:t>
      </w:r>
      <w:r w:rsidR="00AB1BC5" w:rsidRPr="00AB1BC5">
        <w:rPr>
          <w:rFonts w:ascii="Arial" w:hAnsi="Arial" w:cs="Arial"/>
          <w:sz w:val="20"/>
          <w:szCs w:val="20"/>
        </w:rPr>
        <w:t xml:space="preserve"> These observations are consistent with the earlier authority of </w:t>
      </w:r>
      <w:r w:rsidR="00AB1BC5" w:rsidRPr="0003582E">
        <w:rPr>
          <w:rFonts w:ascii="Arial" w:hAnsi="Arial" w:cs="Arial"/>
          <w:i/>
          <w:iCs/>
          <w:sz w:val="20"/>
          <w:szCs w:val="20"/>
        </w:rPr>
        <w:t>Director of Public Prosecutions v Neethling</w:t>
      </w:r>
      <w:r>
        <w:rPr>
          <w:rFonts w:ascii="Arial" w:hAnsi="Arial" w:cs="Arial"/>
          <w:sz w:val="20"/>
          <w:szCs w:val="20"/>
        </w:rPr>
        <w:t xml:space="preserve"> (2009) 22 VR 466</w:t>
      </w:r>
      <w:r w:rsidR="00AB1BC5" w:rsidRPr="00AB1BC5">
        <w:rPr>
          <w:rFonts w:ascii="Arial" w:hAnsi="Arial" w:cs="Arial"/>
          <w:sz w:val="20"/>
          <w:szCs w:val="20"/>
        </w:rPr>
        <w:t xml:space="preserve">. </w:t>
      </w:r>
      <w:r>
        <w:rPr>
          <w:rFonts w:ascii="Arial" w:hAnsi="Arial" w:cs="Arial"/>
          <w:sz w:val="20"/>
          <w:szCs w:val="20"/>
        </w:rPr>
        <w:t xml:space="preserve"> </w:t>
      </w:r>
      <w:r w:rsidR="00AB1BC5" w:rsidRPr="00AB1BC5">
        <w:rPr>
          <w:rFonts w:ascii="Arial" w:hAnsi="Arial" w:cs="Arial"/>
          <w:sz w:val="20"/>
          <w:szCs w:val="20"/>
        </w:rPr>
        <w:t xml:space="preserve">In that case, this Court stated </w:t>
      </w:r>
      <w:r>
        <w:rPr>
          <w:rFonts w:ascii="Arial" w:hAnsi="Arial" w:cs="Arial"/>
          <w:sz w:val="20"/>
          <w:szCs w:val="20"/>
        </w:rPr>
        <w:t xml:space="preserve">at [38] </w:t>
      </w:r>
      <w:r w:rsidR="00AB1BC5" w:rsidRPr="00AB1BC5">
        <w:rPr>
          <w:rFonts w:ascii="Arial" w:hAnsi="Arial" w:cs="Arial"/>
          <w:sz w:val="20"/>
          <w:szCs w:val="20"/>
        </w:rPr>
        <w:t>that a non-custodial sentence for the offence of dangerous driving causing death should be seen as exceptional and that the degree of the offender’s moral culpability will be ‘a key factor’ in determining whether such a sentence is available as a sentencing option.</w:t>
      </w:r>
      <w:r>
        <w:rPr>
          <w:rFonts w:ascii="Arial" w:hAnsi="Arial" w:cs="Arial"/>
          <w:sz w:val="20"/>
          <w:szCs w:val="20"/>
        </w:rPr>
        <w:t xml:space="preserve"> </w:t>
      </w:r>
      <w:r w:rsidR="00AB1BC5" w:rsidRPr="00AB1BC5">
        <w:rPr>
          <w:rFonts w:ascii="Arial" w:hAnsi="Arial" w:cs="Arial"/>
          <w:sz w:val="20"/>
          <w:szCs w:val="20"/>
        </w:rPr>
        <w:t xml:space="preserve"> That statement was endorsed in the more recent case of </w:t>
      </w:r>
      <w:r w:rsidR="00AB1BC5" w:rsidRPr="0003582E">
        <w:rPr>
          <w:rFonts w:ascii="Arial" w:hAnsi="Arial" w:cs="Arial"/>
          <w:i/>
          <w:iCs/>
          <w:sz w:val="20"/>
          <w:szCs w:val="20"/>
        </w:rPr>
        <w:t>Director of Public Prosecutions v Lombardo</w:t>
      </w:r>
      <w:r>
        <w:rPr>
          <w:rFonts w:ascii="Arial" w:hAnsi="Arial" w:cs="Arial"/>
          <w:sz w:val="20"/>
          <w:szCs w:val="20"/>
        </w:rPr>
        <w:t xml:space="preserve"> (2022) MVR 19,43 [100]</w:t>
      </w:r>
      <w:r w:rsidR="00D21464">
        <w:rPr>
          <w:rFonts w:ascii="Arial" w:hAnsi="Arial" w:cs="Arial"/>
          <w:sz w:val="20"/>
          <w:szCs w:val="20"/>
        </w:rPr>
        <w:t>; [2022] VSCA 204</w:t>
      </w:r>
      <w:r w:rsidR="00AB1BC5" w:rsidRPr="00AB1BC5">
        <w:rPr>
          <w:rFonts w:ascii="Arial" w:hAnsi="Arial" w:cs="Arial"/>
          <w:sz w:val="20"/>
          <w:szCs w:val="20"/>
        </w:rPr>
        <w:t>, where this Court stated that, whilst non-custodial sentences are exceptional for the offence of dangerous driving causing death, the exception applies where the offender’s moral culpability is low, such as where there has been momentary inattention or misjudgement.</w:t>
      </w:r>
      <w:r w:rsidR="00385629">
        <w:rPr>
          <w:rFonts w:ascii="Arial" w:hAnsi="Arial" w:cs="Arial"/>
          <w:sz w:val="20"/>
          <w:szCs w:val="20"/>
        </w:rPr>
        <w:t>”</w:t>
      </w:r>
    </w:p>
    <w:p w14:paraId="76C1F5B7" w14:textId="4F2ED180" w:rsidR="0002489D" w:rsidRDefault="00385629" w:rsidP="00385629">
      <w:pPr>
        <w:spacing w:before="120"/>
        <w:ind w:right="567"/>
        <w:jc w:val="both"/>
        <w:rPr>
          <w:rFonts w:ascii="Arial" w:hAnsi="Arial" w:cs="Arial"/>
          <w:sz w:val="20"/>
          <w:szCs w:val="20"/>
        </w:rPr>
      </w:pPr>
      <w:r>
        <w:rPr>
          <w:rFonts w:ascii="Arial" w:hAnsi="Arial" w:cs="Arial"/>
          <w:sz w:val="20"/>
          <w:szCs w:val="20"/>
        </w:rPr>
        <w:t>At [61]-[62] their Honours concluded:</w:t>
      </w:r>
    </w:p>
    <w:p w14:paraId="201B1544" w14:textId="2EEF9B28" w:rsidR="0002489D" w:rsidRDefault="0002489D" w:rsidP="0003582E">
      <w:pPr>
        <w:spacing w:before="60"/>
        <w:ind w:left="567" w:right="567"/>
        <w:jc w:val="both"/>
        <w:rPr>
          <w:rFonts w:ascii="Arial" w:hAnsi="Arial" w:cs="Arial"/>
          <w:sz w:val="20"/>
          <w:szCs w:val="20"/>
        </w:rPr>
      </w:pPr>
      <w:r>
        <w:rPr>
          <w:rFonts w:ascii="Arial" w:hAnsi="Arial" w:cs="Arial"/>
          <w:sz w:val="20"/>
          <w:szCs w:val="20"/>
        </w:rPr>
        <w:t xml:space="preserve">[61] </w:t>
      </w:r>
      <w:r w:rsidR="00385629">
        <w:rPr>
          <w:rFonts w:ascii="Arial" w:hAnsi="Arial" w:cs="Arial"/>
          <w:sz w:val="20"/>
          <w:szCs w:val="20"/>
        </w:rPr>
        <w:t>“</w:t>
      </w:r>
      <w:r w:rsidRPr="0002489D">
        <w:rPr>
          <w:rFonts w:ascii="Arial" w:hAnsi="Arial" w:cs="Arial"/>
          <w:sz w:val="20"/>
          <w:szCs w:val="20"/>
        </w:rPr>
        <w:t xml:space="preserve">There are two main differences between </w:t>
      </w:r>
      <w:r w:rsidRPr="0002489D">
        <w:rPr>
          <w:rFonts w:ascii="Arial" w:hAnsi="Arial" w:cs="Arial"/>
          <w:i/>
          <w:iCs/>
          <w:sz w:val="20"/>
          <w:szCs w:val="20"/>
        </w:rPr>
        <w:t>Stephens</w:t>
      </w:r>
      <w:r w:rsidRPr="0002489D">
        <w:rPr>
          <w:rFonts w:ascii="Arial" w:hAnsi="Arial" w:cs="Arial"/>
          <w:sz w:val="20"/>
          <w:szCs w:val="20"/>
        </w:rPr>
        <w:t xml:space="preserve"> and the present case. Firstly, unlike the respondent, the offender in Stephens was not diagnosed with the array of mental illnesses — including PTSD — that the respondent suffers. Secondly, the respondent pleaded guilty during the COVID-19 pandemic whereas the offender in </w:t>
      </w:r>
      <w:r w:rsidRPr="0002489D">
        <w:rPr>
          <w:rFonts w:ascii="Arial" w:hAnsi="Arial" w:cs="Arial"/>
          <w:i/>
          <w:iCs/>
          <w:sz w:val="20"/>
          <w:szCs w:val="20"/>
        </w:rPr>
        <w:t>Stephens</w:t>
      </w:r>
      <w:r w:rsidRPr="0002489D">
        <w:rPr>
          <w:rFonts w:ascii="Arial" w:hAnsi="Arial" w:cs="Arial"/>
          <w:sz w:val="20"/>
          <w:szCs w:val="20"/>
        </w:rPr>
        <w:t xml:space="preserve"> pleaded guilty and was sentenced prior to the pandemic. Even though these differences are significant, they cannot provide a basis for the stark dissimilarity between the sentence of a 3 year CCO with a condition of 250 hours of unpaid community work in the present case and the sentence of 3</w:t>
      </w:r>
      <w:r>
        <w:rPr>
          <w:rFonts w:ascii="Arial" w:hAnsi="Arial" w:cs="Arial"/>
          <w:sz w:val="20"/>
          <w:szCs w:val="20"/>
        </w:rPr>
        <w:t>y3m</w:t>
      </w:r>
      <w:r w:rsidRPr="0002489D">
        <w:rPr>
          <w:rFonts w:ascii="Arial" w:hAnsi="Arial" w:cs="Arial"/>
          <w:sz w:val="20"/>
          <w:szCs w:val="20"/>
        </w:rPr>
        <w:t xml:space="preserve"> imprisonment in </w:t>
      </w:r>
      <w:r w:rsidRPr="0002489D">
        <w:rPr>
          <w:rFonts w:ascii="Arial" w:hAnsi="Arial" w:cs="Arial"/>
          <w:i/>
          <w:iCs/>
          <w:sz w:val="20"/>
          <w:szCs w:val="20"/>
        </w:rPr>
        <w:t>Stephens</w:t>
      </w:r>
      <w:r w:rsidRPr="0002489D">
        <w:rPr>
          <w:rFonts w:ascii="Arial" w:hAnsi="Arial" w:cs="Arial"/>
          <w:sz w:val="20"/>
          <w:szCs w:val="20"/>
        </w:rPr>
        <w:t xml:space="preserve">. That is </w:t>
      </w:r>
      <w:r w:rsidRPr="0002489D">
        <w:rPr>
          <w:rFonts w:ascii="Arial" w:hAnsi="Arial" w:cs="Arial"/>
          <w:sz w:val="20"/>
          <w:szCs w:val="20"/>
        </w:rPr>
        <w:lastRenderedPageBreak/>
        <w:t xml:space="preserve">particularly so having regard to the fact that the sentence in </w:t>
      </w:r>
      <w:r w:rsidRPr="0002489D">
        <w:rPr>
          <w:rFonts w:ascii="Arial" w:hAnsi="Arial" w:cs="Arial"/>
          <w:i/>
          <w:iCs/>
          <w:sz w:val="20"/>
          <w:szCs w:val="20"/>
        </w:rPr>
        <w:t>Stephens</w:t>
      </w:r>
      <w:r w:rsidRPr="0002489D">
        <w:rPr>
          <w:rFonts w:ascii="Arial" w:hAnsi="Arial" w:cs="Arial"/>
          <w:sz w:val="20"/>
          <w:szCs w:val="20"/>
        </w:rPr>
        <w:t xml:space="preserve"> is consistent with the principles summarised at [40] to [47] above — which emphasise that, other than cases involving low moral culpability, an immediate term of imprisonment is ordinarily required — whereas the sentence in the present case is inconsistent with those principles.</w:t>
      </w:r>
    </w:p>
    <w:p w14:paraId="7C53B033" w14:textId="4BE74782" w:rsidR="0002489D" w:rsidRDefault="0002489D" w:rsidP="0002489D">
      <w:pPr>
        <w:spacing w:before="60"/>
        <w:ind w:left="567" w:right="567"/>
        <w:jc w:val="both"/>
        <w:rPr>
          <w:rFonts w:ascii="Arial" w:hAnsi="Arial" w:cs="Arial"/>
          <w:sz w:val="20"/>
          <w:szCs w:val="20"/>
        </w:rPr>
      </w:pPr>
      <w:r>
        <w:rPr>
          <w:rFonts w:ascii="Arial" w:hAnsi="Arial" w:cs="Arial"/>
          <w:sz w:val="20"/>
          <w:szCs w:val="20"/>
        </w:rPr>
        <w:t xml:space="preserve">[62] </w:t>
      </w:r>
      <w:r w:rsidRPr="0002489D">
        <w:rPr>
          <w:rFonts w:ascii="Arial" w:hAnsi="Arial" w:cs="Arial"/>
          <w:sz w:val="20"/>
          <w:szCs w:val="20"/>
        </w:rPr>
        <w:t>We do not regard the fact that the respondent had driven his buggy previously, whereas the offender in Stephens had not done so, as material. That is because they were both aware of the dangers involved in embarking on their inherently dangerous conduct. We emphasise that we are not treating the sentence in Stephens as a precedent. However, it is a closely comparable case and is of assistance in determining the appropriate range of sentences available to the judge in the present case.</w:t>
      </w:r>
      <w:r>
        <w:rPr>
          <w:rFonts w:ascii="Arial" w:hAnsi="Arial" w:cs="Arial"/>
          <w:sz w:val="20"/>
          <w:szCs w:val="20"/>
        </w:rPr>
        <w:t>”</w:t>
      </w:r>
    </w:p>
    <w:p w14:paraId="02AF2A09" w14:textId="4B4672AD" w:rsidR="0002489D" w:rsidRDefault="0002489D" w:rsidP="0002489D">
      <w:pPr>
        <w:ind w:right="567"/>
        <w:jc w:val="both"/>
        <w:rPr>
          <w:rFonts w:ascii="Arial" w:hAnsi="Arial" w:cs="Arial"/>
          <w:sz w:val="20"/>
          <w:szCs w:val="20"/>
        </w:rPr>
      </w:pPr>
    </w:p>
    <w:p w14:paraId="544783BB" w14:textId="291EC957" w:rsidR="00773BC3" w:rsidRDefault="00773BC3" w:rsidP="00BB3E07">
      <w:pPr>
        <w:jc w:val="both"/>
        <w:rPr>
          <w:rFonts w:ascii="Arial" w:hAnsi="Arial" w:cs="Arial"/>
          <w:sz w:val="20"/>
          <w:szCs w:val="20"/>
        </w:rPr>
      </w:pPr>
      <w:r>
        <w:rPr>
          <w:rFonts w:ascii="Arial" w:hAnsi="Arial" w:cs="Arial"/>
          <w:sz w:val="20"/>
          <w:szCs w:val="20"/>
        </w:rPr>
        <w:t xml:space="preserve">In </w:t>
      </w:r>
      <w:r w:rsidRPr="00773BC3">
        <w:rPr>
          <w:rFonts w:ascii="Arial" w:hAnsi="Arial" w:cs="Arial"/>
          <w:i/>
          <w:iCs/>
          <w:sz w:val="20"/>
          <w:szCs w:val="20"/>
        </w:rPr>
        <w:t>DPP v Harvey</w:t>
      </w:r>
      <w:r>
        <w:rPr>
          <w:rFonts w:ascii="Arial" w:hAnsi="Arial" w:cs="Arial"/>
          <w:sz w:val="20"/>
          <w:szCs w:val="20"/>
        </w:rPr>
        <w:t xml:space="preserve"> [2023] VSCA 234 the respondent truck driver had pleaded guilty to one charge of dangerous driving causing death and had been sentenced to IMP2y6m/12m.  </w:t>
      </w:r>
      <w:r w:rsidR="00B87A24">
        <w:rPr>
          <w:rFonts w:ascii="Arial" w:hAnsi="Arial" w:cs="Arial"/>
          <w:sz w:val="20"/>
          <w:szCs w:val="20"/>
        </w:rPr>
        <w:t>Being driven while the respondent was</w:t>
      </w:r>
      <w:r>
        <w:rPr>
          <w:rFonts w:ascii="Arial" w:hAnsi="Arial" w:cs="Arial"/>
          <w:sz w:val="20"/>
          <w:szCs w:val="20"/>
        </w:rPr>
        <w:t xml:space="preserve"> fatigue</w:t>
      </w:r>
      <w:r w:rsidR="00B87A24">
        <w:rPr>
          <w:rFonts w:ascii="Arial" w:hAnsi="Arial" w:cs="Arial"/>
          <w:sz w:val="20"/>
          <w:szCs w:val="20"/>
        </w:rPr>
        <w:t>d</w:t>
      </w:r>
      <w:r>
        <w:rPr>
          <w:rFonts w:ascii="Arial" w:hAnsi="Arial" w:cs="Arial"/>
          <w:sz w:val="20"/>
          <w:szCs w:val="20"/>
        </w:rPr>
        <w:t xml:space="preserve"> and under the influence of methylamphetamine</w:t>
      </w:r>
      <w:r w:rsidR="00B87A24">
        <w:rPr>
          <w:rFonts w:ascii="Arial" w:hAnsi="Arial" w:cs="Arial"/>
          <w:sz w:val="20"/>
          <w:szCs w:val="20"/>
        </w:rPr>
        <w:t>,</w:t>
      </w:r>
      <w:r>
        <w:rPr>
          <w:rFonts w:ascii="Arial" w:hAnsi="Arial" w:cs="Arial"/>
          <w:sz w:val="20"/>
          <w:szCs w:val="20"/>
        </w:rPr>
        <w:t xml:space="preserve"> the truck had collided with a cyclist when the entire truck was over the fog line at the edge of the road.  </w:t>
      </w:r>
      <w:r w:rsidR="00BB3E07">
        <w:rPr>
          <w:rFonts w:ascii="Arial" w:hAnsi="Arial" w:cs="Arial"/>
          <w:sz w:val="20"/>
          <w:szCs w:val="20"/>
        </w:rPr>
        <w:t>There had been a delay of over 4 years before the plea hearing</w:t>
      </w:r>
      <w:r w:rsidR="003E00DE">
        <w:rPr>
          <w:rFonts w:ascii="Arial" w:hAnsi="Arial" w:cs="Arial"/>
          <w:sz w:val="20"/>
          <w:szCs w:val="20"/>
        </w:rPr>
        <w:t xml:space="preserve"> which was not attributable to the respondent</w:t>
      </w:r>
      <w:r w:rsidR="00BB3E07">
        <w:rPr>
          <w:rFonts w:ascii="Arial" w:hAnsi="Arial" w:cs="Arial"/>
          <w:sz w:val="20"/>
          <w:szCs w:val="20"/>
        </w:rPr>
        <w:t xml:space="preserve">.  Holding that the offending was not at or toward a low level of seriousness and that the respondent’s culpability was not low, the </w:t>
      </w:r>
      <w:r>
        <w:rPr>
          <w:rFonts w:ascii="Arial" w:hAnsi="Arial" w:cs="Arial"/>
          <w:sz w:val="20"/>
          <w:szCs w:val="20"/>
        </w:rPr>
        <w:t>Court of Appeal</w:t>
      </w:r>
      <w:r w:rsidR="00BB3E07">
        <w:rPr>
          <w:rFonts w:ascii="Arial" w:hAnsi="Arial" w:cs="Arial"/>
          <w:sz w:val="20"/>
          <w:szCs w:val="20"/>
        </w:rPr>
        <w:t xml:space="preserve"> allowed the Crown appeal, holding that the sentence and non-parole period were manifestly inadequate.  Refusing to exercise a residual discretion, the respondent was resentenced to IMP3y6m/21m.  At [46]-[48] &amp; [</w:t>
      </w:r>
      <w:r w:rsidR="00D31D28">
        <w:rPr>
          <w:rFonts w:ascii="Arial" w:hAnsi="Arial" w:cs="Arial"/>
          <w:sz w:val="20"/>
          <w:szCs w:val="20"/>
        </w:rPr>
        <w:t>5</w:t>
      </w:r>
      <w:r w:rsidR="00722A3F">
        <w:rPr>
          <w:rFonts w:ascii="Arial" w:hAnsi="Arial" w:cs="Arial"/>
          <w:sz w:val="20"/>
          <w:szCs w:val="20"/>
        </w:rPr>
        <w:t>5</w:t>
      </w:r>
      <w:r w:rsidR="00BB3E07">
        <w:rPr>
          <w:rFonts w:ascii="Arial" w:hAnsi="Arial" w:cs="Arial"/>
          <w:sz w:val="20"/>
          <w:szCs w:val="20"/>
        </w:rPr>
        <w:t>]</w:t>
      </w:r>
      <w:r w:rsidR="00D31D28">
        <w:rPr>
          <w:rFonts w:ascii="Arial" w:hAnsi="Arial" w:cs="Arial"/>
          <w:sz w:val="20"/>
          <w:szCs w:val="20"/>
        </w:rPr>
        <w:noBreakHyphen/>
        <w:t>[58]</w:t>
      </w:r>
      <w:r w:rsidR="00BB3E07">
        <w:rPr>
          <w:rFonts w:ascii="Arial" w:hAnsi="Arial" w:cs="Arial"/>
          <w:sz w:val="20"/>
          <w:szCs w:val="20"/>
        </w:rPr>
        <w:t xml:space="preserve"> McLeish, Kennedy &amp; Taylor JJA said:</w:t>
      </w:r>
    </w:p>
    <w:p w14:paraId="69A94C0C" w14:textId="61415606" w:rsidR="00BB3E07" w:rsidRDefault="00BB3E07" w:rsidP="00BB3E07">
      <w:pPr>
        <w:spacing w:before="60"/>
        <w:ind w:left="567" w:right="567"/>
        <w:jc w:val="both"/>
        <w:rPr>
          <w:rFonts w:ascii="Arial" w:hAnsi="Arial" w:cs="Arial"/>
          <w:sz w:val="20"/>
          <w:szCs w:val="20"/>
        </w:rPr>
      </w:pPr>
      <w:r>
        <w:rPr>
          <w:rFonts w:ascii="Arial" w:hAnsi="Arial" w:cs="Arial"/>
          <w:sz w:val="20"/>
          <w:szCs w:val="20"/>
        </w:rPr>
        <w:t>[46] “</w:t>
      </w:r>
      <w:r w:rsidRPr="00BB3E07">
        <w:rPr>
          <w:rFonts w:ascii="Arial" w:hAnsi="Arial" w:cs="Arial"/>
          <w:sz w:val="20"/>
          <w:szCs w:val="20"/>
        </w:rPr>
        <w:t xml:space="preserve">In </w:t>
      </w:r>
      <w:r w:rsidRPr="00BB3E07">
        <w:rPr>
          <w:rFonts w:ascii="Arial" w:hAnsi="Arial" w:cs="Arial"/>
          <w:i/>
          <w:iCs/>
          <w:sz w:val="20"/>
          <w:szCs w:val="20"/>
        </w:rPr>
        <w:t>DPP v Neethling</w:t>
      </w:r>
      <w:r>
        <w:rPr>
          <w:rFonts w:ascii="Arial" w:hAnsi="Arial" w:cs="Arial"/>
          <w:sz w:val="20"/>
          <w:szCs w:val="20"/>
        </w:rPr>
        <w:t xml:space="preserve"> </w:t>
      </w:r>
      <w:r w:rsidRPr="00BB3E07">
        <w:rPr>
          <w:rFonts w:ascii="Arial" w:hAnsi="Arial" w:cs="Arial"/>
          <w:sz w:val="20"/>
          <w:szCs w:val="20"/>
        </w:rPr>
        <w:t>(2009) 22 VR 466, 472 [</w:t>
      </w:r>
      <w:r>
        <w:rPr>
          <w:rFonts w:ascii="Arial" w:hAnsi="Arial" w:cs="Arial"/>
          <w:sz w:val="20"/>
          <w:szCs w:val="20"/>
        </w:rPr>
        <w:t>30]</w:t>
      </w:r>
      <w:r w:rsidRPr="00BB3E07">
        <w:rPr>
          <w:rFonts w:ascii="Arial" w:hAnsi="Arial" w:cs="Arial"/>
          <w:sz w:val="20"/>
          <w:szCs w:val="20"/>
        </w:rPr>
        <w:t xml:space="preserve">, this Court approved the following propositions in relation to sentencing for dangerous driving causing death, enunciated by Neave JA in </w:t>
      </w:r>
      <w:r w:rsidRPr="00BB3E07">
        <w:rPr>
          <w:rFonts w:ascii="Arial" w:hAnsi="Arial" w:cs="Arial"/>
          <w:i/>
          <w:iCs/>
          <w:sz w:val="20"/>
          <w:szCs w:val="20"/>
        </w:rPr>
        <w:t>Director of Public Prosecutions v Oates</w:t>
      </w:r>
      <w:r>
        <w:rPr>
          <w:rFonts w:ascii="Arial" w:hAnsi="Arial" w:cs="Arial"/>
          <w:sz w:val="20"/>
          <w:szCs w:val="20"/>
        </w:rPr>
        <w:t xml:space="preserve"> </w:t>
      </w:r>
      <w:r w:rsidRPr="00BB3E07">
        <w:rPr>
          <w:rFonts w:ascii="Arial" w:hAnsi="Arial" w:cs="Arial"/>
          <w:sz w:val="20"/>
          <w:szCs w:val="20"/>
        </w:rPr>
        <w:t>(2007) 47 MVR 483; [2007] VSCA 59</w:t>
      </w:r>
      <w:r>
        <w:rPr>
          <w:rFonts w:ascii="Arial" w:hAnsi="Arial" w:cs="Arial"/>
          <w:sz w:val="20"/>
          <w:szCs w:val="20"/>
        </w:rPr>
        <w:t xml:space="preserve"> at [21]-[22]</w:t>
      </w:r>
      <w:r w:rsidRPr="00BB3E07">
        <w:rPr>
          <w:rFonts w:ascii="Arial" w:hAnsi="Arial" w:cs="Arial"/>
          <w:sz w:val="20"/>
          <w:szCs w:val="20"/>
        </w:rPr>
        <w:t>:</w:t>
      </w:r>
    </w:p>
    <w:p w14:paraId="43052D0B" w14:textId="228E092F" w:rsidR="00773BC3" w:rsidRP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1.</w:t>
      </w:r>
      <w:r w:rsidRPr="00BB3E07">
        <w:rPr>
          <w:rFonts w:ascii="Arial" w:hAnsi="Arial" w:cs="Arial"/>
          <w:sz w:val="18"/>
          <w:szCs w:val="18"/>
        </w:rPr>
        <w:tab/>
        <w:t>General deterrence must be given considerable weight in sentencing an offender for dangerous driving causing death or serious injury</w:t>
      </w:r>
      <w:r>
        <w:rPr>
          <w:rFonts w:ascii="Arial" w:hAnsi="Arial" w:cs="Arial"/>
          <w:sz w:val="18"/>
          <w:szCs w:val="18"/>
        </w:rPr>
        <w:t>.</w:t>
      </w:r>
    </w:p>
    <w:p w14:paraId="4056DEC1" w14:textId="462B6EF3" w:rsid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2.</w:t>
      </w:r>
      <w:r w:rsidRPr="00BB3E07">
        <w:rPr>
          <w:rFonts w:ascii="Arial" w:hAnsi="Arial" w:cs="Arial"/>
          <w:sz w:val="18"/>
          <w:szCs w:val="18"/>
        </w:rPr>
        <w:tab/>
        <w:t>A person who kills or injures another while driving dangerously is likely to receive a significant term of imprisonment.</w:t>
      </w:r>
    </w:p>
    <w:p w14:paraId="0B4C469D" w14:textId="38EB0382" w:rsidR="00BB3E07" w:rsidRPr="00B87A24" w:rsidRDefault="00BB3E07" w:rsidP="00BB3E07">
      <w:pPr>
        <w:spacing w:before="60"/>
        <w:ind w:left="1475" w:right="1021" w:hanging="454"/>
        <w:jc w:val="both"/>
        <w:rPr>
          <w:rFonts w:ascii="Arial" w:hAnsi="Arial" w:cs="Arial"/>
          <w:sz w:val="18"/>
          <w:szCs w:val="18"/>
        </w:rPr>
      </w:pPr>
      <w:r w:rsidRPr="00B87A24">
        <w:rPr>
          <w:rFonts w:ascii="Arial" w:hAnsi="Arial" w:cs="Arial"/>
          <w:sz w:val="18"/>
          <w:szCs w:val="18"/>
        </w:rPr>
        <w:t>3.</w:t>
      </w:r>
      <w:r w:rsidRPr="00B87A24">
        <w:rPr>
          <w:rFonts w:ascii="Arial" w:hAnsi="Arial" w:cs="Arial"/>
          <w:sz w:val="18"/>
          <w:szCs w:val="18"/>
        </w:rPr>
        <w:tab/>
      </w:r>
      <w:r w:rsidR="00B87A24" w:rsidRPr="00B87A24">
        <w:rPr>
          <w:rFonts w:ascii="Arial" w:hAnsi="Arial" w:cs="Arial"/>
          <w:sz w:val="18"/>
          <w:szCs w:val="18"/>
        </w:rPr>
        <w:t>The sentence which is imposed must take account of variations in the moral culpability of the person responsible.</w:t>
      </w:r>
    </w:p>
    <w:p w14:paraId="6EDB87C1" w14:textId="26D0BCC0"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[47] </w:t>
      </w:r>
      <w:r w:rsidRPr="00BB3E07">
        <w:rPr>
          <w:rFonts w:ascii="Arial" w:hAnsi="Arial" w:cs="Arial"/>
          <w:sz w:val="20"/>
          <w:szCs w:val="20"/>
        </w:rPr>
        <w:t>A fourth principle, namely that a custodial sentence will usually be appropriate except where the offender’s level of moral culpability is low</w:t>
      </w:r>
      <w:r>
        <w:rPr>
          <w:rFonts w:ascii="Arial" w:hAnsi="Arial" w:cs="Arial"/>
          <w:sz w:val="20"/>
          <w:szCs w:val="20"/>
        </w:rPr>
        <w:t xml:space="preserve"> {</w:t>
      </w:r>
      <w:r w:rsidRPr="00B87A24">
        <w:rPr>
          <w:rFonts w:ascii="Arial" w:hAnsi="Arial" w:cs="Arial"/>
          <w:i/>
          <w:iCs/>
          <w:sz w:val="20"/>
          <w:szCs w:val="20"/>
        </w:rPr>
        <w:t>Neethling</w:t>
      </w:r>
      <w:r>
        <w:rPr>
          <w:rFonts w:ascii="Arial" w:hAnsi="Arial" w:cs="Arial"/>
          <w:sz w:val="20"/>
          <w:szCs w:val="20"/>
        </w:rPr>
        <w:t xml:space="preserve"> at [30] citing </w:t>
      </w:r>
      <w:r w:rsidRPr="00B87A24">
        <w:rPr>
          <w:rFonts w:ascii="Arial" w:hAnsi="Arial" w:cs="Arial"/>
          <w:i/>
          <w:iCs/>
          <w:sz w:val="20"/>
          <w:szCs w:val="20"/>
        </w:rPr>
        <w:t>DPP v Oates</w:t>
      </w:r>
      <w:r>
        <w:rPr>
          <w:rFonts w:ascii="Arial" w:hAnsi="Arial" w:cs="Arial"/>
          <w:sz w:val="20"/>
          <w:szCs w:val="20"/>
        </w:rPr>
        <w:t xml:space="preserve"> at [22]} has, since the offending </w:t>
      </w:r>
      <w:r w:rsidRPr="00BB3E07">
        <w:rPr>
          <w:rFonts w:ascii="Arial" w:hAnsi="Arial" w:cs="Arial"/>
          <w:sz w:val="20"/>
          <w:szCs w:val="20"/>
        </w:rPr>
        <w:t>in this case, been made the subject of specific statutory provision</w:t>
      </w:r>
      <w:r>
        <w:rPr>
          <w:rFonts w:ascii="Arial" w:hAnsi="Arial" w:cs="Arial"/>
          <w:sz w:val="20"/>
          <w:szCs w:val="20"/>
        </w:rPr>
        <w:t xml:space="preserve"> {Sentencing Act, s.5(2H) and para (eb) of the definition of ‘category 2 offence’ in s.3(1)}.</w:t>
      </w:r>
    </w:p>
    <w:p w14:paraId="08A2ED55" w14:textId="1572E5BB"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[48] </w:t>
      </w:r>
      <w:r w:rsidRPr="00BB3E07">
        <w:rPr>
          <w:rFonts w:ascii="Arial" w:hAnsi="Arial" w:cs="Arial"/>
          <w:sz w:val="20"/>
          <w:szCs w:val="20"/>
        </w:rPr>
        <w:t xml:space="preserve">The Court </w:t>
      </w:r>
      <w:r>
        <w:rPr>
          <w:rFonts w:ascii="Arial" w:hAnsi="Arial" w:cs="Arial"/>
          <w:sz w:val="20"/>
          <w:szCs w:val="20"/>
        </w:rPr>
        <w:t xml:space="preserve">in </w:t>
      </w:r>
      <w:r w:rsidRPr="00B87A24">
        <w:rPr>
          <w:rFonts w:ascii="Arial" w:hAnsi="Arial" w:cs="Arial"/>
          <w:i/>
          <w:iCs/>
          <w:sz w:val="20"/>
          <w:szCs w:val="20"/>
        </w:rPr>
        <w:t>Neethling</w:t>
      </w:r>
      <w:r>
        <w:rPr>
          <w:rFonts w:ascii="Arial" w:hAnsi="Arial" w:cs="Arial"/>
          <w:sz w:val="20"/>
          <w:szCs w:val="20"/>
        </w:rPr>
        <w:t xml:space="preserve"> at [31] </w:t>
      </w:r>
      <w:r w:rsidRPr="00BB3E07">
        <w:rPr>
          <w:rFonts w:ascii="Arial" w:hAnsi="Arial" w:cs="Arial"/>
          <w:sz w:val="20"/>
          <w:szCs w:val="20"/>
        </w:rPr>
        <w:t xml:space="preserve">further approved a non-exhaustive list of aggravating factors identified by the New South Wales Court of Criminal Appeal </w:t>
      </w:r>
      <w:r>
        <w:rPr>
          <w:rFonts w:ascii="Arial" w:hAnsi="Arial" w:cs="Arial"/>
          <w:sz w:val="20"/>
          <w:szCs w:val="20"/>
        </w:rPr>
        <w:t xml:space="preserve">in </w:t>
      </w:r>
      <w:r w:rsidRPr="00B87A24">
        <w:rPr>
          <w:rFonts w:ascii="Arial" w:hAnsi="Arial" w:cs="Arial"/>
          <w:i/>
          <w:iCs/>
          <w:sz w:val="20"/>
          <w:szCs w:val="20"/>
        </w:rPr>
        <w:t>R v Whyte</w:t>
      </w:r>
      <w:r>
        <w:rPr>
          <w:rFonts w:ascii="Arial" w:hAnsi="Arial" w:cs="Arial"/>
          <w:sz w:val="20"/>
          <w:szCs w:val="20"/>
        </w:rPr>
        <w:t xml:space="preserve"> (2002) 55 NSWLR 252, 286 and </w:t>
      </w:r>
      <w:r w:rsidRPr="00B87A24">
        <w:rPr>
          <w:rFonts w:ascii="Arial" w:hAnsi="Arial" w:cs="Arial"/>
          <w:i/>
          <w:iCs/>
          <w:sz w:val="20"/>
          <w:szCs w:val="20"/>
        </w:rPr>
        <w:t>R v Jurisic</w:t>
      </w:r>
      <w:r>
        <w:rPr>
          <w:rFonts w:ascii="Arial" w:hAnsi="Arial" w:cs="Arial"/>
          <w:sz w:val="20"/>
          <w:szCs w:val="20"/>
        </w:rPr>
        <w:t xml:space="preserve"> (1998) 45 NSWLR 209, 231 </w:t>
      </w:r>
      <w:r w:rsidRPr="00BB3E07">
        <w:rPr>
          <w:rFonts w:ascii="Arial" w:hAnsi="Arial" w:cs="Arial"/>
          <w:sz w:val="20"/>
          <w:szCs w:val="20"/>
        </w:rPr>
        <w:t>as follows:</w:t>
      </w:r>
    </w:p>
    <w:p w14:paraId="2029FDD4" w14:textId="24A6D213"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w:t>
      </w:r>
      <w:r w:rsidRPr="00B87A24">
        <w:rPr>
          <w:rFonts w:ascii="Arial" w:hAnsi="Arial" w:cs="Arial"/>
          <w:sz w:val="18"/>
          <w:szCs w:val="18"/>
        </w:rPr>
        <w:tab/>
        <w:t>Extent and nature of the injuries inflicted.</w:t>
      </w:r>
    </w:p>
    <w:p w14:paraId="2ED5D5EE" w14:textId="17428EB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w:t>
      </w:r>
      <w:r w:rsidRPr="00B87A24">
        <w:rPr>
          <w:rFonts w:ascii="Arial" w:hAnsi="Arial" w:cs="Arial"/>
          <w:sz w:val="18"/>
          <w:szCs w:val="18"/>
        </w:rPr>
        <w:tab/>
        <w:t>Number of people put at risk.</w:t>
      </w:r>
    </w:p>
    <w:p w14:paraId="6F6A7B2B" w14:textId="6796013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iii.</w:t>
      </w:r>
      <w:r w:rsidRPr="00B87A24">
        <w:rPr>
          <w:rFonts w:ascii="Arial" w:hAnsi="Arial" w:cs="Arial"/>
          <w:sz w:val="18"/>
          <w:szCs w:val="18"/>
        </w:rPr>
        <w:tab/>
        <w:t>Degree of speed.</w:t>
      </w:r>
    </w:p>
    <w:p w14:paraId="00BA3863" w14:textId="3033C49E"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iv.</w:t>
      </w:r>
      <w:r w:rsidRPr="00B87A24">
        <w:rPr>
          <w:rFonts w:ascii="Arial" w:hAnsi="Arial" w:cs="Arial"/>
          <w:sz w:val="18"/>
          <w:szCs w:val="18"/>
        </w:rPr>
        <w:tab/>
        <w:t>Degree of intoxication or of substance abuse.</w:t>
      </w:r>
    </w:p>
    <w:p w14:paraId="4D0AA1D6" w14:textId="1567D8DC" w:rsid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w:t>
      </w:r>
      <w:r w:rsidRPr="00B87A24">
        <w:rPr>
          <w:rFonts w:ascii="Arial" w:hAnsi="Arial" w:cs="Arial"/>
          <w:sz w:val="18"/>
          <w:szCs w:val="18"/>
        </w:rPr>
        <w:tab/>
        <w:t>Erratic [or aggressive] driving.</w:t>
      </w:r>
    </w:p>
    <w:p w14:paraId="4BF73D9F" w14:textId="5132BBE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w:t>
      </w:r>
      <w:r w:rsidRPr="00B87A24">
        <w:rPr>
          <w:rFonts w:ascii="Arial" w:hAnsi="Arial" w:cs="Arial"/>
          <w:sz w:val="18"/>
          <w:szCs w:val="18"/>
        </w:rPr>
        <w:tab/>
        <w:t>Competitive driving or showing off.</w:t>
      </w:r>
    </w:p>
    <w:p w14:paraId="225E5D53" w14:textId="6E55AD54"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w:t>
      </w:r>
      <w:r w:rsidRPr="00B87A24">
        <w:rPr>
          <w:rFonts w:ascii="Arial" w:hAnsi="Arial" w:cs="Arial"/>
          <w:sz w:val="18"/>
          <w:szCs w:val="18"/>
        </w:rPr>
        <w:tab/>
        <w:t>Length of the journey during which others were exposed to risk.</w:t>
      </w:r>
    </w:p>
    <w:p w14:paraId="67E75FC2" w14:textId="242B0EDB"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viii.</w:t>
      </w:r>
      <w:r w:rsidRPr="00B87A24">
        <w:rPr>
          <w:rFonts w:ascii="Arial" w:hAnsi="Arial" w:cs="Arial"/>
          <w:sz w:val="18"/>
          <w:szCs w:val="18"/>
        </w:rPr>
        <w:tab/>
        <w:t>Ignoring of warnings.</w:t>
      </w:r>
    </w:p>
    <w:p w14:paraId="22E5A108" w14:textId="1A472B0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ix.</w:t>
      </w:r>
      <w:r w:rsidRPr="00B87A24">
        <w:rPr>
          <w:rFonts w:ascii="Arial" w:hAnsi="Arial" w:cs="Arial"/>
          <w:sz w:val="18"/>
          <w:szCs w:val="18"/>
        </w:rPr>
        <w:tab/>
        <w:t>Escaping police pursuit.</w:t>
      </w:r>
    </w:p>
    <w:p w14:paraId="374B255B" w14:textId="0045D18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w:t>
      </w:r>
      <w:r w:rsidRPr="00B87A24">
        <w:rPr>
          <w:rFonts w:ascii="Arial" w:hAnsi="Arial" w:cs="Arial"/>
          <w:sz w:val="18"/>
          <w:szCs w:val="18"/>
        </w:rPr>
        <w:tab/>
        <w:t>Degree of sleep deprivation.</w:t>
      </w:r>
    </w:p>
    <w:p w14:paraId="1182D067" w14:textId="6DD08312"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xi.</w:t>
      </w:r>
      <w:r w:rsidRPr="00B87A24">
        <w:rPr>
          <w:rFonts w:ascii="Arial" w:hAnsi="Arial" w:cs="Arial"/>
          <w:sz w:val="18"/>
          <w:szCs w:val="18"/>
        </w:rPr>
        <w:tab/>
        <w:t>Failing to stop.”</w:t>
      </w:r>
    </w:p>
    <w:p w14:paraId="1CC38668" w14:textId="238DD505" w:rsidR="00B87A24" w:rsidRDefault="00B87A24" w:rsidP="00B87A24">
      <w:pPr>
        <w:spacing w:before="60"/>
        <w:ind w:left="567" w:right="567"/>
        <w:jc w:val="both"/>
        <w:rPr>
          <w:rFonts w:ascii="Arial" w:hAnsi="Arial" w:cs="Arial"/>
          <w:sz w:val="20"/>
          <w:szCs w:val="20"/>
        </w:rPr>
      </w:pPr>
      <w:r>
        <w:rPr>
          <w:rFonts w:ascii="Arial" w:hAnsi="Arial" w:cs="Arial"/>
          <w:sz w:val="20"/>
          <w:szCs w:val="20"/>
        </w:rPr>
        <w:t>…</w:t>
      </w:r>
    </w:p>
    <w:p w14:paraId="283679A7" w14:textId="77777777" w:rsidR="00722A3F" w:rsidRDefault="00722A3F" w:rsidP="00722A3F">
      <w:pPr>
        <w:spacing w:before="60"/>
        <w:ind w:left="567" w:right="567"/>
        <w:jc w:val="both"/>
        <w:rPr>
          <w:rFonts w:ascii="Arial" w:hAnsi="Arial" w:cs="Arial"/>
          <w:sz w:val="20"/>
          <w:szCs w:val="20"/>
        </w:rPr>
      </w:pPr>
      <w:r>
        <w:rPr>
          <w:rFonts w:ascii="Arial" w:hAnsi="Arial" w:cs="Arial"/>
          <w:sz w:val="20"/>
          <w:szCs w:val="20"/>
        </w:rPr>
        <w:t>[55] “</w:t>
      </w:r>
      <w:r w:rsidRPr="00722A3F">
        <w:rPr>
          <w:rFonts w:ascii="Arial" w:hAnsi="Arial" w:cs="Arial"/>
          <w:sz w:val="20"/>
          <w:szCs w:val="20"/>
        </w:rPr>
        <w:t>There is</w:t>
      </w:r>
      <w:r>
        <w:rPr>
          <w:rFonts w:ascii="Arial" w:hAnsi="Arial" w:cs="Arial"/>
          <w:sz w:val="20"/>
          <w:szCs w:val="20"/>
        </w:rPr>
        <w:t>…</w:t>
      </w:r>
      <w:r w:rsidRPr="00722A3F">
        <w:rPr>
          <w:rFonts w:ascii="Arial" w:hAnsi="Arial" w:cs="Arial"/>
          <w:sz w:val="20"/>
          <w:szCs w:val="20"/>
        </w:rPr>
        <w:t xml:space="preserve">no arithmetical yardstick that can be derived from </w:t>
      </w:r>
      <w:r w:rsidRPr="00722A3F">
        <w:rPr>
          <w:rFonts w:ascii="Arial" w:hAnsi="Arial" w:cs="Arial"/>
          <w:i/>
          <w:iCs/>
          <w:sz w:val="20"/>
          <w:szCs w:val="20"/>
        </w:rPr>
        <w:t>Stafford v The King</w:t>
      </w:r>
      <w:r w:rsidRPr="00722A3F">
        <w:rPr>
          <w:rFonts w:ascii="Arial" w:hAnsi="Arial" w:cs="Arial"/>
          <w:sz w:val="20"/>
          <w:szCs w:val="20"/>
        </w:rPr>
        <w:t xml:space="preserve"> [2022] VSCA 229</w:t>
      </w:r>
      <w:r>
        <w:rPr>
          <w:rFonts w:ascii="Arial" w:hAnsi="Arial" w:cs="Arial"/>
          <w:sz w:val="20"/>
          <w:szCs w:val="20"/>
        </w:rPr>
        <w:t xml:space="preserve"> [28]</w:t>
      </w:r>
      <w:r w:rsidRPr="00722A3F">
        <w:rPr>
          <w:rFonts w:ascii="Arial" w:hAnsi="Arial" w:cs="Arial"/>
          <w:sz w:val="20"/>
          <w:szCs w:val="20"/>
        </w:rPr>
        <w:t xml:space="preserve"> for determining the effect on sentence of inordinate delay. Nor is there any reason to think that the sentencing judge in this case thought otherwise. Delay, whether described as significant, inordinate or otherwise, is only one factor that will bear on the</w:t>
      </w:r>
      <w:r>
        <w:rPr>
          <w:rFonts w:ascii="Arial" w:hAnsi="Arial" w:cs="Arial"/>
          <w:sz w:val="20"/>
          <w:szCs w:val="20"/>
        </w:rPr>
        <w:t xml:space="preserve"> </w:t>
      </w:r>
      <w:r w:rsidRPr="00722A3F">
        <w:rPr>
          <w:rFonts w:ascii="Arial" w:hAnsi="Arial" w:cs="Arial"/>
          <w:sz w:val="20"/>
          <w:szCs w:val="20"/>
        </w:rPr>
        <w:t>overall sentence identified as the result of the judge’s instinctive synthesis of all relevant factors.</w:t>
      </w:r>
    </w:p>
    <w:p w14:paraId="17360A6F" w14:textId="63220725" w:rsidR="00722A3F" w:rsidRPr="00722A3F" w:rsidRDefault="00722A3F" w:rsidP="00722A3F">
      <w:pPr>
        <w:spacing w:before="60"/>
        <w:ind w:left="567" w:right="567"/>
        <w:jc w:val="both"/>
        <w:rPr>
          <w:rFonts w:ascii="Arial" w:hAnsi="Arial" w:cs="Arial"/>
          <w:sz w:val="20"/>
          <w:szCs w:val="20"/>
        </w:rPr>
      </w:pPr>
      <w:r>
        <w:rPr>
          <w:rFonts w:ascii="Arial" w:hAnsi="Arial" w:cs="Arial"/>
          <w:sz w:val="20"/>
          <w:szCs w:val="20"/>
        </w:rPr>
        <w:t>[</w:t>
      </w:r>
      <w:r w:rsidRPr="00722A3F">
        <w:rPr>
          <w:rFonts w:ascii="Arial" w:hAnsi="Arial" w:cs="Arial"/>
          <w:sz w:val="20"/>
          <w:szCs w:val="20"/>
        </w:rPr>
        <w:t>56</w:t>
      </w:r>
      <w:r>
        <w:rPr>
          <w:rFonts w:ascii="Arial" w:hAnsi="Arial" w:cs="Arial"/>
          <w:sz w:val="20"/>
          <w:szCs w:val="20"/>
        </w:rPr>
        <w:t>]</w:t>
      </w:r>
      <w:r w:rsidRPr="00722A3F">
        <w:rPr>
          <w:rFonts w:ascii="Arial" w:hAnsi="Arial" w:cs="Arial"/>
          <w:sz w:val="20"/>
          <w:szCs w:val="20"/>
        </w:rPr>
        <w:t xml:space="preserve"> The respondent was found to have good prospects of rehabilitation, and he was entitled to the benefit of Verdins principles 5 and 6. We have referred earlier to the other matters in mitigation to which the judge had regard.</w:t>
      </w:r>
    </w:p>
    <w:p w14:paraId="1331E7B4" w14:textId="3BA7FCD2" w:rsidR="00B87A24" w:rsidRDefault="00D31D28" w:rsidP="00B87A24">
      <w:pPr>
        <w:spacing w:before="60"/>
        <w:ind w:left="567" w:right="567"/>
        <w:jc w:val="both"/>
        <w:rPr>
          <w:rFonts w:ascii="Arial" w:hAnsi="Arial" w:cs="Arial"/>
          <w:sz w:val="20"/>
          <w:szCs w:val="20"/>
        </w:rPr>
      </w:pPr>
      <w:r>
        <w:rPr>
          <w:rFonts w:ascii="Arial" w:hAnsi="Arial" w:cs="Arial"/>
          <w:sz w:val="20"/>
          <w:szCs w:val="20"/>
        </w:rPr>
        <w:lastRenderedPageBreak/>
        <w:t>[57] “</w:t>
      </w:r>
      <w:r w:rsidR="00722A3F">
        <w:rPr>
          <w:rFonts w:ascii="Arial" w:hAnsi="Arial" w:cs="Arial"/>
          <w:sz w:val="20"/>
          <w:szCs w:val="20"/>
        </w:rPr>
        <w:t>Taking all these matters into account, however, we</w:t>
      </w:r>
      <w:r>
        <w:rPr>
          <w:rFonts w:ascii="Arial" w:hAnsi="Arial" w:cs="Arial"/>
          <w:sz w:val="20"/>
          <w:szCs w:val="20"/>
        </w:rPr>
        <w:t xml:space="preserve"> </w:t>
      </w:r>
      <w:r w:rsidRPr="00D31D28">
        <w:rPr>
          <w:rFonts w:ascii="Arial" w:hAnsi="Arial" w:cs="Arial"/>
          <w:sz w:val="20"/>
          <w:szCs w:val="20"/>
        </w:rPr>
        <w:t>are driven to conclude that the sentence imposed in this case did not reflect the degree of objective seriousness of the offending (not at or toward the lower end), or the moral culpability of the respondent (not low). General deterrence was a very important sentencing consideration in this case, in which other users of the road were placed in the gravest danger by the respondent’s decision to continue driving the truck in the state he knew himself to be in. We are persuaded that the sentence was outside the range of available sentences for this offence, notwithstanding the mitigating considerations to which the respondent could point.</w:t>
      </w:r>
    </w:p>
    <w:p w14:paraId="287F0001" w14:textId="7C12BF47" w:rsidR="00D31D28" w:rsidRDefault="00D31D28" w:rsidP="00B87A24">
      <w:pPr>
        <w:spacing w:before="60"/>
        <w:ind w:left="567" w:right="567"/>
        <w:jc w:val="both"/>
        <w:rPr>
          <w:rFonts w:ascii="Arial" w:hAnsi="Arial" w:cs="Arial"/>
          <w:sz w:val="20"/>
          <w:szCs w:val="20"/>
        </w:rPr>
      </w:pPr>
      <w:r>
        <w:rPr>
          <w:rFonts w:ascii="Arial" w:hAnsi="Arial" w:cs="Arial"/>
          <w:sz w:val="20"/>
          <w:szCs w:val="20"/>
        </w:rPr>
        <w:t xml:space="preserve">[58] </w:t>
      </w:r>
      <w:r w:rsidRPr="00D31D28">
        <w:rPr>
          <w:rFonts w:ascii="Arial" w:hAnsi="Arial" w:cs="Arial"/>
          <w:sz w:val="20"/>
          <w:szCs w:val="20"/>
        </w:rPr>
        <w:t xml:space="preserve">In reaching this conclusion, the sentences imposed in other cases of dangerous driving causing death, to which we were referred, have not proved especially helpful. The key cases to which the appellant drew specific attention did not involve a truck. </w:t>
      </w:r>
      <w:r w:rsidRPr="00D31D28">
        <w:rPr>
          <w:rFonts w:ascii="Arial" w:hAnsi="Arial" w:cs="Arial"/>
          <w:i/>
          <w:iCs/>
          <w:sz w:val="20"/>
          <w:szCs w:val="20"/>
        </w:rPr>
        <w:t>Stocker</w:t>
      </w:r>
      <w:r w:rsidRPr="00D31D28">
        <w:rPr>
          <w:rFonts w:ascii="Arial" w:hAnsi="Arial" w:cs="Arial"/>
          <w:sz w:val="20"/>
          <w:szCs w:val="20"/>
        </w:rPr>
        <w:t xml:space="preserve"> </w:t>
      </w:r>
      <w:r>
        <w:rPr>
          <w:rFonts w:ascii="Arial" w:hAnsi="Arial" w:cs="Arial"/>
          <w:sz w:val="20"/>
          <w:szCs w:val="20"/>
        </w:rPr>
        <w:t xml:space="preserve">[2017] VCC 770 [59], [70] </w:t>
      </w:r>
      <w:r w:rsidRPr="00D31D28">
        <w:rPr>
          <w:rFonts w:ascii="Arial" w:hAnsi="Arial" w:cs="Arial"/>
          <w:sz w:val="20"/>
          <w:szCs w:val="20"/>
        </w:rPr>
        <w:t xml:space="preserve">was a case of illicit drugs and fatigue (4 years’ imprisonment after a guilty plea). </w:t>
      </w:r>
      <w:r w:rsidRPr="00D31D28">
        <w:rPr>
          <w:rFonts w:ascii="Arial" w:hAnsi="Arial" w:cs="Arial"/>
          <w:i/>
          <w:iCs/>
          <w:sz w:val="20"/>
          <w:szCs w:val="20"/>
        </w:rPr>
        <w:t>Braithwaite-Deegan</w:t>
      </w:r>
      <w:r w:rsidRPr="00D31D28">
        <w:rPr>
          <w:rFonts w:ascii="Arial" w:hAnsi="Arial" w:cs="Arial"/>
          <w:sz w:val="20"/>
          <w:szCs w:val="20"/>
        </w:rPr>
        <w:t xml:space="preserve"> </w:t>
      </w:r>
      <w:r>
        <w:rPr>
          <w:rFonts w:ascii="Arial" w:hAnsi="Arial" w:cs="Arial"/>
          <w:sz w:val="20"/>
          <w:szCs w:val="20"/>
        </w:rPr>
        <w:t xml:space="preserve">[2018] VCC 882 [25], [46] </w:t>
      </w:r>
      <w:r w:rsidRPr="00D31D28">
        <w:rPr>
          <w:rFonts w:ascii="Arial" w:hAnsi="Arial" w:cs="Arial"/>
          <w:sz w:val="20"/>
          <w:szCs w:val="20"/>
        </w:rPr>
        <w:t>was a fatigue case where illicit drugs were present but not found to have affected the driving (3 years and 8 months’ imprisonment, also after a plea).</w:t>
      </w:r>
      <w:r>
        <w:rPr>
          <w:rFonts w:ascii="Arial" w:hAnsi="Arial" w:cs="Arial"/>
          <w:sz w:val="20"/>
          <w:szCs w:val="20"/>
        </w:rPr>
        <w:t xml:space="preserve"> </w:t>
      </w:r>
      <w:r w:rsidRPr="00D31D28">
        <w:rPr>
          <w:rFonts w:ascii="Arial" w:hAnsi="Arial" w:cs="Arial"/>
          <w:sz w:val="20"/>
          <w:szCs w:val="20"/>
        </w:rPr>
        <w:t xml:space="preserve"> Of themselves these cases do not establish any relevant current sentencing practice, but they sit comfortably with our conclusion regarding the present sentence. The facts of both </w:t>
      </w:r>
      <w:r w:rsidRPr="00D31D28">
        <w:rPr>
          <w:rFonts w:ascii="Arial" w:hAnsi="Arial" w:cs="Arial"/>
          <w:i/>
          <w:iCs/>
          <w:sz w:val="20"/>
          <w:szCs w:val="20"/>
        </w:rPr>
        <w:t>D</w:t>
      </w:r>
      <w:r>
        <w:rPr>
          <w:rFonts w:ascii="Arial" w:hAnsi="Arial" w:cs="Arial"/>
          <w:i/>
          <w:iCs/>
          <w:sz w:val="20"/>
          <w:szCs w:val="20"/>
        </w:rPr>
        <w:t>PP</w:t>
      </w:r>
      <w:r w:rsidRPr="00D31D28">
        <w:rPr>
          <w:rFonts w:ascii="Arial" w:hAnsi="Arial" w:cs="Arial"/>
          <w:i/>
          <w:iCs/>
          <w:sz w:val="20"/>
          <w:szCs w:val="20"/>
        </w:rPr>
        <w:t xml:space="preserve"> v Janson</w:t>
      </w:r>
      <w:r w:rsidRPr="00D31D28">
        <w:rPr>
          <w:rFonts w:ascii="Arial" w:hAnsi="Arial" w:cs="Arial"/>
          <w:sz w:val="20"/>
          <w:szCs w:val="20"/>
        </w:rPr>
        <w:t xml:space="preserve"> </w:t>
      </w:r>
      <w:r>
        <w:rPr>
          <w:rFonts w:ascii="Arial" w:hAnsi="Arial" w:cs="Arial"/>
          <w:sz w:val="20"/>
          <w:szCs w:val="20"/>
        </w:rPr>
        <w:t xml:space="preserve">(2011) 31 VR 222 </w:t>
      </w:r>
      <w:r w:rsidRPr="00D31D28">
        <w:rPr>
          <w:rFonts w:ascii="Arial" w:hAnsi="Arial" w:cs="Arial"/>
          <w:sz w:val="20"/>
          <w:szCs w:val="20"/>
        </w:rPr>
        <w:t xml:space="preserve">and </w:t>
      </w:r>
      <w:r w:rsidRPr="00D31D28">
        <w:rPr>
          <w:rFonts w:ascii="Arial" w:hAnsi="Arial" w:cs="Arial"/>
          <w:i/>
          <w:iCs/>
          <w:sz w:val="20"/>
          <w:szCs w:val="20"/>
        </w:rPr>
        <w:t>Papagelou v The King</w:t>
      </w:r>
      <w:r>
        <w:rPr>
          <w:rFonts w:ascii="Arial" w:hAnsi="Arial" w:cs="Arial"/>
          <w:sz w:val="20"/>
          <w:szCs w:val="20"/>
        </w:rPr>
        <w:t xml:space="preserve"> (2022) 99 MVR 232; [2022] VSCA 53</w:t>
      </w:r>
      <w:r w:rsidRPr="00D31D28">
        <w:rPr>
          <w:rFonts w:ascii="Arial" w:hAnsi="Arial" w:cs="Arial"/>
          <w:sz w:val="20"/>
          <w:szCs w:val="20"/>
        </w:rPr>
        <w:t xml:space="preserve"> are so different from the present case that we have not found them of assistance.</w:t>
      </w:r>
      <w:r>
        <w:rPr>
          <w:rFonts w:ascii="Arial" w:hAnsi="Arial" w:cs="Arial"/>
          <w:sz w:val="20"/>
          <w:szCs w:val="20"/>
        </w:rPr>
        <w:t>”</w:t>
      </w:r>
    </w:p>
    <w:p w14:paraId="2C176340" w14:textId="1DE61280" w:rsidR="00D31D28" w:rsidRDefault="00D31D28" w:rsidP="0002489D">
      <w:pPr>
        <w:ind w:right="567"/>
        <w:jc w:val="both"/>
        <w:rPr>
          <w:rFonts w:ascii="Arial" w:hAnsi="Arial" w:cs="Arial"/>
          <w:sz w:val="20"/>
          <w:szCs w:val="20"/>
        </w:rPr>
      </w:pPr>
    </w:p>
    <w:p w14:paraId="1E606802" w14:textId="5395F78B" w:rsidR="004558D4" w:rsidRDefault="004558D4" w:rsidP="0002489D">
      <w:pPr>
        <w:ind w:right="567"/>
        <w:jc w:val="both"/>
        <w:rPr>
          <w:rFonts w:ascii="Arial" w:hAnsi="Arial" w:cs="Arial"/>
          <w:sz w:val="20"/>
          <w:szCs w:val="20"/>
        </w:rPr>
      </w:pPr>
      <w:r>
        <w:rPr>
          <w:rFonts w:ascii="Arial" w:hAnsi="Arial" w:cs="Arial"/>
          <w:sz w:val="20"/>
          <w:szCs w:val="20"/>
        </w:rPr>
        <w:t xml:space="preserve">In </w:t>
      </w:r>
      <w:r w:rsidRPr="004558D4">
        <w:rPr>
          <w:rFonts w:ascii="Arial" w:hAnsi="Arial" w:cs="Arial"/>
          <w:i/>
          <w:iCs/>
          <w:sz w:val="20"/>
          <w:szCs w:val="20"/>
        </w:rPr>
        <w:t>DPP v Perry</w:t>
      </w:r>
      <w:r>
        <w:rPr>
          <w:rFonts w:ascii="Arial" w:hAnsi="Arial" w:cs="Arial"/>
          <w:sz w:val="20"/>
          <w:szCs w:val="20"/>
        </w:rPr>
        <w:t xml:space="preserve"> [2023] VSC 761 the 58 year old offender – psychologically vulnerable due to childhood rejection and abuse and having suffered severe psychological sequelae following the fatal collision – was found guilty by a jury of dangerous driving causing death and dangerous driving causing serious injury.  He was placed on a CCO for 3y, his driver licence was cancelled and he was disqualified for 2y.  At [26]-[27] Jane Dixon J said </w:t>
      </w:r>
      <w:r w:rsidR="008F3B52">
        <w:rPr>
          <w:rFonts w:ascii="Arial" w:hAnsi="Arial" w:cs="Arial"/>
          <w:sz w:val="20"/>
          <w:szCs w:val="20"/>
        </w:rPr>
        <w:t>(</w:t>
      </w:r>
      <w:r>
        <w:rPr>
          <w:rFonts w:ascii="Arial" w:hAnsi="Arial" w:cs="Arial"/>
          <w:sz w:val="20"/>
          <w:szCs w:val="20"/>
        </w:rPr>
        <w:t>emphasis added</w:t>
      </w:r>
      <w:r w:rsidR="008F3B52">
        <w:rPr>
          <w:rFonts w:ascii="Arial" w:hAnsi="Arial" w:cs="Arial"/>
          <w:sz w:val="20"/>
          <w:szCs w:val="20"/>
        </w:rPr>
        <w:t>)</w:t>
      </w:r>
      <w:r>
        <w:rPr>
          <w:rFonts w:ascii="Arial" w:hAnsi="Arial" w:cs="Arial"/>
          <w:sz w:val="20"/>
          <w:szCs w:val="20"/>
        </w:rPr>
        <w:t>:</w:t>
      </w:r>
    </w:p>
    <w:p w14:paraId="6A1A523F" w14:textId="29662A9F" w:rsidR="004558D4" w:rsidRDefault="004558D4" w:rsidP="004558D4">
      <w:pPr>
        <w:spacing w:before="60"/>
        <w:ind w:left="567" w:right="567"/>
        <w:jc w:val="both"/>
        <w:rPr>
          <w:rFonts w:ascii="Arial" w:hAnsi="Arial" w:cs="Arial"/>
          <w:sz w:val="20"/>
          <w:szCs w:val="20"/>
        </w:rPr>
      </w:pPr>
      <w:r>
        <w:rPr>
          <w:rFonts w:ascii="Arial" w:hAnsi="Arial" w:cs="Arial"/>
          <w:sz w:val="20"/>
          <w:szCs w:val="20"/>
        </w:rPr>
        <w:t>[26] “</w:t>
      </w:r>
      <w:r w:rsidRPr="004558D4">
        <w:rPr>
          <w:rFonts w:ascii="Arial" w:hAnsi="Arial" w:cs="Arial"/>
          <w:sz w:val="20"/>
          <w:szCs w:val="20"/>
        </w:rPr>
        <w:t>It was plainly open to the jury to be satisfied beyond reasonable doubt that your manner of driving did involve a serious breach of the proper management or control of your vehicle, based on your decision to turn through lanes of potentially fastmoving oncoming traffic at a time when your view was obscured by the SsangYong Musso.</w:t>
      </w:r>
    </w:p>
    <w:p w14:paraId="4F7DE7CF" w14:textId="074F0921" w:rsidR="004558D4" w:rsidRDefault="004558D4" w:rsidP="004558D4">
      <w:pPr>
        <w:spacing w:before="60"/>
        <w:ind w:left="567" w:right="567"/>
        <w:jc w:val="both"/>
        <w:rPr>
          <w:rFonts w:ascii="Arial" w:hAnsi="Arial" w:cs="Arial"/>
          <w:sz w:val="20"/>
          <w:szCs w:val="20"/>
        </w:rPr>
      </w:pPr>
      <w:r>
        <w:rPr>
          <w:rFonts w:ascii="Arial" w:hAnsi="Arial" w:cs="Arial"/>
          <w:sz w:val="20"/>
          <w:szCs w:val="20"/>
        </w:rPr>
        <w:t xml:space="preserve">[27] </w:t>
      </w:r>
      <w:r w:rsidRPr="004558D4">
        <w:rPr>
          <w:rFonts w:ascii="Arial" w:hAnsi="Arial" w:cs="Arial"/>
          <w:sz w:val="20"/>
          <w:szCs w:val="20"/>
        </w:rPr>
        <w:t xml:space="preserve">However, I accept that the objective gravity of your offending falls very much at the lower end of the scale of seriousness for each charge, and that your moral culpability for the offending is also low. </w:t>
      </w:r>
      <w:r w:rsidRPr="004558D4">
        <w:rPr>
          <w:rFonts w:ascii="Arial" w:hAnsi="Arial" w:cs="Arial"/>
          <w:b/>
          <w:bCs/>
          <w:sz w:val="20"/>
          <w:szCs w:val="20"/>
        </w:rPr>
        <w:t>The seriousness of each offence is not determined by the level of injury or hurt suffered by each victim. Rather, it is the driving itself which is the key matter when compared to other cases of dangerous driving causing death or serious injury.</w:t>
      </w:r>
      <w:r w:rsidRPr="004558D4">
        <w:rPr>
          <w:rFonts w:ascii="Arial" w:hAnsi="Arial" w:cs="Arial"/>
          <w:sz w:val="20"/>
          <w:szCs w:val="20"/>
        </w:rPr>
        <w:t xml:space="preserve"> The sentences I impose must take account of variations in the moral culpability that attaches to persons charged with these offences.</w:t>
      </w:r>
      <w:r>
        <w:rPr>
          <w:rFonts w:ascii="Arial" w:hAnsi="Arial" w:cs="Arial"/>
          <w:sz w:val="20"/>
          <w:szCs w:val="20"/>
        </w:rPr>
        <w:t>”</w:t>
      </w:r>
    </w:p>
    <w:p w14:paraId="7C32F9F4" w14:textId="7F677637" w:rsidR="004558D4" w:rsidRDefault="004558D4" w:rsidP="0002489D">
      <w:pPr>
        <w:ind w:right="567"/>
        <w:jc w:val="both"/>
        <w:rPr>
          <w:rFonts w:ascii="Arial" w:hAnsi="Arial" w:cs="Arial"/>
          <w:sz w:val="20"/>
          <w:szCs w:val="20"/>
        </w:rPr>
      </w:pPr>
    </w:p>
    <w:p w14:paraId="57895557" w14:textId="57ABD6BA" w:rsidR="00CE33EB" w:rsidRDefault="00CE33EB">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Martinez</w:t>
          </w:r>
        </w:smartTag>
      </w:smartTag>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DPP v Pesa</w:t>
      </w:r>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DPP v Gangur</w:t>
      </w:r>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DPP v Weybury</w:t>
      </w:r>
      <w:r w:rsidR="00BB7F4A">
        <w:rPr>
          <w:rFonts w:ascii="Arial" w:hAnsi="Arial" w:cs="Arial"/>
          <w:color w:val="000000"/>
          <w:sz w:val="20"/>
        </w:rPr>
        <w:t xml:space="preserve"> [2018] VSCA 120</w:t>
      </w:r>
      <w:r w:rsidR="009437D0">
        <w:rPr>
          <w:rFonts w:ascii="Arial" w:hAnsi="Arial" w:cs="Arial"/>
          <w:color w:val="000000"/>
          <w:sz w:val="20"/>
        </w:rPr>
        <w:t xml:space="preserve">; </w:t>
      </w:r>
      <w:r w:rsidR="00BA7A76">
        <w:rPr>
          <w:rFonts w:ascii="Arial" w:hAnsi="Arial" w:cs="Arial"/>
          <w:i/>
          <w:iCs/>
          <w:color w:val="000000"/>
          <w:sz w:val="20"/>
        </w:rPr>
        <w:t>Yadong P</w:t>
      </w:r>
      <w:r w:rsidR="009437D0" w:rsidRPr="009437D0">
        <w:rPr>
          <w:rFonts w:ascii="Arial" w:hAnsi="Arial" w:cs="Arial"/>
          <w:i/>
          <w:iCs/>
          <w:color w:val="000000"/>
          <w:sz w:val="20"/>
        </w:rPr>
        <w:t>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r w:rsidR="00F053FA" w:rsidRPr="00F053FA">
        <w:rPr>
          <w:rFonts w:ascii="Arial" w:hAnsi="Arial" w:cs="Arial"/>
          <w:i/>
          <w:iCs/>
          <w:color w:val="000000"/>
          <w:sz w:val="20"/>
        </w:rPr>
        <w:t>Papagelou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Al-Anwiya</w:t>
      </w:r>
      <w:r w:rsidR="009532B3">
        <w:rPr>
          <w:rFonts w:ascii="Arial" w:hAnsi="Arial" w:cs="Arial"/>
          <w:color w:val="000000"/>
          <w:sz w:val="20"/>
        </w:rPr>
        <w:t xml:space="preserve"> [2022] VSC 428</w:t>
      </w:r>
      <w:r w:rsidR="0093242D">
        <w:rPr>
          <w:rFonts w:ascii="Arial" w:hAnsi="Arial" w:cs="Arial"/>
          <w:color w:val="000000"/>
          <w:sz w:val="20"/>
        </w:rPr>
        <w:t xml:space="preserve"> {leave to appeal refused [2022] VSCA 181}</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965076">
        <w:rPr>
          <w:rFonts w:ascii="Arial" w:hAnsi="Arial" w:cs="Arial"/>
          <w:color w:val="000000"/>
          <w:sz w:val="20"/>
        </w:rPr>
        <w:t xml:space="preserve">; </w:t>
      </w:r>
      <w:r w:rsidR="00965076" w:rsidRPr="00965076">
        <w:rPr>
          <w:rFonts w:ascii="Arial" w:hAnsi="Arial" w:cs="Arial"/>
          <w:i/>
          <w:iCs/>
          <w:color w:val="000000"/>
          <w:sz w:val="20"/>
        </w:rPr>
        <w:t>DPP v Lombardo</w:t>
      </w:r>
      <w:r w:rsidR="00965076">
        <w:rPr>
          <w:rFonts w:ascii="Arial" w:hAnsi="Arial" w:cs="Arial"/>
          <w:color w:val="000000"/>
          <w:sz w:val="20"/>
        </w:rPr>
        <w:t xml:space="preserve"> [2022] VSCA 204</w:t>
      </w:r>
      <w:r w:rsidR="00C95410">
        <w:rPr>
          <w:rFonts w:ascii="Arial" w:hAnsi="Arial" w:cs="Arial"/>
          <w:color w:val="000000"/>
          <w:sz w:val="20"/>
        </w:rPr>
        <w:t xml:space="preserve">; </w:t>
      </w:r>
      <w:r w:rsidR="00C95410" w:rsidRPr="00C95410">
        <w:rPr>
          <w:rFonts w:ascii="Arial" w:hAnsi="Arial" w:cs="Arial"/>
          <w:i/>
          <w:iCs/>
          <w:color w:val="000000"/>
          <w:sz w:val="20"/>
        </w:rPr>
        <w:t>DPP v Harvey</w:t>
      </w:r>
      <w:r w:rsidR="00C95410">
        <w:rPr>
          <w:rFonts w:ascii="Arial" w:hAnsi="Arial" w:cs="Arial"/>
          <w:color w:val="000000"/>
          <w:sz w:val="20"/>
        </w:rPr>
        <w:t xml:space="preserve"> [2023] VSC 80</w:t>
      </w:r>
      <w:r w:rsidR="00236146">
        <w:rPr>
          <w:rFonts w:ascii="Arial" w:hAnsi="Arial" w:cs="Arial"/>
          <w:color w:val="000000"/>
          <w:sz w:val="20"/>
        </w:rPr>
        <w:t xml:space="preserve">; </w:t>
      </w:r>
      <w:r w:rsidR="00236146" w:rsidRPr="00236146">
        <w:rPr>
          <w:rFonts w:ascii="Arial" w:hAnsi="Arial" w:cs="Arial"/>
          <w:i/>
          <w:iCs/>
          <w:color w:val="000000"/>
          <w:sz w:val="20"/>
        </w:rPr>
        <w:t>DPP v Sheather</w:t>
      </w:r>
      <w:r w:rsidR="00236146">
        <w:rPr>
          <w:rFonts w:ascii="Arial" w:hAnsi="Arial" w:cs="Arial"/>
          <w:color w:val="000000"/>
          <w:sz w:val="20"/>
        </w:rPr>
        <w:t xml:space="preserve"> [2023] VSC 219</w:t>
      </w:r>
      <w:r w:rsidR="00A51D14">
        <w:rPr>
          <w:rFonts w:ascii="Arial" w:hAnsi="Arial" w:cs="Arial"/>
          <w:color w:val="000000"/>
          <w:sz w:val="20"/>
        </w:rPr>
        <w:t xml:space="preserve">; </w:t>
      </w:r>
      <w:r w:rsidR="00A51D14" w:rsidRPr="00A51D14">
        <w:rPr>
          <w:rFonts w:ascii="Arial" w:hAnsi="Arial" w:cs="Arial"/>
          <w:i/>
          <w:iCs/>
          <w:sz w:val="20"/>
          <w:szCs w:val="20"/>
        </w:rPr>
        <w:t>Gardezi v The King</w:t>
      </w:r>
      <w:r w:rsidR="00A51D14" w:rsidRPr="00A51D14">
        <w:rPr>
          <w:rFonts w:ascii="Arial" w:hAnsi="Arial" w:cs="Arial"/>
          <w:sz w:val="20"/>
          <w:szCs w:val="20"/>
        </w:rPr>
        <w:t xml:space="preserve"> [2023] VSCA 297 at [30]-[45]</w:t>
      </w:r>
      <w:r w:rsidR="00DF5FCA">
        <w:rPr>
          <w:rFonts w:ascii="Arial" w:hAnsi="Arial" w:cs="Arial"/>
          <w:sz w:val="20"/>
          <w:szCs w:val="20"/>
        </w:rPr>
        <w:t xml:space="preserve">; </w:t>
      </w:r>
      <w:r w:rsidR="00DF5FCA" w:rsidRPr="00DF5FCA">
        <w:rPr>
          <w:rFonts w:ascii="Arial" w:hAnsi="Arial" w:cs="Arial"/>
          <w:i/>
          <w:iCs/>
          <w:sz w:val="20"/>
          <w:szCs w:val="20"/>
        </w:rPr>
        <w:t>DPP v Kenneison</w:t>
      </w:r>
      <w:r w:rsidR="00DF5FCA">
        <w:rPr>
          <w:rFonts w:ascii="Arial" w:hAnsi="Arial" w:cs="Arial"/>
          <w:sz w:val="20"/>
          <w:szCs w:val="20"/>
        </w:rPr>
        <w:t xml:space="preserve"> [2023] VSCA 321</w:t>
      </w:r>
      <w:r w:rsidR="008C25C6">
        <w:rPr>
          <w:rFonts w:ascii="Arial" w:hAnsi="Arial" w:cs="Arial"/>
          <w:sz w:val="20"/>
          <w:szCs w:val="20"/>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w:t>
      </w:r>
      <w:r w:rsidR="004F4B44">
        <w:rPr>
          <w:rFonts w:ascii="Arial" w:hAnsi="Arial" w:cs="Arial"/>
          <w:sz w:val="20"/>
          <w:lang w:val="en-US"/>
        </w:rPr>
        <w:t xml:space="preserve">; </w:t>
      </w:r>
      <w:r w:rsidR="004F4B44" w:rsidRPr="004F4B44">
        <w:rPr>
          <w:rFonts w:ascii="Arial" w:hAnsi="Arial" w:cs="Arial"/>
          <w:i/>
          <w:iCs/>
          <w:sz w:val="20"/>
          <w:lang w:val="en-US"/>
        </w:rPr>
        <w:t>Camin v The King</w:t>
      </w:r>
      <w:r w:rsidR="004F4B44">
        <w:rPr>
          <w:rFonts w:ascii="Arial" w:hAnsi="Arial" w:cs="Arial"/>
          <w:sz w:val="20"/>
          <w:lang w:val="en-US"/>
        </w:rPr>
        <w:t xml:space="preserve"> [2024] VSCA 124</w:t>
      </w:r>
      <w:r w:rsidR="002779D2">
        <w:rPr>
          <w:rFonts w:ascii="Arial" w:hAnsi="Arial" w:cs="Arial"/>
          <w:sz w:val="20"/>
          <w:lang w:val="en-US"/>
        </w:rPr>
        <w:t xml:space="preserve">; </w:t>
      </w:r>
      <w:r w:rsidR="002779D2" w:rsidRPr="002779D2">
        <w:rPr>
          <w:rFonts w:ascii="Arial" w:hAnsi="Arial" w:cs="Arial"/>
          <w:i/>
          <w:iCs/>
          <w:sz w:val="20"/>
          <w:lang w:val="en-US"/>
        </w:rPr>
        <w:t>Paulson v The King</w:t>
      </w:r>
      <w:r w:rsidR="002779D2">
        <w:rPr>
          <w:rFonts w:ascii="Arial" w:hAnsi="Arial" w:cs="Arial"/>
          <w:sz w:val="20"/>
          <w:lang w:val="en-US"/>
        </w:rPr>
        <w:t xml:space="preserve"> [2024] VSCA 188</w:t>
      </w:r>
      <w:r w:rsidR="00DC35B7">
        <w:rPr>
          <w:rFonts w:ascii="Arial" w:hAnsi="Arial" w:cs="Arial"/>
          <w:sz w:val="20"/>
          <w:szCs w:val="20"/>
        </w:rPr>
        <w:t xml:space="preserve">; </w:t>
      </w:r>
      <w:r w:rsidR="00DC35B7" w:rsidRPr="00DC35B7">
        <w:rPr>
          <w:rFonts w:ascii="Arial" w:hAnsi="Arial" w:cs="Arial"/>
          <w:i/>
          <w:iCs/>
          <w:sz w:val="20"/>
          <w:szCs w:val="20"/>
        </w:rPr>
        <w:t>DPP v Waterhouse</w:t>
      </w:r>
      <w:r w:rsidR="00DC35B7">
        <w:rPr>
          <w:rFonts w:ascii="Arial" w:hAnsi="Arial" w:cs="Arial"/>
          <w:sz w:val="20"/>
          <w:szCs w:val="20"/>
        </w:rPr>
        <w:t xml:space="preserve"> [2024] VSC 585</w:t>
      </w:r>
      <w:r w:rsidR="00133929">
        <w:rPr>
          <w:rFonts w:ascii="Arial" w:hAnsi="Arial" w:cs="Arial"/>
          <w:sz w:val="20"/>
          <w:szCs w:val="20"/>
        </w:rPr>
        <w:t>; [2025] VSC 67</w:t>
      </w:r>
      <w:r w:rsidR="00DC35B7">
        <w:rPr>
          <w:rFonts w:ascii="Arial" w:hAnsi="Arial" w:cs="Arial"/>
          <w:sz w:val="20"/>
          <w:szCs w:val="20"/>
        </w:rPr>
        <w:t>.</w:t>
      </w:r>
    </w:p>
    <w:p w14:paraId="4A9BC4E5" w14:textId="3991B45A" w:rsidR="005C0078" w:rsidRDefault="005C0078" w:rsidP="005C0078">
      <w:pPr>
        <w:jc w:val="both"/>
        <w:rPr>
          <w:rFonts w:ascii="Arial" w:hAnsi="Arial" w:cs="Arial"/>
          <w:color w:val="000000"/>
          <w:sz w:val="20"/>
          <w:szCs w:val="20"/>
        </w:rPr>
      </w:pPr>
    </w:p>
    <w:p w14:paraId="54DD5A4F" w14:textId="1F5E856E"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61" w:name="_11.2.24_Sentencing_for"/>
      <w:bookmarkEnd w:id="661"/>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Sentencing for inflicting injury / endangerment / affray / violent disorder etc</w:t>
      </w:r>
    </w:p>
    <w:p w14:paraId="40F1E97B" w14:textId="7B8871A0"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44485B36"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w:t>
      </w:r>
      <w:r w:rsidRPr="00141C79">
        <w:rPr>
          <w:rFonts w:ascii="Arial" w:hAnsi="Arial" w:cs="Arial"/>
          <w:b/>
          <w:bCs/>
          <w:color w:val="000000"/>
          <w:sz w:val="20"/>
        </w:rPr>
        <w:t>injury</w:t>
      </w:r>
      <w:r>
        <w:rPr>
          <w:rFonts w:ascii="Arial" w:hAnsi="Arial" w:cs="Arial"/>
          <w:color w:val="000000"/>
          <w:sz w:val="20"/>
        </w:rPr>
        <w:t xml:space="preserve">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w:t>
      </w:r>
      <w:r w:rsidRPr="00141C79">
        <w:rPr>
          <w:rFonts w:ascii="Arial" w:hAnsi="Arial" w:cs="Arial"/>
          <w:b/>
          <w:bCs/>
          <w:color w:val="000000"/>
          <w:sz w:val="20"/>
        </w:rPr>
        <w:t>serious injury</w:t>
      </w:r>
      <w:r>
        <w:rPr>
          <w:rFonts w:ascii="Arial" w:hAnsi="Arial" w:cs="Arial"/>
          <w:color w:val="000000"/>
          <w:sz w:val="20"/>
        </w:rPr>
        <w:t xml:space="preserve"> includes (a) </w:t>
      </w:r>
      <w:r>
        <w:rPr>
          <w:rFonts w:ascii="Arial" w:hAnsi="Arial" w:cs="Arial"/>
          <w:color w:val="000000"/>
          <w:sz w:val="20"/>
        </w:rPr>
        <w:lastRenderedPageBreak/>
        <w:t>a</w:t>
      </w:r>
      <w:r w:rsidR="00141C79">
        <w:rPr>
          <w:rFonts w:ascii="Arial" w:hAnsi="Arial" w:cs="Arial"/>
          <w:color w:val="000000"/>
          <w:sz w:val="20"/>
        </w:rPr>
        <w:t> </w:t>
      </w:r>
      <w:r>
        <w:rPr>
          <w:rFonts w:ascii="Arial" w:hAnsi="Arial" w:cs="Arial"/>
          <w:color w:val="000000"/>
          <w:sz w:val="20"/>
        </w:rPr>
        <w:t>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rsidP="006B0882">
      <w:pPr>
        <w:pStyle w:val="ListParagraph"/>
        <w:numPr>
          <w:ilvl w:val="0"/>
          <w:numId w:val="98"/>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rsidP="009E383D">
      <w:pPr>
        <w:pStyle w:val="ListParagraph"/>
        <w:numPr>
          <w:ilvl w:val="0"/>
          <w:numId w:val="98"/>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42F9BAD7" w:rsidR="006B0882" w:rsidRDefault="006B0882" w:rsidP="00633EE7">
      <w:pPr>
        <w:jc w:val="both"/>
        <w:rPr>
          <w:rFonts w:ascii="Arial" w:hAnsi="Arial" w:cs="Arial"/>
          <w:color w:val="000000"/>
          <w:sz w:val="20"/>
        </w:rPr>
      </w:pPr>
    </w:p>
    <w:p w14:paraId="0181A12D" w14:textId="372A442B" w:rsidR="00556856" w:rsidRDefault="00B6735A" w:rsidP="00633EE7">
      <w:pPr>
        <w:jc w:val="both"/>
        <w:rPr>
          <w:rFonts w:ascii="Arial" w:hAnsi="Arial" w:cs="Arial"/>
          <w:color w:val="000000"/>
          <w:sz w:val="20"/>
        </w:rPr>
      </w:pPr>
      <w:r>
        <w:rPr>
          <w:rFonts w:ascii="Arial" w:hAnsi="Arial" w:cs="Arial"/>
          <w:color w:val="000000"/>
          <w:sz w:val="20"/>
        </w:rPr>
        <w:t xml:space="preserve">In </w:t>
      </w:r>
      <w:r w:rsidRPr="0010576F">
        <w:rPr>
          <w:rFonts w:ascii="Arial" w:hAnsi="Arial" w:cs="Arial"/>
          <w:i/>
          <w:iCs/>
          <w:color w:val="000000"/>
          <w:sz w:val="20"/>
        </w:rPr>
        <w:t>Kumar v The Queen</w:t>
      </w:r>
      <w:r>
        <w:rPr>
          <w:rFonts w:ascii="Arial" w:hAnsi="Arial" w:cs="Arial"/>
          <w:color w:val="000000"/>
          <w:sz w:val="20"/>
        </w:rPr>
        <w:t xml:space="preserve"> [2020] VSCA 103 at [43]-[50] the Court of Appeal discussed the issue of assessing whether an injury was “substantial and protracted”.  Cases involving discussion of the range of “substantial and protracted” serious injuries include </w:t>
      </w:r>
      <w:r w:rsidRPr="00B6735A">
        <w:rPr>
          <w:rFonts w:ascii="Arial" w:hAnsi="Arial" w:cs="Arial"/>
          <w:i/>
          <w:iCs/>
          <w:color w:val="000000"/>
          <w:sz w:val="20"/>
        </w:rPr>
        <w:t>Avder v The Queen</w:t>
      </w:r>
      <w:r>
        <w:rPr>
          <w:rFonts w:ascii="Arial" w:hAnsi="Arial" w:cs="Arial"/>
          <w:color w:val="000000"/>
          <w:sz w:val="20"/>
        </w:rPr>
        <w:t xml:space="preserve"> [2015] VSCA 154, esp. at [2] &amp; [7]; </w:t>
      </w:r>
      <w:r w:rsidR="0010576F" w:rsidRPr="00B6735A">
        <w:rPr>
          <w:rFonts w:ascii="Arial" w:hAnsi="Arial" w:cs="Arial"/>
          <w:i/>
          <w:iCs/>
          <w:color w:val="000000"/>
          <w:sz w:val="20"/>
        </w:rPr>
        <w:t>Scammel v The Queen</w:t>
      </w:r>
      <w:r w:rsidR="0010576F">
        <w:rPr>
          <w:rFonts w:ascii="Arial" w:hAnsi="Arial" w:cs="Arial"/>
          <w:color w:val="000000"/>
          <w:sz w:val="20"/>
        </w:rPr>
        <w:t xml:space="preserve"> [2015] VSCA 206, esp</w:t>
      </w:r>
      <w:r w:rsidR="00EC7A69">
        <w:rPr>
          <w:rFonts w:ascii="Arial" w:hAnsi="Arial" w:cs="Arial"/>
          <w:color w:val="000000"/>
          <w:sz w:val="20"/>
        </w:rPr>
        <w:t>.</w:t>
      </w:r>
      <w:r w:rsidR="0010576F">
        <w:rPr>
          <w:rFonts w:ascii="Arial" w:hAnsi="Arial" w:cs="Arial"/>
          <w:color w:val="000000"/>
          <w:sz w:val="20"/>
        </w:rPr>
        <w:t xml:space="preserve"> at</w:t>
      </w:r>
      <w:r>
        <w:rPr>
          <w:rFonts w:ascii="Arial" w:hAnsi="Arial" w:cs="Arial"/>
          <w:color w:val="000000"/>
          <w:sz w:val="20"/>
        </w:rPr>
        <w:t xml:space="preserve"> [8] &amp; [13</w:t>
      </w:r>
      <w:r w:rsidRPr="00EC7A69">
        <w:rPr>
          <w:rFonts w:ascii="Arial" w:hAnsi="Arial" w:cs="Arial"/>
          <w:color w:val="000000"/>
          <w:sz w:val="20"/>
        </w:rPr>
        <w:t>]</w:t>
      </w:r>
      <w:r w:rsidR="0010576F" w:rsidRPr="00B6735A">
        <w:rPr>
          <w:rFonts w:ascii="Arial" w:hAnsi="Arial" w:cs="Arial"/>
          <w:i/>
          <w:iCs/>
          <w:color w:val="000000"/>
          <w:sz w:val="20"/>
        </w:rPr>
        <w:t>; Masha</w:t>
      </w:r>
      <w:r w:rsidRPr="00B6735A">
        <w:rPr>
          <w:rFonts w:ascii="Arial" w:hAnsi="Arial" w:cs="Arial"/>
          <w:i/>
          <w:iCs/>
          <w:color w:val="000000"/>
          <w:sz w:val="20"/>
        </w:rPr>
        <w:t>yamombe v The Queen</w:t>
      </w:r>
      <w:r>
        <w:rPr>
          <w:rFonts w:ascii="Arial" w:hAnsi="Arial" w:cs="Arial"/>
          <w:color w:val="000000"/>
          <w:sz w:val="20"/>
        </w:rPr>
        <w:t xml:space="preserve"> [2023] VSCA 60, esp. at [19] &amp; [67].</w:t>
      </w:r>
    </w:p>
    <w:p w14:paraId="5608A1ED" w14:textId="77777777" w:rsidR="00556856" w:rsidRDefault="00556856" w:rsidP="00633EE7">
      <w:pPr>
        <w:jc w:val="both"/>
        <w:rPr>
          <w:rFonts w:ascii="Arial" w:hAnsi="Arial" w:cs="Arial"/>
          <w:color w:val="000000"/>
          <w:sz w:val="20"/>
        </w:rPr>
      </w:pPr>
    </w:p>
    <w:p w14:paraId="32DE77E4" w14:textId="77777777" w:rsidR="006B0882" w:rsidRPr="001C6E0E" w:rsidRDefault="006B0882" w:rsidP="005568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3B0458BC" w14:textId="77777777" w:rsidR="00D74ECA" w:rsidRDefault="00D74ECA" w:rsidP="00D74ECA">
      <w:pPr>
        <w:jc w:val="both"/>
        <w:rPr>
          <w:rFonts w:ascii="Arial" w:hAnsi="Arial" w:cs="Arial"/>
          <w:color w:val="000000"/>
          <w:sz w:val="20"/>
        </w:rPr>
      </w:pPr>
    </w:p>
    <w:p w14:paraId="30CCE603" w14:textId="77777777" w:rsidR="00D74ECA" w:rsidRPr="00DD24BF" w:rsidRDefault="00D74ECA" w:rsidP="00D74E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FA0C008" w14:textId="77777777" w:rsidR="00D74ECA" w:rsidRPr="007B6500" w:rsidRDefault="00D74ECA" w:rsidP="00D74ECA">
      <w:pPr>
        <w:pStyle w:val="Heading2"/>
        <w:tabs>
          <w:tab w:val="left" w:pos="567"/>
        </w:tabs>
        <w:spacing w:line="240" w:lineRule="auto"/>
        <w:ind w:left="567" w:hanging="567"/>
        <w:rPr>
          <w:rFonts w:ascii="Arial" w:hAnsi="Arial" w:cs="Arial"/>
          <w:color w:val="000000"/>
          <w:sz w:val="20"/>
        </w:rPr>
      </w:pPr>
    </w:p>
    <w:p w14:paraId="14F3BC90" w14:textId="77777777" w:rsidR="00D74ECA" w:rsidRDefault="00D74ECA" w:rsidP="00D74ECA">
      <w:pPr>
        <w:rPr>
          <w:rFonts w:ascii="Arial" w:hAnsi="Arial" w:cs="Arial"/>
          <w:b/>
          <w:bCs/>
          <w:color w:val="000000"/>
          <w:kern w:val="28"/>
          <w:sz w:val="20"/>
          <w:szCs w:val="20"/>
          <w:lang w:val="en-GB"/>
        </w:rPr>
      </w:pPr>
      <w:r>
        <w:rPr>
          <w:rFonts w:ascii="Arial" w:hAnsi="Arial" w:cs="Arial"/>
          <w:b/>
          <w:bCs/>
          <w:color w:val="000000"/>
          <w:sz w:val="20"/>
        </w:rPr>
        <w:br w:type="page"/>
      </w:r>
    </w:p>
    <w:p w14:paraId="4E5C584E" w14:textId="301CD1ED" w:rsidR="00272221" w:rsidRPr="001C6E0E" w:rsidRDefault="00633EE7" w:rsidP="00D74ECA">
      <w:pPr>
        <w:pStyle w:val="Heading3"/>
        <w:keepNext/>
        <w:keepLines/>
        <w:widowControl/>
        <w:spacing w:after="120" w:line="240" w:lineRule="auto"/>
        <w:rPr>
          <w:rFonts w:ascii="Arial" w:hAnsi="Arial" w:cs="Arial"/>
          <w:b/>
          <w:bCs/>
          <w:color w:val="000000"/>
          <w:sz w:val="20"/>
        </w:rPr>
      </w:pPr>
      <w:bookmarkStart w:id="662" w:name="_11.2.24.1__"/>
      <w:bookmarkEnd w:id="662"/>
      <w:r w:rsidRPr="001C6E0E">
        <w:rPr>
          <w:rFonts w:ascii="Arial" w:hAnsi="Arial" w:cs="Arial"/>
          <w:b/>
          <w:bCs/>
          <w:color w:val="000000"/>
          <w:sz w:val="20"/>
        </w:rPr>
        <w:lastRenderedPageBreak/>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F90725" w14:textId="77777777" w:rsidR="005D3616" w:rsidRPr="001C6E0E" w:rsidRDefault="00DF643C" w:rsidP="00D74ECA">
      <w:pPr>
        <w:pStyle w:val="Heading3"/>
        <w:widowControl/>
        <w:spacing w:after="120" w:line="240" w:lineRule="auto"/>
        <w:ind w:left="284" w:hanging="284"/>
        <w:rPr>
          <w:rFonts w:ascii="Arial" w:hAnsi="Arial" w:cs="Arial"/>
          <w:b/>
          <w:bCs/>
          <w:color w:val="000000"/>
          <w:sz w:val="20"/>
        </w:rPr>
      </w:pPr>
      <w:bookmarkStart w:id="663" w:name="_A_INTENTIONALLY_CAUSING"/>
      <w:bookmarkEnd w:id="663"/>
      <w:r w:rsidRPr="00167725">
        <w:rPr>
          <w:rFonts w:ascii="Arial" w:hAnsi="Arial" w:cs="Arial"/>
          <w:b/>
          <w:color w:val="FFFFFF"/>
          <w:sz w:val="22"/>
          <w:shd w:val="clear" w:color="auto" w:fill="000000"/>
        </w:rPr>
        <w:t>A</w:t>
      </w:r>
      <w:r w:rsidRPr="00167725">
        <w:rPr>
          <w:rFonts w:ascii="Arial" w:hAnsi="Arial" w:cs="Arial"/>
          <w:b/>
          <w:color w:val="000000"/>
          <w:sz w:val="22"/>
        </w:rPr>
        <w:tab/>
      </w:r>
      <w:r w:rsidR="00B0622A" w:rsidRPr="00167725">
        <w:rPr>
          <w:rFonts w:ascii="Arial" w:hAnsi="Arial" w:cs="Arial"/>
          <w:b/>
          <w:bCs/>
          <w:color w:val="FFFFFF" w:themeColor="background1"/>
          <w:sz w:val="20"/>
          <w:shd w:val="clear" w:color="auto" w:fill="000000" w:themeFill="text1"/>
        </w:rPr>
        <w:t>INTENTIONALLY CAUSING SERIOUS INJURY</w:t>
      </w:r>
    </w:p>
    <w:p w14:paraId="47B4865F" w14:textId="2A207A03"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 xml:space="preserve">R v El-Haouli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Winneke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Tadgell JA said, ‘The courts must do what they can to send to the community a message of crystal clarity that conduct of this kind is intolerable in a civilised society.’  The two decisions being given today by this Court on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R v Teichelman</w:t>
      </w:r>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szCs w:val="20"/>
        </w:rPr>
        <w:t>DPP v Zullo</w:t>
      </w:r>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Nettle JA (with whom Winneke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R v Meizys</w:t>
      </w:r>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w:t>
      </w:r>
      <w:r w:rsidR="00A163AB" w:rsidRPr="001C6E0E">
        <w:rPr>
          <w:rFonts w:ascii="Arial" w:hAnsi="Arial" w:cs="Arial"/>
          <w:color w:val="000000"/>
          <w:sz w:val="20"/>
          <w:szCs w:val="20"/>
        </w:rPr>
        <w:lastRenderedPageBreak/>
        <w:t xml:space="preserve">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“[A]</w:t>
      </w:r>
      <w:r w:rsidR="00D82FDD" w:rsidRPr="001C6E0E">
        <w:rPr>
          <w:rFonts w:ascii="Arial" w:hAnsi="Arial" w:cs="Arial"/>
          <w:color w:val="000000"/>
          <w:sz w:val="20"/>
        </w:rPr>
        <w:t xml:space="preserve">lthough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DPP v Nag</w:t>
      </w:r>
      <w:r w:rsidR="00D17BFB" w:rsidRPr="001C6E0E">
        <w:rPr>
          <w:rFonts w:ascii="Arial" w:hAnsi="Arial" w:cs="Arial"/>
          <w:i/>
          <w:color w:val="000000"/>
          <w:sz w:val="20"/>
        </w:rPr>
        <w:t>i</w:t>
      </w:r>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Winneke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lastRenderedPageBreak/>
        <w:t>In</w:t>
      </w:r>
      <w:r w:rsidR="00FB3D43" w:rsidRPr="001C6E0E">
        <w:rPr>
          <w:rFonts w:ascii="Arial" w:hAnsi="Arial" w:cs="Arial"/>
          <w:color w:val="000000"/>
          <w:sz w:val="20"/>
        </w:rPr>
        <w:t xml:space="preserve"> </w:t>
      </w:r>
      <w:r w:rsidR="00FB3D43" w:rsidRPr="001C6E0E">
        <w:rPr>
          <w:rFonts w:ascii="Arial" w:hAnsi="Arial" w:cs="Arial"/>
          <w:i/>
          <w:color w:val="000000"/>
          <w:sz w:val="20"/>
        </w:rPr>
        <w:t>R v Speedie</w:t>
      </w:r>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Coldrey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Gebremeskel</w:t>
      </w:r>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Consedine</w:t>
      </w:r>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R v Cansino</w:t>
      </w:r>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64" w:name="ORIGHIT_3"/>
      <w:bookmarkStart w:id="665" w:name="HIT_3"/>
      <w:bookmarkEnd w:id="664"/>
      <w:bookmarkEnd w:id="665"/>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endeavour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66" w:name="PAGE_43"/>
      <w:bookmarkStart w:id="667" w:name="TAAG"/>
      <w:bookmarkEnd w:id="666"/>
      <w:bookmarkEnd w:id="667"/>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“gatecrashed”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“I am not satisfied that a sentence of three years’ detention would adequately address the nature and gravity of the offences here committed and the weight to be given to specific 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Kosmidis</w:t>
      </w:r>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8E5CA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Fevaleaki</w:t>
      </w:r>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21FAD">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R v Heary</w:t>
      </w:r>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DPP v Terrick,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w:t>
      </w:r>
      <w:r w:rsidRPr="001C6E0E">
        <w:rPr>
          <w:rFonts w:ascii="Arial" w:hAnsi="Arial" w:cs="Arial"/>
          <w:color w:val="000000"/>
          <w:sz w:val="20"/>
          <w:szCs w:val="20"/>
        </w:rPr>
        <w:lastRenderedPageBreak/>
        <w:t>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DPP v Bogtstra, Kontoklotsis &amp; Karazisis</w:t>
      </w:r>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B</w:t>
      </w:r>
      <w:r w:rsidR="00C21BDF" w:rsidRPr="001C6E0E">
        <w:rPr>
          <w:rFonts w:ascii="Arial" w:hAnsi="Arial" w:cs="Arial"/>
          <w:color w:val="000000"/>
          <w:sz w:val="20"/>
        </w:rPr>
        <w:t>ogtstra</w:t>
      </w:r>
      <w:r w:rsidR="00F6754E" w:rsidRPr="001C6E0E">
        <w:rPr>
          <w:rFonts w:ascii="Arial" w:hAnsi="Arial" w:cs="Arial"/>
          <w:color w:val="000000"/>
          <w:sz w:val="20"/>
        </w:rPr>
        <w:t xml:space="preserve"> &amp; Ko</w:t>
      </w:r>
      <w:r w:rsidR="00C21BDF" w:rsidRPr="001C6E0E">
        <w:rPr>
          <w:rFonts w:ascii="Arial" w:hAnsi="Arial" w:cs="Arial"/>
          <w:color w:val="000000"/>
          <w:sz w:val="20"/>
        </w:rPr>
        <w:t>ntoklotsis</w:t>
      </w:r>
      <w:r w:rsidR="00F6754E" w:rsidRPr="001C6E0E">
        <w:rPr>
          <w:rFonts w:ascii="Arial" w:hAnsi="Arial" w:cs="Arial"/>
          <w:color w:val="000000"/>
          <w:sz w:val="20"/>
        </w:rPr>
        <w:t xml:space="preserve"> were dismissed.  Appeal against sentence in the case of Ka</w:t>
      </w:r>
      <w:r w:rsidR="00C21BDF" w:rsidRPr="001C6E0E">
        <w:rPr>
          <w:rFonts w:ascii="Arial" w:hAnsi="Arial" w:cs="Arial"/>
          <w:color w:val="000000"/>
          <w:sz w:val="20"/>
        </w:rPr>
        <w:t>razisis</w:t>
      </w:r>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Karazisis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DPP v Fevaleaki</w:t>
      </w:r>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68" w:name="fnB22"/>
      <w:r w:rsidRPr="001C6E0E">
        <w:rPr>
          <w:rFonts w:ascii="Arial" w:hAnsi="Arial" w:cs="Arial"/>
          <w:color w:val="000000"/>
          <w:sz w:val="20"/>
          <w:lang w:val="en-US"/>
        </w:rPr>
        <w:t xml:space="preserve"> [2010] VSCA 119,</w:t>
      </w:r>
      <w:bookmarkEnd w:id="668"/>
      <w:r w:rsidRPr="001C6E0E">
        <w:rPr>
          <w:rFonts w:ascii="Arial" w:hAnsi="Arial" w:cs="Arial"/>
          <w:color w:val="000000"/>
          <w:sz w:val="20"/>
          <w:lang w:val="en-US"/>
        </w:rPr>
        <w:t xml:space="preserve"> [23]–[27]. </w:t>
      </w:r>
      <w:r w:rsidRPr="001C6E0E">
        <w:rPr>
          <w:rFonts w:ascii="Arial" w:hAnsi="Arial" w:cs="Arial"/>
          <w:color w:val="000000"/>
          <w:sz w:val="20"/>
        </w:rPr>
        <w:t xml:space="preserve"> Karazisis’ plea of guilty to the offence of recklessly causing serious injury amounted to an acknowledgement on his part that he was aware, when he applied the choke hold to Adams, and thereby rendered him unconscious, that his conduct would probably cause serious injury: </w:t>
      </w:r>
      <w:r w:rsidRPr="001C6E0E">
        <w:rPr>
          <w:rFonts w:ascii="Arial" w:hAnsi="Arial" w:cs="Arial"/>
          <w:i/>
          <w:color w:val="000000"/>
          <w:sz w:val="20"/>
        </w:rPr>
        <w:t xml:space="preserve">Ignatova v The Queen </w:t>
      </w:r>
      <w:r w:rsidRPr="001C6E0E">
        <w:rPr>
          <w:rFonts w:ascii="Arial" w:hAnsi="Arial" w:cs="Arial"/>
          <w:color w:val="000000"/>
          <w:sz w:val="20"/>
        </w:rPr>
        <w:t xml:space="preserve">[2010] VSCA 263.  Prior to the decision in </w:t>
      </w:r>
      <w:r w:rsidRPr="001C6E0E">
        <w:rPr>
          <w:rFonts w:ascii="Arial" w:hAnsi="Arial" w:cs="Arial"/>
          <w:i/>
          <w:color w:val="000000"/>
          <w:sz w:val="20"/>
        </w:rPr>
        <w:t>Ignatova</w:t>
      </w:r>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r w:rsidRPr="001C6E0E">
        <w:rPr>
          <w:rFonts w:ascii="Arial" w:hAnsi="Arial" w:cs="Arial"/>
          <w:i/>
          <w:color w:val="000000"/>
          <w:sz w:val="20"/>
        </w:rPr>
        <w:t>Ignatova</w:t>
      </w:r>
      <w:r w:rsidRPr="001C6E0E">
        <w:rPr>
          <w:rFonts w:ascii="Arial" w:hAnsi="Arial" w:cs="Arial"/>
          <w:color w:val="000000"/>
          <w:sz w:val="20"/>
        </w:rPr>
        <w:t xml:space="preserve"> held that ‘indifference’ was not an element of this offence.  Accordingly, Karazisis’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r w:rsidR="00B233F7" w:rsidRPr="00B233F7">
        <w:rPr>
          <w:rFonts w:ascii="Arial" w:hAnsi="Arial" w:cs="Arial"/>
          <w:i/>
          <w:iCs/>
          <w:color w:val="000000"/>
          <w:sz w:val="20"/>
        </w:rPr>
        <w:t>Jawahiri v The Queen</w:t>
      </w:r>
      <w:r w:rsidR="00B233F7">
        <w:rPr>
          <w:rFonts w:ascii="Arial" w:hAnsi="Arial" w:cs="Arial"/>
          <w:color w:val="000000"/>
          <w:sz w:val="20"/>
        </w:rPr>
        <w:t xml:space="preserve">; </w:t>
      </w:r>
      <w:r w:rsidR="00B233F7" w:rsidRPr="00B233F7">
        <w:rPr>
          <w:rFonts w:ascii="Arial" w:hAnsi="Arial" w:cs="Arial"/>
          <w:i/>
          <w:iCs/>
          <w:color w:val="000000"/>
          <w:sz w:val="20"/>
        </w:rPr>
        <w:t>Eser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had planned to assault the victim.  Eser pushed the victim towards an unknown male and Jawahiri attacked the victim with a meat cleaver causing life-threatening injuries resulting in him being admitted to the intensive care unit at Royal Melbourne Hospital in a critical condition.  Only timely and expert intervention saved his life.  Jawahiri pleaded guilty to intentionally causing serious injury and was sentenced to IMP8</w:t>
      </w:r>
      <w:r w:rsidR="005B1BC3">
        <w:rPr>
          <w:rFonts w:ascii="Arial" w:hAnsi="Arial" w:cs="Arial"/>
          <w:color w:val="000000"/>
          <w:sz w:val="20"/>
        </w:rPr>
        <w:t>y6m/5y6m.  Eser pleaded guilty to recklessly causing serious injury and was sentenced to IMP7y/5y.  In dismissing Jawahiri’s appeal, Priest &amp; T Forrest JJA held-</w:t>
      </w:r>
    </w:p>
    <w:p w14:paraId="69838625" w14:textId="4B4DB42F" w:rsidR="00B0622A" w:rsidRDefault="00DB66A2" w:rsidP="0041583D">
      <w:pPr>
        <w:pStyle w:val="ListParagraph"/>
        <w:numPr>
          <w:ilvl w:val="0"/>
          <w:numId w:val="97"/>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w:t>
      </w:r>
      <w:r w:rsidR="0082113A">
        <w:rPr>
          <w:rFonts w:ascii="Arial" w:hAnsi="Arial" w:cs="Arial"/>
          <w:color w:val="000000"/>
          <w:sz w:val="20"/>
        </w:rPr>
        <w:lastRenderedPageBreak/>
        <w:t xml:space="preserve">however, the objective gravity of the offending was very grave indeed.  </w:t>
      </w:r>
      <w:r>
        <w:rPr>
          <w:rFonts w:ascii="Arial" w:hAnsi="Arial" w:cs="Arial"/>
          <w:color w:val="000000"/>
          <w:sz w:val="20"/>
        </w:rPr>
        <w:t>This was no alcohol- or ice-fueled moment of madness.  We agree with the sentencing judge that this was a ruthless, planned attack, in which Jawahiri (at least) intended to and did use a vicious, murderous weapon.”</w:t>
      </w:r>
    </w:p>
    <w:p w14:paraId="305102F0" w14:textId="65BC69E2" w:rsidR="005B1BC3"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szCs w:val="20"/>
        </w:rPr>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DPP v Dalgliesh (a pseudonym)</w:t>
      </w:r>
      <w:r w:rsidR="0082113A" w:rsidRPr="0082113A">
        <w:rPr>
          <w:rFonts w:ascii="Arial" w:hAnsi="Arial" w:cs="Arial"/>
          <w:sz w:val="20"/>
          <w:szCs w:val="20"/>
        </w:rPr>
        <w:t xml:space="preserve"> (2017) 262 CLR 428, 450 [68] (Kiefel CJ, Bell and Keane JJ)</w:t>
      </w:r>
      <w:r>
        <w:rPr>
          <w:rFonts w:ascii="Arial" w:hAnsi="Arial" w:cs="Arial"/>
          <w:sz w:val="20"/>
          <w:szCs w:val="20"/>
        </w:rPr>
        <w:t>.</w:t>
      </w:r>
    </w:p>
    <w:p w14:paraId="4886C7B0" w14:textId="687DD77F" w:rsidR="0082113A"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sz w:val="20"/>
          <w:szCs w:val="20"/>
        </w:rPr>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In allowing Eser’s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Eser knew of Jawahiri’s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that very shortly after the attack commenced, Eser must have been aware of the presence and use of the weapon, and yet he continued in the assault until its conclusion.  This is serious offending.</w:t>
      </w:r>
    </w:p>
    <w:p w14:paraId="117CFD2F" w14:textId="1A0CFC4C" w:rsidR="00D11521" w:rsidRPr="00C1481D" w:rsidRDefault="00C1481D" w:rsidP="0041583D">
      <w:pPr>
        <w:pStyle w:val="ListParagraph"/>
        <w:numPr>
          <w:ilvl w:val="0"/>
          <w:numId w:val="97"/>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r w:rsidRPr="00C1481D">
        <w:rPr>
          <w:rFonts w:ascii="Arial" w:eastAsia="Book Antiqua" w:hAnsi="Arial" w:cs="Arial"/>
          <w:i/>
          <w:sz w:val="20"/>
          <w:szCs w:val="20"/>
        </w:rPr>
        <w:t xml:space="preserve">Mielicki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 xml:space="preserve">9 (Southwell, Ormiston and Coldrey JJ);  </w:t>
      </w:r>
      <w:r w:rsidRPr="00C1481D">
        <w:rPr>
          <w:rFonts w:ascii="Arial" w:eastAsia="Book Antiqua" w:hAnsi="Arial" w:cs="Arial"/>
          <w:i/>
          <w:sz w:val="20"/>
          <w:szCs w:val="20"/>
        </w:rPr>
        <w:t xml:space="preserve">Ristevski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rsidP="0041583D">
      <w:pPr>
        <w:pStyle w:val="ListParagraph"/>
        <w:numPr>
          <w:ilvl w:val="0"/>
          <w:numId w:val="97"/>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r w:rsidRPr="00E71F93">
        <w:rPr>
          <w:rFonts w:ascii="Arial" w:eastAsia="Book Antiqua" w:hAnsi="Arial" w:cs="Arial"/>
          <w:i/>
          <w:sz w:val="20"/>
          <w:szCs w:val="20"/>
        </w:rPr>
        <w:t>Marrah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768F66B3" w:rsidR="00B233F7" w:rsidRDefault="00B233F7">
      <w:pPr>
        <w:jc w:val="both"/>
        <w:rPr>
          <w:rFonts w:ascii="Arial" w:hAnsi="Arial" w:cs="Arial"/>
          <w:color w:val="000000"/>
          <w:sz w:val="20"/>
        </w:rPr>
      </w:pPr>
    </w:p>
    <w:p w14:paraId="472C981C" w14:textId="42020311" w:rsidR="004C337C" w:rsidRDefault="0002091C" w:rsidP="0002091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the applicant had </w:t>
      </w:r>
      <w:r w:rsidR="004C337C">
        <w:rPr>
          <w:rFonts w:ascii="Arial" w:hAnsi="Arial" w:cs="Arial"/>
          <w:color w:val="000000"/>
          <w:sz w:val="20"/>
          <w:szCs w:val="20"/>
        </w:rPr>
        <w:t xml:space="preserve">been sentenced to IMP5y on a plea of guilty to </w:t>
      </w:r>
      <w:r>
        <w:rPr>
          <w:rFonts w:ascii="Arial" w:hAnsi="Arial" w:cs="Arial"/>
          <w:color w:val="000000"/>
          <w:sz w:val="20"/>
          <w:szCs w:val="20"/>
        </w:rPr>
        <w:t>recklessly causing serious injury</w:t>
      </w:r>
      <w:r w:rsidR="004C337C">
        <w:rPr>
          <w:rFonts w:ascii="Arial" w:hAnsi="Arial" w:cs="Arial"/>
          <w:color w:val="000000"/>
          <w:sz w:val="20"/>
          <w:szCs w:val="20"/>
        </w:rPr>
        <w:t xml:space="preserve">.  Although describing at [46] the IMP5y sentence as “very stern”, the Court of Appeal refused leave to appeal.  </w:t>
      </w:r>
      <w:r>
        <w:rPr>
          <w:rFonts w:ascii="Arial" w:hAnsi="Arial" w:cs="Arial"/>
          <w:color w:val="000000"/>
          <w:sz w:val="20"/>
          <w:szCs w:val="20"/>
        </w:rPr>
        <w:t xml:space="preserve">The circumstances of the “serious injury” were that the applicant punched the victim with a full force blow to the right side of his jaw causing the victim to fall backwards, striking the top of his head on the concrete footpath and resulting in the victim being unconscious for 8-9 minutes, suffering broken teeth, damage to his nose, pain, headaches and some ongoing consequences.  </w:t>
      </w:r>
      <w:r w:rsidR="004C337C">
        <w:rPr>
          <w:rFonts w:ascii="Arial" w:hAnsi="Arial" w:cs="Arial"/>
          <w:color w:val="000000"/>
          <w:sz w:val="20"/>
          <w:szCs w:val="20"/>
        </w:rPr>
        <w:t>In rejecting the applicant’s submission that it was not open to find the injury was other than at the lower end of the spectrum of serious injury</w:t>
      </w:r>
      <w:r w:rsidR="00D079C0">
        <w:rPr>
          <w:rFonts w:ascii="Arial" w:hAnsi="Arial" w:cs="Arial"/>
          <w:color w:val="000000"/>
          <w:sz w:val="20"/>
          <w:szCs w:val="20"/>
        </w:rPr>
        <w:t>,</w:t>
      </w:r>
      <w:r w:rsidR="004C337C">
        <w:rPr>
          <w:rFonts w:ascii="Arial" w:hAnsi="Arial" w:cs="Arial"/>
          <w:color w:val="000000"/>
          <w:sz w:val="20"/>
          <w:szCs w:val="20"/>
        </w:rPr>
        <w:t xml:space="preserve"> Niall &amp; T Forrest JJA said at [31]-[37]</w:t>
      </w:r>
      <w:r w:rsidR="00A97CF3">
        <w:rPr>
          <w:rFonts w:ascii="Arial" w:hAnsi="Arial" w:cs="Arial"/>
          <w:color w:val="000000"/>
          <w:sz w:val="20"/>
          <w:szCs w:val="20"/>
        </w:rPr>
        <w:t xml:space="preserve"> [emphasis added]</w:t>
      </w:r>
      <w:r w:rsidR="004C337C">
        <w:rPr>
          <w:rFonts w:ascii="Arial" w:hAnsi="Arial" w:cs="Arial"/>
          <w:color w:val="000000"/>
          <w:sz w:val="20"/>
          <w:szCs w:val="20"/>
        </w:rPr>
        <w:t>:</w:t>
      </w:r>
    </w:p>
    <w:p w14:paraId="4C086FA9" w14:textId="77777777" w:rsidR="004C337C" w:rsidRDefault="004C337C" w:rsidP="004C337C">
      <w:pPr>
        <w:pStyle w:val="Normal-Indent"/>
        <w:widowControl/>
        <w:spacing w:before="60" w:line="240" w:lineRule="auto"/>
        <w:ind w:left="567" w:right="567"/>
        <w:rPr>
          <w:rFonts w:ascii="Arial" w:hAnsi="Arial" w:cs="Arial"/>
          <w:sz w:val="20"/>
          <w:szCs w:val="16"/>
        </w:rPr>
      </w:pPr>
      <w:r>
        <w:rPr>
          <w:rFonts w:ascii="Arial" w:hAnsi="Arial" w:cs="Arial"/>
          <w:color w:val="000000"/>
          <w:sz w:val="20"/>
          <w:szCs w:val="24"/>
        </w:rPr>
        <w:t>[31] “</w:t>
      </w:r>
      <w:r w:rsidRPr="004C337C">
        <w:rPr>
          <w:rFonts w:ascii="Arial" w:hAnsi="Arial" w:cs="Arial"/>
          <w:sz w:val="20"/>
          <w:szCs w:val="16"/>
        </w:rPr>
        <w:t xml:space="preserve">In </w:t>
      </w:r>
      <w:r w:rsidRPr="004C337C">
        <w:rPr>
          <w:rFonts w:ascii="Arial" w:hAnsi="Arial" w:cs="Arial"/>
          <w:i/>
          <w:iCs/>
          <w:sz w:val="20"/>
          <w:szCs w:val="16"/>
        </w:rPr>
        <w:t>Sarjeant v The Queen; Garratt v The Queen</w:t>
      </w:r>
      <w:r>
        <w:rPr>
          <w:rFonts w:ascii="Arial" w:hAnsi="Arial" w:cs="Arial"/>
          <w:sz w:val="20"/>
          <w:szCs w:val="16"/>
        </w:rPr>
        <w:t xml:space="preserve"> [2020] VSCA 45</w:t>
      </w:r>
      <w:r w:rsidRPr="004C337C">
        <w:rPr>
          <w:rFonts w:ascii="Arial" w:hAnsi="Arial" w:cs="Arial"/>
          <w:sz w:val="20"/>
          <w:szCs w:val="16"/>
        </w:rPr>
        <w:t xml:space="preserve"> this Court held </w:t>
      </w:r>
      <w:r>
        <w:rPr>
          <w:rFonts w:ascii="Arial" w:hAnsi="Arial" w:cs="Arial"/>
          <w:sz w:val="20"/>
          <w:szCs w:val="16"/>
        </w:rPr>
        <w:t xml:space="preserve">at [43] </w:t>
      </w:r>
      <w:r w:rsidRPr="004C337C">
        <w:rPr>
          <w:rFonts w:ascii="Arial" w:hAnsi="Arial" w:cs="Arial"/>
          <w:sz w:val="20"/>
          <w:szCs w:val="16"/>
        </w:rPr>
        <w:t>that the time for assessment of seriousness is the time the injury is sustained.</w:t>
      </w:r>
      <w:r>
        <w:rPr>
          <w:rFonts w:ascii="Arial" w:hAnsi="Arial" w:cs="Arial"/>
          <w:sz w:val="20"/>
          <w:szCs w:val="16"/>
        </w:rPr>
        <w:t xml:space="preserve"> </w:t>
      </w:r>
      <w:r w:rsidRPr="004C337C">
        <w:rPr>
          <w:rFonts w:ascii="Arial" w:hAnsi="Arial" w:cs="Arial"/>
          <w:sz w:val="20"/>
          <w:szCs w:val="16"/>
        </w:rPr>
        <w:t xml:space="preserve"> The focus of the relevant limb of the definition is on an injury that, at the time it is inflicted, places the life of the victim at risk. Such an injury does not cease to be a serious injury because some intervention such as medical assistance prevents the risk materialising even where there is little or no ongoing damage. As explained by this Court in </w:t>
      </w:r>
      <w:r w:rsidRPr="004C337C">
        <w:rPr>
          <w:rFonts w:ascii="Arial" w:hAnsi="Arial" w:cs="Arial"/>
          <w:i/>
          <w:iCs/>
          <w:sz w:val="20"/>
          <w:szCs w:val="16"/>
        </w:rPr>
        <w:t>Sarjeant</w:t>
      </w:r>
      <w:r w:rsidRPr="004C337C">
        <w:rPr>
          <w:rFonts w:ascii="Arial" w:hAnsi="Arial" w:cs="Arial"/>
          <w:sz w:val="20"/>
          <w:szCs w:val="16"/>
        </w:rPr>
        <w:t>, the time of assessment of seriousness is not postponed to await the unfolding of the consequences of the particular injury for the particular victim, and the determination of seriousness does not depend on contingencies such as the timeliness of medical intervention in the particular case.</w:t>
      </w:r>
    </w:p>
    <w:p w14:paraId="24F0CF02" w14:textId="77777777" w:rsidR="00D37D31" w:rsidRDefault="004C337C" w:rsidP="004C337C">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4C337C">
        <w:rPr>
          <w:rFonts w:ascii="Arial" w:hAnsi="Arial" w:cs="Arial"/>
          <w:sz w:val="20"/>
          <w:szCs w:val="16"/>
        </w:rPr>
        <w:t>32</w:t>
      </w:r>
      <w:r>
        <w:rPr>
          <w:rFonts w:ascii="Arial" w:hAnsi="Arial" w:cs="Arial"/>
          <w:sz w:val="20"/>
          <w:szCs w:val="16"/>
        </w:rPr>
        <w:t>]</w:t>
      </w:r>
      <w:r w:rsidRPr="004C337C">
        <w:rPr>
          <w:rFonts w:ascii="Arial" w:hAnsi="Arial" w:cs="Arial"/>
          <w:sz w:val="20"/>
          <w:szCs w:val="16"/>
        </w:rPr>
        <w:t xml:space="preserve"> This construction of the provision is supported both by the language and extrinsic material. The Explanatory Memorandum for the amending bill said: </w:t>
      </w:r>
    </w:p>
    <w:p w14:paraId="7E046E2C" w14:textId="3B7E3331" w:rsidR="004C337C" w:rsidRPr="00D37D31" w:rsidRDefault="004C337C" w:rsidP="00D37D31">
      <w:pPr>
        <w:pStyle w:val="Normal-Indent"/>
        <w:widowControl/>
        <w:spacing w:before="60" w:line="240" w:lineRule="auto"/>
        <w:ind w:left="1021" w:right="1021"/>
        <w:rPr>
          <w:rFonts w:ascii="Arial" w:hAnsi="Arial" w:cs="Arial"/>
          <w:color w:val="000000"/>
          <w:sz w:val="14"/>
          <w:szCs w:val="18"/>
        </w:rPr>
      </w:pPr>
      <w:r w:rsidRPr="00D37D31">
        <w:rPr>
          <w:rFonts w:ascii="Arial" w:hAnsi="Arial" w:cs="Arial"/>
          <w:sz w:val="18"/>
          <w:szCs w:val="14"/>
        </w:rPr>
        <w:t>The new definition of serious injury is an injury (including the cumulative effect of more than one injury) that endangers life or is substantial and protracted. This replaces the current reference to a serious injury including ‘a combination of injuries’. The new definition raises the threshold for ‘serious injury’. Under the new definition, an injury need not be permanent to be considered ‘serious’. A broken jaw or a broken leg may constitute a ‘serious injury’ under this definition. A very short-term life-endangering injury would also constitute a ‘serious injury’.</w:t>
      </w:r>
    </w:p>
    <w:p w14:paraId="4CE1D55B" w14:textId="623C7D8A" w:rsidR="00D37D31" w:rsidRDefault="004C337C" w:rsidP="004C337C">
      <w:pPr>
        <w:pStyle w:val="Normal-Indent"/>
        <w:widowControl/>
        <w:spacing w:before="60" w:line="240" w:lineRule="auto"/>
        <w:ind w:left="567" w:right="567"/>
        <w:rPr>
          <w:rFonts w:ascii="Arial" w:hAnsi="Arial" w:cs="Arial"/>
          <w:sz w:val="20"/>
        </w:rPr>
      </w:pPr>
      <w:r>
        <w:rPr>
          <w:rFonts w:ascii="Arial" w:hAnsi="Arial" w:cs="Arial"/>
          <w:color w:val="000000"/>
          <w:sz w:val="20"/>
          <w:szCs w:val="24"/>
        </w:rPr>
        <w:t xml:space="preserve">[33] </w:t>
      </w:r>
      <w:r w:rsidRPr="004C337C">
        <w:rPr>
          <w:rFonts w:ascii="Arial" w:hAnsi="Arial" w:cs="Arial"/>
          <w:sz w:val="20"/>
        </w:rPr>
        <w:t>There is no doubt that the seriousness of the injury can be an important matter in sentencing. Yet it must be accepted that the concept of ‘serious injury’, even in its current form which was intended to narrow the scope of what constituted a serious injury when compared to earlier forms of the legislation, covers a potentially wide range of injury. To</w:t>
      </w:r>
      <w:r w:rsidR="00A97CF3">
        <w:rPr>
          <w:rFonts w:ascii="Arial" w:hAnsi="Arial" w:cs="Arial"/>
          <w:sz w:val="20"/>
        </w:rPr>
        <w:t> </w:t>
      </w:r>
      <w:r w:rsidRPr="004C337C">
        <w:rPr>
          <w:rFonts w:ascii="Arial" w:hAnsi="Arial" w:cs="Arial"/>
          <w:sz w:val="20"/>
        </w:rPr>
        <w:t>place a particular example within the spectrum of potential injuries is by no means an easy task. It entails an evaluative judgment that is not based on a fixed sliding scale. For example, it is difficult to compare a compound fracture of a leg that is serious but not life threatening to an injury that gives rise to a high risk of death.</w:t>
      </w:r>
    </w:p>
    <w:p w14:paraId="42C47473" w14:textId="6EFF3A6A"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34</w:t>
      </w:r>
      <w:r>
        <w:rPr>
          <w:rFonts w:ascii="Arial" w:hAnsi="Arial" w:cs="Arial"/>
          <w:sz w:val="20"/>
        </w:rPr>
        <w:t>]</w:t>
      </w:r>
      <w:r w:rsidR="004C337C" w:rsidRPr="004C337C">
        <w:rPr>
          <w:rFonts w:ascii="Arial" w:hAnsi="Arial" w:cs="Arial"/>
          <w:sz w:val="20"/>
        </w:rPr>
        <w:t xml:space="preserve"> In sentencing the applicant, the judge accepted the medical evidence that the injury presented a ‘high risk of death’. Although it may be accepted that one mechanism by </w:t>
      </w:r>
      <w:r w:rsidR="004C337C" w:rsidRPr="004C337C">
        <w:rPr>
          <w:rFonts w:ascii="Arial" w:hAnsi="Arial" w:cs="Arial"/>
          <w:sz w:val="20"/>
        </w:rPr>
        <w:lastRenderedPageBreak/>
        <w:t>which a blow to the head may cause significant injury is bleeding on or around the brain, the evidence established that this is not the only pathway to such an injury and that occlusion of the airways and consequent loss of oxygen to the brain is another.</w:t>
      </w:r>
    </w:p>
    <w:p w14:paraId="3E37BD55" w14:textId="4AFB4F3D"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35</w:t>
      </w:r>
      <w:r>
        <w:rPr>
          <w:rFonts w:ascii="Arial" w:hAnsi="Arial" w:cs="Arial"/>
          <w:sz w:val="20"/>
        </w:rPr>
        <w:t>]</w:t>
      </w:r>
      <w:r w:rsidR="004C337C" w:rsidRPr="004C337C">
        <w:rPr>
          <w:rFonts w:ascii="Arial" w:hAnsi="Arial" w:cs="Arial"/>
          <w:sz w:val="20"/>
        </w:rPr>
        <w:t xml:space="preserve"> We do not take her Honour to have proceeded on the basis that every instance of injury endangering life is, for that reason alone, necessarily above the lower end of serious injuries. We accept that there may be gradations of injuries that endanger life, having regard to the nature of the injury and the level of risk it entails. </w:t>
      </w:r>
      <w:r w:rsidR="004C337C" w:rsidRPr="00A97CF3">
        <w:rPr>
          <w:rFonts w:ascii="Arial" w:hAnsi="Arial" w:cs="Arial"/>
          <w:b/>
          <w:bCs/>
          <w:sz w:val="20"/>
        </w:rPr>
        <w:t>The judge considered that the high risk of death was a serious matter and placed the injury above the ‘lower end of the spectrum of serious injuries’.</w:t>
      </w:r>
      <w:r w:rsidR="00A97CF3" w:rsidRPr="00A97CF3">
        <w:rPr>
          <w:rFonts w:ascii="Arial" w:hAnsi="Arial" w:cs="Arial"/>
          <w:b/>
          <w:bCs/>
          <w:sz w:val="20"/>
        </w:rPr>
        <w:t xml:space="preserve">  </w:t>
      </w:r>
      <w:r w:rsidR="004C337C" w:rsidRPr="00A97CF3">
        <w:rPr>
          <w:rFonts w:ascii="Arial" w:hAnsi="Arial" w:cs="Arial"/>
          <w:b/>
          <w:bCs/>
          <w:sz w:val="20"/>
        </w:rPr>
        <w:t>That was an evaluative judgment on a matter on which there is no exact measure. In our opinion, in light of the evidence, the finding was unremarkable.</w:t>
      </w:r>
    </w:p>
    <w:p w14:paraId="1552CD01" w14:textId="77777777"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36</w:t>
      </w:r>
      <w:r>
        <w:rPr>
          <w:rFonts w:ascii="Arial" w:hAnsi="Arial" w:cs="Arial"/>
          <w:sz w:val="20"/>
        </w:rPr>
        <w:t>]</w:t>
      </w:r>
      <w:r w:rsidR="004C337C" w:rsidRPr="004C337C">
        <w:rPr>
          <w:rFonts w:ascii="Arial" w:hAnsi="Arial" w:cs="Arial"/>
          <w:sz w:val="20"/>
        </w:rPr>
        <w:t xml:space="preserve"> It is also important to bear in mind that, although the assessment of the nature and extent of the injury is a relevant matter in sentencing an offender for recklessly causing serious injury, the objective gravity of the offending is not solely tied to that feature. Here, as the judge observed there were a number of factors that objectively made the applicant’s conduct serious. The assault was unprovoked and the victim had no opportunity to evade contact or even brace for the punch which was executed with considerable force. The incident occurred on a public street and the applicant was affected by alcohol. </w:t>
      </w:r>
    </w:p>
    <w:p w14:paraId="71E197B7" w14:textId="4CD16CBE" w:rsidR="004C337C" w:rsidRPr="00D37D31" w:rsidRDefault="00D37D31" w:rsidP="004C337C">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004C337C" w:rsidRPr="004C337C">
        <w:rPr>
          <w:rFonts w:ascii="Arial" w:hAnsi="Arial" w:cs="Arial"/>
          <w:sz w:val="20"/>
        </w:rPr>
        <w:t>37</w:t>
      </w:r>
      <w:r>
        <w:rPr>
          <w:rFonts w:ascii="Arial" w:hAnsi="Arial" w:cs="Arial"/>
          <w:sz w:val="20"/>
        </w:rPr>
        <w:t>]</w:t>
      </w:r>
      <w:r w:rsidR="004C337C" w:rsidRPr="004C337C">
        <w:rPr>
          <w:rFonts w:ascii="Arial" w:hAnsi="Arial" w:cs="Arial"/>
          <w:sz w:val="20"/>
        </w:rPr>
        <w:t xml:space="preserve"> In our view, it is not arguable to contend that the judge’s assessment of the seriousness of the injury or the gravity of the offending was not open.</w:t>
      </w:r>
      <w:r>
        <w:rPr>
          <w:rFonts w:ascii="Arial" w:hAnsi="Arial" w:cs="Arial"/>
          <w:sz w:val="20"/>
        </w:rPr>
        <w:t>”</w:t>
      </w:r>
    </w:p>
    <w:p w14:paraId="15231CCF" w14:textId="77777777" w:rsidR="004C337C" w:rsidRDefault="004C337C">
      <w:pPr>
        <w:jc w:val="both"/>
        <w:rPr>
          <w:rFonts w:ascii="Arial" w:hAnsi="Arial" w:cs="Arial"/>
          <w:color w:val="000000"/>
          <w:sz w:val="20"/>
        </w:rPr>
      </w:pPr>
    </w:p>
    <w:p w14:paraId="16418965" w14:textId="4CAE2D5F" w:rsidR="001B3DC8" w:rsidRPr="001B3DC8" w:rsidRDefault="00D447E3">
      <w:pPr>
        <w:jc w:val="both"/>
        <w:rPr>
          <w:rFonts w:ascii="Arial" w:hAnsi="Arial" w:cs="Arial"/>
          <w:sz w:val="20"/>
          <w:szCs w:val="20"/>
        </w:rPr>
      </w:pPr>
      <w:r>
        <w:rPr>
          <w:rFonts w:ascii="Arial" w:hAnsi="Arial" w:cs="Arial"/>
          <w:color w:val="000000"/>
          <w:sz w:val="20"/>
        </w:rPr>
        <w:t xml:space="preserve">In </w:t>
      </w:r>
      <w:r w:rsidRPr="00EA57DB">
        <w:rPr>
          <w:rFonts w:ascii="Arial" w:hAnsi="Arial" w:cs="Arial"/>
          <w:i/>
          <w:iCs/>
          <w:color w:val="000000"/>
          <w:sz w:val="20"/>
        </w:rPr>
        <w:t>DPP v Talbot</w:t>
      </w:r>
      <w:r>
        <w:rPr>
          <w:rFonts w:ascii="Arial" w:hAnsi="Arial" w:cs="Arial"/>
          <w:color w:val="000000"/>
          <w:sz w:val="20"/>
        </w:rPr>
        <w:t xml:space="preserve"> [2023] VSCA 95 the </w:t>
      </w:r>
      <w:r w:rsidR="00D24B51">
        <w:rPr>
          <w:rFonts w:ascii="Arial" w:hAnsi="Arial" w:cs="Arial"/>
          <w:color w:val="000000"/>
          <w:sz w:val="20"/>
        </w:rPr>
        <w:t xml:space="preserve">29 year old </w:t>
      </w:r>
      <w:r>
        <w:rPr>
          <w:rFonts w:ascii="Arial" w:hAnsi="Arial" w:cs="Arial"/>
          <w:color w:val="000000"/>
          <w:sz w:val="20"/>
        </w:rPr>
        <w:t xml:space="preserve">respondent </w:t>
      </w:r>
      <w:r w:rsidR="00EA57DB">
        <w:rPr>
          <w:rFonts w:ascii="Arial" w:hAnsi="Arial" w:cs="Arial"/>
          <w:color w:val="000000"/>
          <w:sz w:val="20"/>
        </w:rPr>
        <w:t xml:space="preserve">– who had </w:t>
      </w:r>
      <w:r w:rsidR="007C7802">
        <w:rPr>
          <w:rFonts w:ascii="Arial" w:hAnsi="Arial" w:cs="Arial"/>
          <w:color w:val="000000"/>
          <w:sz w:val="20"/>
        </w:rPr>
        <w:t xml:space="preserve">a number of relevant prior </w:t>
      </w:r>
      <w:r w:rsidR="00D24B51">
        <w:rPr>
          <w:rFonts w:ascii="Arial" w:hAnsi="Arial" w:cs="Arial"/>
          <w:color w:val="000000"/>
          <w:sz w:val="20"/>
        </w:rPr>
        <w:t xml:space="preserve">convictions – </w:t>
      </w:r>
      <w:r>
        <w:rPr>
          <w:rFonts w:ascii="Arial" w:hAnsi="Arial" w:cs="Arial"/>
          <w:color w:val="000000"/>
          <w:sz w:val="20"/>
        </w:rPr>
        <w:t>had</w:t>
      </w:r>
      <w:r w:rsidR="00D24B51">
        <w:rPr>
          <w:rFonts w:ascii="Arial" w:hAnsi="Arial" w:cs="Arial"/>
          <w:color w:val="000000"/>
          <w:sz w:val="20"/>
        </w:rPr>
        <w:t xml:space="preserve"> </w:t>
      </w:r>
      <w:r>
        <w:rPr>
          <w:rFonts w:ascii="Arial" w:hAnsi="Arial" w:cs="Arial"/>
          <w:color w:val="000000"/>
          <w:sz w:val="20"/>
        </w:rPr>
        <w:t xml:space="preserve">pleaded guilty to charges of intentionally causing serious injury and home invasion.  </w:t>
      </w:r>
      <w:r w:rsidR="00EA57DB">
        <w:rPr>
          <w:rFonts w:ascii="Arial" w:hAnsi="Arial" w:cs="Arial"/>
          <w:color w:val="000000"/>
          <w:sz w:val="20"/>
        </w:rPr>
        <w:t xml:space="preserve">He had entered residential premises with others and had shot the victim in the knee with a sawn-off shotgun.  </w:t>
      </w:r>
      <w:r w:rsidR="00D24B51">
        <w:rPr>
          <w:rFonts w:ascii="Arial" w:hAnsi="Arial" w:cs="Arial"/>
          <w:color w:val="000000"/>
          <w:sz w:val="20"/>
        </w:rPr>
        <w:t>He had been sentenced to TES IMP8y/5y6m</w:t>
      </w:r>
      <w:r w:rsidR="004E5518">
        <w:rPr>
          <w:rFonts w:ascii="Arial" w:hAnsi="Arial" w:cs="Arial"/>
          <w:color w:val="000000"/>
          <w:sz w:val="20"/>
        </w:rPr>
        <w:t xml:space="preserve"> of which IMP</w:t>
      </w:r>
      <w:r w:rsidR="00C6747C">
        <w:rPr>
          <w:rFonts w:ascii="Arial" w:hAnsi="Arial" w:cs="Arial"/>
          <w:sz w:val="20"/>
        </w:rPr>
        <w:t>7y6m was imposed on the serious injury charge and IMP</w:t>
      </w:r>
      <w:r w:rsidR="00DC123C">
        <w:rPr>
          <w:rFonts w:ascii="Arial" w:hAnsi="Arial" w:cs="Arial"/>
          <w:sz w:val="20"/>
        </w:rPr>
        <w:t>5y (6m cumulative) was imposed on the home invasion charge.  The Court of Appeal allowed the appeal and substituted a TES IMP</w:t>
      </w:r>
      <w:r w:rsidR="0001798D">
        <w:rPr>
          <w:rFonts w:ascii="Arial" w:hAnsi="Arial" w:cs="Arial"/>
          <w:sz w:val="20"/>
        </w:rPr>
        <w:t xml:space="preserve">11y6m/9y of which IMP10y was imposed on the serious </w:t>
      </w:r>
      <w:r w:rsidR="003444E5">
        <w:rPr>
          <w:rFonts w:ascii="Arial" w:hAnsi="Arial" w:cs="Arial"/>
          <w:sz w:val="20"/>
        </w:rPr>
        <w:t xml:space="preserve">injury charge and IMP7y (18m cumulative) was imposed on the home invasion charge.  </w:t>
      </w:r>
      <w:r w:rsidR="001B3DC8" w:rsidRPr="001B3DC8">
        <w:rPr>
          <w:rFonts w:ascii="Arial" w:hAnsi="Arial" w:cs="Arial"/>
          <w:sz w:val="20"/>
          <w:szCs w:val="20"/>
        </w:rPr>
        <w:t>At [22] Priest, Niall &amp; T Forrest JJA said:</w:t>
      </w:r>
    </w:p>
    <w:p w14:paraId="690A4C21" w14:textId="49642BB0" w:rsidR="001B3DC8" w:rsidRPr="00D37D31" w:rsidRDefault="001B3DC8" w:rsidP="001B3DC8">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Pr="001B3DC8">
        <w:rPr>
          <w:rFonts w:ascii="Arial" w:hAnsi="Arial" w:cs="Arial"/>
          <w:sz w:val="20"/>
        </w:rPr>
        <w:t>Both of the offences are serious examples of the relevant offence. The respondent’s moral culpability was high. And the objective gravity of his offending was very high. He went to the York Street premises with a loaded sawn-off shotgun, which was both easily concealable and highly dangerous. Although the elements of the crime of home invasion include entry in the company of others whilst armed with a firearm, and intending to commit an offence involving an assault to a person in the home, the fact that the firearm was loaded indicates that the respondent contemplated terrorising those present; the use of extreme violence; and the imposition of very severe injury to the occupants. Indeed, having invaded the premises, not only did he terrorise Mr Veenings — who was a completely innocent bystander — by holding the shotgun to his head, but he fired it into Mr Veenings’ knee, causing terrible injuries. So much was a gratuitous, spiteful and cruel act of violence, which, as we have said, caused Mr Veenings to suffer very severe, life-changing injuries. And as the judge remarked, the respondent had had the opportunity to ‘pause, consider and desist’ before he did so. It was a very serious example of the offence of intentionally causing serious injury.</w:t>
      </w:r>
      <w:r>
        <w:rPr>
          <w:rFonts w:ascii="Arial" w:hAnsi="Arial" w:cs="Arial"/>
          <w:sz w:val="20"/>
        </w:rPr>
        <w:t>”</w:t>
      </w:r>
    </w:p>
    <w:p w14:paraId="13A9D229" w14:textId="77777777" w:rsidR="00D447E3" w:rsidRDefault="00D447E3">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girl friend’s sister in presence of her 6 year old son; attempted murder of former girl friend];</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Coldrey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Pantazopoulos</w:t>
      </w:r>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r w:rsidR="004E76F5" w:rsidRPr="001C6E0E">
        <w:rPr>
          <w:rFonts w:ascii="Arial" w:hAnsi="Arial" w:cs="Arial"/>
          <w:color w:val="000000"/>
          <w:sz w:val="20"/>
        </w:rPr>
        <w:t xml:space="preserve">Bongiorno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Evans; DPP v Hickinbotham</w:t>
      </w:r>
      <w:r w:rsidRPr="001C6E0E">
        <w:rPr>
          <w:rFonts w:ascii="Arial" w:hAnsi="Arial" w:cs="Arial"/>
          <w:color w:val="000000"/>
          <w:sz w:val="20"/>
        </w:rPr>
        <w:t xml:space="preserve"> [2007] VSCA 15 </w:t>
      </w:r>
      <w:r w:rsidR="00E6697D" w:rsidRPr="001C6E0E">
        <w:rPr>
          <w:rFonts w:ascii="Arial" w:hAnsi="Arial" w:cs="Arial"/>
          <w:color w:val="000000"/>
          <w:sz w:val="20"/>
        </w:rPr>
        <w:t>per Buchanan &amp; Eames JJA &amp; Kellam AJA [assault with spanner and jack hammer – sentences manifestly inadequate – Evans re-sentenced to 4y/1y9m – Hickinbotham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Bulert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Ali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Tresize</w:t>
      </w:r>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[2008] VSC 93 per Bongiorno J [attack on defacto];</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Aggelidis</w:t>
      </w:r>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Cossu</w:t>
      </w:r>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[2010] VSC 478 per Lasry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[2010] VSC 602 per Lasry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Dimitrakis</w:t>
      </w:r>
      <w:r w:rsidRPr="001C6E0E">
        <w:rPr>
          <w:rFonts w:ascii="Arial" w:hAnsi="Arial" w:cs="Arial"/>
          <w:color w:val="000000"/>
          <w:sz w:val="20"/>
        </w:rPr>
        <w:t xml:space="preserve"> [2010] VSC 614 per Coghlan J [stabbing of 44 year old man at the apparent instigation of his wife – undertaking to give evidence against coaccused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Ludeman,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rehabiliation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lastRenderedPageBreak/>
        <w:t>R v Hale</w:t>
      </w:r>
      <w:r w:rsidRPr="00503C7D">
        <w:rPr>
          <w:rFonts w:ascii="Arial" w:hAnsi="Arial" w:cs="Arial"/>
          <w:color w:val="000000"/>
          <w:sz w:val="20"/>
        </w:rPr>
        <w:t xml:space="preserve"> [2012] VSC 386 per Lasry J [“severe and unprovoked domestic violence” inflicted on victim by 40 year old defacto;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DPP v Hamdache</w:t>
      </w:r>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[2019] VSC 111 per Lasry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struck the victim with hammer in an unprovoked revenge attack – prior good character – immediate remorse – late plea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[32 year old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r w:rsidRPr="00711F80">
        <w:rPr>
          <w:rFonts w:ascii="Arial" w:hAnsi="Arial" w:cs="Arial"/>
          <w:i/>
          <w:iCs/>
          <w:color w:val="000000"/>
          <w:sz w:val="20"/>
        </w:rPr>
        <w:t>Bugmy</w:t>
      </w:r>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221F1D4D"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Gorgulu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517D8D">
        <w:rPr>
          <w:rFonts w:ascii="Arial" w:hAnsi="Arial" w:cs="Arial"/>
          <w:color w:val="000000"/>
          <w:sz w:val="20"/>
        </w:rPr>
        <w:t xml:space="preserve"> – DPP appeal allowed &amp; resentenced to </w:t>
      </w:r>
      <w:r w:rsidR="0045242D">
        <w:rPr>
          <w:rFonts w:ascii="Arial" w:hAnsi="Arial" w:cs="Arial"/>
          <w:color w:val="000000"/>
          <w:sz w:val="20"/>
        </w:rPr>
        <w:t>13</w:t>
      </w:r>
      <w:r w:rsidR="00517D8D">
        <w:rPr>
          <w:rFonts w:ascii="Arial" w:hAnsi="Arial" w:cs="Arial"/>
          <w:color w:val="000000"/>
          <w:sz w:val="20"/>
        </w:rPr>
        <w:t>y/</w:t>
      </w:r>
      <w:r w:rsidR="0045242D">
        <w:rPr>
          <w:rFonts w:ascii="Arial" w:hAnsi="Arial" w:cs="Arial"/>
          <w:color w:val="000000"/>
          <w:sz w:val="20"/>
        </w:rPr>
        <w:t>10</w:t>
      </w:r>
      <w:r w:rsidR="00517D8D">
        <w:rPr>
          <w:rFonts w:ascii="Arial" w:hAnsi="Arial" w:cs="Arial"/>
          <w:color w:val="000000"/>
          <w:sz w:val="20"/>
        </w:rPr>
        <w:t xml:space="preserve">y: see </w:t>
      </w:r>
      <w:r w:rsidR="00517D8D" w:rsidRPr="00517D8D">
        <w:rPr>
          <w:rFonts w:ascii="Arial" w:hAnsi="Arial" w:cs="Arial"/>
          <w:i/>
          <w:iCs/>
          <w:color w:val="000000"/>
          <w:sz w:val="20"/>
        </w:rPr>
        <w:t>DPP v Gorgulu</w:t>
      </w:r>
      <w:r w:rsidR="00517D8D">
        <w:rPr>
          <w:rFonts w:ascii="Arial" w:hAnsi="Arial" w:cs="Arial"/>
          <w:color w:val="000000"/>
          <w:sz w:val="20"/>
        </w:rPr>
        <w:t xml:space="preserve"> [2023] VSCA 140</w:t>
      </w:r>
      <w:r>
        <w:rPr>
          <w:rFonts w:ascii="Arial" w:hAnsi="Arial" w:cs="Arial"/>
          <w:color w:val="000000"/>
          <w:sz w:val="20"/>
        </w:rPr>
        <w:t>]</w:t>
      </w:r>
      <w:r w:rsidR="008A743E">
        <w:rPr>
          <w:rFonts w:ascii="Arial" w:hAnsi="Arial" w:cs="Arial"/>
          <w:color w:val="000000"/>
          <w:sz w:val="20"/>
        </w:rPr>
        <w:t>;</w:t>
      </w:r>
    </w:p>
    <w:p w14:paraId="0EC5FA58" w14:textId="77777777" w:rsidR="00AF6488"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r w:rsidR="00AF6488">
        <w:rPr>
          <w:rFonts w:ascii="Arial" w:hAnsi="Arial" w:cs="Arial"/>
          <w:color w:val="000000"/>
          <w:sz w:val="20"/>
        </w:rPr>
        <w:t>;</w:t>
      </w:r>
    </w:p>
    <w:p w14:paraId="4EB7C553" w14:textId="626D6812" w:rsidR="00AF6488" w:rsidRPr="00E01019" w:rsidRDefault="00AF6488" w:rsidP="00AF6488">
      <w:pPr>
        <w:numPr>
          <w:ilvl w:val="0"/>
          <w:numId w:val="37"/>
        </w:numPr>
        <w:ind w:left="357" w:hanging="357"/>
        <w:jc w:val="both"/>
        <w:rPr>
          <w:rFonts w:ascii="Arial" w:hAnsi="Arial" w:cs="Arial"/>
          <w:color w:val="000000"/>
          <w:sz w:val="20"/>
        </w:rPr>
      </w:pPr>
      <w:r w:rsidRPr="00AF6488">
        <w:rPr>
          <w:rFonts w:ascii="Arial" w:hAnsi="Arial" w:cs="Arial"/>
          <w:i/>
          <w:iCs/>
          <w:color w:val="000000"/>
          <w:sz w:val="20"/>
        </w:rPr>
        <w:t>DPP v Dastmozd</w:t>
      </w:r>
      <w:r>
        <w:rPr>
          <w:rFonts w:ascii="Arial" w:hAnsi="Arial" w:cs="Arial"/>
          <w:color w:val="000000"/>
          <w:sz w:val="20"/>
        </w:rPr>
        <w:t xml:space="preserve"> [2023] VSC 29 [41 year old accused </w:t>
      </w:r>
      <w:r w:rsidR="00DE1441">
        <w:rPr>
          <w:rFonts w:ascii="Arial" w:hAnsi="Arial" w:cs="Arial"/>
          <w:color w:val="000000"/>
          <w:sz w:val="20"/>
        </w:rPr>
        <w:t xml:space="preserve">was </w:t>
      </w:r>
      <w:r>
        <w:rPr>
          <w:rFonts w:ascii="Arial" w:hAnsi="Arial" w:cs="Arial"/>
          <w:color w:val="000000"/>
          <w:sz w:val="20"/>
        </w:rPr>
        <w:t xml:space="preserve">found guilty of </w:t>
      </w:r>
      <w:r w:rsidRPr="00DE1441">
        <w:rPr>
          <w:rFonts w:ascii="Arial" w:hAnsi="Arial" w:cs="Arial"/>
          <w:sz w:val="20"/>
          <w:szCs w:val="20"/>
        </w:rPr>
        <w:t>intentionally causing serious injury</w:t>
      </w:r>
      <w:r w:rsidR="00DE1441">
        <w:rPr>
          <w:rFonts w:ascii="Arial" w:hAnsi="Arial" w:cs="Arial"/>
          <w:sz w:val="20"/>
          <w:szCs w:val="20"/>
        </w:rPr>
        <w:t xml:space="preserve"> &amp; aggravated burglary and</w:t>
      </w:r>
      <w:r w:rsidRPr="00DE1441">
        <w:rPr>
          <w:rFonts w:ascii="Arial" w:hAnsi="Arial" w:cs="Arial"/>
          <w:sz w:val="20"/>
          <w:szCs w:val="20"/>
        </w:rPr>
        <w:t xml:space="preserve"> pleaded guilty to causing criminal damage to property</w:t>
      </w:r>
      <w:r w:rsidR="00DE1441">
        <w:rPr>
          <w:rFonts w:ascii="Arial" w:hAnsi="Arial" w:cs="Arial"/>
          <w:sz w:val="20"/>
          <w:szCs w:val="20"/>
        </w:rPr>
        <w:t xml:space="preserve">; he had </w:t>
      </w:r>
      <w:r w:rsidR="00DE1441" w:rsidRPr="00DE1441">
        <w:rPr>
          <w:rFonts w:ascii="Arial" w:hAnsi="Arial" w:cs="Arial"/>
          <w:sz w:val="20"/>
          <w:szCs w:val="20"/>
        </w:rPr>
        <w:t xml:space="preserve">forced his way into </w:t>
      </w:r>
      <w:r w:rsidR="00DE1441">
        <w:rPr>
          <w:rFonts w:ascii="Arial" w:hAnsi="Arial" w:cs="Arial"/>
          <w:sz w:val="20"/>
          <w:szCs w:val="20"/>
        </w:rPr>
        <w:t xml:space="preserve">his </w:t>
      </w:r>
      <w:r w:rsidR="00DE1441" w:rsidRPr="00DE1441">
        <w:rPr>
          <w:rFonts w:ascii="Arial" w:hAnsi="Arial" w:cs="Arial"/>
          <w:sz w:val="20"/>
          <w:szCs w:val="20"/>
        </w:rPr>
        <w:t xml:space="preserve">former wife’s home, looking for her male visitor </w:t>
      </w:r>
      <w:r w:rsidR="00DE1441">
        <w:rPr>
          <w:rFonts w:ascii="Arial" w:hAnsi="Arial" w:cs="Arial"/>
          <w:sz w:val="20"/>
          <w:szCs w:val="20"/>
        </w:rPr>
        <w:t>and i</w:t>
      </w:r>
      <w:r w:rsidR="00DE1441" w:rsidRPr="00DE1441">
        <w:rPr>
          <w:rFonts w:ascii="Arial" w:hAnsi="Arial" w:cs="Arial"/>
          <w:sz w:val="20"/>
          <w:szCs w:val="20"/>
        </w:rPr>
        <w:t xml:space="preserve">ntentionally stabbed visitor multiple times with a knife he had brought with him, causing serious injuries – </w:t>
      </w:r>
      <w:r w:rsidR="00DE1441">
        <w:rPr>
          <w:rFonts w:ascii="Arial" w:hAnsi="Arial" w:cs="Arial"/>
          <w:sz w:val="20"/>
          <w:szCs w:val="20"/>
        </w:rPr>
        <w:t>he also d</w:t>
      </w:r>
      <w:r w:rsidR="00DE1441" w:rsidRPr="00DE1441">
        <w:rPr>
          <w:rFonts w:ascii="Arial" w:hAnsi="Arial" w:cs="Arial"/>
          <w:sz w:val="20"/>
          <w:szCs w:val="20"/>
        </w:rPr>
        <w:t xml:space="preserve">amaged visitor’s vehicle as he left – </w:t>
      </w:r>
      <w:r w:rsidR="00DE1441">
        <w:rPr>
          <w:rFonts w:ascii="Arial" w:hAnsi="Arial" w:cs="Arial"/>
          <w:sz w:val="20"/>
          <w:szCs w:val="20"/>
        </w:rPr>
        <w:t>m</w:t>
      </w:r>
      <w:r w:rsidR="00DE1441" w:rsidRPr="00DE1441">
        <w:rPr>
          <w:rFonts w:ascii="Arial" w:hAnsi="Arial" w:cs="Arial"/>
          <w:sz w:val="20"/>
          <w:szCs w:val="20"/>
        </w:rPr>
        <w:t xml:space="preserve">otivated by jealousy and anger – </w:t>
      </w:r>
      <w:r w:rsidR="00DE1441">
        <w:rPr>
          <w:rFonts w:ascii="Arial" w:hAnsi="Arial" w:cs="Arial"/>
          <w:sz w:val="20"/>
          <w:szCs w:val="20"/>
        </w:rPr>
        <w:t>o</w:t>
      </w:r>
      <w:r w:rsidR="00DE1441" w:rsidRPr="00DE1441">
        <w:rPr>
          <w:rFonts w:ascii="Arial" w:hAnsi="Arial" w:cs="Arial"/>
          <w:sz w:val="20"/>
          <w:szCs w:val="20"/>
        </w:rPr>
        <w:t xml:space="preserve">ffended in presence of young children – </w:t>
      </w:r>
      <w:r w:rsidR="00DE1441">
        <w:rPr>
          <w:rFonts w:ascii="Arial" w:hAnsi="Arial" w:cs="Arial"/>
          <w:sz w:val="20"/>
          <w:szCs w:val="20"/>
        </w:rPr>
        <w:t>n</w:t>
      </w:r>
      <w:r w:rsidR="00DE1441" w:rsidRPr="00DE1441">
        <w:rPr>
          <w:rFonts w:ascii="Arial" w:hAnsi="Arial" w:cs="Arial"/>
          <w:sz w:val="20"/>
          <w:szCs w:val="20"/>
        </w:rPr>
        <w:t xml:space="preserve">o remorse – </w:t>
      </w:r>
      <w:r w:rsidR="00DE1441">
        <w:rPr>
          <w:rFonts w:ascii="Arial" w:hAnsi="Arial" w:cs="Arial"/>
          <w:sz w:val="20"/>
          <w:szCs w:val="20"/>
        </w:rPr>
        <w:t>n</w:t>
      </w:r>
      <w:r w:rsidR="00DE1441" w:rsidRPr="00DE1441">
        <w:rPr>
          <w:rFonts w:ascii="Arial" w:hAnsi="Arial" w:cs="Arial"/>
          <w:sz w:val="20"/>
          <w:szCs w:val="20"/>
        </w:rPr>
        <w:t xml:space="preserve">o prior convictions – </w:t>
      </w:r>
      <w:r w:rsidR="00DE1441">
        <w:rPr>
          <w:rFonts w:ascii="Arial" w:hAnsi="Arial" w:cs="Arial"/>
          <w:sz w:val="20"/>
          <w:szCs w:val="20"/>
        </w:rPr>
        <w:t>m</w:t>
      </w:r>
      <w:r w:rsidR="00DE1441" w:rsidRPr="00DE1441">
        <w:rPr>
          <w:rFonts w:ascii="Arial" w:hAnsi="Arial" w:cs="Arial"/>
          <w:sz w:val="20"/>
          <w:szCs w:val="20"/>
        </w:rPr>
        <w:t xml:space="preserve">ixed prospects of rehabilitation – </w:t>
      </w:r>
      <w:r w:rsidR="00DE1441">
        <w:rPr>
          <w:rFonts w:ascii="Arial" w:hAnsi="Arial" w:cs="Arial"/>
          <w:sz w:val="20"/>
          <w:szCs w:val="20"/>
        </w:rPr>
        <w:t>p</w:t>
      </w:r>
      <w:r w:rsidR="00DE1441" w:rsidRPr="00DE1441">
        <w:rPr>
          <w:rFonts w:ascii="Arial" w:hAnsi="Arial" w:cs="Arial"/>
          <w:sz w:val="20"/>
          <w:szCs w:val="20"/>
        </w:rPr>
        <w:t>rospect of deportation at end of sentence –</w:t>
      </w:r>
      <w:r w:rsidR="00DE1441">
        <w:rPr>
          <w:rFonts w:ascii="Arial" w:hAnsi="Arial" w:cs="Arial"/>
          <w:sz w:val="20"/>
          <w:szCs w:val="20"/>
        </w:rPr>
        <w:t xml:space="preserve"> sentenced to IMP 9y for intentionally causing serious injury as part of TES IMP10y2m/7y].</w:t>
      </w:r>
    </w:p>
    <w:p w14:paraId="1A3E592D" w14:textId="4FE627E7" w:rsidR="00E01019" w:rsidRPr="00AC4569" w:rsidRDefault="00E01019" w:rsidP="00AF6488">
      <w:pPr>
        <w:numPr>
          <w:ilvl w:val="0"/>
          <w:numId w:val="37"/>
        </w:numPr>
        <w:ind w:left="357" w:hanging="357"/>
        <w:jc w:val="both"/>
        <w:rPr>
          <w:rFonts w:ascii="Arial" w:hAnsi="Arial" w:cs="Arial"/>
          <w:color w:val="000000"/>
          <w:sz w:val="20"/>
        </w:rPr>
      </w:pPr>
      <w:r w:rsidRPr="00B80840">
        <w:rPr>
          <w:rFonts w:ascii="Arial" w:hAnsi="Arial" w:cs="Arial"/>
          <w:i/>
          <w:iCs/>
          <w:color w:val="000000"/>
          <w:sz w:val="20"/>
        </w:rPr>
        <w:t>R v Douglas</w:t>
      </w:r>
      <w:r>
        <w:rPr>
          <w:rFonts w:ascii="Arial" w:hAnsi="Arial" w:cs="Arial"/>
          <w:color w:val="000000"/>
          <w:sz w:val="20"/>
        </w:rPr>
        <w:t xml:space="preserve"> [2023] VSC 663 [61 </w:t>
      </w:r>
      <w:r w:rsidR="00B80840">
        <w:rPr>
          <w:rFonts w:ascii="Arial" w:hAnsi="Arial" w:cs="Arial"/>
          <w:color w:val="000000"/>
          <w:sz w:val="20"/>
        </w:rPr>
        <w:t xml:space="preserve">year old accused </w:t>
      </w:r>
      <w:r w:rsidR="00B80840" w:rsidRPr="00B80840">
        <w:rPr>
          <w:rFonts w:ascii="Arial" w:hAnsi="Arial" w:cs="Arial"/>
          <w:sz w:val="20"/>
          <w:szCs w:val="16"/>
        </w:rPr>
        <w:t>stabbed complainant multiple times with a knife to chest, back and face</w:t>
      </w:r>
      <w:r w:rsidR="00B80840">
        <w:rPr>
          <w:rFonts w:ascii="Arial" w:hAnsi="Arial" w:cs="Arial"/>
          <w:sz w:val="20"/>
          <w:szCs w:val="16"/>
        </w:rPr>
        <w:t xml:space="preserve"> causing some life-threatening injuries</w:t>
      </w:r>
      <w:r w:rsidR="00B80840" w:rsidRPr="00B80840">
        <w:rPr>
          <w:rFonts w:ascii="Arial" w:hAnsi="Arial" w:cs="Arial"/>
          <w:sz w:val="20"/>
          <w:szCs w:val="16"/>
        </w:rPr>
        <w:t xml:space="preserve"> —</w:t>
      </w:r>
      <w:r w:rsidR="00B80840">
        <w:rPr>
          <w:rFonts w:ascii="Arial" w:hAnsi="Arial" w:cs="Arial"/>
          <w:sz w:val="20"/>
          <w:szCs w:val="16"/>
        </w:rPr>
        <w:t xml:space="preserve"> </w:t>
      </w:r>
      <w:r w:rsidR="00B17A41">
        <w:rPr>
          <w:rFonts w:ascii="Arial" w:hAnsi="Arial" w:cs="Arial"/>
          <w:sz w:val="20"/>
          <w:szCs w:val="16"/>
        </w:rPr>
        <w:t>o</w:t>
      </w:r>
      <w:r w:rsidR="00B80840" w:rsidRPr="00B80840">
        <w:rPr>
          <w:rFonts w:ascii="Arial" w:hAnsi="Arial" w:cs="Arial"/>
          <w:sz w:val="20"/>
          <w:szCs w:val="16"/>
        </w:rPr>
        <w:t>ffence unplanned</w:t>
      </w:r>
      <w:r w:rsidR="00B80840">
        <w:rPr>
          <w:rFonts w:ascii="Arial" w:hAnsi="Arial" w:cs="Arial"/>
          <w:sz w:val="20"/>
          <w:szCs w:val="16"/>
        </w:rPr>
        <w:t xml:space="preserve"> and </w:t>
      </w:r>
      <w:r w:rsidR="00B80840" w:rsidRPr="00B80840">
        <w:rPr>
          <w:rFonts w:ascii="Arial" w:hAnsi="Arial" w:cs="Arial"/>
          <w:sz w:val="20"/>
          <w:szCs w:val="16"/>
        </w:rPr>
        <w:t>DPP concede</w:t>
      </w:r>
      <w:r w:rsidR="00B80840">
        <w:rPr>
          <w:rFonts w:ascii="Arial" w:hAnsi="Arial" w:cs="Arial"/>
          <w:sz w:val="20"/>
          <w:szCs w:val="16"/>
        </w:rPr>
        <w:t>d</w:t>
      </w:r>
      <w:r w:rsidR="00B80840" w:rsidRPr="00B80840">
        <w:rPr>
          <w:rFonts w:ascii="Arial" w:hAnsi="Arial" w:cs="Arial"/>
          <w:sz w:val="20"/>
          <w:szCs w:val="16"/>
        </w:rPr>
        <w:t xml:space="preserve"> accused may have believed need for self-defence, but not a reasonable response in circumstances as he perceived them — </w:t>
      </w:r>
      <w:r w:rsidR="00B17A41">
        <w:rPr>
          <w:rFonts w:ascii="Arial" w:hAnsi="Arial" w:cs="Arial"/>
          <w:sz w:val="20"/>
          <w:szCs w:val="16"/>
        </w:rPr>
        <w:t>a</w:t>
      </w:r>
      <w:r w:rsidR="00B80840" w:rsidRPr="00B80840">
        <w:rPr>
          <w:rFonts w:ascii="Arial" w:hAnsi="Arial" w:cs="Arial"/>
          <w:sz w:val="20"/>
          <w:szCs w:val="16"/>
        </w:rPr>
        <w:t xml:space="preserve">ccused’s moral culpability reduced because judgment impaired by cognitive limitations, paranoia and methamphetamine use — </w:t>
      </w:r>
      <w:r w:rsidR="00B17A41">
        <w:rPr>
          <w:rFonts w:ascii="Arial" w:hAnsi="Arial" w:cs="Arial"/>
          <w:sz w:val="20"/>
          <w:szCs w:val="16"/>
        </w:rPr>
        <w:t>a</w:t>
      </w:r>
      <w:r w:rsidR="00B80840" w:rsidRPr="00B80840">
        <w:rPr>
          <w:rFonts w:ascii="Arial" w:hAnsi="Arial" w:cs="Arial"/>
          <w:sz w:val="20"/>
          <w:szCs w:val="16"/>
        </w:rPr>
        <w:t xml:space="preserve">ccused’s awareness of impact of drug use offsets mitigation attributable to that factor — </w:t>
      </w:r>
      <w:r w:rsidR="00B17A41">
        <w:rPr>
          <w:rFonts w:ascii="Arial" w:hAnsi="Arial" w:cs="Arial"/>
          <w:sz w:val="20"/>
          <w:szCs w:val="16"/>
        </w:rPr>
        <w:t>p</w:t>
      </w:r>
      <w:r w:rsidR="00B80840" w:rsidRPr="00B80840">
        <w:rPr>
          <w:rFonts w:ascii="Arial" w:hAnsi="Arial" w:cs="Arial"/>
          <w:sz w:val="20"/>
          <w:szCs w:val="16"/>
        </w:rPr>
        <w:t xml:space="preserve">lea of guilty — </w:t>
      </w:r>
      <w:r w:rsidR="00B17A41">
        <w:rPr>
          <w:rFonts w:ascii="Arial" w:hAnsi="Arial" w:cs="Arial"/>
          <w:sz w:val="20"/>
          <w:szCs w:val="16"/>
        </w:rPr>
        <w:t>r</w:t>
      </w:r>
      <w:r w:rsidR="00B80840" w:rsidRPr="00B80840">
        <w:rPr>
          <w:rFonts w:ascii="Arial" w:hAnsi="Arial" w:cs="Arial"/>
          <w:sz w:val="20"/>
          <w:szCs w:val="16"/>
        </w:rPr>
        <w:t xml:space="preserve">emorse — </w:t>
      </w:r>
      <w:r w:rsidR="00B17A41">
        <w:rPr>
          <w:rFonts w:ascii="Arial" w:hAnsi="Arial" w:cs="Arial"/>
          <w:sz w:val="20"/>
          <w:szCs w:val="16"/>
        </w:rPr>
        <w:t>c</w:t>
      </w:r>
      <w:r w:rsidR="00B80840" w:rsidRPr="00B80840">
        <w:rPr>
          <w:rFonts w:ascii="Arial" w:hAnsi="Arial" w:cs="Arial"/>
          <w:sz w:val="20"/>
          <w:szCs w:val="16"/>
        </w:rPr>
        <w:t xml:space="preserve">riminal history mostly irrelevant, limited and dated — </w:t>
      </w:r>
      <w:r w:rsidR="00B17A41">
        <w:rPr>
          <w:rFonts w:ascii="Arial" w:hAnsi="Arial" w:cs="Arial"/>
          <w:sz w:val="20"/>
          <w:szCs w:val="16"/>
        </w:rPr>
        <w:t>h</w:t>
      </w:r>
      <w:r w:rsidR="00B80840" w:rsidRPr="00B80840">
        <w:rPr>
          <w:rFonts w:ascii="Arial" w:hAnsi="Arial" w:cs="Arial"/>
          <w:sz w:val="20"/>
          <w:szCs w:val="16"/>
        </w:rPr>
        <w:t xml:space="preserve">ardship of imprisonment given afflictions — </w:t>
      </w:r>
      <w:r w:rsidR="00B17A41">
        <w:rPr>
          <w:rFonts w:ascii="Arial" w:hAnsi="Arial" w:cs="Arial"/>
          <w:sz w:val="20"/>
          <w:szCs w:val="16"/>
        </w:rPr>
        <w:t>r</w:t>
      </w:r>
      <w:r w:rsidR="00B80840" w:rsidRPr="00B80840">
        <w:rPr>
          <w:rFonts w:ascii="Arial" w:hAnsi="Arial" w:cs="Arial"/>
          <w:sz w:val="20"/>
          <w:szCs w:val="16"/>
        </w:rPr>
        <w:t xml:space="preserve">easonable prospects of rehabilitation — </w:t>
      </w:r>
      <w:r w:rsidR="00B17A41">
        <w:rPr>
          <w:rFonts w:ascii="Arial" w:hAnsi="Arial" w:cs="Arial"/>
          <w:sz w:val="20"/>
          <w:szCs w:val="16"/>
        </w:rPr>
        <w:t>i</w:t>
      </w:r>
      <w:r w:rsidR="00B80840" w:rsidRPr="00B80840">
        <w:rPr>
          <w:rFonts w:ascii="Arial" w:hAnsi="Arial" w:cs="Arial"/>
          <w:sz w:val="20"/>
          <w:szCs w:val="16"/>
        </w:rPr>
        <w:t xml:space="preserve">nitially charged with attempted murder but, with concurrence of DPP, sentence indication given on intentionally causing serious injury — </w:t>
      </w:r>
      <w:r w:rsidR="00B17A41">
        <w:rPr>
          <w:rFonts w:ascii="Arial" w:hAnsi="Arial" w:cs="Arial"/>
          <w:sz w:val="20"/>
          <w:szCs w:val="16"/>
        </w:rPr>
        <w:t>p</w:t>
      </w:r>
      <w:r w:rsidR="00B80840" w:rsidRPr="00B80840">
        <w:rPr>
          <w:rFonts w:ascii="Arial" w:hAnsi="Arial" w:cs="Arial"/>
          <w:sz w:val="20"/>
          <w:szCs w:val="16"/>
        </w:rPr>
        <w:t xml:space="preserve">lea of guilty followed sentence indication — </w:t>
      </w:r>
      <w:r w:rsidR="00B17A41">
        <w:rPr>
          <w:rFonts w:ascii="Arial" w:hAnsi="Arial" w:cs="Arial"/>
          <w:sz w:val="20"/>
          <w:szCs w:val="16"/>
        </w:rPr>
        <w:t>n</w:t>
      </w:r>
      <w:r w:rsidR="00B80840" w:rsidRPr="00B80840">
        <w:rPr>
          <w:rFonts w:ascii="Arial" w:hAnsi="Arial" w:cs="Arial"/>
          <w:sz w:val="20"/>
          <w:szCs w:val="16"/>
        </w:rPr>
        <w:t xml:space="preserve">europsychological report obtained after sentence indication showed intellectual impairment and hardship of prison — </w:t>
      </w:r>
      <w:r w:rsidR="00B80840">
        <w:rPr>
          <w:rFonts w:ascii="Arial" w:hAnsi="Arial" w:cs="Arial"/>
          <w:sz w:val="20"/>
          <w:szCs w:val="16"/>
        </w:rPr>
        <w:t>IMP5y/2y9m].</w:t>
      </w:r>
    </w:p>
    <w:p w14:paraId="56D7EFA8" w14:textId="12011D7C" w:rsidR="00AC4569" w:rsidRDefault="00AC4569" w:rsidP="00AC4569">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Carbis v The King </w:t>
      </w:r>
      <w:r w:rsidRPr="00AC4569">
        <w:rPr>
          <w:rFonts w:ascii="Arial" w:hAnsi="Arial" w:cs="Arial"/>
          <w:color w:val="000000"/>
          <w:sz w:val="20"/>
        </w:rPr>
        <w:t>[2023] VSCA 285 [</w:t>
      </w:r>
      <w:r>
        <w:rPr>
          <w:rFonts w:ascii="Arial" w:hAnsi="Arial" w:cs="Arial"/>
          <w:color w:val="000000"/>
          <w:sz w:val="20"/>
        </w:rPr>
        <w:t>appellant inflicted multiple deep stab wounds to the chest of the victim, intending to cause really serious injuries – IMP8y as part of a TES IMP10y6m/7y6m].</w:t>
      </w:r>
    </w:p>
    <w:p w14:paraId="1CB660C5" w14:textId="7851DFFE" w:rsidR="0058673C" w:rsidRDefault="0058673C" w:rsidP="00AF6488">
      <w:pPr>
        <w:numPr>
          <w:ilvl w:val="0"/>
          <w:numId w:val="37"/>
        </w:numPr>
        <w:ind w:left="357" w:hanging="357"/>
        <w:jc w:val="both"/>
        <w:rPr>
          <w:rFonts w:ascii="Arial" w:hAnsi="Arial" w:cs="Arial"/>
          <w:color w:val="000000"/>
          <w:sz w:val="20"/>
        </w:rPr>
      </w:pPr>
      <w:r>
        <w:rPr>
          <w:rFonts w:ascii="Arial" w:hAnsi="Arial" w:cs="Arial"/>
          <w:i/>
          <w:iCs/>
          <w:color w:val="000000"/>
          <w:sz w:val="20"/>
        </w:rPr>
        <w:lastRenderedPageBreak/>
        <w:t xml:space="preserve">Dhal v The King </w:t>
      </w:r>
      <w:r w:rsidRPr="0058673C">
        <w:rPr>
          <w:rFonts w:ascii="Arial" w:hAnsi="Arial" w:cs="Arial"/>
          <w:color w:val="000000"/>
          <w:sz w:val="20"/>
        </w:rPr>
        <w:t>[2023] VSCA 289 [</w:t>
      </w:r>
      <w:r>
        <w:rPr>
          <w:rFonts w:ascii="Arial" w:hAnsi="Arial" w:cs="Arial"/>
          <w:color w:val="000000"/>
          <w:sz w:val="20"/>
        </w:rPr>
        <w:t xml:space="preserve">motivated by jealousy and revenge </w:t>
      </w:r>
      <w:r w:rsidRPr="0058673C">
        <w:rPr>
          <w:rFonts w:ascii="Arial" w:hAnsi="Arial" w:cs="Arial"/>
          <w:color w:val="000000"/>
          <w:sz w:val="20"/>
        </w:rPr>
        <w:t xml:space="preserve">31 year old accused </w:t>
      </w:r>
      <w:r>
        <w:rPr>
          <w:rFonts w:ascii="Arial" w:hAnsi="Arial" w:cs="Arial"/>
          <w:color w:val="000000"/>
          <w:sz w:val="20"/>
        </w:rPr>
        <w:t>stabbed 21 year old former partner with a boning knife causing horrific injuries – IMP11y – also stabbed a friend of himself and his former partner and pleaded guilty to recklessly causing injury – IMP2y6m of which 12m was cumulative – TES IMP12y/8y6m]</w:t>
      </w:r>
      <w:r w:rsidR="00104EFD">
        <w:rPr>
          <w:rFonts w:ascii="Arial" w:hAnsi="Arial" w:cs="Arial"/>
          <w:color w:val="000000"/>
          <w:sz w:val="20"/>
        </w:rPr>
        <w:t>.</w:t>
      </w:r>
    </w:p>
    <w:p w14:paraId="5A47D477" w14:textId="69FEE34E" w:rsidR="00104EFD" w:rsidRDefault="00104EFD" w:rsidP="00104EFD">
      <w:pPr>
        <w:keepNext/>
        <w:keepLines/>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Deak </w:t>
      </w:r>
      <w:r w:rsidRPr="00104EFD">
        <w:rPr>
          <w:rFonts w:ascii="Arial" w:hAnsi="Arial" w:cs="Arial"/>
          <w:color w:val="000000"/>
          <w:sz w:val="20"/>
        </w:rPr>
        <w:t>[2024] VSC</w:t>
      </w:r>
      <w:r>
        <w:rPr>
          <w:rFonts w:ascii="Arial" w:hAnsi="Arial" w:cs="Arial"/>
          <w:color w:val="000000"/>
          <w:sz w:val="20"/>
        </w:rPr>
        <w:t xml:space="preserve"> 723 [60-year old accused physically assaulted father in context of recent death of mother and long history of abuse by father – guilty plea – </w:t>
      </w:r>
      <w:r w:rsidR="008F203B">
        <w:rPr>
          <w:rFonts w:ascii="Arial" w:hAnsi="Arial" w:cs="Arial"/>
          <w:color w:val="000000"/>
          <w:sz w:val="20"/>
        </w:rPr>
        <w:t xml:space="preserve">unique circumstances – </w:t>
      </w:r>
      <w:r>
        <w:rPr>
          <w:rFonts w:ascii="Arial" w:hAnsi="Arial" w:cs="Arial"/>
          <w:color w:val="000000"/>
          <w:sz w:val="20"/>
        </w:rPr>
        <w:t>no</w:t>
      </w:r>
      <w:r w:rsidR="008F203B">
        <w:rPr>
          <w:rFonts w:ascii="Arial" w:hAnsi="Arial" w:cs="Arial"/>
          <w:color w:val="000000"/>
          <w:sz w:val="20"/>
        </w:rPr>
        <w:t> </w:t>
      </w:r>
      <w:r>
        <w:rPr>
          <w:rFonts w:ascii="Arial" w:hAnsi="Arial" w:cs="Arial"/>
          <w:color w:val="000000"/>
          <w:sz w:val="20"/>
        </w:rPr>
        <w:t xml:space="preserve">premeditation – absence of weapons – </w:t>
      </w:r>
      <w:r w:rsidRPr="00104EFD">
        <w:rPr>
          <w:rFonts w:ascii="Arial" w:hAnsi="Arial" w:cs="Arial"/>
          <w:i/>
          <w:iCs/>
          <w:color w:val="000000"/>
          <w:sz w:val="20"/>
        </w:rPr>
        <w:t>Bugmy</w:t>
      </w:r>
      <w:r>
        <w:rPr>
          <w:rFonts w:ascii="Arial" w:hAnsi="Arial" w:cs="Arial"/>
          <w:color w:val="000000"/>
          <w:sz w:val="20"/>
        </w:rPr>
        <w:t xml:space="preserve"> considerations – limited criminal history – positive prospects of rehabilitation – IMP4y/2y2m].</w:t>
      </w:r>
    </w:p>
    <w:p w14:paraId="0F618485" w14:textId="732C244C" w:rsidR="0045003F" w:rsidRPr="0045003F" w:rsidRDefault="0045003F" w:rsidP="0045003F">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Pihlgren v The King </w:t>
      </w:r>
      <w:r w:rsidRPr="0045003F">
        <w:rPr>
          <w:rFonts w:ascii="Arial" w:hAnsi="Arial" w:cs="Arial"/>
          <w:color w:val="000000"/>
          <w:sz w:val="20"/>
        </w:rPr>
        <w:t>[2024] VSCA 47 [</w:t>
      </w:r>
      <w:r>
        <w:rPr>
          <w:rFonts w:ascii="Arial" w:hAnsi="Arial" w:cs="Arial"/>
          <w:color w:val="000000"/>
          <w:sz w:val="20"/>
        </w:rPr>
        <w:t>52 year old accused with a substantial criminal record pleaded guilty to one charge of intentionally causing serious injury in the context of an unprovoked knife attack on a stranger in public – sentenced as a serious violent offender and there were very few mitigating factors – IMP12y/8y – leave to appeal granted but appeal dismissed].</w:t>
      </w:r>
    </w:p>
    <w:p w14:paraId="3E50DD93" w14:textId="096AD1CB" w:rsidR="00995273" w:rsidRDefault="00995273" w:rsidP="00995273">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Zheng </w:t>
      </w:r>
      <w:r w:rsidRPr="00995273">
        <w:rPr>
          <w:rFonts w:ascii="Arial" w:hAnsi="Arial" w:cs="Arial"/>
          <w:color w:val="000000"/>
          <w:sz w:val="20"/>
        </w:rPr>
        <w:t>[2025] VSC 76 [</w:t>
      </w:r>
      <w:r>
        <w:rPr>
          <w:rFonts w:ascii="Arial" w:hAnsi="Arial" w:cs="Arial"/>
          <w:color w:val="000000"/>
          <w:sz w:val="20"/>
        </w:rPr>
        <w:t>30</w:t>
      </w:r>
      <w:r w:rsidRPr="00995273">
        <w:rPr>
          <w:rFonts w:ascii="Arial" w:hAnsi="Arial" w:cs="Arial"/>
          <w:color w:val="000000"/>
          <w:sz w:val="20"/>
        </w:rPr>
        <w:t xml:space="preserve"> year old accused </w:t>
      </w:r>
      <w:r>
        <w:rPr>
          <w:rFonts w:ascii="Arial" w:hAnsi="Arial" w:cs="Arial"/>
          <w:color w:val="000000"/>
          <w:sz w:val="20"/>
        </w:rPr>
        <w:t>had a verbal and physical altercation with his wife at a house party – a male guest who assisted the wife was stabbed multiple times to the torso – the male victim would have died without urgent medical care – an offer to plead guilty to a lesser charge was not accepted with relation to the stabbing – lack of remorse – IMP9y/6y6m].</w:t>
      </w:r>
    </w:p>
    <w:p w14:paraId="7727F676" w14:textId="7F797EB4" w:rsidR="00B80840" w:rsidRDefault="00B80840" w:rsidP="00B80840">
      <w:pPr>
        <w:jc w:val="both"/>
        <w:rPr>
          <w:rFonts w:ascii="Arial" w:hAnsi="Arial" w:cs="Arial"/>
          <w:color w:val="000000"/>
          <w:sz w:val="20"/>
        </w:rPr>
      </w:pPr>
    </w:p>
    <w:p w14:paraId="7EF474AC" w14:textId="77777777" w:rsidR="00104EFD" w:rsidRPr="00DD24BF" w:rsidRDefault="00104EFD" w:rsidP="00104EFD">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B6F5181" w14:textId="77777777" w:rsidR="00104EFD" w:rsidRPr="00B80840" w:rsidRDefault="00104EFD" w:rsidP="00B80840">
      <w:pPr>
        <w:jc w:val="both"/>
        <w:rPr>
          <w:rFonts w:ascii="Arial" w:hAnsi="Arial" w:cs="Arial"/>
          <w:color w:val="000000"/>
          <w:sz w:val="20"/>
        </w:rPr>
      </w:pPr>
    </w:p>
    <w:p w14:paraId="415871EC" w14:textId="5229496F" w:rsidR="00B80840" w:rsidRDefault="00B80840">
      <w:pPr>
        <w:rPr>
          <w:rFonts w:ascii="Arial" w:hAnsi="Arial" w:cs="Arial"/>
          <w:b/>
          <w:color w:val="FFFFFF"/>
          <w:kern w:val="28"/>
          <w:sz w:val="22"/>
          <w:szCs w:val="20"/>
          <w:shd w:val="clear" w:color="auto" w:fill="000000"/>
          <w:lang w:val="en-GB"/>
        </w:rPr>
      </w:pPr>
      <w:bookmarkStart w:id="669" w:name="_B_INTENTIONALLY_CAUSING"/>
      <w:bookmarkEnd w:id="669"/>
    </w:p>
    <w:p w14:paraId="73CC267A" w14:textId="77777777" w:rsidR="00104EFD" w:rsidRDefault="00104EFD">
      <w:pPr>
        <w:rPr>
          <w:rFonts w:ascii="Arial" w:hAnsi="Arial" w:cs="Arial"/>
          <w:b/>
          <w:color w:val="FFFFFF"/>
          <w:kern w:val="28"/>
          <w:sz w:val="22"/>
          <w:szCs w:val="20"/>
          <w:shd w:val="clear" w:color="auto" w:fill="000000"/>
          <w:lang w:val="en-GB"/>
        </w:rPr>
      </w:pPr>
      <w:r>
        <w:rPr>
          <w:rFonts w:ascii="Arial" w:hAnsi="Arial" w:cs="Arial"/>
          <w:b/>
          <w:color w:val="FFFFFF"/>
          <w:sz w:val="22"/>
          <w:shd w:val="clear" w:color="auto" w:fill="000000"/>
        </w:rPr>
        <w:br w:type="page"/>
      </w:r>
    </w:p>
    <w:p w14:paraId="336F6BC3" w14:textId="68969482"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r>
        <w:rPr>
          <w:rFonts w:ascii="Arial" w:hAnsi="Arial" w:cs="Arial"/>
          <w:b/>
          <w:color w:val="FFFFFF"/>
          <w:sz w:val="22"/>
          <w:shd w:val="clear" w:color="auto" w:fill="000000"/>
        </w:rPr>
        <w:lastRenderedPageBreak/>
        <w:t>B</w:t>
      </w:r>
      <w:r>
        <w:rPr>
          <w:rFonts w:ascii="Arial" w:hAnsi="Arial" w:cs="Arial"/>
          <w:b/>
          <w:color w:val="000000"/>
          <w:sz w:val="22"/>
        </w:rPr>
        <w:tab/>
      </w:r>
      <w:r w:rsidR="00B0622A">
        <w:rPr>
          <w:rFonts w:ascii="Arial" w:hAnsi="Arial" w:cs="Arial"/>
          <w:b/>
          <w:bCs/>
          <w:color w:val="FFFFFF" w:themeColor="background1"/>
          <w:sz w:val="20"/>
          <w:shd w:val="clear" w:color="auto" w:fill="000000" w:themeFill="text1"/>
        </w:rPr>
        <w:t>INTENTIONALLY CAUSING SERIOUS INJURY IN CIRCUMSTANCES OF GROSS VIOLENCE</w:t>
      </w: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VChC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R v Gencev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r w:rsidR="00C8027F" w:rsidRPr="00C8027F">
        <w:rPr>
          <w:rFonts w:ascii="Arial" w:hAnsi="Arial" w:cs="Arial"/>
          <w:i/>
          <w:iCs/>
          <w:color w:val="000000"/>
          <w:sz w:val="20"/>
        </w:rPr>
        <w:t>Bugmy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R v Kilic</w:t>
      </w:r>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r w:rsidR="00D52290" w:rsidRPr="00D52290">
        <w:rPr>
          <w:rFonts w:ascii="Arial" w:hAnsi="Arial" w:cs="Arial"/>
          <w:i/>
          <w:iCs/>
          <w:color w:val="000000"/>
          <w:sz w:val="20"/>
        </w:rPr>
        <w:t>Gencev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w:t>
      </w:r>
      <w:r>
        <w:rPr>
          <w:rFonts w:ascii="Arial" w:hAnsi="Arial" w:cs="Arial"/>
          <w:i/>
          <w:iCs/>
          <w:color w:val="000000"/>
          <w:sz w:val="20"/>
        </w:rPr>
        <w:t>iba</w:t>
      </w:r>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24 year old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[45]</w:t>
      </w:r>
      <w:r w:rsidR="00826E40">
        <w:rPr>
          <w:rFonts w:ascii="Arial" w:hAnsi="Arial" w:cs="Arial"/>
          <w:color w:val="000000"/>
          <w:sz w:val="20"/>
        </w:rPr>
        <w:noBreakHyphen/>
      </w:r>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r w:rsidRPr="00826E40">
        <w:rPr>
          <w:rFonts w:ascii="Arial" w:hAnsi="Arial" w:cs="Arial"/>
          <w:i/>
          <w:iCs/>
          <w:sz w:val="20"/>
          <w:szCs w:val="20"/>
        </w:rPr>
        <w:t>Gencev</w:t>
      </w:r>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DPP v Hudgson</w:t>
      </w:r>
      <w:r w:rsidRPr="00826E40">
        <w:rPr>
          <w:rFonts w:ascii="Arial" w:hAnsi="Arial" w:cs="Arial"/>
          <w:sz w:val="20"/>
          <w:szCs w:val="20"/>
        </w:rPr>
        <w:t xml:space="preserve"> [2016] VSCA 254 – PNG to ICSI (GV) – D struck V with a hammer – On appeal, D sentenced to 5y with NPP of 4y; </w:t>
      </w:r>
      <w:r w:rsidRPr="00826E40">
        <w:rPr>
          <w:rFonts w:ascii="Arial" w:hAnsi="Arial" w:cs="Arial"/>
          <w:i/>
          <w:iCs/>
          <w:sz w:val="20"/>
          <w:szCs w:val="20"/>
        </w:rPr>
        <w:t>Lukudo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V in face – D sentenced to 7y; </w:t>
      </w:r>
      <w:r w:rsidRPr="00826E40">
        <w:rPr>
          <w:rFonts w:ascii="Arial" w:hAnsi="Arial" w:cs="Arial"/>
          <w:i/>
          <w:iCs/>
          <w:sz w:val="20"/>
          <w:szCs w:val="20"/>
        </w:rPr>
        <w:t>DPP v Zullo</w:t>
      </w:r>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DPP v Bennett &amp; Teuira</w:t>
      </w:r>
      <w:r w:rsidR="009E1521" w:rsidRPr="00826E40">
        <w:rPr>
          <w:rFonts w:ascii="Arial" w:hAnsi="Arial" w:cs="Arial"/>
          <w:sz w:val="20"/>
        </w:rPr>
        <w:t xml:space="preserve"> [2020] VCC 737 – PG to ICSI (GV) – knife/shiv attack on Tony Mokbel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Hope &amp; Pua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4388B90A" w:rsidR="00EA4EB8" w:rsidRDefault="00EA4EB8" w:rsidP="00EA4EB8">
      <w:pPr>
        <w:jc w:val="both"/>
        <w:rPr>
          <w:rFonts w:ascii="Arial" w:hAnsi="Arial" w:cs="Arial"/>
          <w:color w:val="000000"/>
          <w:sz w:val="20"/>
        </w:rPr>
      </w:pPr>
    </w:p>
    <w:p w14:paraId="6F2F9656" w14:textId="27EF3384" w:rsidR="00E42E72" w:rsidRDefault="00E42E72" w:rsidP="00EA4EB8">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Van Kempten</w:t>
      </w:r>
      <w:r w:rsidRPr="0063545B">
        <w:rPr>
          <w:rFonts w:ascii="Arial" w:hAnsi="Arial" w:cs="Arial"/>
          <w:i/>
          <w:iCs/>
          <w:color w:val="000000"/>
          <w:sz w:val="20"/>
        </w:rPr>
        <w:t xml:space="preserve"> v </w:t>
      </w:r>
      <w:r>
        <w:rPr>
          <w:rFonts w:ascii="Arial" w:hAnsi="Arial" w:cs="Arial"/>
          <w:i/>
          <w:iCs/>
          <w:color w:val="000000"/>
          <w:sz w:val="20"/>
        </w:rPr>
        <w:t>The King</w:t>
      </w:r>
      <w:r>
        <w:rPr>
          <w:rFonts w:ascii="Arial" w:hAnsi="Arial" w:cs="Arial"/>
          <w:color w:val="000000"/>
          <w:sz w:val="20"/>
        </w:rPr>
        <w:t xml:space="preserve"> [2023] VSCA 26 the 37 year old applicant had been sentenced to IMP8y</w:t>
      </w:r>
      <w:r w:rsidR="00CE3F57">
        <w:rPr>
          <w:rFonts w:ascii="Arial" w:hAnsi="Arial" w:cs="Arial"/>
          <w:color w:val="000000"/>
          <w:sz w:val="20"/>
        </w:rPr>
        <w:t>10m</w:t>
      </w:r>
      <w:r>
        <w:rPr>
          <w:rFonts w:ascii="Arial" w:hAnsi="Arial" w:cs="Arial"/>
          <w:color w:val="000000"/>
          <w:sz w:val="20"/>
        </w:rPr>
        <w:t>/5y</w:t>
      </w:r>
      <w:r w:rsidR="00CE3F57">
        <w:rPr>
          <w:rFonts w:ascii="Arial" w:hAnsi="Arial" w:cs="Arial"/>
          <w:color w:val="000000"/>
          <w:sz w:val="20"/>
        </w:rPr>
        <w:t>10m</w:t>
      </w:r>
      <w:r>
        <w:rPr>
          <w:rFonts w:ascii="Arial" w:hAnsi="Arial" w:cs="Arial"/>
          <w:color w:val="000000"/>
          <w:sz w:val="20"/>
        </w:rPr>
        <w:t xml:space="preserve"> on a plea of guilty to one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The 45 year old victim and the applicant were strangers to each other.  Both suffered from disabilities.  The victim </w:t>
      </w:r>
      <w:r w:rsidRPr="00E42E72">
        <w:rPr>
          <w:rFonts w:ascii="Arial" w:hAnsi="Arial" w:cs="Arial"/>
          <w:sz w:val="20"/>
          <w:szCs w:val="20"/>
        </w:rPr>
        <w:t>had been diagnosed with Fragile X Syndrome, intellectual disability and Tourette’s Syndrome.</w:t>
      </w:r>
      <w:r>
        <w:rPr>
          <w:rFonts w:ascii="Arial" w:hAnsi="Arial" w:cs="Arial"/>
          <w:sz w:val="20"/>
          <w:szCs w:val="20"/>
        </w:rPr>
        <w:t xml:space="preserve">  The applicant had been diagnosed with borderline personality disorder.  The applicant had been observed by a witness to </w:t>
      </w:r>
      <w:r w:rsidRPr="00E42E72">
        <w:rPr>
          <w:rFonts w:ascii="Arial" w:hAnsi="Arial" w:cs="Arial"/>
          <w:sz w:val="20"/>
          <w:szCs w:val="20"/>
        </w:rPr>
        <w:t xml:space="preserve">run towards the victim and punch him once to the back of the head. The victim fell to the ground. </w:t>
      </w:r>
      <w:r>
        <w:rPr>
          <w:rFonts w:ascii="Arial" w:hAnsi="Arial" w:cs="Arial"/>
          <w:sz w:val="20"/>
          <w:szCs w:val="20"/>
        </w:rPr>
        <w:t>T</w:t>
      </w:r>
      <w:r w:rsidRPr="00E42E72">
        <w:rPr>
          <w:rFonts w:ascii="Arial" w:hAnsi="Arial" w:cs="Arial"/>
          <w:sz w:val="20"/>
          <w:szCs w:val="20"/>
        </w:rPr>
        <w:t xml:space="preserve">he applicant </w:t>
      </w:r>
      <w:r>
        <w:rPr>
          <w:rFonts w:ascii="Arial" w:hAnsi="Arial" w:cs="Arial"/>
          <w:sz w:val="20"/>
          <w:szCs w:val="20"/>
        </w:rPr>
        <w:t xml:space="preserve">then </w:t>
      </w:r>
      <w:r w:rsidRPr="00E42E72">
        <w:rPr>
          <w:rFonts w:ascii="Arial" w:hAnsi="Arial" w:cs="Arial"/>
          <w:sz w:val="20"/>
          <w:szCs w:val="20"/>
        </w:rPr>
        <w:t>kick</w:t>
      </w:r>
      <w:r>
        <w:rPr>
          <w:rFonts w:ascii="Arial" w:hAnsi="Arial" w:cs="Arial"/>
          <w:sz w:val="20"/>
          <w:szCs w:val="20"/>
        </w:rPr>
        <w:t>ed</w:t>
      </w:r>
      <w:r w:rsidRPr="00E42E72">
        <w:rPr>
          <w:rFonts w:ascii="Arial" w:hAnsi="Arial" w:cs="Arial"/>
          <w:sz w:val="20"/>
          <w:szCs w:val="20"/>
        </w:rPr>
        <w:t xml:space="preserve"> the </w:t>
      </w:r>
      <w:r w:rsidRPr="00E42E72">
        <w:rPr>
          <w:rFonts w:ascii="Arial" w:hAnsi="Arial" w:cs="Arial"/>
          <w:sz w:val="20"/>
          <w:szCs w:val="20"/>
        </w:rPr>
        <w:lastRenderedPageBreak/>
        <w:t>victim multiple times</w:t>
      </w:r>
      <w:r>
        <w:rPr>
          <w:rFonts w:ascii="Arial" w:hAnsi="Arial" w:cs="Arial"/>
          <w:sz w:val="20"/>
          <w:szCs w:val="20"/>
        </w:rPr>
        <w:t xml:space="preserve"> and </w:t>
      </w:r>
      <w:r w:rsidRPr="00E42E72">
        <w:rPr>
          <w:rFonts w:ascii="Arial" w:hAnsi="Arial" w:cs="Arial"/>
          <w:sz w:val="20"/>
          <w:szCs w:val="20"/>
        </w:rPr>
        <w:t xml:space="preserve">punched the victim directly to his face. The victim was, by this stage, immobile. </w:t>
      </w:r>
      <w:r w:rsidR="00CE3F57">
        <w:rPr>
          <w:rFonts w:ascii="Arial" w:hAnsi="Arial" w:cs="Arial"/>
          <w:sz w:val="20"/>
          <w:szCs w:val="20"/>
        </w:rPr>
        <w:t>T</w:t>
      </w:r>
      <w:r w:rsidRPr="00E42E72">
        <w:rPr>
          <w:rFonts w:ascii="Arial" w:hAnsi="Arial" w:cs="Arial"/>
          <w:sz w:val="20"/>
          <w:szCs w:val="20"/>
        </w:rPr>
        <w:t xml:space="preserve">he applicant </w:t>
      </w:r>
      <w:r w:rsidR="00CE3F57">
        <w:rPr>
          <w:rFonts w:ascii="Arial" w:hAnsi="Arial" w:cs="Arial"/>
          <w:sz w:val="20"/>
          <w:szCs w:val="20"/>
        </w:rPr>
        <w:t xml:space="preserve">then </w:t>
      </w:r>
      <w:r w:rsidRPr="00E42E72">
        <w:rPr>
          <w:rFonts w:ascii="Arial" w:hAnsi="Arial" w:cs="Arial"/>
          <w:sz w:val="20"/>
          <w:szCs w:val="20"/>
        </w:rPr>
        <w:t>punch</w:t>
      </w:r>
      <w:r w:rsidR="00CE3F57">
        <w:rPr>
          <w:rFonts w:ascii="Arial" w:hAnsi="Arial" w:cs="Arial"/>
          <w:sz w:val="20"/>
          <w:szCs w:val="20"/>
        </w:rPr>
        <w:t>ed</w:t>
      </w:r>
      <w:r w:rsidRPr="00E42E72">
        <w:rPr>
          <w:rFonts w:ascii="Arial" w:hAnsi="Arial" w:cs="Arial"/>
          <w:sz w:val="20"/>
          <w:szCs w:val="20"/>
        </w:rPr>
        <w:t xml:space="preserve"> the victim multiple times to the head, using both fists, while the victim lay still on the ground. </w:t>
      </w:r>
      <w:r w:rsidR="00CE3F57">
        <w:rPr>
          <w:rFonts w:ascii="Arial" w:hAnsi="Arial" w:cs="Arial"/>
          <w:sz w:val="20"/>
          <w:szCs w:val="20"/>
        </w:rPr>
        <w:t xml:space="preserve">The witness then </w:t>
      </w:r>
      <w:r w:rsidRPr="00E42E72">
        <w:rPr>
          <w:rFonts w:ascii="Arial" w:hAnsi="Arial" w:cs="Arial"/>
          <w:sz w:val="20"/>
          <w:szCs w:val="20"/>
        </w:rPr>
        <w:t>observed the applicant jumping on the victim’s head multiple times, describing each jump as higher than the last</w:t>
      </w:r>
      <w:r w:rsidR="00CE3F57">
        <w:rPr>
          <w:rFonts w:ascii="Arial" w:hAnsi="Arial" w:cs="Arial"/>
          <w:sz w:val="20"/>
          <w:szCs w:val="20"/>
        </w:rPr>
        <w:t xml:space="preserve">, while </w:t>
      </w:r>
      <w:r w:rsidRPr="00E42E72">
        <w:rPr>
          <w:rFonts w:ascii="Arial" w:hAnsi="Arial" w:cs="Arial"/>
          <w:sz w:val="20"/>
          <w:szCs w:val="20"/>
        </w:rPr>
        <w:t>he victim was lying supine, his arms by his side.</w:t>
      </w:r>
      <w:r w:rsidR="00CE3F57">
        <w:rPr>
          <w:rFonts w:ascii="Arial" w:hAnsi="Arial" w:cs="Arial"/>
          <w:sz w:val="20"/>
          <w:szCs w:val="20"/>
        </w:rPr>
        <w:t xml:space="preserve">  The victim’s injuries were life threatening.  In refusing leave to appeal, Kennedy &amp; Taylor JJA said at [28] &amp; [53]:</w:t>
      </w:r>
    </w:p>
    <w:p w14:paraId="5A718509" w14:textId="1A6B910F" w:rsidR="00CE3F57" w:rsidRDefault="00CE3F57" w:rsidP="00CE3F57">
      <w:pPr>
        <w:spacing w:before="60"/>
        <w:ind w:left="567" w:right="567"/>
        <w:jc w:val="both"/>
        <w:rPr>
          <w:rFonts w:ascii="Arial" w:hAnsi="Arial" w:cs="Arial"/>
          <w:sz w:val="20"/>
          <w:szCs w:val="20"/>
        </w:rPr>
      </w:pPr>
      <w:r>
        <w:rPr>
          <w:rFonts w:ascii="Arial" w:hAnsi="Arial" w:cs="Arial"/>
          <w:color w:val="000000"/>
          <w:sz w:val="20"/>
        </w:rPr>
        <w:t>[28] “</w:t>
      </w:r>
      <w:r w:rsidRPr="00CE3F57">
        <w:rPr>
          <w:rFonts w:ascii="Arial" w:hAnsi="Arial" w:cs="Arial"/>
          <w:sz w:val="20"/>
          <w:szCs w:val="20"/>
        </w:rPr>
        <w:t xml:space="preserve">The judge considered the factors outlined in the case of </w:t>
      </w:r>
      <w:r w:rsidRPr="00CE3F57">
        <w:rPr>
          <w:rFonts w:ascii="Arial" w:hAnsi="Arial" w:cs="Arial"/>
          <w:i/>
          <w:iCs/>
          <w:sz w:val="20"/>
          <w:szCs w:val="20"/>
        </w:rPr>
        <w:t>Nash v The Queen</w:t>
      </w:r>
      <w:r w:rsidRPr="00CE3F57">
        <w:rPr>
          <w:rFonts w:ascii="Arial" w:hAnsi="Arial" w:cs="Arial"/>
          <w:sz w:val="20"/>
          <w:szCs w:val="20"/>
        </w:rPr>
        <w:t xml:space="preserve"> (2013) 40 VR 134, 137 [10] (Maxwell P); [2013] VSCA 172 which are relevant in assessing the objective gravity of this offence, including the applicant’s proven intent; the seriousness of the injury actually caused (encompassing the immediate and long-term consequences for the victim); the victim’s vulnerability; and the duration of the attack.</w:t>
      </w:r>
      <w:r>
        <w:rPr>
          <w:rFonts w:ascii="Arial" w:hAnsi="Arial" w:cs="Arial"/>
          <w:sz w:val="20"/>
          <w:szCs w:val="20"/>
        </w:rPr>
        <w:t xml:space="preserve"> </w:t>
      </w:r>
      <w:r w:rsidRPr="00CE3F57">
        <w:rPr>
          <w:rFonts w:ascii="Arial" w:hAnsi="Arial" w:cs="Arial"/>
          <w:sz w:val="20"/>
          <w:szCs w:val="20"/>
        </w:rPr>
        <w:t xml:space="preserve"> The judge noted that the first two factors (intent and seriousness of the injury) particularly inform the seriousness of the offending.</w:t>
      </w:r>
      <w:r>
        <w:rPr>
          <w:rFonts w:ascii="Arial" w:hAnsi="Arial" w:cs="Arial"/>
          <w:sz w:val="20"/>
          <w:szCs w:val="20"/>
        </w:rPr>
        <w:t xml:space="preserve"> </w:t>
      </w:r>
      <w:r w:rsidRPr="00CE3F57">
        <w:rPr>
          <w:rFonts w:ascii="Arial" w:hAnsi="Arial" w:cs="Arial"/>
          <w:sz w:val="20"/>
          <w:szCs w:val="20"/>
        </w:rPr>
        <w:t xml:space="preserve"> The judge found that the applicant’s assault was not attended by aggravating factors such as the use of a weapon or the assault taking place in company.</w:t>
      </w:r>
      <w:r>
        <w:rPr>
          <w:rFonts w:ascii="Arial" w:hAnsi="Arial" w:cs="Arial"/>
          <w:sz w:val="20"/>
          <w:szCs w:val="20"/>
        </w:rPr>
        <w:t xml:space="preserve"> </w:t>
      </w:r>
      <w:r w:rsidRPr="00CE3F57">
        <w:rPr>
          <w:rFonts w:ascii="Arial" w:hAnsi="Arial" w:cs="Arial"/>
          <w:sz w:val="20"/>
          <w:szCs w:val="20"/>
        </w:rPr>
        <w:t xml:space="preserve"> However, the offence charged was one of causing serious injury intentionally in circumstances of gross violence, those circumstances being that the applicant continued with the assault whilst the victim was incapacitated.</w:t>
      </w:r>
      <w:r>
        <w:rPr>
          <w:rFonts w:ascii="Arial" w:hAnsi="Arial" w:cs="Arial"/>
          <w:sz w:val="20"/>
          <w:szCs w:val="20"/>
        </w:rPr>
        <w:t>”</w:t>
      </w:r>
    </w:p>
    <w:p w14:paraId="2BA8BBE0" w14:textId="2A5AFC77" w:rsidR="00CE3F57" w:rsidRDefault="00CE3F57" w:rsidP="00CE3F57">
      <w:pPr>
        <w:spacing w:before="60"/>
        <w:ind w:left="567" w:right="567"/>
        <w:jc w:val="both"/>
        <w:rPr>
          <w:rFonts w:ascii="Arial" w:hAnsi="Arial" w:cs="Arial"/>
          <w:color w:val="000000"/>
          <w:sz w:val="20"/>
        </w:rPr>
      </w:pPr>
      <w:r>
        <w:rPr>
          <w:rFonts w:ascii="Arial" w:hAnsi="Arial" w:cs="Arial"/>
          <w:sz w:val="20"/>
          <w:szCs w:val="20"/>
        </w:rPr>
        <w:t>[53] “[T]</w:t>
      </w:r>
      <w:r w:rsidRPr="00CE3F57">
        <w:rPr>
          <w:rFonts w:ascii="Arial" w:hAnsi="Arial" w:cs="Arial"/>
          <w:sz w:val="20"/>
          <w:szCs w:val="20"/>
        </w:rPr>
        <w:t xml:space="preserve">he judge was prepared to accept (in the applicant’s favour) that he did have some mental ‘condition’ (by reason of the borderline personality disorder diagnosis) for the purposes of applying </w:t>
      </w:r>
      <w:r w:rsidRPr="00CE3F57">
        <w:rPr>
          <w:rFonts w:ascii="Arial" w:hAnsi="Arial" w:cs="Arial"/>
          <w:i/>
          <w:iCs/>
          <w:sz w:val="20"/>
          <w:szCs w:val="20"/>
        </w:rPr>
        <w:t>Verdins</w:t>
      </w:r>
      <w:r w:rsidRPr="00CE3F57">
        <w:rPr>
          <w:rFonts w:ascii="Arial" w:hAnsi="Arial" w:cs="Arial"/>
          <w:sz w:val="20"/>
          <w:szCs w:val="20"/>
        </w:rPr>
        <w:t>. We see no error in this approach. The circumstances under which an offender’s moral culpability may be reduced under s</w:t>
      </w:r>
      <w:r>
        <w:rPr>
          <w:rFonts w:ascii="Arial" w:hAnsi="Arial" w:cs="Arial"/>
          <w:sz w:val="20"/>
          <w:szCs w:val="20"/>
        </w:rPr>
        <w:t>.</w:t>
      </w:r>
      <w:r w:rsidRPr="00CE3F57">
        <w:rPr>
          <w:rFonts w:ascii="Arial" w:hAnsi="Arial" w:cs="Arial"/>
          <w:sz w:val="20"/>
          <w:szCs w:val="20"/>
        </w:rPr>
        <w:t xml:space="preserve">10A(2)(c)(i) </w:t>
      </w:r>
      <w:r>
        <w:rPr>
          <w:rFonts w:ascii="Arial" w:hAnsi="Arial" w:cs="Arial"/>
          <w:sz w:val="20"/>
          <w:szCs w:val="20"/>
        </w:rPr>
        <w:t xml:space="preserve">[of the </w:t>
      </w:r>
      <w:r w:rsidRPr="00CE3F57">
        <w:rPr>
          <w:rFonts w:ascii="Arial" w:hAnsi="Arial" w:cs="Arial"/>
          <w:i/>
          <w:iCs/>
          <w:sz w:val="20"/>
          <w:szCs w:val="20"/>
        </w:rPr>
        <w:t>Sentencing Act 1991</w:t>
      </w:r>
      <w:r>
        <w:rPr>
          <w:rFonts w:ascii="Arial" w:hAnsi="Arial" w:cs="Arial"/>
          <w:sz w:val="20"/>
          <w:szCs w:val="20"/>
        </w:rPr>
        <w:t xml:space="preserve">] </w:t>
      </w:r>
      <w:r w:rsidRPr="00CE3F57">
        <w:rPr>
          <w:rFonts w:ascii="Arial" w:hAnsi="Arial" w:cs="Arial"/>
          <w:sz w:val="20"/>
          <w:szCs w:val="20"/>
        </w:rPr>
        <w:t xml:space="preserve">are also different, and appear to set a higher threshold, than is applicable under </w:t>
      </w:r>
      <w:r w:rsidRPr="00CE3F57">
        <w:rPr>
          <w:rFonts w:ascii="Arial" w:hAnsi="Arial" w:cs="Arial"/>
          <w:i/>
          <w:iCs/>
          <w:sz w:val="20"/>
          <w:szCs w:val="20"/>
        </w:rPr>
        <w:t>Verdins</w:t>
      </w:r>
      <w:r w:rsidRPr="00CE3F57">
        <w:rPr>
          <w:rFonts w:ascii="Arial" w:hAnsi="Arial" w:cs="Arial"/>
          <w:sz w:val="20"/>
          <w:szCs w:val="20"/>
        </w:rPr>
        <w:t>.</w:t>
      </w:r>
      <w:r>
        <w:rPr>
          <w:rFonts w:ascii="Arial" w:hAnsi="Arial" w:cs="Arial"/>
          <w:sz w:val="20"/>
          <w:szCs w:val="20"/>
        </w:rPr>
        <w:t>”</w:t>
      </w:r>
    </w:p>
    <w:p w14:paraId="14E49C8E" w14:textId="2ACBEE57" w:rsidR="00E42E72" w:rsidRDefault="00E42E72" w:rsidP="00EA4EB8">
      <w:pPr>
        <w:jc w:val="both"/>
        <w:rPr>
          <w:rFonts w:ascii="Arial" w:hAnsi="Arial" w:cs="Arial"/>
          <w:color w:val="000000"/>
          <w:sz w:val="20"/>
        </w:rPr>
      </w:pPr>
    </w:p>
    <w:p w14:paraId="3EFA22AB" w14:textId="2EA38A9C" w:rsidR="0052021E" w:rsidRDefault="00800F06" w:rsidP="00EA4EB8">
      <w:pPr>
        <w:jc w:val="both"/>
        <w:rPr>
          <w:rFonts w:ascii="Arial" w:hAnsi="Arial" w:cs="Arial"/>
          <w:sz w:val="20"/>
          <w:szCs w:val="20"/>
        </w:rPr>
      </w:pPr>
      <w:r>
        <w:rPr>
          <w:rFonts w:ascii="Arial" w:hAnsi="Arial" w:cs="Arial"/>
          <w:color w:val="000000"/>
          <w:sz w:val="20"/>
        </w:rPr>
        <w:t xml:space="preserve">In </w:t>
      </w:r>
      <w:r w:rsidRPr="00800F06">
        <w:rPr>
          <w:rFonts w:ascii="Arial" w:hAnsi="Arial" w:cs="Arial"/>
          <w:i/>
          <w:iCs/>
          <w:color w:val="000000"/>
          <w:sz w:val="20"/>
        </w:rPr>
        <w:t>Castillo (a pseudonym) v The King</w:t>
      </w:r>
      <w:r>
        <w:rPr>
          <w:rFonts w:ascii="Arial" w:hAnsi="Arial" w:cs="Arial"/>
          <w:color w:val="000000"/>
          <w:sz w:val="20"/>
        </w:rPr>
        <w:t xml:space="preserve"> [2023] VSCA 150 the 17 year old offender pleaded guilty to one charge of </w:t>
      </w:r>
      <w:r w:rsidRPr="00EC7A69">
        <w:rPr>
          <w:rFonts w:ascii="Arial" w:hAnsi="Arial" w:cs="Arial"/>
          <w:b/>
          <w:bCs/>
          <w:color w:val="000000"/>
          <w:sz w:val="20"/>
        </w:rPr>
        <w:t>intentionally causing serious injury in circumstances of gross violence</w:t>
      </w:r>
      <w:r>
        <w:rPr>
          <w:rFonts w:ascii="Arial" w:hAnsi="Arial" w:cs="Arial"/>
          <w:color w:val="000000"/>
          <w:sz w:val="20"/>
        </w:rPr>
        <w:t xml:space="preserve"> and one charge of armed robbery.  </w:t>
      </w:r>
      <w:bookmarkStart w:id="670" w:name="_Hlk141266949"/>
      <w:r>
        <w:rPr>
          <w:rFonts w:ascii="Arial" w:hAnsi="Arial" w:cs="Arial"/>
          <w:color w:val="000000"/>
          <w:sz w:val="20"/>
        </w:rPr>
        <w:t xml:space="preserve">He had arranged to meet the 16 year old victim, who was unknown to him, in order to purchase electronic cigarettes.  </w:t>
      </w:r>
      <w:r w:rsidR="0052021E">
        <w:rPr>
          <w:rFonts w:ascii="Arial" w:hAnsi="Arial" w:cs="Arial"/>
          <w:color w:val="000000"/>
          <w:sz w:val="20"/>
        </w:rPr>
        <w:t xml:space="preserve">At </w:t>
      </w:r>
      <w:r w:rsidRPr="00800F06">
        <w:rPr>
          <w:rFonts w:ascii="Arial" w:hAnsi="Arial" w:cs="Arial"/>
          <w:sz w:val="20"/>
          <w:szCs w:val="20"/>
        </w:rPr>
        <w:t xml:space="preserve">the meeting the applicant produced a large butcher’s knife. As the victim, still in possession of the vapes, attempted to flee, the applicant gave chase, unsheathed the knife and stabbed the victim in the back. The applicant kicked the victim to the upper body before stabbing him multiple times to the chest as he lay incapacitated on the ground. He also slashed the victim’s fingers, scalp and neck before fleeing the scene with the vapes. </w:t>
      </w:r>
      <w:bookmarkEnd w:id="670"/>
      <w:r w:rsidR="0052021E">
        <w:rPr>
          <w:rFonts w:ascii="Arial" w:hAnsi="Arial" w:cs="Arial"/>
          <w:sz w:val="20"/>
          <w:szCs w:val="20"/>
        </w:rPr>
        <w:t>He was sentenced under the</w:t>
      </w:r>
      <w:r w:rsidR="0052021E" w:rsidRPr="0052021E">
        <w:rPr>
          <w:rFonts w:ascii="Arial" w:hAnsi="Arial" w:cs="Arial"/>
          <w:i/>
          <w:iCs/>
          <w:sz w:val="20"/>
          <w:szCs w:val="20"/>
        </w:rPr>
        <w:t xml:space="preserve"> Sentencing Act 1991</w:t>
      </w:r>
      <w:r w:rsidR="0052021E">
        <w:rPr>
          <w:rFonts w:ascii="Arial" w:hAnsi="Arial" w:cs="Arial"/>
          <w:sz w:val="20"/>
          <w:szCs w:val="20"/>
        </w:rPr>
        <w:t xml:space="preserve"> to IMP5y on the serious injury charge and IMP3y, 1y cumulative on the armed robbery charge.  The TES was IMP6y/3y3m.</w:t>
      </w:r>
    </w:p>
    <w:p w14:paraId="178D2418" w14:textId="77777777" w:rsidR="00502BA3" w:rsidRDefault="00502BA3" w:rsidP="00502BA3">
      <w:pPr>
        <w:jc w:val="both"/>
        <w:rPr>
          <w:rFonts w:ascii="Arial" w:hAnsi="Arial" w:cs="Arial"/>
          <w:sz w:val="20"/>
          <w:szCs w:val="20"/>
        </w:rPr>
      </w:pPr>
    </w:p>
    <w:p w14:paraId="1CAE6059" w14:textId="01E3782A" w:rsidR="00502BA3" w:rsidRDefault="00502BA3" w:rsidP="00502BA3">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MM had pleaded guilty to </w:t>
      </w:r>
      <w:r>
        <w:rPr>
          <w:rFonts w:ascii="Arial" w:hAnsi="Arial" w:cs="Arial"/>
          <w:color w:val="000000"/>
          <w:sz w:val="20"/>
        </w:rPr>
        <w:t xml:space="preserve">one charge of </w:t>
      </w:r>
      <w:r w:rsidRPr="00EC7A69">
        <w:rPr>
          <w:rFonts w:ascii="Arial" w:hAnsi="Arial" w:cs="Arial"/>
          <w:b/>
          <w:bCs/>
          <w:color w:val="000000"/>
          <w:sz w:val="20"/>
        </w:rPr>
        <w:t>intentionally causing serious injury in circumstances of gross violence</w:t>
      </w:r>
      <w:r>
        <w:rPr>
          <w:rFonts w:ascii="Arial" w:hAnsi="Arial" w:cs="Arial"/>
          <w:sz w:val="20"/>
          <w:szCs w:val="20"/>
        </w:rPr>
        <w:t xml:space="preserve">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3y6m detention in a youth justice centre.</w:t>
      </w:r>
    </w:p>
    <w:p w14:paraId="284FC6DF" w14:textId="2CA437D1" w:rsidR="00502BA3" w:rsidRDefault="00502BA3" w:rsidP="00EA4EB8">
      <w:pPr>
        <w:jc w:val="both"/>
        <w:rPr>
          <w:rFonts w:ascii="Arial" w:hAnsi="Arial" w:cs="Arial"/>
          <w:sz w:val="20"/>
          <w:szCs w:val="20"/>
        </w:rPr>
      </w:pPr>
    </w:p>
    <w:p w14:paraId="0864C5E9" w14:textId="77777777" w:rsidR="009274A6" w:rsidRDefault="009274A6" w:rsidP="009274A6">
      <w:pPr>
        <w:jc w:val="both"/>
        <w:rPr>
          <w:rFonts w:ascii="Arial" w:hAnsi="Arial" w:cs="Arial"/>
          <w:sz w:val="20"/>
          <w:szCs w:val="20"/>
        </w:rPr>
      </w:pPr>
      <w:r>
        <w:rPr>
          <w:rFonts w:ascii="Arial" w:hAnsi="Arial" w:cs="Arial"/>
          <w:sz w:val="20"/>
          <w:szCs w:val="20"/>
        </w:rPr>
        <w:t xml:space="preserve">In </w:t>
      </w:r>
      <w:r w:rsidRPr="00C53DC9">
        <w:rPr>
          <w:rFonts w:ascii="Arial" w:hAnsi="Arial" w:cs="Arial"/>
          <w:i/>
          <w:iCs/>
          <w:sz w:val="20"/>
          <w:szCs w:val="20"/>
        </w:rPr>
        <w:t>Weatherburn v The King</w:t>
      </w:r>
      <w:r>
        <w:rPr>
          <w:rFonts w:ascii="Arial" w:hAnsi="Arial" w:cs="Arial"/>
          <w:sz w:val="20"/>
          <w:szCs w:val="20"/>
        </w:rPr>
        <w:t xml:space="preserve"> [2023] VSCA 283 the appellant pleaded guilty to one count of intentionally causing serious injury in cricumstances of gross violence and was sentenced to IMP9y/6y6m.  In dismissing his appeal the Court of Appeal (McLeish, Taylor &amp; Kaye JJA) said at [57]-[61]:</w:t>
      </w:r>
    </w:p>
    <w:p w14:paraId="1D0939EA" w14:textId="77777777" w:rsidR="009274A6" w:rsidRDefault="009274A6" w:rsidP="009274A6">
      <w:pPr>
        <w:spacing w:before="60"/>
        <w:ind w:left="567" w:right="567"/>
        <w:jc w:val="both"/>
        <w:rPr>
          <w:rFonts w:ascii="Arial" w:hAnsi="Arial" w:cs="Arial"/>
          <w:sz w:val="20"/>
          <w:szCs w:val="20"/>
        </w:rPr>
      </w:pPr>
      <w:r>
        <w:rPr>
          <w:rFonts w:ascii="Arial" w:hAnsi="Arial" w:cs="Arial"/>
          <w:sz w:val="20"/>
          <w:szCs w:val="20"/>
        </w:rPr>
        <w:t>[57] “</w:t>
      </w:r>
      <w:r w:rsidRPr="00E02FBC">
        <w:rPr>
          <w:rFonts w:ascii="Arial" w:hAnsi="Arial" w:cs="Arial"/>
          <w:sz w:val="20"/>
          <w:szCs w:val="20"/>
        </w:rPr>
        <w:t>In our view, however, the sentence imposed in this case, while certainly high, was within the range available to the sentencing judge. This was an unprovoked and brutal attack on a defenceless victim, which continued after he had become unconscious, as a result of which he sustained very severe injuries. It took place in a public street over an extended period, during which the appellant had ample opportunity to reconsider his actions and refrain from further violence. Instead, although he desisted in the attack on a number of occasions, he then resumed it with vigour.</w:t>
      </w:r>
    </w:p>
    <w:p w14:paraId="05FF7751" w14:textId="7E7263B9"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[58] </w:t>
      </w:r>
      <w:r w:rsidRPr="00E02FBC">
        <w:rPr>
          <w:rFonts w:ascii="Arial" w:hAnsi="Arial" w:cs="Arial"/>
          <w:sz w:val="20"/>
          <w:szCs w:val="20"/>
        </w:rPr>
        <w:t>The cases relied upon by the parties on the question of current sentencing practice reveal that the offence of intentionally causing serious injury, with or without circumstances of gross violence, is one which can take such a variety of forms as to make identification of current sentencing practice especially difficult</w:t>
      </w:r>
      <w:r>
        <w:rPr>
          <w:rFonts w:ascii="Arial" w:hAnsi="Arial" w:cs="Arial"/>
          <w:sz w:val="20"/>
          <w:szCs w:val="20"/>
        </w:rPr>
        <w:t xml:space="preserve">: see </w:t>
      </w:r>
      <w:r w:rsidRPr="009274A6">
        <w:rPr>
          <w:rFonts w:ascii="Arial" w:hAnsi="Arial" w:cs="Arial"/>
          <w:i/>
          <w:iCs/>
          <w:sz w:val="20"/>
          <w:szCs w:val="20"/>
        </w:rPr>
        <w:t>Nash v The Queen</w:t>
      </w:r>
      <w:r w:rsidRPr="00E02FBC">
        <w:rPr>
          <w:rFonts w:ascii="Arial" w:hAnsi="Arial" w:cs="Arial"/>
          <w:sz w:val="20"/>
          <w:szCs w:val="20"/>
        </w:rPr>
        <w:t xml:space="preserve"> (2013) 40 VR 134, 145–6 [55]</w:t>
      </w:r>
      <w:r>
        <w:rPr>
          <w:rFonts w:ascii="Arial" w:hAnsi="Arial" w:cs="Arial"/>
          <w:sz w:val="20"/>
          <w:szCs w:val="20"/>
        </w:rPr>
        <w:t xml:space="preserve">.  </w:t>
      </w:r>
      <w:r w:rsidRPr="00E02FBC">
        <w:rPr>
          <w:rFonts w:ascii="Arial" w:hAnsi="Arial" w:cs="Arial"/>
          <w:sz w:val="20"/>
          <w:szCs w:val="20"/>
        </w:rPr>
        <w:t xml:space="preserve">The cases do not reveal that there is any specific factor, such as use of a weapon or assault in company, which were not features of the present case, which explains the sentences at the upper end of the range. Each case involves its own particular circumstances and generalisations of that kind are not necessarily helpful. It is worthy of note, however, that a sentence of </w:t>
      </w:r>
      <w:r>
        <w:rPr>
          <w:rFonts w:ascii="Arial" w:hAnsi="Arial" w:cs="Arial"/>
          <w:sz w:val="20"/>
          <w:szCs w:val="20"/>
        </w:rPr>
        <w:t>8y10m</w:t>
      </w:r>
      <w:r w:rsidRPr="00E02FBC">
        <w:rPr>
          <w:rFonts w:ascii="Arial" w:hAnsi="Arial" w:cs="Arial"/>
          <w:sz w:val="20"/>
          <w:szCs w:val="20"/>
        </w:rPr>
        <w:t xml:space="preserve"> was upheld in </w:t>
      </w:r>
      <w:r w:rsidRPr="009274A6">
        <w:rPr>
          <w:rFonts w:ascii="Arial" w:hAnsi="Arial" w:cs="Arial"/>
          <w:i/>
          <w:iCs/>
          <w:sz w:val="20"/>
          <w:szCs w:val="20"/>
        </w:rPr>
        <w:lastRenderedPageBreak/>
        <w:t>Van Kempen v The Queen</w:t>
      </w:r>
      <w:r>
        <w:rPr>
          <w:rFonts w:ascii="Arial" w:hAnsi="Arial" w:cs="Arial"/>
          <w:sz w:val="20"/>
          <w:szCs w:val="20"/>
        </w:rPr>
        <w:t xml:space="preserve"> [2023] VSCA 26 </w:t>
      </w:r>
      <w:r w:rsidRPr="00E02FBC">
        <w:rPr>
          <w:rFonts w:ascii="Arial" w:hAnsi="Arial" w:cs="Arial"/>
          <w:sz w:val="20"/>
          <w:szCs w:val="20"/>
        </w:rPr>
        <w:t>upon which the respondent relied, for very similar offending which was somewhat less serious in its immediate effects but had significant ongoing impacts that would continue to require treatment and rehabilitation.</w:t>
      </w:r>
    </w:p>
    <w:p w14:paraId="3490FF78" w14:textId="52B01DAA"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[59] </w:t>
      </w:r>
      <w:r w:rsidRPr="00E02FBC">
        <w:rPr>
          <w:rFonts w:ascii="Arial" w:hAnsi="Arial" w:cs="Arial"/>
          <w:sz w:val="20"/>
          <w:szCs w:val="20"/>
        </w:rPr>
        <w:t xml:space="preserve">In the present case, the duration of the attack stands out, continuing and resuming as it did, when it was plain that Mr Danilovic was unconscious. The assault was entirely gratuitous; Mr Danilovic had given the appellant no cause to attack him. Throughout the assault, he was utterly helpless. The absence of a weapon (apart from the phone) is of little moment when an offender is repeatedly kicking a senseless victim to the head. And although the initial attack seems to have been spontaneous, the fact that the assault was repeatedly renewed means that the appellant had the opportunity to reflect on what he was doing. As the sentencing judge noted, the case has the aggravating features highlighted in </w:t>
      </w:r>
      <w:r w:rsidRPr="00AB4662">
        <w:rPr>
          <w:rFonts w:ascii="Arial" w:hAnsi="Arial" w:cs="Arial"/>
          <w:i/>
          <w:iCs/>
          <w:sz w:val="20"/>
          <w:szCs w:val="20"/>
        </w:rPr>
        <w:t>Director of Public Prosecutions v Terrick</w:t>
      </w:r>
      <w:r>
        <w:rPr>
          <w:rFonts w:ascii="Arial" w:hAnsi="Arial" w:cs="Arial"/>
          <w:sz w:val="20"/>
          <w:szCs w:val="20"/>
        </w:rPr>
        <w:t xml:space="preserve"> (2009) 24 VR 457, 47</w:t>
      </w:r>
      <w:r w:rsidR="00AB4662">
        <w:rPr>
          <w:rFonts w:ascii="Arial" w:hAnsi="Arial" w:cs="Arial"/>
          <w:sz w:val="20"/>
          <w:szCs w:val="20"/>
        </w:rPr>
        <w:t>6</w:t>
      </w:r>
      <w:r>
        <w:rPr>
          <w:rFonts w:ascii="Arial" w:hAnsi="Arial" w:cs="Arial"/>
          <w:sz w:val="20"/>
          <w:szCs w:val="20"/>
        </w:rPr>
        <w:t xml:space="preserve"> [</w:t>
      </w:r>
      <w:r w:rsidR="00AB4662">
        <w:rPr>
          <w:rFonts w:ascii="Arial" w:hAnsi="Arial" w:cs="Arial"/>
          <w:sz w:val="20"/>
          <w:szCs w:val="20"/>
        </w:rPr>
        <w:t>77</w:t>
      </w:r>
      <w:r>
        <w:rPr>
          <w:rFonts w:ascii="Arial" w:hAnsi="Arial" w:cs="Arial"/>
          <w:sz w:val="20"/>
          <w:szCs w:val="20"/>
        </w:rPr>
        <w:t>]</w:t>
      </w:r>
      <w:r w:rsidRPr="00E02FBC">
        <w:rPr>
          <w:rFonts w:ascii="Arial" w:hAnsi="Arial" w:cs="Arial"/>
          <w:sz w:val="20"/>
          <w:szCs w:val="20"/>
        </w:rPr>
        <w:t>, namely that the attack was unprovoked, it continued after the victim had become unconscious and the victim sustained very severe, albeit not catastrophic, injuries.</w:t>
      </w:r>
    </w:p>
    <w:p w14:paraId="39A57C68" w14:textId="19AF92A6"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[60] </w:t>
      </w:r>
      <w:r w:rsidRPr="00E02FBC">
        <w:rPr>
          <w:rFonts w:ascii="Arial" w:hAnsi="Arial" w:cs="Arial"/>
          <w:sz w:val="20"/>
          <w:szCs w:val="20"/>
        </w:rPr>
        <w:t xml:space="preserve">The judge was right to say that general deterrence looms large in cases such as this. The Court warned in </w:t>
      </w:r>
      <w:r w:rsidRPr="00E02FBC">
        <w:rPr>
          <w:rFonts w:ascii="Arial" w:hAnsi="Arial" w:cs="Arial"/>
          <w:i/>
          <w:iCs/>
          <w:sz w:val="20"/>
          <w:szCs w:val="20"/>
        </w:rPr>
        <w:t>Terrick</w:t>
      </w:r>
      <w:r w:rsidR="00AB4662">
        <w:rPr>
          <w:rFonts w:ascii="Arial" w:hAnsi="Arial" w:cs="Arial"/>
          <w:sz w:val="20"/>
          <w:szCs w:val="20"/>
        </w:rPr>
        <w:t xml:space="preserve"> at [56]:</w:t>
      </w:r>
    </w:p>
    <w:p w14:paraId="1CA26525" w14:textId="19D6DF3C" w:rsidR="009274A6" w:rsidRPr="00AB4662" w:rsidRDefault="00AB4662" w:rsidP="009274A6">
      <w:pPr>
        <w:spacing w:before="60"/>
        <w:ind w:left="1021" w:right="1021"/>
        <w:jc w:val="both"/>
        <w:rPr>
          <w:rFonts w:ascii="Arial" w:hAnsi="Arial" w:cs="Arial"/>
          <w:sz w:val="18"/>
          <w:szCs w:val="18"/>
        </w:rPr>
      </w:pPr>
      <w:r w:rsidRPr="00AB4662">
        <w:rPr>
          <w:rFonts w:ascii="Arial" w:hAnsi="Arial" w:cs="Arial"/>
          <w:sz w:val="18"/>
          <w:szCs w:val="18"/>
        </w:rPr>
        <w:t>‘As has been repeatedly said, those who, when disinhibited by alcohol, engage in unbridled violence in public places must expect severe punishment</w:t>
      </w:r>
      <w:r>
        <w:rPr>
          <w:rFonts w:ascii="Arial" w:hAnsi="Arial" w:cs="Arial"/>
          <w:sz w:val="18"/>
          <w:szCs w:val="18"/>
        </w:rPr>
        <w:t xml:space="preserve">: </w:t>
      </w:r>
      <w:r w:rsidRPr="00AB4662">
        <w:rPr>
          <w:rFonts w:ascii="Arial" w:hAnsi="Arial" w:cs="Arial"/>
          <w:i/>
          <w:iCs/>
          <w:sz w:val="18"/>
          <w:szCs w:val="18"/>
        </w:rPr>
        <w:t>Zullo</w:t>
      </w:r>
      <w:r>
        <w:rPr>
          <w:rFonts w:ascii="Arial" w:hAnsi="Arial" w:cs="Arial"/>
          <w:sz w:val="18"/>
          <w:szCs w:val="18"/>
        </w:rPr>
        <w:t xml:space="preserve"> [2004] VSCA 154 [31]; </w:t>
      </w:r>
      <w:r w:rsidRPr="00AB4662">
        <w:rPr>
          <w:rFonts w:ascii="Arial" w:hAnsi="Arial" w:cs="Arial"/>
          <w:i/>
          <w:iCs/>
          <w:sz w:val="18"/>
          <w:szCs w:val="18"/>
        </w:rPr>
        <w:t>R v Stevenson</w:t>
      </w:r>
      <w:r>
        <w:rPr>
          <w:rFonts w:ascii="Arial" w:hAnsi="Arial" w:cs="Arial"/>
          <w:sz w:val="18"/>
          <w:szCs w:val="18"/>
        </w:rPr>
        <w:t xml:space="preserve"> [2000] VSCA 161 [27]</w:t>
      </w:r>
      <w:r w:rsidRPr="00AB4662">
        <w:rPr>
          <w:rFonts w:ascii="Arial" w:hAnsi="Arial" w:cs="Arial"/>
          <w:sz w:val="18"/>
          <w:szCs w:val="18"/>
        </w:rPr>
        <w:t xml:space="preserve">. ... The kind of random violence which occurred here makes citizens fearful of being on the streets, especially after dark. As the Court said recently in </w:t>
      </w:r>
      <w:r w:rsidRPr="00AB4662">
        <w:rPr>
          <w:rFonts w:ascii="Arial" w:hAnsi="Arial" w:cs="Arial"/>
          <w:i/>
          <w:iCs/>
          <w:sz w:val="18"/>
          <w:szCs w:val="18"/>
        </w:rPr>
        <w:t>Director of Public Prosecutions v Dowie</w:t>
      </w:r>
      <w:r>
        <w:rPr>
          <w:rFonts w:ascii="Arial" w:hAnsi="Arial" w:cs="Arial"/>
          <w:sz w:val="18"/>
          <w:szCs w:val="18"/>
        </w:rPr>
        <w:t xml:space="preserve"> [2009] VSCA 154 [31]</w:t>
      </w:r>
      <w:r w:rsidRPr="00AB4662">
        <w:rPr>
          <w:rFonts w:ascii="Arial" w:hAnsi="Arial" w:cs="Arial"/>
          <w:sz w:val="18"/>
          <w:szCs w:val="18"/>
        </w:rPr>
        <w:t>, the members of our community are entitled to go about their ordinary activities without fear of exposure to physical attack.’</w:t>
      </w:r>
      <w:r>
        <w:rPr>
          <w:rFonts w:ascii="Arial" w:hAnsi="Arial" w:cs="Arial"/>
          <w:sz w:val="18"/>
          <w:szCs w:val="18"/>
        </w:rPr>
        <w:t xml:space="preserve">: </w:t>
      </w:r>
      <w:r w:rsidRPr="00AB4662">
        <w:rPr>
          <w:rFonts w:ascii="Arial" w:hAnsi="Arial" w:cs="Arial"/>
          <w:i/>
          <w:iCs/>
          <w:sz w:val="18"/>
          <w:szCs w:val="18"/>
        </w:rPr>
        <w:t>Terrick</w:t>
      </w:r>
      <w:r>
        <w:rPr>
          <w:rFonts w:ascii="Arial" w:hAnsi="Arial" w:cs="Arial"/>
          <w:sz w:val="18"/>
          <w:szCs w:val="18"/>
        </w:rPr>
        <w:t xml:space="preserve"> at [56]</w:t>
      </w:r>
    </w:p>
    <w:p w14:paraId="1D0EFB3C" w14:textId="60E836D3"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[61] </w:t>
      </w:r>
      <w:r w:rsidR="00AB4662" w:rsidRPr="00E02FBC">
        <w:rPr>
          <w:rFonts w:ascii="Arial" w:hAnsi="Arial" w:cs="Arial"/>
          <w:sz w:val="20"/>
          <w:szCs w:val="20"/>
        </w:rPr>
        <w:t xml:space="preserve">More particularly, we refer to what was said in </w:t>
      </w:r>
      <w:r w:rsidR="00AB4662" w:rsidRPr="00AB4662">
        <w:rPr>
          <w:rFonts w:ascii="Arial" w:hAnsi="Arial" w:cs="Arial"/>
          <w:i/>
          <w:iCs/>
          <w:sz w:val="20"/>
          <w:szCs w:val="20"/>
        </w:rPr>
        <w:t>Wan v The Queen</w:t>
      </w:r>
      <w:r w:rsidR="00AB4662">
        <w:rPr>
          <w:rFonts w:ascii="Arial" w:hAnsi="Arial" w:cs="Arial"/>
          <w:sz w:val="20"/>
          <w:szCs w:val="20"/>
        </w:rPr>
        <w:t xml:space="preserve"> [2019] VACS 81 at [38]</w:t>
      </w:r>
      <w:r w:rsidR="00AB4662" w:rsidRPr="00E02FBC">
        <w:rPr>
          <w:rFonts w:ascii="Arial" w:hAnsi="Arial" w:cs="Arial"/>
          <w:sz w:val="20"/>
          <w:szCs w:val="20"/>
        </w:rPr>
        <w:t>, a</w:t>
      </w:r>
      <w:r w:rsidR="00AB4662">
        <w:rPr>
          <w:rFonts w:ascii="Arial" w:hAnsi="Arial" w:cs="Arial"/>
          <w:sz w:val="20"/>
          <w:szCs w:val="20"/>
        </w:rPr>
        <w:t> </w:t>
      </w:r>
      <w:r w:rsidR="00AB4662" w:rsidRPr="00E02FBC">
        <w:rPr>
          <w:rFonts w:ascii="Arial" w:hAnsi="Arial" w:cs="Arial"/>
          <w:sz w:val="20"/>
          <w:szCs w:val="20"/>
        </w:rPr>
        <w:t>case involving an attack similar to the present case but which turned out to be fatal:</w:t>
      </w:r>
    </w:p>
    <w:p w14:paraId="4BFE05F5" w14:textId="3AFDB277" w:rsidR="00AB4662" w:rsidRPr="00AB4662" w:rsidRDefault="00AB4662" w:rsidP="00AB4662">
      <w:pPr>
        <w:spacing w:before="60"/>
        <w:ind w:left="1021" w:right="1021"/>
        <w:jc w:val="both"/>
        <w:rPr>
          <w:rFonts w:ascii="Arial" w:hAnsi="Arial" w:cs="Arial"/>
          <w:sz w:val="18"/>
          <w:szCs w:val="18"/>
        </w:rPr>
      </w:pPr>
      <w:r w:rsidRPr="00AB4662">
        <w:rPr>
          <w:rFonts w:ascii="Arial" w:hAnsi="Arial" w:cs="Arial"/>
          <w:sz w:val="18"/>
          <w:szCs w:val="18"/>
        </w:rPr>
        <w:t>‘To stomp repeatedly on the head of a person lying defenceless on the ground is obviously unlawful and exceptionally dangerous to the victim’s life. … Violence of this kind, which is all too prevalent, is … likely to fall within the higher range of offences of manslaughter. … [T]he seriousness of such conduct … calls for stern denunciation and the imposition of a sentence which it may be hoped may deter others from similar conduct.’</w:t>
      </w:r>
      <w:r>
        <w:rPr>
          <w:rFonts w:ascii="Arial" w:hAnsi="Arial" w:cs="Arial"/>
          <w:sz w:val="18"/>
          <w:szCs w:val="18"/>
        </w:rPr>
        <w:t>”</w:t>
      </w:r>
    </w:p>
    <w:p w14:paraId="4A53B572" w14:textId="77777777" w:rsidR="009274A6" w:rsidRDefault="009274A6" w:rsidP="00EA4EB8">
      <w:pPr>
        <w:jc w:val="both"/>
        <w:rPr>
          <w:rFonts w:ascii="Arial" w:hAnsi="Arial" w:cs="Arial"/>
          <w:sz w:val="20"/>
          <w:szCs w:val="20"/>
        </w:rPr>
      </w:pPr>
    </w:p>
    <w:p w14:paraId="3BB1B5B5" w14:textId="581379EC" w:rsidR="00E757B1" w:rsidRDefault="00E757B1" w:rsidP="00EA4EB8">
      <w:pPr>
        <w:jc w:val="both"/>
        <w:rPr>
          <w:rFonts w:ascii="Arial" w:hAnsi="Arial" w:cs="Arial"/>
          <w:sz w:val="20"/>
          <w:szCs w:val="20"/>
        </w:rPr>
      </w:pPr>
      <w:r>
        <w:rPr>
          <w:rFonts w:ascii="Arial" w:hAnsi="Arial" w:cs="Arial"/>
          <w:sz w:val="20"/>
          <w:szCs w:val="20"/>
        </w:rPr>
        <w:t xml:space="preserve">In </w:t>
      </w:r>
      <w:r w:rsidRPr="00E757B1">
        <w:rPr>
          <w:rFonts w:ascii="Arial" w:hAnsi="Arial" w:cs="Arial"/>
          <w:i/>
          <w:iCs/>
          <w:sz w:val="20"/>
          <w:szCs w:val="20"/>
        </w:rPr>
        <w:t>DPP v BC</w:t>
      </w:r>
      <w:r>
        <w:rPr>
          <w:rFonts w:ascii="Arial" w:hAnsi="Arial" w:cs="Arial"/>
          <w:sz w:val="20"/>
          <w:szCs w:val="20"/>
        </w:rPr>
        <w:t xml:space="preserve"> [2024] VSC 716 the accused – who was 14 years old at the time of offending and 16 years old at the time of sentencing – had pleaded guilty to causing serious injury intentionally in circumstances of gross violence and common assault – the victims were his grandmother and sister – matters in mitigation were significant delay, the fact that the accused was suffering from high functioning autism spectrum disorder at the time of offending and the accused had no prior criminal history and no subsequent matters – sentenced pursuant to the CYFA to a 15m youth supervision order</w:t>
      </w:r>
      <w:r w:rsidR="00152AFC">
        <w:rPr>
          <w:rFonts w:ascii="Arial" w:hAnsi="Arial" w:cs="Arial"/>
          <w:sz w:val="20"/>
          <w:szCs w:val="20"/>
        </w:rPr>
        <w:t xml:space="preserve"> without conviction</w:t>
      </w:r>
      <w:r>
        <w:rPr>
          <w:rFonts w:ascii="Arial" w:hAnsi="Arial" w:cs="Arial"/>
          <w:sz w:val="20"/>
          <w:szCs w:val="20"/>
        </w:rPr>
        <w:t>.</w:t>
      </w:r>
    </w:p>
    <w:p w14:paraId="057377A0" w14:textId="77777777" w:rsidR="00E757B1" w:rsidRDefault="00E757B1" w:rsidP="00EA4EB8">
      <w:pPr>
        <w:jc w:val="both"/>
        <w:rPr>
          <w:rFonts w:ascii="Arial" w:hAnsi="Arial" w:cs="Arial"/>
          <w:sz w:val="20"/>
          <w:szCs w:val="20"/>
        </w:rPr>
      </w:pPr>
    </w:p>
    <w:p w14:paraId="11F4016C" w14:textId="1002B640" w:rsidR="005E43F4" w:rsidRDefault="005E43F4" w:rsidP="00EA4EB8">
      <w:pPr>
        <w:jc w:val="both"/>
        <w:rPr>
          <w:rFonts w:ascii="Arial" w:hAnsi="Arial" w:cs="Arial"/>
          <w:sz w:val="20"/>
          <w:szCs w:val="20"/>
        </w:rPr>
      </w:pPr>
      <w:r>
        <w:rPr>
          <w:rFonts w:ascii="Arial" w:hAnsi="Arial" w:cs="Arial"/>
          <w:sz w:val="20"/>
          <w:szCs w:val="20"/>
        </w:rPr>
        <w:t xml:space="preserve">In </w:t>
      </w:r>
      <w:r w:rsidRPr="005E43F4">
        <w:rPr>
          <w:rFonts w:ascii="Arial" w:hAnsi="Arial" w:cs="Arial"/>
          <w:i/>
          <w:iCs/>
          <w:sz w:val="20"/>
          <w:szCs w:val="20"/>
        </w:rPr>
        <w:t>R v Uluivuya</w:t>
      </w:r>
      <w:r>
        <w:rPr>
          <w:rFonts w:ascii="Arial" w:hAnsi="Arial" w:cs="Arial"/>
          <w:sz w:val="20"/>
          <w:szCs w:val="20"/>
        </w:rPr>
        <w:t xml:space="preserve"> [2025] VSC 29 the 55 year old accused who had no criminal history had pleaded guilty after a sentence indication to intentionally causing serious injury in circumstances of gross violence. He had falsely implicated the complainant in driving infringements in order to avoid demerit points. Upon learning </w:t>
      </w:r>
      <w:r w:rsidRPr="005E43F4">
        <w:rPr>
          <w:rFonts w:ascii="Arial" w:hAnsi="Arial" w:cs="Arial"/>
          <w:sz w:val="20"/>
          <w:szCs w:val="20"/>
        </w:rPr>
        <w:t xml:space="preserve">this, </w:t>
      </w:r>
      <w:r>
        <w:rPr>
          <w:rFonts w:ascii="Arial" w:hAnsi="Arial" w:cs="Arial"/>
          <w:sz w:val="20"/>
          <w:szCs w:val="20"/>
        </w:rPr>
        <w:t xml:space="preserve">the </w:t>
      </w:r>
      <w:r w:rsidRPr="005E43F4">
        <w:rPr>
          <w:rFonts w:ascii="Arial" w:hAnsi="Arial" w:cs="Arial"/>
          <w:sz w:val="20"/>
          <w:szCs w:val="20"/>
        </w:rPr>
        <w:t xml:space="preserve">complainant made threats to </w:t>
      </w:r>
      <w:r>
        <w:rPr>
          <w:rFonts w:ascii="Arial" w:hAnsi="Arial" w:cs="Arial"/>
          <w:sz w:val="20"/>
          <w:szCs w:val="20"/>
        </w:rPr>
        <w:t xml:space="preserve">the </w:t>
      </w:r>
      <w:r w:rsidRPr="005E43F4">
        <w:rPr>
          <w:rFonts w:ascii="Arial" w:hAnsi="Arial" w:cs="Arial"/>
          <w:sz w:val="20"/>
          <w:szCs w:val="20"/>
        </w:rPr>
        <w:t>accused</w:t>
      </w:r>
      <w:r>
        <w:rPr>
          <w:rFonts w:ascii="Arial" w:hAnsi="Arial" w:cs="Arial"/>
          <w:sz w:val="20"/>
          <w:szCs w:val="20"/>
        </w:rPr>
        <w:t xml:space="preserve">. </w:t>
      </w:r>
      <w:r w:rsidRPr="005E43F4">
        <w:rPr>
          <w:rFonts w:ascii="Arial" w:hAnsi="Arial" w:cs="Arial"/>
          <w:sz w:val="20"/>
          <w:szCs w:val="20"/>
        </w:rPr>
        <w:t xml:space="preserve">Frightened and angered by </w:t>
      </w:r>
      <w:r>
        <w:rPr>
          <w:rFonts w:ascii="Arial" w:hAnsi="Arial" w:cs="Arial"/>
          <w:sz w:val="20"/>
          <w:szCs w:val="20"/>
        </w:rPr>
        <w:t xml:space="preserve">the </w:t>
      </w:r>
      <w:r w:rsidRPr="005E43F4">
        <w:rPr>
          <w:rFonts w:ascii="Arial" w:hAnsi="Arial" w:cs="Arial"/>
          <w:sz w:val="20"/>
          <w:szCs w:val="20"/>
        </w:rPr>
        <w:t xml:space="preserve">threats, </w:t>
      </w:r>
      <w:r>
        <w:rPr>
          <w:rFonts w:ascii="Arial" w:hAnsi="Arial" w:cs="Arial"/>
          <w:sz w:val="20"/>
          <w:szCs w:val="20"/>
        </w:rPr>
        <w:t xml:space="preserve">the </w:t>
      </w:r>
      <w:r w:rsidRPr="005E43F4">
        <w:rPr>
          <w:rFonts w:ascii="Arial" w:hAnsi="Arial" w:cs="Arial"/>
          <w:sz w:val="20"/>
          <w:szCs w:val="20"/>
        </w:rPr>
        <w:t xml:space="preserve">accused followed </w:t>
      </w:r>
      <w:r>
        <w:rPr>
          <w:rFonts w:ascii="Arial" w:hAnsi="Arial" w:cs="Arial"/>
          <w:sz w:val="20"/>
          <w:szCs w:val="20"/>
        </w:rPr>
        <w:t xml:space="preserve">the </w:t>
      </w:r>
      <w:r w:rsidRPr="005E43F4">
        <w:rPr>
          <w:rFonts w:ascii="Arial" w:hAnsi="Arial" w:cs="Arial"/>
          <w:sz w:val="20"/>
          <w:szCs w:val="20"/>
        </w:rPr>
        <w:t>complainant to his front door</w:t>
      </w:r>
      <w:r>
        <w:rPr>
          <w:rFonts w:ascii="Arial" w:hAnsi="Arial" w:cs="Arial"/>
          <w:sz w:val="20"/>
          <w:szCs w:val="20"/>
        </w:rPr>
        <w:t xml:space="preserve"> </w:t>
      </w:r>
      <w:r w:rsidRPr="005E43F4">
        <w:rPr>
          <w:rFonts w:ascii="Arial" w:hAnsi="Arial" w:cs="Arial"/>
          <w:sz w:val="20"/>
          <w:szCs w:val="20"/>
        </w:rPr>
        <w:t>and struck him repeatedly to head with blunt side of small axe, causing serious injury</w:t>
      </w:r>
      <w:r>
        <w:rPr>
          <w:rFonts w:ascii="Arial" w:hAnsi="Arial" w:cs="Arial"/>
          <w:sz w:val="20"/>
          <w:szCs w:val="20"/>
        </w:rPr>
        <w:t>. The c</w:t>
      </w:r>
      <w:r w:rsidRPr="005E43F4">
        <w:rPr>
          <w:rFonts w:ascii="Arial" w:hAnsi="Arial" w:cs="Arial"/>
          <w:sz w:val="20"/>
          <w:szCs w:val="20"/>
        </w:rPr>
        <w:t>omplainant suffered multiple head injuries, requiring surgery</w:t>
      </w:r>
      <w:r>
        <w:rPr>
          <w:rFonts w:ascii="Arial" w:hAnsi="Arial" w:cs="Arial"/>
          <w:sz w:val="20"/>
          <w:szCs w:val="20"/>
        </w:rPr>
        <w:t xml:space="preserve">. He has </w:t>
      </w:r>
      <w:r w:rsidRPr="005E43F4">
        <w:rPr>
          <w:rFonts w:ascii="Arial" w:hAnsi="Arial" w:cs="Arial"/>
          <w:sz w:val="20"/>
          <w:szCs w:val="20"/>
        </w:rPr>
        <w:t>now largely recovered physically, but still suffers psychological sequalae</w:t>
      </w:r>
      <w:r>
        <w:rPr>
          <w:rFonts w:ascii="Arial" w:hAnsi="Arial" w:cs="Arial"/>
          <w:sz w:val="20"/>
          <w:szCs w:val="20"/>
        </w:rPr>
        <w:t>. A serious example of the offence.  The accused’s PTSD makes imprisonment more burdensome. Accused has a strong work history and excellent prospects of rehabilitation. After a sentence indication IMP6y/4y. But for plea of guilty IMP9y/6y.</w:t>
      </w:r>
    </w:p>
    <w:p w14:paraId="3ABD6897" w14:textId="5316623E" w:rsidR="005E43F4" w:rsidRDefault="005E43F4" w:rsidP="00EA4EB8">
      <w:pPr>
        <w:jc w:val="both"/>
        <w:rPr>
          <w:rFonts w:ascii="Arial" w:hAnsi="Arial" w:cs="Arial"/>
          <w:sz w:val="20"/>
          <w:szCs w:val="20"/>
        </w:rPr>
      </w:pPr>
    </w:p>
    <w:p w14:paraId="2BD5A989" w14:textId="77777777"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bookmarkStart w:id="671" w:name="_C_RECKLESSLY_CAUSING"/>
      <w:bookmarkEnd w:id="671"/>
      <w:r>
        <w:rPr>
          <w:rFonts w:ascii="Arial" w:hAnsi="Arial" w:cs="Arial"/>
          <w:b/>
          <w:color w:val="FFFFFF"/>
          <w:sz w:val="22"/>
          <w:shd w:val="clear" w:color="auto" w:fill="000000"/>
        </w:rPr>
        <w:t>C</w:t>
      </w:r>
      <w:r>
        <w:rPr>
          <w:rFonts w:ascii="Arial" w:hAnsi="Arial" w:cs="Arial"/>
          <w:b/>
          <w:color w:val="000000"/>
          <w:sz w:val="22"/>
        </w:rPr>
        <w:tab/>
      </w:r>
      <w:r w:rsidR="00EA4EB8">
        <w:rPr>
          <w:rFonts w:ascii="Arial" w:hAnsi="Arial" w:cs="Arial"/>
          <w:b/>
          <w:bCs/>
          <w:color w:val="FFFFFF" w:themeColor="background1"/>
          <w:sz w:val="20"/>
          <w:shd w:val="clear" w:color="auto" w:fill="000000" w:themeFill="text1"/>
        </w:rPr>
        <w:t>RECKLESSLY CAUSING SERIOUS INJURY IN CIRCUMSTANCES OF GROSS VIOLENCE</w:t>
      </w: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52 year old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and his diagnoses included PTSD, schizophrenia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Bugmy considerations applied.  </w:t>
      </w:r>
      <w:r w:rsidR="00EA4EB8" w:rsidRPr="00260273">
        <w:rPr>
          <w:rFonts w:ascii="Arial" w:hAnsi="Arial" w:cs="Arial"/>
          <w:sz w:val="20"/>
          <w:szCs w:val="20"/>
        </w:rPr>
        <w:t>T</w:t>
      </w:r>
      <w:r>
        <w:rPr>
          <w:rFonts w:ascii="Arial" w:hAnsi="Arial" w:cs="Arial"/>
          <w:sz w:val="20"/>
          <w:szCs w:val="20"/>
        </w:rPr>
        <w:t>ES IMP6y6m/4y.</w:t>
      </w:r>
    </w:p>
    <w:p w14:paraId="3D61AC53" w14:textId="77777777" w:rsidR="00933A1B" w:rsidRDefault="00933A1B" w:rsidP="00933A1B">
      <w:pPr>
        <w:jc w:val="both"/>
        <w:rPr>
          <w:rFonts w:ascii="Arial" w:hAnsi="Arial" w:cs="Arial"/>
          <w:color w:val="000000"/>
          <w:sz w:val="20"/>
        </w:rPr>
      </w:pPr>
      <w:bookmarkStart w:id="672" w:name="_11.2.24.2__"/>
      <w:bookmarkEnd w:id="672"/>
    </w:p>
    <w:p w14:paraId="671CD294" w14:textId="4186BC44" w:rsidR="00933A1B" w:rsidRDefault="00933A1B" w:rsidP="00933A1B">
      <w:pPr>
        <w:jc w:val="both"/>
        <w:rPr>
          <w:rFonts w:ascii="Arial" w:hAnsi="Arial" w:cs="Arial"/>
          <w:sz w:val="20"/>
          <w:szCs w:val="20"/>
        </w:rPr>
      </w:pPr>
      <w:r>
        <w:rPr>
          <w:rFonts w:ascii="Arial" w:hAnsi="Arial" w:cs="Arial"/>
          <w:color w:val="000000"/>
          <w:sz w:val="20"/>
        </w:rPr>
        <w:t xml:space="preserve">In </w:t>
      </w:r>
      <w:r w:rsidRPr="00D10746">
        <w:rPr>
          <w:rFonts w:ascii="Arial" w:hAnsi="Arial" w:cs="Arial"/>
          <w:i/>
          <w:iCs/>
          <w:color w:val="000000"/>
          <w:sz w:val="20"/>
        </w:rPr>
        <w:t>DPP v Mathiei &amp; Ors</w:t>
      </w:r>
      <w:r>
        <w:rPr>
          <w:rFonts w:ascii="Arial" w:hAnsi="Arial" w:cs="Arial"/>
          <w:color w:val="000000"/>
          <w:sz w:val="20"/>
        </w:rPr>
        <w:t xml:space="preserve"> [2023] VSC 123 a group </w:t>
      </w:r>
      <w:r w:rsidRPr="00D10746">
        <w:rPr>
          <w:rFonts w:ascii="Arial" w:hAnsi="Arial" w:cs="Arial"/>
          <w:sz w:val="20"/>
          <w:szCs w:val="20"/>
        </w:rPr>
        <w:t xml:space="preserve">of youthful offenders </w:t>
      </w:r>
      <w:r>
        <w:rPr>
          <w:rFonts w:ascii="Arial" w:hAnsi="Arial" w:cs="Arial"/>
          <w:sz w:val="20"/>
          <w:szCs w:val="20"/>
        </w:rPr>
        <w:t xml:space="preserve">had </w:t>
      </w:r>
      <w:r w:rsidRPr="00D10746">
        <w:rPr>
          <w:rFonts w:ascii="Arial" w:hAnsi="Arial" w:cs="Arial"/>
          <w:sz w:val="20"/>
          <w:szCs w:val="20"/>
        </w:rPr>
        <w:t>alighted from their cars and attacked victims who got out of their car</w:t>
      </w:r>
      <w:r>
        <w:rPr>
          <w:rFonts w:ascii="Arial" w:hAnsi="Arial" w:cs="Arial"/>
          <w:sz w:val="20"/>
          <w:szCs w:val="20"/>
        </w:rPr>
        <w:t xml:space="preserve">.  The principal </w:t>
      </w:r>
      <w:r w:rsidRPr="00D10746">
        <w:rPr>
          <w:rFonts w:ascii="Arial" w:hAnsi="Arial" w:cs="Arial"/>
          <w:sz w:val="20"/>
          <w:szCs w:val="20"/>
        </w:rPr>
        <w:t xml:space="preserve">offender Mathiei </w:t>
      </w:r>
      <w:r>
        <w:rPr>
          <w:rFonts w:ascii="Arial" w:hAnsi="Arial" w:cs="Arial"/>
          <w:sz w:val="20"/>
          <w:szCs w:val="20"/>
        </w:rPr>
        <w:t xml:space="preserve">(aged 23 at the time of the </w:t>
      </w:r>
      <w:r>
        <w:rPr>
          <w:rFonts w:ascii="Arial" w:hAnsi="Arial" w:cs="Arial"/>
          <w:sz w:val="20"/>
          <w:szCs w:val="20"/>
        </w:rPr>
        <w:lastRenderedPageBreak/>
        <w:t xml:space="preserve">offending) </w:t>
      </w:r>
      <w:r w:rsidRPr="00D10746">
        <w:rPr>
          <w:rFonts w:ascii="Arial" w:hAnsi="Arial" w:cs="Arial"/>
          <w:sz w:val="20"/>
          <w:szCs w:val="20"/>
        </w:rPr>
        <w:t>pleaded guilty to causing serious injury recklessly in circumstances of gross violence, and causing injury recklessly</w:t>
      </w:r>
      <w:r>
        <w:rPr>
          <w:rFonts w:ascii="Arial" w:hAnsi="Arial" w:cs="Arial"/>
          <w:sz w:val="20"/>
          <w:szCs w:val="20"/>
        </w:rPr>
        <w:t>.  It was an u</w:t>
      </w:r>
      <w:r w:rsidRPr="00D10746">
        <w:rPr>
          <w:rFonts w:ascii="Arial" w:hAnsi="Arial" w:cs="Arial"/>
          <w:sz w:val="20"/>
          <w:szCs w:val="20"/>
        </w:rPr>
        <w:t xml:space="preserve">pper mid-range example of </w:t>
      </w:r>
      <w:r>
        <w:rPr>
          <w:rFonts w:ascii="Arial" w:hAnsi="Arial" w:cs="Arial"/>
          <w:sz w:val="20"/>
          <w:szCs w:val="20"/>
        </w:rPr>
        <w:t>the 1</w:t>
      </w:r>
      <w:r w:rsidRPr="00D10746">
        <w:rPr>
          <w:rFonts w:ascii="Arial" w:hAnsi="Arial" w:cs="Arial"/>
          <w:sz w:val="20"/>
          <w:szCs w:val="20"/>
          <w:vertAlign w:val="superscript"/>
        </w:rPr>
        <w:t>st</w:t>
      </w:r>
      <w:r>
        <w:rPr>
          <w:rFonts w:ascii="Arial" w:hAnsi="Arial" w:cs="Arial"/>
          <w:sz w:val="20"/>
          <w:szCs w:val="20"/>
        </w:rPr>
        <w:t xml:space="preserve"> offence </w:t>
      </w:r>
      <w:r w:rsidRPr="00D10746">
        <w:rPr>
          <w:rFonts w:ascii="Arial" w:hAnsi="Arial" w:cs="Arial"/>
          <w:sz w:val="20"/>
          <w:szCs w:val="20"/>
        </w:rPr>
        <w:t xml:space="preserve">and </w:t>
      </w:r>
      <w:r>
        <w:rPr>
          <w:rFonts w:ascii="Arial" w:hAnsi="Arial" w:cs="Arial"/>
          <w:sz w:val="20"/>
          <w:szCs w:val="20"/>
        </w:rPr>
        <w:t xml:space="preserve">a </w:t>
      </w:r>
      <w:r w:rsidRPr="00D10746">
        <w:rPr>
          <w:rFonts w:ascii="Arial" w:hAnsi="Arial" w:cs="Arial"/>
          <w:sz w:val="20"/>
          <w:szCs w:val="20"/>
        </w:rPr>
        <w:t xml:space="preserve">lower mid-range example of </w:t>
      </w:r>
      <w:r>
        <w:rPr>
          <w:rFonts w:ascii="Arial" w:hAnsi="Arial" w:cs="Arial"/>
          <w:sz w:val="20"/>
          <w:szCs w:val="20"/>
        </w:rPr>
        <w:t>the 2</w:t>
      </w:r>
      <w:r w:rsidRPr="00D10746">
        <w:rPr>
          <w:rFonts w:ascii="Arial" w:hAnsi="Arial" w:cs="Arial"/>
          <w:sz w:val="20"/>
          <w:szCs w:val="20"/>
          <w:vertAlign w:val="superscript"/>
        </w:rPr>
        <w:t>nd</w:t>
      </w:r>
      <w:r>
        <w:rPr>
          <w:rFonts w:ascii="Arial" w:hAnsi="Arial" w:cs="Arial"/>
          <w:sz w:val="20"/>
          <w:szCs w:val="20"/>
        </w:rPr>
        <w:t xml:space="preserve"> </w:t>
      </w:r>
      <w:r w:rsidRPr="00D10746">
        <w:rPr>
          <w:rFonts w:ascii="Arial" w:hAnsi="Arial" w:cs="Arial"/>
          <w:sz w:val="20"/>
          <w:szCs w:val="20"/>
        </w:rPr>
        <w:t>offence</w:t>
      </w:r>
      <w:r>
        <w:rPr>
          <w:rFonts w:ascii="Arial" w:hAnsi="Arial" w:cs="Arial"/>
          <w:sz w:val="20"/>
          <w:szCs w:val="20"/>
        </w:rPr>
        <w:t xml:space="preserve">. </w:t>
      </w:r>
      <w:r w:rsidRPr="00D10746">
        <w:rPr>
          <w:rFonts w:ascii="Arial" w:hAnsi="Arial" w:cs="Arial"/>
          <w:sz w:val="20"/>
          <w:szCs w:val="20"/>
        </w:rPr>
        <w:t xml:space="preserve"> </w:t>
      </w:r>
      <w:r>
        <w:rPr>
          <w:rFonts w:ascii="Arial" w:hAnsi="Arial" w:cs="Arial"/>
          <w:sz w:val="20"/>
          <w:szCs w:val="20"/>
        </w:rPr>
        <w:t>He had no prior or subsequent convictions and excellent prospects of rehabilitation.  TES4y6m/4y (mandatory minimum non-parole period).  The co-offenders Mangar (then aged 21), Akot (then aged 23) and Majok (then aged 21) were convicted by a jury of causing serious injury recklessly in circumstances of gross violence and were each sentenced to TES IMP359d.  Unlike the principal offender there was no mandatory non-parole period because their liability for the main offence was based on intentional assistance.  Beale J held at [142]-[143] that inordinate delay was a significant mitigating factor in sentencing.</w:t>
      </w:r>
    </w:p>
    <w:p w14:paraId="68F1539E" w14:textId="0D21D4AE" w:rsidR="00E02FBC" w:rsidRDefault="00E02FBC" w:rsidP="00933A1B">
      <w:pPr>
        <w:jc w:val="both"/>
        <w:rPr>
          <w:rFonts w:ascii="Arial" w:hAnsi="Arial" w:cs="Arial"/>
          <w:sz w:val="20"/>
          <w:szCs w:val="20"/>
        </w:rPr>
      </w:pPr>
    </w:p>
    <w:p w14:paraId="1229041F" w14:textId="77777777" w:rsidR="009E719D" w:rsidRPr="001C6E0E" w:rsidRDefault="00633EE7" w:rsidP="009E719D">
      <w:pPr>
        <w:pStyle w:val="Heading3"/>
        <w:keepNext/>
        <w:spacing w:after="120" w:line="240" w:lineRule="auto"/>
        <w:rPr>
          <w:rFonts w:ascii="Arial" w:hAnsi="Arial" w:cs="Arial"/>
          <w:b/>
          <w:bCs/>
          <w:color w:val="000000"/>
          <w:sz w:val="20"/>
        </w:rPr>
      </w:pPr>
      <w:bookmarkStart w:id="673" w:name="_11.2.24.2___1"/>
      <w:bookmarkEnd w:id="673"/>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3259B">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D21464">
      <w:pPr>
        <w:pStyle w:val="Normal-Indent"/>
        <w:widowControl/>
        <w:spacing w:before="120" w:line="240" w:lineRule="auto"/>
        <w:ind w:left="454" w:right="454"/>
        <w:rPr>
          <w:rFonts w:ascii="Arial" w:hAnsi="Arial" w:cs="Arial"/>
          <w:color w:val="000000"/>
          <w:sz w:val="20"/>
        </w:rPr>
      </w:pPr>
      <w:bookmarkStart w:id="674" w:name="_Ref264376751"/>
      <w:r w:rsidRPr="001C6E0E">
        <w:rPr>
          <w:rFonts w:ascii="Arial" w:hAnsi="Arial" w:cs="Arial"/>
          <w:color w:val="000000"/>
          <w:sz w:val="20"/>
        </w:rPr>
        <w:t>[34] It is important to recall that RCSI is a very serious offence.  It carries a maximum penalty of 15 years.  An examination of the elements of the offence reveals why this is so.</w:t>
      </w:r>
      <w:bookmarkEnd w:id="674"/>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F21FAD">
      <w:pPr>
        <w:pStyle w:val="Normal-Indent"/>
        <w:widowControl/>
        <w:spacing w:before="120" w:line="240" w:lineRule="auto"/>
        <w:ind w:left="454" w:right="454"/>
        <w:rPr>
          <w:rFonts w:ascii="Arial" w:hAnsi="Arial" w:cs="Arial"/>
          <w:color w:val="000000"/>
          <w:sz w:val="20"/>
        </w:rPr>
      </w:pPr>
      <w:bookmarkStart w:id="675"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(Coldrey AJA, with whom Callaway AP and Redlich JA agreed);  </w:t>
      </w:r>
      <w:r w:rsidRPr="001C6E0E">
        <w:rPr>
          <w:rFonts w:ascii="Arial" w:hAnsi="Arial" w:cs="Arial"/>
          <w:i/>
          <w:color w:val="000000"/>
          <w:sz w:val="20"/>
        </w:rPr>
        <w:t>DPP v Fevaleaki</w:t>
      </w:r>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w:t>
      </w:r>
      <w:r w:rsidRPr="001C6E0E">
        <w:rPr>
          <w:rFonts w:ascii="Arial" w:hAnsi="Arial" w:cs="Arial"/>
          <w:color w:val="000000"/>
          <w:sz w:val="20"/>
        </w:rPr>
        <w:lastRenderedPageBreak/>
        <w:t>appreciate the risk of injury.  This is conscious disregard of a risk of serious injury which the offender knows to exist.</w:t>
      </w:r>
      <w:bookmarkEnd w:id="675"/>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defacto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01C90CAF"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Batich</w:t>
      </w:r>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Judge Chettle exercised a discretion to transfer the proceedi</w:t>
      </w:r>
      <w:r w:rsidR="0045003F">
        <w:rPr>
          <w:rFonts w:ascii="Arial" w:hAnsi="Arial" w:cs="Arial"/>
          <w:color w:val="000000"/>
          <w:sz w:val="20"/>
        </w:rPr>
        <w:t>12y/8y</w:t>
      </w:r>
      <w:r w:rsidR="00B20B0B" w:rsidRPr="00503C7D">
        <w:rPr>
          <w:rFonts w:ascii="Arial" w:hAnsi="Arial" w:cs="Arial"/>
          <w:color w:val="000000"/>
          <w:sz w:val="20"/>
        </w:rPr>
        <w:t>ng for summary hearing and determination in the Magistrates’</w:t>
      </w:r>
      <w:r w:rsidR="00616839" w:rsidRPr="00503C7D">
        <w:rPr>
          <w:rFonts w:ascii="Arial" w:hAnsi="Arial" w:cs="Arial"/>
          <w:color w:val="000000"/>
          <w:sz w:val="20"/>
        </w:rPr>
        <w:t xml:space="preserve"> 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Batich presents as a young man who </w:t>
      </w:r>
      <w:r w:rsidR="00240B9F" w:rsidRPr="00503C7D">
        <w:rPr>
          <w:rFonts w:ascii="Arial" w:hAnsi="Arial" w:cs="Arial"/>
          <w:color w:val="000000"/>
          <w:sz w:val="20"/>
        </w:rPr>
        <w:lastRenderedPageBreak/>
        <w:t xml:space="preserve">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Chettle.  </w:t>
      </w:r>
      <w:r w:rsidR="008C3A06" w:rsidRPr="00503C7D">
        <w:rPr>
          <w:rFonts w:ascii="Arial" w:hAnsi="Arial" w:cs="Arial"/>
          <w:color w:val="000000"/>
          <w:sz w:val="20"/>
        </w:rPr>
        <w:t xml:space="preserve">After reviewing at [51]-[57] applicable 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Ejupi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5A748D">
      <w:pPr>
        <w:pStyle w:val="Catchwords"/>
        <w:widowControl/>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“Random street violence is a scourge on our society.  Typically, the violence is brief and unpremeditated but it has profound and enduring consequences.  Innocent people are killed or seriously injured;  their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injured;  bystanders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Given the prevalence of street violence, general deterrence was a particularly  important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lastRenderedPageBreak/>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r w:rsidR="00AB1A1E" w:rsidRPr="005D031D">
        <w:rPr>
          <w:rFonts w:ascii="Arial" w:hAnsi="Arial" w:cs="Arial"/>
          <w:i/>
          <w:color w:val="000000"/>
          <w:sz w:val="20"/>
        </w:rPr>
        <w:t>Wahame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r w:rsidRPr="005D031D">
        <w:rPr>
          <w:rFonts w:ascii="Arial" w:hAnsi="Arial" w:cs="Arial"/>
          <w:i/>
          <w:color w:val="000000"/>
          <w:sz w:val="20"/>
        </w:rPr>
        <w:t>J</w:t>
      </w:r>
      <w:r w:rsidR="00AB1A1E" w:rsidRPr="005D031D">
        <w:rPr>
          <w:rFonts w:ascii="Arial" w:hAnsi="Arial" w:cs="Arial"/>
          <w:i/>
          <w:color w:val="000000"/>
          <w:sz w:val="20"/>
        </w:rPr>
        <w:t>ojic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DPP v Betrayhani</w:t>
      </w:r>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permanent brain injury.  Dismissing B’s appeal against convinction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Al Wahame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r w:rsidRPr="00AD18E0">
        <w:rPr>
          <w:rFonts w:ascii="Arial" w:hAnsi="Arial" w:cs="Arial"/>
          <w:i/>
          <w:iCs/>
          <w:color w:val="000000"/>
          <w:sz w:val="20"/>
        </w:rPr>
        <w:t>Atem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DPP v Atem</w:t>
      </w:r>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With respect to Atem’s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r w:rsidR="00613BEB" w:rsidRPr="00613BEB">
        <w:rPr>
          <w:rFonts w:ascii="Arial" w:hAnsi="Arial" w:cs="Arial"/>
          <w:i/>
          <w:iCs/>
          <w:color w:val="000000"/>
          <w:sz w:val="20"/>
        </w:rPr>
        <w:t>Eade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In our view, the very serious nature of Atem’s offending has the consequence</w:t>
      </w:r>
      <w:r>
        <w:rPr>
          <w:rFonts w:ascii="Arial" w:hAnsi="Arial" w:cs="Arial"/>
          <w:color w:val="000000"/>
          <w:sz w:val="20"/>
        </w:rPr>
        <w:t xml:space="preserve"> </w:t>
      </w:r>
      <w:r w:rsidRPr="00A622C9">
        <w:rPr>
          <w:rFonts w:ascii="Arial" w:hAnsi="Arial" w:cs="Arial"/>
          <w:color w:val="000000"/>
          <w:sz w:val="20"/>
        </w:rPr>
        <w:t>that his youth will not provide the strong mitigating effect he seeks.  His youth and immaturity must, to some degree, be subordinate to the other sentencing considerations the judge identified, including denunciation, general deterrence and protection of the 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lastRenderedPageBreak/>
        <w:t>R v Paul Jedson</w:t>
      </w:r>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Before I embarked on the hearing of the plea I carefully studied the cases that have been referred to by [counsel] during the plea. I refer to cases including </w:t>
      </w:r>
      <w:r w:rsidRPr="001C6E0E">
        <w:rPr>
          <w:rFonts w:ascii="Arial" w:hAnsi="Arial" w:cs="Arial"/>
          <w:i/>
          <w:iCs/>
          <w:color w:val="000000"/>
          <w:sz w:val="20"/>
        </w:rPr>
        <w:t>Shaw, Nutter,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r w:rsidRPr="001C6E0E">
        <w:rPr>
          <w:rFonts w:ascii="Arial" w:hAnsi="Arial" w:cs="Arial"/>
          <w:i/>
          <w:iCs/>
          <w:color w:val="000000"/>
          <w:sz w:val="20"/>
        </w:rPr>
        <w:t xml:space="preserve">Scurrah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r w:rsidRPr="001C6E0E">
        <w:rPr>
          <w:rFonts w:ascii="Arial" w:hAnsi="Arial" w:cs="Arial"/>
          <w:i/>
          <w:iCs/>
          <w:color w:val="000000"/>
          <w:sz w:val="20"/>
        </w:rPr>
        <w:t>Economedes</w:t>
      </w:r>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R v Boxtel</w:t>
      </w:r>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to the effect that it is of great importance not to allow the effects of an unintended catastrophe to 'swamp' all other considerations.  Charles JA, with whom Winneke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r w:rsidRPr="001C6E0E">
        <w:rPr>
          <w:rFonts w:ascii="Arial" w:hAnsi="Arial" w:cs="Arial"/>
          <w:i/>
          <w:color w:val="000000"/>
          <w:sz w:val="20"/>
        </w:rPr>
        <w:t>Economedes</w:t>
      </w:r>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Lasry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Dodds-Streeton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Nettle JA (with whom Dodds-Streeton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w:t>
      </w:r>
      <w:r w:rsidRPr="001C6E0E">
        <w:rPr>
          <w:rFonts w:ascii="Arial" w:hAnsi="Arial" w:cs="Arial"/>
          <w:color w:val="000000"/>
          <w:sz w:val="20"/>
          <w:szCs w:val="20"/>
        </w:rPr>
        <w:lastRenderedPageBreak/>
        <w:t xml:space="preserve">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R v Davidson and Konestabo</w:t>
      </w:r>
      <w:r w:rsidRPr="001C6E0E">
        <w:rPr>
          <w:rFonts w:ascii="Arial" w:hAnsi="Arial" w:cs="Arial"/>
          <w:color w:val="000000"/>
          <w:sz w:val="20"/>
          <w:szCs w:val="20"/>
        </w:rPr>
        <w:t xml:space="preserve"> [2008] VSCA 188, in which 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punched the victim to the face with his fist whereupon the victim fell back and struck his head on a concrete 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r w:rsidRPr="00F05B57">
        <w:rPr>
          <w:rFonts w:ascii="Arial" w:hAnsi="Arial" w:cs="Arial"/>
          <w:i/>
          <w:color w:val="000000"/>
          <w:sz w:val="20"/>
        </w:rPr>
        <w:t>Moresco</w:t>
      </w:r>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2DE0DDE8" w14:textId="3C0F7D7A" w:rsidR="00C31003" w:rsidRDefault="00C31003" w:rsidP="008B446A">
      <w:pPr>
        <w:numPr>
          <w:ilvl w:val="0"/>
          <w:numId w:val="16"/>
        </w:numPr>
        <w:spacing w:before="120"/>
        <w:ind w:left="357" w:hanging="357"/>
        <w:jc w:val="both"/>
        <w:rPr>
          <w:rFonts w:ascii="Arial" w:hAnsi="Arial" w:cs="Arial"/>
          <w:color w:val="000000"/>
          <w:sz w:val="20"/>
          <w:szCs w:val="20"/>
        </w:rPr>
      </w:pPr>
      <w:r w:rsidRPr="007E39AB">
        <w:rPr>
          <w:rFonts w:ascii="Arial" w:hAnsi="Arial" w:cs="Arial"/>
          <w:i/>
          <w:iCs/>
          <w:color w:val="000000"/>
          <w:sz w:val="20"/>
          <w:szCs w:val="20"/>
        </w:rPr>
        <w:t>Mazzonetto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year old offender with </w:t>
      </w:r>
      <w:r w:rsidR="007E39AB" w:rsidRPr="007E39AB">
        <w:rPr>
          <w:rFonts w:ascii="Arial" w:hAnsi="Arial" w:cs="Arial"/>
          <w:i/>
          <w:iCs/>
          <w:color w:val="000000"/>
          <w:sz w:val="20"/>
          <w:szCs w:val="20"/>
        </w:rPr>
        <w:t>Bugmy</w:t>
      </w:r>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394D931A" w14:textId="3CC5E52A" w:rsidR="00C76443" w:rsidRPr="00874E2F" w:rsidRDefault="00C76443" w:rsidP="008B446A">
      <w:pPr>
        <w:numPr>
          <w:ilvl w:val="0"/>
          <w:numId w:val="16"/>
        </w:numPr>
        <w:spacing w:before="120"/>
        <w:ind w:left="357" w:hanging="357"/>
        <w:jc w:val="both"/>
        <w:rPr>
          <w:rFonts w:ascii="Arial" w:hAnsi="Arial" w:cs="Arial"/>
          <w:color w:val="000000"/>
          <w:sz w:val="20"/>
          <w:szCs w:val="20"/>
        </w:rPr>
      </w:pPr>
      <w:r w:rsidRPr="00C76443">
        <w:rPr>
          <w:rFonts w:ascii="Arial" w:hAnsi="Arial" w:cs="Arial"/>
          <w:i/>
          <w:iCs/>
          <w:color w:val="000000"/>
          <w:sz w:val="20"/>
          <w:szCs w:val="20"/>
        </w:rPr>
        <w:t>DPP v Almatrah</w:t>
      </w:r>
      <w:r>
        <w:rPr>
          <w:rFonts w:ascii="Arial" w:hAnsi="Arial" w:cs="Arial"/>
          <w:color w:val="000000"/>
          <w:sz w:val="20"/>
          <w:szCs w:val="20"/>
        </w:rPr>
        <w:t xml:space="preserve"> [2023] VSC 361 {a case where the 29 year old offender with no relevant prior offending had set up the victim</w:t>
      </w:r>
      <w:r w:rsidR="00E26F30">
        <w:rPr>
          <w:rFonts w:ascii="Arial" w:hAnsi="Arial" w:cs="Arial"/>
          <w:color w:val="000000"/>
          <w:sz w:val="20"/>
          <w:szCs w:val="20"/>
        </w:rPr>
        <w:t>, a random member of a rival motorcycle gang,</w:t>
      </w:r>
      <w:r>
        <w:rPr>
          <w:rFonts w:ascii="Arial" w:hAnsi="Arial" w:cs="Arial"/>
          <w:color w:val="000000"/>
          <w:sz w:val="20"/>
          <w:szCs w:val="20"/>
        </w:rPr>
        <w:t xml:space="preserve"> in return for $5,000 by using a fake Instagram account to lure the victim to the scene – the victim was shot 4 times to the head and torso and was seriously injured – offender was aware that the victim would probably be seriously injured but was not aware that firearms would be used – late plea of guilty following a sentence indication </w:t>
      </w:r>
      <w:r w:rsidR="00E26F30">
        <w:rPr>
          <w:rFonts w:ascii="Arial" w:hAnsi="Arial" w:cs="Arial"/>
          <w:color w:val="000000"/>
          <w:sz w:val="20"/>
          <w:szCs w:val="20"/>
        </w:rPr>
        <w:t>–</w:t>
      </w:r>
      <w:r>
        <w:rPr>
          <w:rFonts w:ascii="Arial" w:hAnsi="Arial" w:cs="Arial"/>
          <w:color w:val="000000"/>
          <w:sz w:val="20"/>
          <w:szCs w:val="20"/>
        </w:rPr>
        <w:t xml:space="preserve"> </w:t>
      </w:r>
      <w:r w:rsidR="00E26F30">
        <w:rPr>
          <w:rFonts w:ascii="Arial" w:hAnsi="Arial" w:cs="Arial"/>
          <w:color w:val="000000"/>
          <w:sz w:val="20"/>
          <w:szCs w:val="20"/>
        </w:rPr>
        <w:t>factual basis for plea changed by agreement between sentence indication and plea – prior good character and very good prospects of rehabilitation – high moral culpability – IMP20m/10m}.</w:t>
      </w:r>
    </w:p>
    <w:p w14:paraId="795B8C2D" w14:textId="0EF56024" w:rsidR="00023664" w:rsidRDefault="00023664" w:rsidP="00023664">
      <w:pPr>
        <w:pStyle w:val="Catchwords"/>
        <w:rPr>
          <w:rFonts w:ascii="Arial" w:hAnsi="Arial" w:cs="Arial"/>
          <w:color w:val="000000"/>
          <w:sz w:val="20"/>
        </w:rPr>
      </w:pPr>
    </w:p>
    <w:p w14:paraId="12B93811" w14:textId="440EE71B" w:rsidR="009260DC" w:rsidRPr="00F84A01"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R v Ziday</w:t>
      </w:r>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R v Asim Selcuk</w:t>
      </w:r>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Stuttard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r w:rsidR="002F4815" w:rsidRPr="001C6E0E">
        <w:rPr>
          <w:rFonts w:ascii="Arial" w:hAnsi="Arial" w:cs="Arial"/>
          <w:i/>
          <w:color w:val="000000"/>
          <w:sz w:val="20"/>
          <w:szCs w:val="20"/>
        </w:rPr>
        <w:t>Toumngeun</w:t>
      </w:r>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Giannoukas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R v Sindoni</w:t>
      </w:r>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r w:rsidR="004C5914" w:rsidRPr="00503C7D">
        <w:rPr>
          <w:rFonts w:ascii="Arial" w:hAnsi="Arial" w:cs="Arial"/>
          <w:i/>
          <w:color w:val="000000"/>
          <w:sz w:val="20"/>
        </w:rPr>
        <w:t xml:space="preserve">Mogoai &amp; </w:t>
      </w:r>
      <w:r w:rsidR="004C5914" w:rsidRPr="00F84A01">
        <w:rPr>
          <w:rFonts w:ascii="Arial" w:hAnsi="Arial" w:cs="Arial"/>
          <w:i/>
          <w:color w:val="000000"/>
          <w:sz w:val="20"/>
          <w:szCs w:val="20"/>
        </w:rPr>
        <w:t>Another v The Queen</w:t>
      </w:r>
      <w:r w:rsidR="004C5914" w:rsidRPr="00F84A01">
        <w:rPr>
          <w:rFonts w:ascii="Arial" w:hAnsi="Arial" w:cs="Arial"/>
          <w:color w:val="000000"/>
          <w:sz w:val="20"/>
          <w:szCs w:val="20"/>
        </w:rPr>
        <w:t xml:space="preserve"> [2014] VSCA 219 at [13]</w:t>
      </w:r>
      <w:r w:rsidR="00DC61FE" w:rsidRPr="00F84A01">
        <w:rPr>
          <w:rFonts w:ascii="Arial" w:hAnsi="Arial" w:cs="Arial"/>
          <w:color w:val="000000"/>
          <w:sz w:val="20"/>
          <w:szCs w:val="20"/>
        </w:rPr>
        <w:t xml:space="preserve">; </w:t>
      </w:r>
      <w:r w:rsidR="00DC61FE" w:rsidRPr="00F84A01">
        <w:rPr>
          <w:rFonts w:ascii="Arial" w:hAnsi="Arial" w:cs="Arial"/>
          <w:i/>
          <w:iCs/>
          <w:color w:val="000000"/>
          <w:sz w:val="20"/>
          <w:szCs w:val="20"/>
        </w:rPr>
        <w:t>DPP v McKinnin</w:t>
      </w:r>
      <w:r w:rsidR="00DC61FE" w:rsidRPr="00F84A01">
        <w:rPr>
          <w:rFonts w:ascii="Arial" w:hAnsi="Arial" w:cs="Arial"/>
          <w:color w:val="000000"/>
          <w:sz w:val="20"/>
          <w:szCs w:val="20"/>
        </w:rPr>
        <w:t xml:space="preserve"> [2019] VSCA 114</w:t>
      </w:r>
      <w:r w:rsidR="0072530A" w:rsidRPr="00F84A01">
        <w:rPr>
          <w:rFonts w:ascii="Arial" w:hAnsi="Arial" w:cs="Arial"/>
          <w:color w:val="000000"/>
          <w:sz w:val="20"/>
          <w:szCs w:val="20"/>
        </w:rPr>
        <w:t xml:space="preserve">; </w:t>
      </w:r>
      <w:r w:rsidR="0072530A" w:rsidRPr="00F84A01">
        <w:rPr>
          <w:rFonts w:ascii="Arial" w:hAnsi="Arial" w:cs="Arial"/>
          <w:i/>
          <w:iCs/>
          <w:color w:val="000000"/>
          <w:sz w:val="20"/>
          <w:szCs w:val="20"/>
        </w:rPr>
        <w:t>DPP v Gilmour</w:t>
      </w:r>
      <w:r w:rsidR="0072530A" w:rsidRPr="00F84A01">
        <w:rPr>
          <w:rFonts w:ascii="Arial" w:hAnsi="Arial" w:cs="Arial"/>
          <w:color w:val="000000"/>
          <w:sz w:val="20"/>
          <w:szCs w:val="20"/>
        </w:rPr>
        <w:t xml:space="preserve"> [2019] VSC 766</w:t>
      </w:r>
      <w:r w:rsidR="006A6D84" w:rsidRPr="00F84A01">
        <w:rPr>
          <w:rFonts w:ascii="Arial" w:hAnsi="Arial" w:cs="Arial"/>
          <w:color w:val="000000"/>
          <w:sz w:val="20"/>
          <w:szCs w:val="20"/>
        </w:rPr>
        <w:t xml:space="preserve">; </w:t>
      </w:r>
      <w:r w:rsidR="006A6D84" w:rsidRPr="00F84A01">
        <w:rPr>
          <w:rFonts w:ascii="Arial" w:hAnsi="Arial" w:cs="Arial"/>
          <w:i/>
          <w:iCs/>
          <w:color w:val="000000"/>
          <w:sz w:val="20"/>
          <w:szCs w:val="20"/>
        </w:rPr>
        <w:t>Worboyes v The Queen</w:t>
      </w:r>
      <w:r w:rsidR="006A6D84" w:rsidRPr="00F84A01">
        <w:rPr>
          <w:rFonts w:ascii="Arial" w:hAnsi="Arial" w:cs="Arial"/>
          <w:color w:val="000000"/>
          <w:sz w:val="20"/>
          <w:szCs w:val="20"/>
        </w:rPr>
        <w:t xml:space="preserve"> [2021] VSCA 169</w:t>
      </w:r>
      <w:r w:rsidR="00023664" w:rsidRPr="00F84A01">
        <w:rPr>
          <w:rFonts w:ascii="Arial" w:hAnsi="Arial" w:cs="Arial"/>
          <w:color w:val="000000"/>
          <w:sz w:val="20"/>
          <w:szCs w:val="20"/>
        </w:rPr>
        <w:t xml:space="preserve">; </w:t>
      </w:r>
      <w:r w:rsidR="00023664" w:rsidRPr="00F84A01">
        <w:rPr>
          <w:rFonts w:ascii="Arial" w:hAnsi="Arial" w:cs="Arial"/>
          <w:i/>
          <w:iCs/>
          <w:color w:val="000000"/>
          <w:sz w:val="20"/>
          <w:szCs w:val="20"/>
        </w:rPr>
        <w:t>R v Chee</w:t>
      </w:r>
      <w:r w:rsidR="00023664" w:rsidRPr="00F84A01">
        <w:rPr>
          <w:rFonts w:ascii="Arial" w:hAnsi="Arial" w:cs="Arial"/>
          <w:color w:val="000000"/>
          <w:sz w:val="20"/>
          <w:szCs w:val="20"/>
        </w:rPr>
        <w:t xml:space="preserve"> [2021] VSC 355</w:t>
      </w:r>
      <w:r w:rsidR="002537EB" w:rsidRPr="00F84A01">
        <w:rPr>
          <w:rFonts w:ascii="Arial" w:hAnsi="Arial" w:cs="Arial"/>
          <w:color w:val="000000"/>
          <w:sz w:val="20"/>
          <w:szCs w:val="20"/>
        </w:rPr>
        <w:t xml:space="preserve">; </w:t>
      </w:r>
      <w:bookmarkStart w:id="676" w:name="_Hlk91053074"/>
      <w:r w:rsidR="002537EB" w:rsidRPr="00F84A01">
        <w:rPr>
          <w:rFonts w:ascii="Arial" w:hAnsi="Arial" w:cs="Arial"/>
          <w:i/>
          <w:iCs/>
          <w:color w:val="000000"/>
          <w:sz w:val="20"/>
          <w:szCs w:val="20"/>
        </w:rPr>
        <w:t>Singh v The Queen</w:t>
      </w:r>
      <w:r w:rsidR="002537EB" w:rsidRPr="00F84A01">
        <w:rPr>
          <w:rFonts w:ascii="Arial" w:hAnsi="Arial" w:cs="Arial"/>
          <w:color w:val="000000"/>
          <w:sz w:val="20"/>
          <w:szCs w:val="20"/>
        </w:rPr>
        <w:t xml:space="preserve"> [2021] VSCA 345</w:t>
      </w:r>
      <w:bookmarkEnd w:id="676"/>
      <w:r w:rsidR="00E854DC" w:rsidRPr="00F84A01">
        <w:rPr>
          <w:rFonts w:ascii="Arial" w:hAnsi="Arial" w:cs="Arial"/>
          <w:color w:val="000000"/>
          <w:sz w:val="20"/>
          <w:szCs w:val="20"/>
        </w:rPr>
        <w:t xml:space="preserve">; </w:t>
      </w:r>
      <w:r w:rsidR="00E854DC" w:rsidRPr="00F84A01">
        <w:rPr>
          <w:rFonts w:ascii="Arial" w:hAnsi="Arial" w:cs="Arial"/>
          <w:i/>
          <w:iCs/>
          <w:color w:val="000000"/>
          <w:sz w:val="20"/>
          <w:szCs w:val="20"/>
        </w:rPr>
        <w:t>DPP v McNamara</w:t>
      </w:r>
      <w:r w:rsidR="00E854DC" w:rsidRPr="00F84A01">
        <w:rPr>
          <w:rFonts w:ascii="Arial" w:hAnsi="Arial" w:cs="Arial"/>
          <w:color w:val="000000"/>
          <w:sz w:val="20"/>
          <w:szCs w:val="20"/>
        </w:rPr>
        <w:t xml:space="preserve"> [2021] VSC 845</w:t>
      </w:r>
      <w:r w:rsidR="00AA2B3E" w:rsidRPr="00F84A01">
        <w:rPr>
          <w:rFonts w:ascii="Arial" w:hAnsi="Arial" w:cs="Arial"/>
          <w:color w:val="000000"/>
          <w:sz w:val="20"/>
          <w:szCs w:val="20"/>
        </w:rPr>
        <w:t xml:space="preserve">; </w:t>
      </w:r>
      <w:bookmarkStart w:id="677" w:name="_Hlk114141865"/>
      <w:r w:rsidR="00AA2B3E" w:rsidRPr="00F84A01">
        <w:rPr>
          <w:rFonts w:ascii="Arial" w:hAnsi="Arial" w:cs="Arial"/>
          <w:i/>
          <w:iCs/>
          <w:color w:val="000000"/>
          <w:sz w:val="20"/>
          <w:szCs w:val="20"/>
        </w:rPr>
        <w:t>Muller v The King</w:t>
      </w:r>
      <w:r w:rsidR="00AA2B3E" w:rsidRPr="00F84A01">
        <w:rPr>
          <w:rFonts w:ascii="Arial" w:hAnsi="Arial" w:cs="Arial"/>
          <w:color w:val="000000"/>
          <w:sz w:val="20"/>
          <w:szCs w:val="20"/>
        </w:rPr>
        <w:t xml:space="preserve"> [2022] VSCA 193</w:t>
      </w:r>
      <w:r w:rsidR="0053259B" w:rsidRPr="00F84A01">
        <w:rPr>
          <w:rFonts w:ascii="Arial" w:hAnsi="Arial" w:cs="Arial"/>
          <w:color w:val="000000"/>
          <w:sz w:val="20"/>
          <w:szCs w:val="20"/>
        </w:rPr>
        <w:t xml:space="preserve">; </w:t>
      </w:r>
      <w:r w:rsidR="0053259B" w:rsidRPr="00F84A01">
        <w:rPr>
          <w:rFonts w:ascii="Arial" w:hAnsi="Arial" w:cs="Arial"/>
          <w:i/>
          <w:iCs/>
          <w:color w:val="000000"/>
          <w:sz w:val="20"/>
          <w:szCs w:val="20"/>
        </w:rPr>
        <w:t>R v Couch</w:t>
      </w:r>
      <w:r w:rsidR="0053259B" w:rsidRPr="00F84A01">
        <w:rPr>
          <w:rFonts w:ascii="Arial" w:hAnsi="Arial" w:cs="Arial"/>
          <w:color w:val="000000"/>
          <w:sz w:val="20"/>
          <w:szCs w:val="20"/>
        </w:rPr>
        <w:t xml:space="preserve"> [2022] VSC 717</w:t>
      </w:r>
      <w:r w:rsidR="00C76443" w:rsidRPr="00F84A01">
        <w:rPr>
          <w:rFonts w:ascii="Arial" w:hAnsi="Arial" w:cs="Arial"/>
          <w:color w:val="000000"/>
          <w:sz w:val="20"/>
          <w:szCs w:val="20"/>
        </w:rPr>
        <w:t xml:space="preserve">; </w:t>
      </w:r>
      <w:r w:rsidR="00C76443" w:rsidRPr="00F84A01">
        <w:rPr>
          <w:rFonts w:ascii="Arial" w:hAnsi="Arial" w:cs="Arial"/>
          <w:i/>
          <w:iCs/>
          <w:color w:val="000000"/>
          <w:sz w:val="20"/>
          <w:szCs w:val="20"/>
        </w:rPr>
        <w:t>DPP v Myko</w:t>
      </w:r>
      <w:r w:rsidR="00C76443" w:rsidRPr="00F84A01">
        <w:rPr>
          <w:rFonts w:ascii="Arial" w:hAnsi="Arial" w:cs="Arial"/>
          <w:color w:val="000000"/>
          <w:sz w:val="20"/>
          <w:szCs w:val="20"/>
        </w:rPr>
        <w:t xml:space="preserve"> [2023] VSC 369</w:t>
      </w:r>
      <w:r w:rsidR="00B82FEC" w:rsidRPr="00F84A01">
        <w:rPr>
          <w:rFonts w:ascii="Arial" w:hAnsi="Arial" w:cs="Arial"/>
          <w:color w:val="000000"/>
          <w:sz w:val="20"/>
          <w:szCs w:val="20"/>
        </w:rPr>
        <w:t xml:space="preserve">; </w:t>
      </w:r>
      <w:r w:rsidR="00B82FEC" w:rsidRPr="00F84A01">
        <w:rPr>
          <w:rFonts w:ascii="Arial" w:hAnsi="Arial" w:cs="Arial"/>
          <w:i/>
          <w:iCs/>
          <w:color w:val="000000"/>
          <w:sz w:val="20"/>
          <w:szCs w:val="20"/>
        </w:rPr>
        <w:t>Cole v The King</w:t>
      </w:r>
      <w:r w:rsidR="00B82FEC" w:rsidRPr="00F84A01">
        <w:rPr>
          <w:rFonts w:ascii="Arial" w:hAnsi="Arial" w:cs="Arial"/>
          <w:color w:val="000000"/>
          <w:sz w:val="20"/>
          <w:szCs w:val="20"/>
        </w:rPr>
        <w:t xml:space="preserve"> [2023] VSCA 172</w:t>
      </w:r>
      <w:r w:rsidR="00F84A01" w:rsidRPr="00F84A01">
        <w:rPr>
          <w:rFonts w:ascii="Arial" w:hAnsi="Arial" w:cs="Arial"/>
          <w:color w:val="000000"/>
          <w:sz w:val="20"/>
          <w:szCs w:val="20"/>
        </w:rPr>
        <w:t xml:space="preserve">; </w:t>
      </w:r>
      <w:r w:rsidR="00F84A01" w:rsidRPr="00F84A01">
        <w:rPr>
          <w:rFonts w:ascii="Arial" w:hAnsi="Arial" w:cs="Arial"/>
          <w:i/>
          <w:iCs/>
          <w:color w:val="000000"/>
          <w:sz w:val="20"/>
          <w:szCs w:val="20"/>
        </w:rPr>
        <w:t>Russo v The King</w:t>
      </w:r>
      <w:r w:rsidR="00F84A01" w:rsidRPr="00F84A01">
        <w:rPr>
          <w:rFonts w:ascii="Arial" w:hAnsi="Arial" w:cs="Arial"/>
          <w:color w:val="000000"/>
          <w:sz w:val="20"/>
          <w:szCs w:val="20"/>
        </w:rPr>
        <w:t xml:space="preserve"> [2024] VSCA 55 at [33]-[39] &amp; [45]-[47]</w:t>
      </w:r>
      <w:r w:rsidR="00814CDF">
        <w:rPr>
          <w:rFonts w:ascii="Arial" w:hAnsi="Arial" w:cs="Arial"/>
          <w:color w:val="000000"/>
          <w:sz w:val="20"/>
          <w:szCs w:val="20"/>
        </w:rPr>
        <w:t xml:space="preserve">; </w:t>
      </w:r>
      <w:r w:rsidR="00814CDF" w:rsidRPr="00541346">
        <w:rPr>
          <w:rFonts w:ascii="Arial" w:hAnsi="Arial" w:cs="Arial"/>
          <w:i/>
          <w:iCs/>
          <w:color w:val="000000"/>
          <w:sz w:val="20"/>
          <w:szCs w:val="20"/>
        </w:rPr>
        <w:t>Findlay v The King</w:t>
      </w:r>
      <w:r w:rsidR="00814CDF">
        <w:rPr>
          <w:rFonts w:ascii="Arial" w:hAnsi="Arial" w:cs="Arial"/>
          <w:color w:val="000000"/>
          <w:sz w:val="20"/>
          <w:szCs w:val="20"/>
        </w:rPr>
        <w:t xml:space="preserve"> [2024] VSCA </w:t>
      </w:r>
      <w:r w:rsidR="00541346">
        <w:rPr>
          <w:rFonts w:ascii="Arial" w:hAnsi="Arial" w:cs="Arial"/>
          <w:color w:val="000000"/>
          <w:sz w:val="20"/>
          <w:szCs w:val="20"/>
        </w:rPr>
        <w:t>191 at [90]-[92]</w:t>
      </w:r>
      <w:r w:rsidR="00F84A01" w:rsidRPr="00F84A01">
        <w:rPr>
          <w:rFonts w:ascii="Arial" w:hAnsi="Arial" w:cs="Arial"/>
          <w:color w:val="000000"/>
          <w:sz w:val="20"/>
          <w:szCs w:val="20"/>
        </w:rPr>
        <w:t>.</w:t>
      </w:r>
      <w:bookmarkEnd w:id="677"/>
    </w:p>
    <w:p w14:paraId="66A8A523" w14:textId="1109BB9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78" w:name="_11.2.24.3__"/>
      <w:bookmarkEnd w:id="678"/>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F84A01">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lastRenderedPageBreak/>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R v Fackove</w:t>
      </w:r>
      <w:r w:rsidRPr="001C6E0E">
        <w:rPr>
          <w:rFonts w:ascii="Arial" w:hAnsi="Arial" w:cs="Arial"/>
          <w:i/>
          <w:color w:val="000000"/>
          <w:sz w:val="20"/>
        </w:rPr>
        <w:t>c</w:t>
      </w:r>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Jakob Sutic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Shi Mok</w:t>
      </w:r>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F84A01">
      <w:pPr>
        <w:spacing w:before="60" w:after="60"/>
        <w:ind w:left="567" w:right="567"/>
        <w:jc w:val="both"/>
        <w:rPr>
          <w:rFonts w:ascii="Arial" w:hAnsi="Arial" w:cs="Arial"/>
          <w:color w:val="000000"/>
          <w:sz w:val="20"/>
        </w:rPr>
      </w:pPr>
      <w:r w:rsidRPr="001C6E0E">
        <w:rPr>
          <w:rFonts w:ascii="Arial" w:hAnsi="Arial" w:cs="Arial"/>
          <w:color w:val="000000"/>
          <w:sz w:val="20"/>
        </w:rPr>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F84A01">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serious’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  [2015] VSCA 349, as follows:</w:t>
      </w:r>
    </w:p>
    <w:p w14:paraId="769BE0B6" w14:textId="77777777" w:rsidR="004115B2" w:rsidRPr="00F84A01" w:rsidRDefault="005D4D39" w:rsidP="00F84A01">
      <w:pPr>
        <w:spacing w:before="60" w:line="233" w:lineRule="auto"/>
        <w:ind w:left="1021" w:right="1021"/>
        <w:jc w:val="both"/>
        <w:rPr>
          <w:sz w:val="22"/>
          <w:szCs w:val="22"/>
        </w:rPr>
      </w:pPr>
      <w:r w:rsidRPr="00F84A01">
        <w:rPr>
          <w:rFonts w:ascii="Arial" w:hAnsi="Arial" w:cs="Arial"/>
          <w:sz w:val="18"/>
          <w:szCs w:val="18"/>
        </w:rPr>
        <w:t>‘</w:t>
      </w:r>
      <w:r w:rsidR="004115B2" w:rsidRPr="00F84A01">
        <w:rPr>
          <w:rFonts w:ascii="Arial" w:hAnsi="Arial" w:cs="Arial"/>
          <w:sz w:val="18"/>
          <w:szCs w:val="18"/>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sidRPr="00F84A01">
        <w:rPr>
          <w:rFonts w:ascii="Arial" w:hAnsi="Arial" w:cs="Arial"/>
          <w:sz w:val="18"/>
          <w:szCs w:val="18"/>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F84A01">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eg, </w:t>
      </w:r>
      <w:r w:rsidRPr="00F74C9E">
        <w:rPr>
          <w:rFonts w:ascii="Arial" w:hAnsi="Arial" w:cs="Arial"/>
          <w:i/>
          <w:iCs/>
          <w:sz w:val="20"/>
          <w:szCs w:val="20"/>
        </w:rPr>
        <w:t>Harrison</w:t>
      </w:r>
      <w:r w:rsidRPr="00F74C9E">
        <w:rPr>
          <w:rFonts w:ascii="Arial" w:hAnsi="Arial" w:cs="Arial"/>
          <w:sz w:val="20"/>
          <w:szCs w:val="20"/>
        </w:rPr>
        <w:t xml:space="preserve"> (2015) 49 VR 619, 638 [85]–[86]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lastRenderedPageBreak/>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6982B76B"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R v Gorladenchearau</w:t>
      </w:r>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r w:rsidR="006827EC" w:rsidRPr="006827EC">
        <w:rPr>
          <w:rFonts w:ascii="Arial" w:hAnsi="Arial" w:cs="Arial"/>
          <w:i/>
          <w:iCs/>
          <w:color w:val="000000"/>
          <w:sz w:val="20"/>
        </w:rPr>
        <w:t>Byast v The Queen</w:t>
      </w:r>
      <w:r w:rsidR="006827EC">
        <w:rPr>
          <w:rFonts w:ascii="Arial" w:hAnsi="Arial" w:cs="Arial"/>
          <w:color w:val="000000"/>
          <w:sz w:val="20"/>
        </w:rPr>
        <w:t xml:space="preserve"> [2021] VSCA 344</w:t>
      </w:r>
      <w:r w:rsidR="006225B8">
        <w:rPr>
          <w:rFonts w:ascii="Arial" w:hAnsi="Arial" w:cs="Arial"/>
          <w:color w:val="000000"/>
          <w:sz w:val="20"/>
        </w:rPr>
        <w:t xml:space="preserve">; </w:t>
      </w:r>
      <w:r w:rsidR="006225B8" w:rsidRPr="006225B8">
        <w:rPr>
          <w:rFonts w:ascii="Arial" w:hAnsi="Arial" w:cs="Arial"/>
          <w:i/>
          <w:iCs/>
          <w:color w:val="000000"/>
          <w:sz w:val="20"/>
        </w:rPr>
        <w:t>Mashayamombe v The King</w:t>
      </w:r>
      <w:r w:rsidR="006225B8">
        <w:rPr>
          <w:rFonts w:ascii="Arial" w:hAnsi="Arial" w:cs="Arial"/>
          <w:color w:val="000000"/>
          <w:sz w:val="20"/>
        </w:rPr>
        <w:t xml:space="preserve"> [2023] VSCA 60</w:t>
      </w:r>
      <w:r w:rsidR="00065798">
        <w:rPr>
          <w:rFonts w:ascii="Arial" w:hAnsi="Arial" w:cs="Arial"/>
          <w:color w:val="000000"/>
          <w:sz w:val="20"/>
        </w:rPr>
        <w:t xml:space="preserve">; </w:t>
      </w:r>
      <w:r w:rsidR="00065798" w:rsidRPr="003619C4">
        <w:rPr>
          <w:rFonts w:ascii="Arial" w:hAnsi="Arial" w:cs="Arial"/>
          <w:i/>
          <w:iCs/>
          <w:color w:val="000000"/>
          <w:sz w:val="20"/>
        </w:rPr>
        <w:t>Kellway (a pseudonym) v The King</w:t>
      </w:r>
      <w:r w:rsidR="00065798">
        <w:rPr>
          <w:rFonts w:ascii="Arial" w:hAnsi="Arial" w:cs="Arial"/>
          <w:color w:val="000000"/>
          <w:sz w:val="20"/>
        </w:rPr>
        <w:t xml:space="preserve">; </w:t>
      </w:r>
      <w:r w:rsidR="00065798" w:rsidRPr="003619C4">
        <w:rPr>
          <w:rFonts w:ascii="Arial" w:hAnsi="Arial" w:cs="Arial"/>
          <w:i/>
          <w:iCs/>
          <w:color w:val="000000"/>
          <w:sz w:val="20"/>
        </w:rPr>
        <w:t>Donald (a</w:t>
      </w:r>
      <w:r w:rsidR="00065798">
        <w:rPr>
          <w:rFonts w:ascii="Arial" w:hAnsi="Arial" w:cs="Arial"/>
          <w:i/>
          <w:iCs/>
          <w:color w:val="000000"/>
          <w:sz w:val="20"/>
        </w:rPr>
        <w:t> </w:t>
      </w:r>
      <w:r w:rsidR="00065798" w:rsidRPr="003619C4">
        <w:rPr>
          <w:rFonts w:ascii="Arial" w:hAnsi="Arial" w:cs="Arial"/>
          <w:i/>
          <w:iCs/>
          <w:color w:val="000000"/>
          <w:sz w:val="20"/>
        </w:rPr>
        <w:t>pseudonym) v The King</w:t>
      </w:r>
      <w:r w:rsidR="00065798">
        <w:rPr>
          <w:rFonts w:ascii="Arial" w:hAnsi="Arial" w:cs="Arial"/>
          <w:color w:val="000000"/>
          <w:sz w:val="20"/>
        </w:rPr>
        <w:t xml:space="preserve"> [2023] VSCA 109</w:t>
      </w:r>
      <w:r w:rsidR="00657E36">
        <w:rPr>
          <w:rFonts w:ascii="Arial" w:hAnsi="Arial" w:cs="Arial"/>
          <w:color w:val="000000"/>
          <w:sz w:val="20"/>
        </w:rPr>
        <w:t xml:space="preserve">; </w:t>
      </w:r>
      <w:r w:rsidR="00657E36" w:rsidRPr="00657E36">
        <w:rPr>
          <w:rFonts w:ascii="Arial" w:hAnsi="Arial" w:cs="Arial"/>
          <w:i/>
          <w:iCs/>
          <w:color w:val="000000"/>
          <w:sz w:val="20"/>
        </w:rPr>
        <w:t xml:space="preserve">Hickey v The King </w:t>
      </w:r>
      <w:r w:rsidR="00657E36">
        <w:rPr>
          <w:rFonts w:ascii="Arial" w:hAnsi="Arial" w:cs="Arial"/>
          <w:color w:val="000000"/>
          <w:sz w:val="20"/>
        </w:rPr>
        <w:t>[2024] VSCA 138</w:t>
      </w:r>
      <w:r w:rsidR="00F05B57">
        <w:rPr>
          <w:rFonts w:ascii="Arial" w:hAnsi="Arial" w:cs="Arial"/>
          <w:color w:val="000000"/>
          <w:sz w:val="20"/>
        </w:rPr>
        <w:t>.</w:t>
      </w:r>
    </w:p>
    <w:p w14:paraId="7480E590" w14:textId="502CDF29"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79" w:name="_11.2.24.4__"/>
      <w:bookmarkEnd w:id="679"/>
      <w:r w:rsidRPr="001C6E0E">
        <w:rPr>
          <w:rFonts w:ascii="Arial" w:hAnsi="Arial" w:cs="Arial"/>
          <w:b/>
          <w:bCs/>
          <w:color w:val="000000"/>
          <w:sz w:val="20"/>
        </w:rPr>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F84A01" w:rsidRDefault="008A59C9" w:rsidP="00F84A01">
      <w:pPr>
        <w:spacing w:before="60"/>
        <w:ind w:left="1021" w:right="1021"/>
        <w:jc w:val="both"/>
        <w:rPr>
          <w:rFonts w:ascii="Arial" w:hAnsi="Arial" w:cs="Arial"/>
          <w:color w:val="000000"/>
          <w:sz w:val="18"/>
          <w:szCs w:val="22"/>
        </w:rPr>
      </w:pPr>
      <w:r w:rsidRPr="00F84A01">
        <w:rPr>
          <w:rFonts w:ascii="Arial" w:hAnsi="Arial" w:cs="Arial"/>
          <w:bCs/>
          <w:color w:val="000000"/>
          <w:sz w:val="18"/>
          <w:szCs w:val="22"/>
          <w:lang w:val="en-US"/>
        </w:rPr>
        <w:t>‘</w:t>
      </w:r>
      <w:r w:rsidRPr="00F84A01">
        <w:rPr>
          <w:rFonts w:ascii="Arial" w:hAnsi="Arial" w:cs="Arial"/>
          <w:color w:val="000000"/>
          <w:sz w:val="18"/>
          <w:szCs w:val="20"/>
        </w:rPr>
        <w:t>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applicant – who had a substantial criminal history – on a charge of intentionally causing injury to an expartner.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F84A01">
      <w:pPr>
        <w:spacing w:before="60"/>
        <w:ind w:left="567" w:right="567"/>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F84A01">
      <w:pPr>
        <w:spacing w:before="60"/>
        <w:ind w:left="567" w:right="567"/>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F84A01">
      <w:pPr>
        <w:spacing w:before="60"/>
        <w:ind w:left="567" w:right="567"/>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 xml:space="preserve">vidence suggestive of a serious injury in a case involving an offence involving injury simpliciter is not necessarily inadmissible.  Such evidence may be </w:t>
      </w:r>
      <w:r w:rsidRPr="0045625D">
        <w:rPr>
          <w:rFonts w:ascii="Arial" w:hAnsi="Arial" w:cs="Arial"/>
          <w:sz w:val="20"/>
        </w:rPr>
        <w:lastRenderedPageBreak/>
        <w:t>admissible in order to properly delimit the nature and extent of the injury which is the subject of the relevant offence of causing injury.</w:t>
      </w:r>
    </w:p>
    <w:p w14:paraId="19FB5696"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F84A01">
      <w:pPr>
        <w:spacing w:before="60"/>
        <w:ind w:left="567" w:right="567"/>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F84A01">
      <w:pPr>
        <w:spacing w:before="60"/>
        <w:ind w:left="567" w:right="567"/>
        <w:jc w:val="both"/>
        <w:rPr>
          <w:rFonts w:ascii="Arial" w:hAnsi="Arial" w:cs="Arial"/>
          <w:color w:val="000000"/>
          <w:sz w:val="20"/>
        </w:rPr>
      </w:pPr>
      <w:r>
        <w:rPr>
          <w:rFonts w:ascii="Arial" w:hAnsi="Arial" w:cs="Arial"/>
          <w:sz w:val="20"/>
          <w:szCs w:val="20"/>
        </w:rPr>
        <w:t>[66] Ultimately, given the objective seriousness of the offending, we are not persuaded that the sentence was manisfestly excessive.  The need to address specific and general 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r w:rsidRPr="004B2E18">
        <w:rPr>
          <w:rFonts w:ascii="Arial" w:hAnsi="Arial" w:cs="Arial"/>
          <w:i/>
          <w:iCs/>
          <w:color w:val="000000"/>
          <w:sz w:val="20"/>
          <w:szCs w:val="20"/>
        </w:rPr>
        <w:t>Gommers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F84A01">
      <w:pPr>
        <w:spacing w:before="60"/>
        <w:ind w:left="567" w:right="567"/>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r w:rsidRPr="00E52FD1">
        <w:rPr>
          <w:rFonts w:ascii="Arial" w:hAnsi="Arial" w:cs="Arial"/>
          <w:i/>
          <w:iCs/>
          <w:sz w:val="20"/>
          <w:szCs w:val="20"/>
        </w:rPr>
        <w:t>Shau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eg, </w:t>
      </w:r>
      <w:r w:rsidRPr="00E52FD1">
        <w:rPr>
          <w:rFonts w:ascii="Arial" w:hAnsi="Arial" w:cs="Arial"/>
          <w:i/>
          <w:iCs/>
          <w:sz w:val="20"/>
          <w:szCs w:val="20"/>
        </w:rPr>
        <w:t xml:space="preserve">R v Okutgen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r w:rsidRPr="00DD5411">
        <w:rPr>
          <w:rFonts w:ascii="Arial" w:hAnsi="Arial" w:cs="Arial"/>
          <w:i/>
          <w:iCs/>
          <w:color w:val="000000"/>
          <w:sz w:val="20"/>
        </w:rPr>
        <w:t>Baroch v The Queen; Ater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F84A01">
      <w:pPr>
        <w:spacing w:before="60"/>
        <w:ind w:left="567" w:right="567"/>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Baroch was sentenced to 3 years and 9 </w:t>
      </w:r>
      <w:r w:rsidRPr="000A5ACE">
        <w:rPr>
          <w:rFonts w:ascii="Arial" w:eastAsia="Book Antiqua" w:hAnsi="Arial" w:cs="Arial"/>
          <w:sz w:val="20"/>
          <w:szCs w:val="20"/>
        </w:rPr>
        <w:t xml:space="preserve">months’ imprisonment, while Ater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imprisonment.  Baroch contends that his sentence was manifestly excessive and, in the alternative, that there was no reasonable basis for the differential of 6 months between himself and Ater.  Ater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F84A01">
      <w:pPr>
        <w:spacing w:before="60"/>
        <w:ind w:left="567" w:right="567"/>
        <w:jc w:val="both"/>
        <w:rPr>
          <w:rFonts w:ascii="Arial" w:hAnsi="Arial" w:cs="Arial"/>
          <w:sz w:val="20"/>
          <w:szCs w:val="20"/>
        </w:rPr>
      </w:pPr>
      <w:r w:rsidRPr="000A5ACE">
        <w:rPr>
          <w:rFonts w:ascii="Arial" w:eastAsia="Book Antiqua" w:hAnsi="Arial" w:cs="Arial"/>
          <w:sz w:val="20"/>
          <w:szCs w:val="20"/>
        </w:rPr>
        <w:t>For reasons which follow, we would refuse Baroch’s application for l</w:t>
      </w:r>
      <w:r w:rsidRPr="000A5ACE">
        <w:rPr>
          <w:rFonts w:ascii="Arial" w:hAnsi="Arial" w:cs="Arial"/>
          <w:sz w:val="20"/>
          <w:szCs w:val="20"/>
        </w:rPr>
        <w:t xml:space="preserve">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The sentence of 3 years and 9 months imposed on Baroch was moderate in the </w:t>
      </w:r>
      <w:r w:rsidRPr="000A5ACE">
        <w:rPr>
          <w:rFonts w:ascii="Arial" w:hAnsi="Arial" w:cs="Arial"/>
          <w:sz w:val="20"/>
          <w:szCs w:val="20"/>
        </w:rPr>
        <w:lastRenderedPageBreak/>
        <w:t>circumstances, reflecting the giving of full weight to the mitigating factors on which he was able to rely.</w:t>
      </w:r>
    </w:p>
    <w:p w14:paraId="797CBD78" w14:textId="1F0B75A3" w:rsidR="000A5ACE" w:rsidRDefault="000A5ACE" w:rsidP="00F84A01">
      <w:pPr>
        <w:spacing w:before="60"/>
        <w:ind w:left="567" w:right="567"/>
        <w:jc w:val="both"/>
        <w:rPr>
          <w:rFonts w:ascii="Arial" w:hAnsi="Arial" w:cs="Arial"/>
          <w:sz w:val="20"/>
          <w:szCs w:val="20"/>
        </w:rPr>
      </w:pPr>
      <w:r w:rsidRPr="000A5ACE">
        <w:rPr>
          <w:rFonts w:ascii="Arial" w:hAnsi="Arial" w:cs="Arial"/>
          <w:sz w:val="20"/>
          <w:szCs w:val="20"/>
        </w:rPr>
        <w:t>In the case of Ater,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Ater’s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1A1FCCC6" w:rsidR="009364A3" w:rsidRDefault="009364A3" w:rsidP="009364A3">
      <w:pPr>
        <w:jc w:val="both"/>
        <w:rPr>
          <w:rFonts w:ascii="Arial" w:hAnsi="Arial" w:cs="Arial"/>
          <w:color w:val="000000"/>
          <w:sz w:val="20"/>
        </w:rPr>
      </w:pPr>
    </w:p>
    <w:p w14:paraId="50FF901F" w14:textId="383EDC4E" w:rsidR="008C3DB6" w:rsidRPr="00C8028E" w:rsidRDefault="008C3DB6" w:rsidP="009364A3">
      <w:pPr>
        <w:jc w:val="both"/>
        <w:rPr>
          <w:rFonts w:ascii="Arial" w:hAnsi="Arial" w:cs="Arial"/>
          <w:color w:val="000000"/>
          <w:sz w:val="20"/>
          <w:szCs w:val="20"/>
        </w:rPr>
      </w:pPr>
      <w:r w:rsidRPr="00C8028E">
        <w:rPr>
          <w:rFonts w:ascii="Arial" w:hAnsi="Arial" w:cs="Arial"/>
          <w:color w:val="000000"/>
          <w:sz w:val="20"/>
          <w:szCs w:val="20"/>
        </w:rPr>
        <w:t xml:space="preserve">In </w:t>
      </w:r>
      <w:r w:rsidRPr="00C8028E">
        <w:rPr>
          <w:rFonts w:ascii="Arial" w:hAnsi="Arial" w:cs="Arial"/>
          <w:i/>
          <w:iCs/>
          <w:color w:val="000000"/>
          <w:sz w:val="20"/>
          <w:szCs w:val="20"/>
        </w:rPr>
        <w:t>DPP v Miller (Sentence)</w:t>
      </w:r>
      <w:r w:rsidRPr="00C8028E">
        <w:rPr>
          <w:rFonts w:ascii="Arial" w:hAnsi="Arial" w:cs="Arial"/>
          <w:color w:val="000000"/>
          <w:sz w:val="20"/>
          <w:szCs w:val="20"/>
        </w:rPr>
        <w:t xml:space="preserve"> [2022] VSC 775 the </w:t>
      </w:r>
      <w:r w:rsidR="00E9616B" w:rsidRPr="00C8028E">
        <w:rPr>
          <w:rFonts w:ascii="Arial" w:hAnsi="Arial" w:cs="Arial"/>
          <w:color w:val="000000"/>
          <w:sz w:val="20"/>
          <w:szCs w:val="20"/>
        </w:rPr>
        <w:t xml:space="preserve">principal offender had committed the offence of intentionally causing injury by stabbing the victim three times with a knife.  The accused – who was 40 years old and had a long-standing acquired brain injury – was acquitted of manslaughter but convicted of the alternative charge of assistanting the principal offender to avoid apprehension for the offence of intentionally causing injury by taking and concealing the knife.  In imposing a sentence of IMP 18m, Kaye JA noted that the accused had made an early offer to plead guilty to that offence and also noted </w:t>
      </w:r>
      <w:r w:rsidR="00C8028E" w:rsidRPr="00C8028E">
        <w:rPr>
          <w:rFonts w:ascii="Arial" w:hAnsi="Arial" w:cs="Arial"/>
          <w:sz w:val="20"/>
          <w:szCs w:val="20"/>
        </w:rPr>
        <w:t>“the onerous circumstances in which you have served the last two years while you were on remand”.</w:t>
      </w:r>
    </w:p>
    <w:p w14:paraId="422D9856" w14:textId="6BA60CBA" w:rsidR="008C3DB6" w:rsidRDefault="008C3DB6" w:rsidP="009364A3">
      <w:pPr>
        <w:jc w:val="both"/>
        <w:rPr>
          <w:rFonts w:ascii="Arial" w:hAnsi="Arial" w:cs="Arial"/>
          <w:color w:val="000000"/>
          <w:sz w:val="20"/>
        </w:rPr>
      </w:pPr>
    </w:p>
    <w:p w14:paraId="40282DB7" w14:textId="404D2234" w:rsidR="006F01B0" w:rsidRDefault="006F01B0" w:rsidP="009364A3">
      <w:pPr>
        <w:jc w:val="both"/>
        <w:rPr>
          <w:rFonts w:ascii="Arial" w:hAnsi="Arial" w:cs="Arial"/>
          <w:sz w:val="20"/>
          <w:szCs w:val="20"/>
        </w:rPr>
      </w:pPr>
      <w:r>
        <w:rPr>
          <w:rFonts w:ascii="Arial" w:hAnsi="Arial" w:cs="Arial"/>
          <w:color w:val="000000"/>
          <w:sz w:val="20"/>
        </w:rPr>
        <w:t xml:space="preserve">In </w:t>
      </w:r>
      <w:r w:rsidRPr="006F01B0">
        <w:rPr>
          <w:rFonts w:ascii="Arial" w:hAnsi="Arial" w:cs="Arial"/>
          <w:i/>
          <w:iCs/>
          <w:color w:val="000000"/>
          <w:sz w:val="20"/>
        </w:rPr>
        <w:t>DPP v Silivaii</w:t>
      </w:r>
      <w:r>
        <w:rPr>
          <w:rFonts w:ascii="Arial" w:hAnsi="Arial" w:cs="Arial"/>
          <w:color w:val="000000"/>
          <w:sz w:val="20"/>
        </w:rPr>
        <w:t xml:space="preserve"> [2023] VSCA 19 </w:t>
      </w:r>
      <w:r w:rsidRPr="006F01B0">
        <w:rPr>
          <w:rFonts w:ascii="Arial" w:hAnsi="Arial" w:cs="Arial"/>
          <w:sz w:val="20"/>
          <w:szCs w:val="20"/>
        </w:rPr>
        <w:t xml:space="preserve">the respondent </w:t>
      </w:r>
      <w:r>
        <w:rPr>
          <w:rFonts w:ascii="Arial" w:hAnsi="Arial" w:cs="Arial"/>
          <w:sz w:val="20"/>
          <w:szCs w:val="20"/>
        </w:rPr>
        <w:t xml:space="preserve">had </w:t>
      </w:r>
      <w:r w:rsidRPr="006F01B0">
        <w:rPr>
          <w:rFonts w:ascii="Arial" w:hAnsi="Arial" w:cs="Arial"/>
          <w:sz w:val="20"/>
          <w:szCs w:val="20"/>
        </w:rPr>
        <w:t xml:space="preserve">pleaded guilty in the County Court to one charge of causing injury recklessly, one summary charge of assaulting an emergency worker on duty and one summary charge of resisting an emergency worker on duty. </w:t>
      </w:r>
      <w:r>
        <w:rPr>
          <w:rFonts w:ascii="Arial" w:hAnsi="Arial" w:cs="Arial"/>
          <w:sz w:val="20"/>
          <w:szCs w:val="20"/>
        </w:rPr>
        <w:t xml:space="preserve"> The victim of each of the charges was an emergency worker on duty.  The sentencing judge had sentenced the respondent to IMP 7d on the charge of causing injury recklessly and on the other 2 charges to an aggregate CCO of 12 months with 50 hours of unpaid community work.  The DPP appealed against the sentence on the charge of recklessly causing injury on the single ground that:</w:t>
      </w:r>
    </w:p>
    <w:p w14:paraId="1F61ACA6" w14:textId="45D24E1E" w:rsidR="006F01B0" w:rsidRPr="006F01B0" w:rsidRDefault="006F01B0" w:rsidP="00F84A01">
      <w:pPr>
        <w:spacing w:before="60"/>
        <w:ind w:left="567" w:right="567"/>
        <w:jc w:val="both"/>
        <w:rPr>
          <w:rFonts w:ascii="Arial" w:hAnsi="Arial" w:cs="Arial"/>
          <w:color w:val="000000"/>
          <w:sz w:val="16"/>
          <w:szCs w:val="20"/>
        </w:rPr>
      </w:pPr>
      <w:r w:rsidRPr="006F01B0">
        <w:rPr>
          <w:rFonts w:ascii="Arial" w:hAnsi="Arial" w:cs="Arial"/>
          <w:sz w:val="18"/>
          <w:szCs w:val="18"/>
        </w:rPr>
        <w:t xml:space="preserve">The learned sentencing judge erred at law in finding that there were substantial and compelling circumstances that are exceptional and rare under s 10A(2)(e) of the Sentencing Act 1991 (Vic) that justified a finding under s 10AA(4) of the Sentencing Act 1991 (Vic) that a special reason existed so as not to impose a term of imprisonment of not less than 6 months in relation to Charge </w:t>
      </w:r>
      <w:r w:rsidR="008878A6">
        <w:rPr>
          <w:rFonts w:ascii="Arial" w:hAnsi="Arial" w:cs="Arial"/>
          <w:sz w:val="18"/>
          <w:szCs w:val="18"/>
        </w:rPr>
        <w:t>1.</w:t>
      </w:r>
    </w:p>
    <w:p w14:paraId="65CF8A41" w14:textId="28BB262F" w:rsidR="006F01B0" w:rsidRPr="006A64E3" w:rsidRDefault="008878A6" w:rsidP="00F84A01">
      <w:pPr>
        <w:keepNext/>
        <w:keepLines/>
        <w:spacing w:before="60"/>
        <w:jc w:val="both"/>
        <w:rPr>
          <w:rFonts w:ascii="Arial" w:hAnsi="Arial" w:cs="Arial"/>
          <w:color w:val="000000"/>
          <w:sz w:val="20"/>
        </w:rPr>
      </w:pPr>
      <w:r>
        <w:rPr>
          <w:rFonts w:ascii="Arial" w:hAnsi="Arial" w:cs="Arial"/>
          <w:sz w:val="20"/>
          <w:szCs w:val="20"/>
        </w:rPr>
        <w:t xml:space="preserve">The Court of Appeal held that the ground of the appeal was established, </w:t>
      </w:r>
      <w:r w:rsidR="007B6500">
        <w:rPr>
          <w:rFonts w:ascii="Arial" w:hAnsi="Arial" w:cs="Arial"/>
          <w:sz w:val="20"/>
          <w:szCs w:val="20"/>
        </w:rPr>
        <w:t>stat</w:t>
      </w:r>
      <w:r>
        <w:rPr>
          <w:rFonts w:ascii="Arial" w:hAnsi="Arial" w:cs="Arial"/>
          <w:sz w:val="20"/>
          <w:szCs w:val="20"/>
        </w:rPr>
        <w:t>ing at [28] &amp; [29] that the t</w:t>
      </w:r>
      <w:r w:rsidRPr="008878A6">
        <w:rPr>
          <w:rFonts w:ascii="Arial" w:hAnsi="Arial" w:cs="Arial"/>
          <w:sz w:val="20"/>
          <w:szCs w:val="20"/>
        </w:rPr>
        <w:t>he mandatory sentencing provisions introduced by the Victorian Parliament have set the sentencing bar very high indeed</w:t>
      </w:r>
      <w:r>
        <w:rPr>
          <w:rFonts w:ascii="Arial" w:hAnsi="Arial" w:cs="Arial"/>
          <w:sz w:val="20"/>
          <w:szCs w:val="20"/>
        </w:rPr>
        <w:t xml:space="preserve"> and noting that in </w:t>
      </w:r>
      <w:r w:rsidRPr="008878A6">
        <w:rPr>
          <w:rFonts w:ascii="Arial" w:hAnsi="Arial" w:cs="Arial"/>
          <w:i/>
          <w:iCs/>
          <w:sz w:val="20"/>
          <w:szCs w:val="20"/>
        </w:rPr>
        <w:t>DPP v Bowen</w:t>
      </w:r>
      <w:r w:rsidRPr="008878A6">
        <w:rPr>
          <w:rFonts w:ascii="Arial" w:hAnsi="Arial" w:cs="Arial"/>
          <w:sz w:val="20"/>
          <w:szCs w:val="20"/>
        </w:rPr>
        <w:t xml:space="preserve"> (2021) 65 VR 385, 388</w:t>
      </w:r>
      <w:r>
        <w:rPr>
          <w:rFonts w:ascii="Arial" w:hAnsi="Arial" w:cs="Arial"/>
          <w:sz w:val="20"/>
          <w:szCs w:val="20"/>
        </w:rPr>
        <w:t xml:space="preserve">; [2021] VSCA 355 </w:t>
      </w:r>
      <w:r w:rsidRPr="008878A6">
        <w:rPr>
          <w:rFonts w:ascii="Arial" w:hAnsi="Arial" w:cs="Arial"/>
          <w:sz w:val="20"/>
          <w:szCs w:val="20"/>
        </w:rPr>
        <w:t>Maxwell P, Priest, McLeish, T Forrest and Walker JJA</w:t>
      </w:r>
      <w:r>
        <w:rPr>
          <w:rFonts w:ascii="Arial" w:hAnsi="Arial" w:cs="Arial"/>
          <w:sz w:val="20"/>
          <w:szCs w:val="20"/>
        </w:rPr>
        <w:t xml:space="preserve"> had said at [11] that </w:t>
      </w:r>
      <w:r w:rsidRPr="008878A6">
        <w:rPr>
          <w:rFonts w:ascii="Arial" w:hAnsi="Arial" w:cs="Arial"/>
          <w:sz w:val="20"/>
          <w:szCs w:val="20"/>
        </w:rPr>
        <w:t>these mandatory sentencing provisions create a requirement that is ‘almost impossible’ to satisfy</w:t>
      </w:r>
      <w:r>
        <w:rPr>
          <w:rFonts w:ascii="Arial" w:hAnsi="Arial" w:cs="Arial"/>
          <w:sz w:val="20"/>
          <w:szCs w:val="20"/>
        </w:rPr>
        <w:t xml:space="preserve">.  Nor was there a </w:t>
      </w:r>
      <w:r w:rsidRPr="008878A6">
        <w:rPr>
          <w:rFonts w:ascii="Arial" w:hAnsi="Arial" w:cs="Arial"/>
          <w:sz w:val="20"/>
          <w:szCs w:val="20"/>
        </w:rPr>
        <w:t xml:space="preserve">sufficient evidentiary basis to enliven the general </w:t>
      </w:r>
      <w:r w:rsidRPr="008878A6">
        <w:rPr>
          <w:rFonts w:ascii="Arial" w:hAnsi="Arial" w:cs="Arial"/>
          <w:i/>
          <w:iCs/>
          <w:sz w:val="20"/>
          <w:szCs w:val="20"/>
        </w:rPr>
        <w:t>Bugmy</w:t>
      </w:r>
      <w:r w:rsidRPr="008878A6">
        <w:rPr>
          <w:rFonts w:ascii="Arial" w:hAnsi="Arial" w:cs="Arial"/>
          <w:sz w:val="20"/>
          <w:szCs w:val="20"/>
        </w:rPr>
        <w:t xml:space="preserve"> principles, nor any real basis for the judge to conclude that </w:t>
      </w:r>
      <w:r w:rsidRPr="008878A6">
        <w:rPr>
          <w:rFonts w:ascii="Arial" w:hAnsi="Arial" w:cs="Arial"/>
          <w:i/>
          <w:iCs/>
          <w:sz w:val="20"/>
          <w:szCs w:val="20"/>
        </w:rPr>
        <w:t>Verdins</w:t>
      </w:r>
      <w:r w:rsidRPr="008878A6">
        <w:rPr>
          <w:rFonts w:ascii="Arial" w:hAnsi="Arial" w:cs="Arial"/>
          <w:sz w:val="20"/>
          <w:szCs w:val="20"/>
        </w:rPr>
        <w:t xml:space="preserve"> limb 5 was engaged</w:t>
      </w:r>
      <w:r>
        <w:rPr>
          <w:rFonts w:ascii="Arial" w:hAnsi="Arial" w:cs="Arial"/>
          <w:sz w:val="20"/>
          <w:szCs w:val="20"/>
        </w:rPr>
        <w:t xml:space="preserve">.  However, </w:t>
      </w:r>
      <w:r w:rsidR="006A64E3">
        <w:rPr>
          <w:rFonts w:ascii="Arial" w:hAnsi="Arial" w:cs="Arial"/>
          <w:sz w:val="20"/>
          <w:szCs w:val="20"/>
        </w:rPr>
        <w:t>noting that the respondent had completed 7</w:t>
      </w:r>
      <w:r>
        <w:rPr>
          <w:rFonts w:ascii="Arial" w:hAnsi="Arial" w:cs="Arial"/>
          <w:sz w:val="20"/>
          <w:szCs w:val="20"/>
        </w:rPr>
        <w:t> </w:t>
      </w:r>
      <w:r w:rsidR="006A64E3">
        <w:rPr>
          <w:rFonts w:ascii="Arial" w:hAnsi="Arial" w:cs="Arial"/>
          <w:sz w:val="20"/>
          <w:szCs w:val="20"/>
        </w:rPr>
        <w:t>days’ imprisonment and part of the CCO</w:t>
      </w:r>
      <w:r>
        <w:rPr>
          <w:rFonts w:ascii="Arial" w:hAnsi="Arial" w:cs="Arial"/>
          <w:sz w:val="20"/>
          <w:szCs w:val="20"/>
        </w:rPr>
        <w:t xml:space="preserve"> and referring to the factors enunciated by McLeish, Niall &amp; Kennedy JJA in </w:t>
      </w:r>
      <w:r w:rsidR="007B6500">
        <w:rPr>
          <w:rFonts w:ascii="Arial" w:hAnsi="Arial" w:cs="Arial"/>
          <w:i/>
          <w:iCs/>
          <w:sz w:val="20"/>
          <w:szCs w:val="20"/>
        </w:rPr>
        <w:t>DPP v L</w:t>
      </w:r>
      <w:r w:rsidR="007B6500" w:rsidRPr="007B6500">
        <w:rPr>
          <w:rFonts w:ascii="Arial" w:hAnsi="Arial" w:cs="Arial"/>
          <w:i/>
          <w:iCs/>
          <w:sz w:val="20"/>
          <w:szCs w:val="20"/>
        </w:rPr>
        <w:t>ombardo</w:t>
      </w:r>
      <w:r w:rsidR="007B6500" w:rsidRPr="008878A6">
        <w:rPr>
          <w:rFonts w:ascii="Arial" w:hAnsi="Arial" w:cs="Arial"/>
          <w:sz w:val="20"/>
          <w:szCs w:val="20"/>
        </w:rPr>
        <w:t xml:space="preserve"> [2022] VSCA 204</w:t>
      </w:r>
      <w:r w:rsidR="007B6500">
        <w:rPr>
          <w:rFonts w:ascii="Arial" w:hAnsi="Arial" w:cs="Arial"/>
          <w:sz w:val="20"/>
          <w:szCs w:val="20"/>
        </w:rPr>
        <w:t xml:space="preserve"> at [109]</w:t>
      </w:r>
      <w:r w:rsidR="007B6500" w:rsidRPr="008878A6">
        <w:rPr>
          <w:rFonts w:ascii="Arial" w:hAnsi="Arial" w:cs="Arial"/>
          <w:sz w:val="20"/>
          <w:szCs w:val="20"/>
        </w:rPr>
        <w:t xml:space="preserve">, </w:t>
      </w:r>
      <w:r>
        <w:rPr>
          <w:rFonts w:ascii="Arial" w:hAnsi="Arial" w:cs="Arial"/>
          <w:sz w:val="20"/>
          <w:szCs w:val="20"/>
        </w:rPr>
        <w:t xml:space="preserve">the Court </w:t>
      </w:r>
      <w:r w:rsidR="006A64E3">
        <w:rPr>
          <w:rFonts w:ascii="Arial" w:hAnsi="Arial" w:cs="Arial"/>
          <w:sz w:val="20"/>
          <w:szCs w:val="20"/>
        </w:rPr>
        <w:t>exercised its residual discretion and dismissed the appeal</w:t>
      </w:r>
      <w:r w:rsidR="007B6500">
        <w:rPr>
          <w:rFonts w:ascii="Arial" w:hAnsi="Arial" w:cs="Arial"/>
          <w:sz w:val="20"/>
          <w:szCs w:val="20"/>
        </w:rPr>
        <w:t>, a course not contested by the appellant</w:t>
      </w:r>
      <w:r w:rsidR="006A64E3">
        <w:rPr>
          <w:rFonts w:ascii="Arial" w:hAnsi="Arial" w:cs="Arial"/>
          <w:sz w:val="20"/>
          <w:szCs w:val="20"/>
        </w:rPr>
        <w:t>.</w:t>
      </w:r>
    </w:p>
    <w:p w14:paraId="74EBB43D" w14:textId="77777777" w:rsidR="006F01B0" w:rsidRDefault="006F01B0" w:rsidP="009364A3">
      <w:pPr>
        <w:jc w:val="both"/>
        <w:rPr>
          <w:rFonts w:ascii="Arial" w:hAnsi="Arial" w:cs="Arial"/>
          <w:color w:val="000000"/>
          <w:sz w:val="20"/>
        </w:rPr>
      </w:pPr>
    </w:p>
    <w:p w14:paraId="1F5B8015" w14:textId="3BA732D2" w:rsidR="009364A3" w:rsidRDefault="009364A3" w:rsidP="009364A3">
      <w:pPr>
        <w:jc w:val="both"/>
        <w:rPr>
          <w:rFonts w:ascii="Arial" w:hAnsi="Arial" w:cs="Arial"/>
          <w:color w:val="000000"/>
          <w:sz w:val="20"/>
        </w:rPr>
      </w:pPr>
      <w:r>
        <w:rPr>
          <w:rFonts w:ascii="Arial" w:hAnsi="Arial" w:cs="Arial"/>
          <w:color w:val="000000"/>
          <w:sz w:val="20"/>
        </w:rPr>
        <w:t xml:space="preserve">See also </w:t>
      </w:r>
      <w:r w:rsidRPr="00B250D2">
        <w:rPr>
          <w:rFonts w:ascii="Arial" w:hAnsi="Arial" w:cs="Arial"/>
          <w:i/>
          <w:iCs/>
          <w:color w:val="000000"/>
          <w:sz w:val="20"/>
        </w:rPr>
        <w:t>Didier Lam Kee Shau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r w:rsidRPr="00425C35">
        <w:rPr>
          <w:rFonts w:ascii="Arial" w:hAnsi="Arial" w:cs="Arial"/>
          <w:i/>
          <w:iCs/>
          <w:color w:val="000000"/>
          <w:sz w:val="20"/>
          <w:szCs w:val="20"/>
        </w:rPr>
        <w:t>Johnie Baker (a pseudonym) v The Queen</w:t>
      </w:r>
      <w:r>
        <w:rPr>
          <w:rFonts w:ascii="Arial" w:hAnsi="Arial" w:cs="Arial"/>
          <w:color w:val="000000"/>
          <w:sz w:val="20"/>
          <w:szCs w:val="20"/>
        </w:rPr>
        <w:t xml:space="preserve"> [2021] VSCA 158</w:t>
      </w:r>
      <w:r w:rsidR="00F31882">
        <w:rPr>
          <w:rFonts w:ascii="Arial" w:hAnsi="Arial" w:cs="Arial"/>
          <w:color w:val="000000"/>
          <w:sz w:val="20"/>
          <w:szCs w:val="20"/>
        </w:rPr>
        <w:t xml:space="preserve">; </w:t>
      </w:r>
      <w:r w:rsidR="00F31882" w:rsidRPr="00F31882">
        <w:rPr>
          <w:rFonts w:ascii="Arial" w:hAnsi="Arial" w:cs="Arial"/>
          <w:i/>
          <w:iCs/>
          <w:color w:val="000000"/>
          <w:sz w:val="20"/>
          <w:szCs w:val="20"/>
        </w:rPr>
        <w:t>Fonua v The King</w:t>
      </w:r>
      <w:r w:rsidR="00F31882">
        <w:rPr>
          <w:rFonts w:ascii="Arial" w:hAnsi="Arial" w:cs="Arial"/>
          <w:color w:val="000000"/>
          <w:sz w:val="20"/>
          <w:szCs w:val="20"/>
        </w:rPr>
        <w:t xml:space="preserve"> [2022] VSCA 213</w:t>
      </w:r>
      <w:r w:rsid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EE52E9">
        <w:rPr>
          <w:rFonts w:ascii="Arial" w:hAnsi="Arial" w:cs="Arial"/>
          <w:sz w:val="20"/>
          <w:szCs w:val="20"/>
        </w:rPr>
        <w:t xml:space="preserve">; </w:t>
      </w:r>
      <w:r w:rsidR="00EE52E9" w:rsidRPr="00A819F8">
        <w:rPr>
          <w:rFonts w:ascii="Arial" w:hAnsi="Arial" w:cs="Arial"/>
          <w:i/>
          <w:iCs/>
          <w:sz w:val="20"/>
        </w:rPr>
        <w:t>Magee v The King</w:t>
      </w:r>
      <w:r w:rsidR="00EE52E9">
        <w:rPr>
          <w:rFonts w:ascii="Arial" w:hAnsi="Arial" w:cs="Arial"/>
          <w:sz w:val="20"/>
        </w:rPr>
        <w:t xml:space="preserve"> [2023] VSCA 80</w:t>
      </w:r>
      <w:r w:rsidR="002D48E5">
        <w:rPr>
          <w:rFonts w:ascii="Arial" w:hAnsi="Arial" w:cs="Arial"/>
          <w:sz w:val="20"/>
        </w:rPr>
        <w:t xml:space="preserve">; </w:t>
      </w:r>
      <w:r w:rsidR="002D48E5" w:rsidRPr="002D48E5">
        <w:rPr>
          <w:rFonts w:ascii="Arial" w:hAnsi="Arial" w:cs="Arial"/>
          <w:i/>
          <w:iCs/>
          <w:sz w:val="20"/>
        </w:rPr>
        <w:t>Foster (a pseudonym) v The King</w:t>
      </w:r>
      <w:r w:rsidR="002D48E5">
        <w:rPr>
          <w:rFonts w:ascii="Arial" w:hAnsi="Arial" w:cs="Arial"/>
          <w:sz w:val="20"/>
        </w:rPr>
        <w:t xml:space="preserve"> [2023] VSCA 94</w:t>
      </w:r>
      <w:r w:rsidR="006F29EF">
        <w:rPr>
          <w:rFonts w:ascii="Arial" w:hAnsi="Arial" w:cs="Arial"/>
          <w:sz w:val="20"/>
        </w:rPr>
        <w:t xml:space="preserve">; </w:t>
      </w:r>
      <w:r w:rsidR="006F29EF" w:rsidRPr="006F29EF">
        <w:rPr>
          <w:rFonts w:ascii="Arial" w:hAnsi="Arial" w:cs="Arial"/>
          <w:i/>
          <w:iCs/>
          <w:sz w:val="20"/>
        </w:rPr>
        <w:t>DPP v Sari</w:t>
      </w:r>
      <w:r w:rsidR="006F29EF">
        <w:rPr>
          <w:rFonts w:ascii="Arial" w:hAnsi="Arial" w:cs="Arial"/>
          <w:sz w:val="20"/>
        </w:rPr>
        <w:t xml:space="preserve"> [2023] VSC 523</w:t>
      </w:r>
      <w:r>
        <w:rPr>
          <w:rFonts w:ascii="Arial" w:hAnsi="Arial" w:cs="Arial"/>
          <w:color w:val="000000"/>
          <w:sz w:val="20"/>
        </w:rPr>
        <w:t>.</w:t>
      </w:r>
    </w:p>
    <w:p w14:paraId="29C18B82" w14:textId="18556F3E" w:rsidR="000A5ACE" w:rsidRDefault="000A5ACE" w:rsidP="000A5ACE">
      <w:pPr>
        <w:jc w:val="both"/>
        <w:rPr>
          <w:rFonts w:ascii="Arial" w:hAnsi="Arial" w:cs="Arial"/>
          <w:color w:val="000000"/>
          <w:sz w:val="20"/>
        </w:rPr>
      </w:pPr>
    </w:p>
    <w:p w14:paraId="2E64C30F" w14:textId="77777777" w:rsidR="000A5ACE" w:rsidRPr="00DD24BF" w:rsidRDefault="000A5ACE" w:rsidP="000A5ACE">
      <w:pPr>
        <w:pStyle w:val="ListParagraph"/>
        <w:ind w:left="0"/>
        <w:jc w:val="center"/>
        <w:rPr>
          <w:rFonts w:ascii="Arial" w:hAnsi="Arial" w:cs="Arial"/>
          <w:b/>
          <w:bCs/>
          <w:color w:val="000000"/>
          <w:sz w:val="22"/>
          <w:szCs w:val="28"/>
        </w:rPr>
      </w:pPr>
      <w:bookmarkStart w:id="680" w:name="_11.2.24.5__"/>
      <w:bookmarkStart w:id="681" w:name="_11.2.24.5___1"/>
      <w:bookmarkEnd w:id="680"/>
      <w:bookmarkEnd w:id="681"/>
      <w:r w:rsidRPr="00DD24BF">
        <w:rPr>
          <w:rFonts w:ascii="Arial" w:hAnsi="Arial" w:cs="Arial"/>
          <w:b/>
          <w:bCs/>
          <w:color w:val="000000"/>
          <w:sz w:val="22"/>
          <w:szCs w:val="28"/>
        </w:rPr>
        <w:t>THE REST OF THIS PAGE IS BLANK</w:t>
      </w:r>
    </w:p>
    <w:p w14:paraId="6A9BE13A" w14:textId="77777777" w:rsidR="000A5ACE" w:rsidRPr="007B6500" w:rsidRDefault="000A5ACE" w:rsidP="000A5ACE">
      <w:pPr>
        <w:pStyle w:val="Heading2"/>
        <w:tabs>
          <w:tab w:val="left" w:pos="567"/>
        </w:tabs>
        <w:spacing w:line="240" w:lineRule="auto"/>
        <w:ind w:left="567" w:hanging="567"/>
        <w:rPr>
          <w:rFonts w:ascii="Arial" w:hAnsi="Arial" w:cs="Arial"/>
          <w:color w:val="000000"/>
          <w:sz w:val="20"/>
        </w:rPr>
      </w:pPr>
    </w:p>
    <w:p w14:paraId="0AD06978" w14:textId="77777777" w:rsidR="00DD5411" w:rsidRDefault="00DD5411">
      <w:pPr>
        <w:rPr>
          <w:rFonts w:ascii="Arial" w:hAnsi="Arial" w:cs="Arial"/>
          <w:b/>
          <w:bCs/>
          <w:color w:val="000000"/>
          <w:kern w:val="28"/>
          <w:sz w:val="20"/>
          <w:szCs w:val="20"/>
          <w:lang w:val="en-GB"/>
        </w:rPr>
      </w:pPr>
      <w:r>
        <w:rPr>
          <w:rFonts w:ascii="Arial" w:hAnsi="Arial" w:cs="Arial"/>
          <w:b/>
          <w:bCs/>
          <w:color w:val="000000"/>
          <w:sz w:val="20"/>
        </w:rPr>
        <w:br w:type="page"/>
      </w:r>
    </w:p>
    <w:p w14:paraId="34D5B91B" w14:textId="5D4458F1" w:rsidR="006C0B26" w:rsidRPr="001C6E0E" w:rsidRDefault="00ED210C" w:rsidP="006C0B26">
      <w:pPr>
        <w:pStyle w:val="Heading3"/>
        <w:keepNext/>
        <w:spacing w:after="120" w:line="240" w:lineRule="auto"/>
        <w:rPr>
          <w:rFonts w:ascii="Arial" w:hAnsi="Arial" w:cs="Arial"/>
          <w:b/>
          <w:bCs/>
          <w:color w:val="000000"/>
          <w:sz w:val="20"/>
        </w:rPr>
      </w:pPr>
      <w:bookmarkStart w:id="682" w:name="_11.2.24.5___2"/>
      <w:bookmarkEnd w:id="682"/>
      <w:r w:rsidRPr="001C6E0E">
        <w:rPr>
          <w:rFonts w:ascii="Arial" w:hAnsi="Arial" w:cs="Arial"/>
          <w:b/>
          <w:bCs/>
          <w:color w:val="000000"/>
          <w:sz w:val="20"/>
        </w:rPr>
        <w:lastRenderedPageBreak/>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violent disorder</w:t>
      </w:r>
    </w:p>
    <w:p w14:paraId="3F6F3FF0" w14:textId="4CBD6FE7" w:rsidR="002B5D4B" w:rsidRPr="002B5D4B" w:rsidRDefault="002B5D4B" w:rsidP="00ED210C">
      <w:pPr>
        <w:jc w:val="both"/>
        <w:rPr>
          <w:rFonts w:ascii="Arial" w:hAnsi="Arial" w:cs="Arial"/>
          <w:color w:val="000000"/>
          <w:sz w:val="16"/>
          <w:szCs w:val="20"/>
        </w:rPr>
      </w:pPr>
      <w:r w:rsidRPr="002B5D4B">
        <w:rPr>
          <w:rFonts w:ascii="Arial" w:hAnsi="Arial" w:cs="Arial"/>
          <w:sz w:val="20"/>
          <w:szCs w:val="20"/>
        </w:rPr>
        <w:t xml:space="preserve">The offence of violent disorder was introduced in 2017 by the </w:t>
      </w:r>
      <w:r w:rsidRPr="002B5D4B">
        <w:rPr>
          <w:rFonts w:ascii="Arial" w:hAnsi="Arial" w:cs="Arial"/>
          <w:i/>
          <w:iCs/>
          <w:sz w:val="20"/>
          <w:szCs w:val="20"/>
        </w:rPr>
        <w:t>Crimes Legislation Amendment (Public Order) Act 2017</w:t>
      </w:r>
      <w:r w:rsidRPr="002B5D4B">
        <w:rPr>
          <w:rFonts w:ascii="Arial" w:hAnsi="Arial" w:cs="Arial"/>
          <w:sz w:val="20"/>
          <w:szCs w:val="20"/>
        </w:rPr>
        <w:t xml:space="preserve">. That Act abolished the common-law offences of affray, rout and riot and introduced two new statutory offences of affray (contrary to s 195H of the </w:t>
      </w:r>
      <w:r w:rsidRPr="007F3C42">
        <w:rPr>
          <w:rFonts w:ascii="Arial" w:hAnsi="Arial" w:cs="Arial"/>
          <w:i/>
          <w:iCs/>
          <w:sz w:val="20"/>
          <w:szCs w:val="20"/>
        </w:rPr>
        <w:t>Crimes Act 1958</w:t>
      </w:r>
      <w:r w:rsidRPr="002B5D4B">
        <w:rPr>
          <w:rFonts w:ascii="Arial" w:hAnsi="Arial" w:cs="Arial"/>
          <w:sz w:val="20"/>
          <w:szCs w:val="20"/>
        </w:rPr>
        <w:t xml:space="preserve">) and violent disorder (contrary to s 195I of the </w:t>
      </w:r>
      <w:r w:rsidRPr="007F3C42">
        <w:rPr>
          <w:rFonts w:ascii="Arial" w:hAnsi="Arial" w:cs="Arial"/>
          <w:i/>
          <w:iCs/>
          <w:sz w:val="20"/>
          <w:szCs w:val="20"/>
        </w:rPr>
        <w:t>Crimes Act 1958</w:t>
      </w:r>
      <w:r w:rsidRPr="002B5D4B">
        <w:rPr>
          <w:rFonts w:ascii="Arial" w:hAnsi="Arial" w:cs="Arial"/>
          <w:sz w:val="20"/>
          <w:szCs w:val="20"/>
        </w:rPr>
        <w:t>).</w:t>
      </w:r>
    </w:p>
    <w:p w14:paraId="2B3E0721" w14:textId="77777777" w:rsidR="002B5D4B" w:rsidRDefault="002B5D4B" w:rsidP="00ED210C">
      <w:pPr>
        <w:jc w:val="both"/>
        <w:rPr>
          <w:rFonts w:ascii="Arial" w:hAnsi="Arial" w:cs="Arial"/>
          <w:color w:val="000000"/>
          <w:sz w:val="20"/>
        </w:rPr>
      </w:pPr>
    </w:p>
    <w:p w14:paraId="062B0C44" w14:textId="29F4B12E"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R v King; R v Ngyouen</w:t>
      </w:r>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616140C0" w:rsidR="00606295" w:rsidRDefault="00606295" w:rsidP="00ED210C">
      <w:pPr>
        <w:jc w:val="both"/>
        <w:rPr>
          <w:rFonts w:ascii="Arial" w:hAnsi="Arial" w:cs="Arial"/>
          <w:color w:val="000000"/>
          <w:sz w:val="20"/>
        </w:rPr>
      </w:pPr>
      <w:r>
        <w:rPr>
          <w:rFonts w:ascii="Arial" w:hAnsi="Arial" w:cs="Arial"/>
          <w:color w:val="000000"/>
          <w:sz w:val="20"/>
        </w:rPr>
        <w:t xml:space="preserve">In </w:t>
      </w:r>
      <w:r w:rsidRPr="00606295">
        <w:rPr>
          <w:rFonts w:ascii="Arial" w:hAnsi="Arial" w:cs="Arial"/>
          <w:i/>
          <w:iCs/>
          <w:color w:val="000000"/>
          <w:sz w:val="20"/>
        </w:rPr>
        <w:t>R v Casley</w:t>
      </w:r>
      <w:r>
        <w:rPr>
          <w:rFonts w:ascii="Arial" w:hAnsi="Arial" w:cs="Arial"/>
          <w:color w:val="000000"/>
          <w:sz w:val="20"/>
        </w:rPr>
        <w:t xml:space="preserve"> [2021] VSC 503 the 18 year old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coaccused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w:t>
      </w:r>
      <w:r w:rsidR="006418E5">
        <w:rPr>
          <w:rFonts w:ascii="Arial" w:hAnsi="Arial" w:cs="Arial"/>
          <w:color w:val="000000"/>
          <w:sz w:val="20"/>
        </w:rPr>
        <w:t xml:space="preserve">On breach of CCO he was resentenced on the affray to IMP8m (already served) + CCO 12m: see </w:t>
      </w:r>
      <w:r w:rsidR="006418E5" w:rsidRPr="00012E79">
        <w:rPr>
          <w:rFonts w:ascii="Arial" w:hAnsi="Arial" w:cs="Arial"/>
          <w:i/>
          <w:iCs/>
          <w:color w:val="000000"/>
          <w:sz w:val="20"/>
        </w:rPr>
        <w:t>DPP v Casley</w:t>
      </w:r>
      <w:r w:rsidR="006418E5">
        <w:rPr>
          <w:rFonts w:ascii="Arial" w:hAnsi="Arial" w:cs="Arial"/>
          <w:color w:val="000000"/>
          <w:sz w:val="20"/>
        </w:rPr>
        <w:t xml:space="preserve"> [2022] VSC 718</w:t>
      </w:r>
      <w:r w:rsidR="00012E79">
        <w:rPr>
          <w:rFonts w:ascii="Arial" w:hAnsi="Arial" w:cs="Arial"/>
          <w:color w:val="000000"/>
          <w:sz w:val="20"/>
        </w:rPr>
        <w:t xml:space="preserve"> and subsequently </w:t>
      </w:r>
      <w:r w:rsidR="00012E79" w:rsidRPr="00012E79">
        <w:rPr>
          <w:rFonts w:ascii="Arial" w:hAnsi="Arial" w:cs="Arial"/>
          <w:i/>
          <w:iCs/>
          <w:color w:val="000000"/>
          <w:sz w:val="20"/>
        </w:rPr>
        <w:t>R v Casley</w:t>
      </w:r>
      <w:r w:rsidR="00012E79">
        <w:rPr>
          <w:rFonts w:ascii="Arial" w:hAnsi="Arial" w:cs="Arial"/>
          <w:color w:val="000000"/>
          <w:sz w:val="20"/>
        </w:rPr>
        <w:t xml:space="preserve"> [2023] VSC 678</w:t>
      </w:r>
      <w:r w:rsidR="006418E5">
        <w:rPr>
          <w:rFonts w:ascii="Arial" w:hAnsi="Arial" w:cs="Arial"/>
          <w:color w:val="000000"/>
          <w:sz w:val="20"/>
        </w:rPr>
        <w:t xml:space="preserve">.  </w:t>
      </w:r>
      <w:r w:rsidR="00CF68F7">
        <w:rPr>
          <w:rFonts w:ascii="Arial" w:hAnsi="Arial" w:cs="Arial"/>
          <w:color w:val="000000"/>
          <w:sz w:val="20"/>
        </w:rPr>
        <w:t xml:space="preserve">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Casley’s coaccused ST (a 21 year old female who had spent 138d on remand) was sentenced to CCO 10m</w:t>
      </w:r>
      <w:r w:rsidR="0098660E">
        <w:rPr>
          <w:rFonts w:ascii="Arial" w:hAnsi="Arial" w:cs="Arial"/>
          <w:color w:val="000000"/>
          <w:sz w:val="20"/>
        </w:rPr>
        <w:t xml:space="preserve">; </w:t>
      </w:r>
      <w:r w:rsidR="0098660E" w:rsidRPr="0098660E">
        <w:rPr>
          <w:rFonts w:ascii="Arial" w:hAnsi="Arial" w:cs="Arial"/>
          <w:i/>
          <w:iCs/>
          <w:color w:val="000000"/>
          <w:sz w:val="20"/>
        </w:rPr>
        <w:t>DPP v WA</w:t>
      </w:r>
      <w:r w:rsidR="0098660E">
        <w:rPr>
          <w:rFonts w:ascii="Arial" w:hAnsi="Arial" w:cs="Arial"/>
          <w:color w:val="000000"/>
          <w:sz w:val="20"/>
        </w:rPr>
        <w:t xml:space="preserve"> [2022] VSC 506 (16 year old male – YJC2m).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R v Tafa</w:t>
      </w:r>
      <w:r>
        <w:rPr>
          <w:rFonts w:ascii="Arial" w:hAnsi="Arial" w:cs="Arial"/>
          <w:color w:val="000000"/>
          <w:sz w:val="20"/>
        </w:rPr>
        <w:t xml:space="preserve"> [2022] VSC 466 the 20 year old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detetion).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07C29BF6" w14:textId="225B9787" w:rsidR="001D22D9" w:rsidRDefault="00791548" w:rsidP="00ED210C">
      <w:pPr>
        <w:jc w:val="both"/>
        <w:rPr>
          <w:rFonts w:ascii="Arial" w:hAnsi="Arial" w:cs="Arial"/>
          <w:color w:val="000000"/>
          <w:sz w:val="20"/>
        </w:rPr>
      </w:pPr>
      <w:r>
        <w:rPr>
          <w:rFonts w:ascii="Arial" w:hAnsi="Arial" w:cs="Arial"/>
          <w:color w:val="000000"/>
          <w:sz w:val="20"/>
        </w:rPr>
        <w:t>The case of</w:t>
      </w:r>
      <w:r w:rsidR="001D22D9">
        <w:rPr>
          <w:rFonts w:ascii="Arial" w:hAnsi="Arial" w:cs="Arial"/>
          <w:color w:val="000000"/>
          <w:sz w:val="20"/>
        </w:rPr>
        <w:t xml:space="preserve"> </w:t>
      </w:r>
      <w:r w:rsidR="001D22D9" w:rsidRPr="001D22D9">
        <w:rPr>
          <w:rFonts w:ascii="Arial" w:hAnsi="Arial" w:cs="Arial"/>
          <w:i/>
          <w:iCs/>
          <w:color w:val="000000"/>
          <w:sz w:val="20"/>
        </w:rPr>
        <w:t>DPP v Sewell; DPP v Hersant</w:t>
      </w:r>
      <w:r w:rsidR="001D22D9">
        <w:rPr>
          <w:rFonts w:ascii="Arial" w:hAnsi="Arial" w:cs="Arial"/>
          <w:color w:val="000000"/>
          <w:sz w:val="20"/>
        </w:rPr>
        <w:t xml:space="preserve"> [2024] VSCA 70 </w:t>
      </w:r>
      <w:r w:rsidR="00512CFD">
        <w:rPr>
          <w:rFonts w:ascii="Arial" w:hAnsi="Arial" w:cs="Arial"/>
          <w:color w:val="000000"/>
          <w:sz w:val="20"/>
        </w:rPr>
        <w:t xml:space="preserve">was the first appellate consideration of the offence of </w:t>
      </w:r>
      <w:r w:rsidR="00512CFD" w:rsidRPr="00512CFD">
        <w:rPr>
          <w:rFonts w:ascii="Arial" w:hAnsi="Arial" w:cs="Arial"/>
          <w:b/>
          <w:bCs/>
          <w:color w:val="000000"/>
          <w:sz w:val="20"/>
        </w:rPr>
        <w:t>violent disorder</w:t>
      </w:r>
      <w:r w:rsidR="007E081F">
        <w:rPr>
          <w:rFonts w:ascii="Arial" w:hAnsi="Arial" w:cs="Arial"/>
          <w:b/>
          <w:bCs/>
          <w:color w:val="000000"/>
          <w:sz w:val="20"/>
        </w:rPr>
        <w:t xml:space="preserve"> </w:t>
      </w:r>
      <w:r w:rsidR="007E081F" w:rsidRPr="007E081F">
        <w:rPr>
          <w:rFonts w:ascii="Arial" w:hAnsi="Arial" w:cs="Arial"/>
          <w:color w:val="000000"/>
          <w:sz w:val="20"/>
        </w:rPr>
        <w:t>which was enacted in 2017</w:t>
      </w:r>
      <w:r w:rsidR="00512CFD">
        <w:rPr>
          <w:rFonts w:ascii="Arial" w:hAnsi="Arial" w:cs="Arial"/>
          <w:color w:val="000000"/>
          <w:sz w:val="20"/>
        </w:rPr>
        <w:t>.  Mr Sewell (aged 28) and Mr Hersant (aged 22) had entered guilty pleas following a sentence indication.  On a charge of violent disorder Mr</w:t>
      </w:r>
      <w:r w:rsidR="007E081F">
        <w:rPr>
          <w:rFonts w:ascii="Arial" w:hAnsi="Arial" w:cs="Arial"/>
          <w:color w:val="000000"/>
          <w:sz w:val="20"/>
        </w:rPr>
        <w:t> </w:t>
      </w:r>
      <w:r w:rsidR="00512CFD">
        <w:rPr>
          <w:rFonts w:ascii="Arial" w:hAnsi="Arial" w:cs="Arial"/>
          <w:color w:val="000000"/>
          <w:sz w:val="20"/>
        </w:rPr>
        <w:t>Sewell was sentenced to IMP1m with pre-sentence detention of over 6m in solitary confinement reckoned as time served and the prosecution ha</w:t>
      </w:r>
      <w:r w:rsidR="007E081F">
        <w:rPr>
          <w:rFonts w:ascii="Arial" w:hAnsi="Arial" w:cs="Arial"/>
          <w:color w:val="000000"/>
          <w:sz w:val="20"/>
        </w:rPr>
        <w:t>ving</w:t>
      </w:r>
      <w:r w:rsidR="00512CFD">
        <w:rPr>
          <w:rFonts w:ascii="Arial" w:hAnsi="Arial" w:cs="Arial"/>
          <w:color w:val="000000"/>
          <w:sz w:val="20"/>
        </w:rPr>
        <w:t xml:space="preserve"> not challenged the judge’s treatment of the time in custody.  Mr Hersant was sentenced to IMP3d with a community correction order of 14m.  </w:t>
      </w:r>
      <w:r w:rsidR="007E081F">
        <w:rPr>
          <w:rFonts w:ascii="Arial" w:hAnsi="Arial" w:cs="Arial"/>
          <w:color w:val="000000"/>
          <w:sz w:val="20"/>
        </w:rPr>
        <w:t xml:space="preserve">The Court of Appeal held that the sentence imposed on Mr Sewell was not manifestly inadequate and dismissed the Director’s appeal.  It held that the sentence imposed on Mr Hersant was manifestly </w:t>
      </w:r>
      <w:r w:rsidR="007E081F">
        <w:rPr>
          <w:rFonts w:ascii="Arial" w:hAnsi="Arial" w:cs="Arial"/>
          <w:color w:val="000000"/>
          <w:sz w:val="20"/>
        </w:rPr>
        <w:lastRenderedPageBreak/>
        <w:t>inadequate but noting that Mr Hersant had completed all 200 hours of unpaid community work, that it was undesirable to return him to custdy and that the sentence imposed enhances his prospects of rehabilitation, the Court exercised its residual discretion and dismissed the appeal.  In so doing, it noted that it was still providing appellate guidance.  At [89]-[99] Emerton P, Kennedy &amp; Boyce JJA said:</w:t>
      </w:r>
    </w:p>
    <w:p w14:paraId="3EE368FF" w14:textId="76C456A6" w:rsidR="001D22D9" w:rsidRDefault="007E081F" w:rsidP="007E081F">
      <w:pPr>
        <w:spacing w:before="60"/>
        <w:ind w:left="567" w:right="567"/>
        <w:jc w:val="both"/>
        <w:rPr>
          <w:rFonts w:ascii="Arial" w:hAnsi="Arial" w:cs="Arial"/>
          <w:sz w:val="20"/>
          <w:szCs w:val="20"/>
        </w:rPr>
      </w:pPr>
      <w:r>
        <w:rPr>
          <w:rFonts w:ascii="Arial" w:hAnsi="Arial" w:cs="Arial"/>
          <w:color w:val="000000"/>
          <w:sz w:val="20"/>
        </w:rPr>
        <w:t>[89] “</w:t>
      </w:r>
      <w:r w:rsidRPr="00791548">
        <w:rPr>
          <w:rFonts w:ascii="Arial" w:hAnsi="Arial" w:cs="Arial"/>
          <w:sz w:val="20"/>
          <w:szCs w:val="20"/>
        </w:rPr>
        <w:t>Although we accept that the specific involvement of any participant may be considered, the judge was correct to find that it is the pack mentality and violence perpetrated as a group which is the essence of the offence of violent disorder.</w:t>
      </w:r>
    </w:p>
    <w:p w14:paraId="730D86E3" w14:textId="22D6791C"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[90] </w:t>
      </w:r>
      <w:r w:rsidRPr="00791548">
        <w:rPr>
          <w:rFonts w:ascii="Arial" w:hAnsi="Arial" w:cs="Arial"/>
          <w:sz w:val="20"/>
          <w:szCs w:val="20"/>
        </w:rPr>
        <w:t>There are a number of features which suggest that the offending was indeed serious in this case. Thus, there were in fact two groups which came together to constitute a larger</w:t>
      </w:r>
      <w:r>
        <w:rPr>
          <w:rFonts w:ascii="Arial" w:hAnsi="Arial" w:cs="Arial"/>
          <w:sz w:val="20"/>
          <w:szCs w:val="20"/>
        </w:rPr>
        <w:t xml:space="preserve"> </w:t>
      </w:r>
      <w:r w:rsidRPr="00791548">
        <w:rPr>
          <w:rFonts w:ascii="Arial" w:hAnsi="Arial" w:cs="Arial"/>
          <w:sz w:val="20"/>
          <w:szCs w:val="20"/>
        </w:rPr>
        <w:t>group of some 10–15 black-uniformed males which ‘set upon’ the innocent hikers so as to intimidate them and force them to hand over their phones. The threat of unlawful violence was particularly serious in circumstances where members of the group were armed with knives, including a hunting knife. The fact that one of the participants was brandishing a knife was so frightening that it caused one of the hikers to urinate on himself. There was also serious damage to the Volkswagen by reason of the window smashing. In such circumstances it is not surprising that the judge found that each of the victims was ‘terrified’. The conduct was inherently likely to produce such an effect.</w:t>
      </w:r>
    </w:p>
    <w:p w14:paraId="6D1D4BA9" w14:textId="4EEE6C5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[91] </w:t>
      </w:r>
      <w:r w:rsidRPr="00791548">
        <w:rPr>
          <w:rFonts w:ascii="Arial" w:hAnsi="Arial" w:cs="Arial"/>
          <w:sz w:val="20"/>
          <w:szCs w:val="20"/>
        </w:rPr>
        <w:t>Against this, however, there were other factors which the judge correctly took into account in assessing the level of the seriousness. Critically (and fortunately), the physical injury inflicted was minor. Moreover, the offending was not planned, was spontaneous and reactive, and was not politically or racially motivated. Consistent with concessions made by the prosecution, the judge also found that there was no evidence that either offender had a weapon, or engaged in any specific act of violence. We also consider that the judge was entitled to take into account the absence of a face covering in circumstances where it was alleged that many of the participants did wear such coverings.</w:t>
      </w:r>
    </w:p>
    <w:p w14:paraId="09585893" w14:textId="359FE9A8"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[92] </w:t>
      </w:r>
      <w:r w:rsidRPr="00791548">
        <w:rPr>
          <w:rFonts w:ascii="Arial" w:hAnsi="Arial" w:cs="Arial"/>
          <w:sz w:val="20"/>
          <w:szCs w:val="20"/>
        </w:rPr>
        <w:t>Whether the judge erred in concluding that the respondents’ offending should be seen as ‘towards the lower end of seriousness for offending of this type’ by reference to the fact that the respondents did not wear a face covering gave rise in argument to the issue whether the offence of violent disorder was one offence able to be committed in two ways (either with or without a face covering), or whether two offences were contemplated.</w:t>
      </w:r>
    </w:p>
    <w:p w14:paraId="1B789294" w14:textId="1795AC5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[93] </w:t>
      </w:r>
      <w:r w:rsidRPr="00791548">
        <w:rPr>
          <w:rFonts w:ascii="Arial" w:hAnsi="Arial" w:cs="Arial"/>
          <w:sz w:val="20"/>
          <w:szCs w:val="20"/>
        </w:rPr>
        <w:t>However, in the end, it is unnecessary to decide this matter because we consider that the reference by the judge to ‘offending of this type’ incorporated acts which included the offending described in both s 195I(3)(a) and (b). It is thereby apparent that her Honour cannot have counted in mitigation a matter that was already definitional of the offending.</w:t>
      </w:r>
    </w:p>
    <w:p w14:paraId="4E42E012" w14:textId="0690A2E5"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[94] </w:t>
      </w:r>
      <w:r w:rsidRPr="00791548">
        <w:rPr>
          <w:rFonts w:ascii="Arial" w:hAnsi="Arial" w:cs="Arial"/>
          <w:sz w:val="20"/>
          <w:szCs w:val="20"/>
        </w:rPr>
        <w:t>When all these factors are taken into account, we are unable to be satisfied that the judge erred in her characterisation of the seriousness of this offending. Rather, we consider that it was open for the judge to find that, although serious, the offending was at the ‘lower end of seriousness for offending of this type.’</w:t>
      </w:r>
    </w:p>
    <w:p w14:paraId="42669E85" w14:textId="06D225DA"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[95] </w:t>
      </w:r>
      <w:r w:rsidRPr="00791548">
        <w:rPr>
          <w:rFonts w:ascii="Arial" w:hAnsi="Arial" w:cs="Arial"/>
          <w:sz w:val="20"/>
          <w:szCs w:val="20"/>
        </w:rPr>
        <w:t>We note in this regard that the comparable cases to which the judge was referred concerned violent disorders which led to more serious injuries. In R v Tafa, the offender participated in a pack attack by striking the victim with a baseball bat.49 One of the other assailants fatally stabbed the victim.50 The judge emphasised that the offender was not being sentenced for the fatal stabbing.51 Director of Public Prosecutions v Leek, 52 Director of Public Prosecutions v Akok53 and Director of Public Prosecutions v Puoch54 49 [2022] VSC 466, [20]–[21] (Taylor J). 50 Ibid [21]–[23]. 51 Ibid [48], [62]. 52 [2022] VCC 1071. 53 [2021] VCC 1795. 54 [2022] VCC 1063. all arose from a brawl that took place in and around a lift at 200 Spencer Street in March 2021. Some of the victims suffered knife wounds.55</w:t>
      </w:r>
    </w:p>
    <w:p w14:paraId="1BC855B2" w14:textId="15D6FE84"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[96] </w:t>
      </w:r>
      <w:r w:rsidRPr="00791548">
        <w:rPr>
          <w:rFonts w:ascii="Arial" w:hAnsi="Arial" w:cs="Arial"/>
          <w:sz w:val="20"/>
          <w:szCs w:val="20"/>
        </w:rPr>
        <w:t>However, this does not resolve the manifest inadequacy issue since even offending at the ‘lower end of seriousness’ would ordinarily warrant substantial punishment. The principles of general deterrence, denunciation and community protection dictate such a course in circumstances where the maximum penalty is 10 years’ imprisonment.</w:t>
      </w:r>
    </w:p>
    <w:p w14:paraId="2A4E6153" w14:textId="3DA6DEF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[97] </w:t>
      </w:r>
      <w:r w:rsidRPr="00791548">
        <w:rPr>
          <w:rFonts w:ascii="Arial" w:hAnsi="Arial" w:cs="Arial"/>
          <w:sz w:val="20"/>
          <w:szCs w:val="20"/>
        </w:rPr>
        <w:t>In considering the adequacy of the sentence, however, it is also necessary to consider the personal circumstances of each offender, including any significant matters in mitigation.</w:t>
      </w:r>
    </w:p>
    <w:p w14:paraId="464DA4AF" w14:textId="4B4D84B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[98] </w:t>
      </w:r>
      <w:r w:rsidRPr="00791548">
        <w:rPr>
          <w:rFonts w:ascii="Arial" w:hAnsi="Arial" w:cs="Arial"/>
          <w:sz w:val="20"/>
          <w:szCs w:val="20"/>
        </w:rPr>
        <w:t xml:space="preserve">Turning first to Mr Sewell, he was a leader of one of the groups, was older and committed the offence whilst on bail. Nevertheless, the judge was entitled to give weight </w:t>
      </w:r>
      <w:r w:rsidRPr="00791548">
        <w:rPr>
          <w:rFonts w:ascii="Arial" w:hAnsi="Arial" w:cs="Arial"/>
          <w:sz w:val="20"/>
          <w:szCs w:val="20"/>
        </w:rPr>
        <w:lastRenderedPageBreak/>
        <w:t>to the plea given it saved a lengthy trial, as well as having some regard to Worboyes (given the prosecution concession that it applied). She was also entitled to have regard to his prospects of rehabilitation, which the prosecution conceded were ‘reasonable’. More significantly, consistent with the concessions of the Director, the judge was entitled to, and did, treat the (more than) 6 months’ imprisonment he had served on remand as part of Mr Sewell’s punishment in respect of this offending. Not only did he serve a period of 6</w:t>
      </w:r>
      <w:r>
        <w:rPr>
          <w:rFonts w:ascii="Arial" w:hAnsi="Arial" w:cs="Arial"/>
          <w:sz w:val="20"/>
          <w:szCs w:val="20"/>
        </w:rPr>
        <w:t> </w:t>
      </w:r>
      <w:r w:rsidRPr="00791548">
        <w:rPr>
          <w:rFonts w:ascii="Arial" w:hAnsi="Arial" w:cs="Arial"/>
          <w:sz w:val="20"/>
          <w:szCs w:val="20"/>
        </w:rPr>
        <w:t>months, but he also served that time in extremely harsh conditions. 56 We are not satisfied that the sentence imposed is wholly outside the range when this time served is taken into account.</w:t>
      </w:r>
    </w:p>
    <w:p w14:paraId="75481471" w14:textId="7894F844" w:rsidR="007E081F" w:rsidRDefault="007E081F" w:rsidP="007E081F">
      <w:pPr>
        <w:spacing w:before="60"/>
        <w:ind w:left="567" w:right="567"/>
        <w:jc w:val="both"/>
        <w:rPr>
          <w:rFonts w:ascii="Arial" w:hAnsi="Arial" w:cs="Arial"/>
          <w:color w:val="000000"/>
          <w:sz w:val="20"/>
        </w:rPr>
      </w:pPr>
      <w:r>
        <w:rPr>
          <w:rFonts w:ascii="Arial" w:hAnsi="Arial" w:cs="Arial"/>
          <w:sz w:val="20"/>
          <w:szCs w:val="20"/>
        </w:rPr>
        <w:t xml:space="preserve">[99] </w:t>
      </w:r>
      <w:r w:rsidRPr="00791548">
        <w:rPr>
          <w:rFonts w:ascii="Arial" w:hAnsi="Arial" w:cs="Arial"/>
          <w:sz w:val="20"/>
          <w:szCs w:val="20"/>
        </w:rPr>
        <w:t>Turning next to Mr Hersant, it is true that his position can be distinguished from Mr Sewell because he was younger and had no relevant criminal history. Nevertheless, he was not only a leader of one of the groups, but was also identified as a leader during the course of the offending.</w:t>
      </w:r>
    </w:p>
    <w:p w14:paraId="66A1AD08" w14:textId="77777777" w:rsidR="00512CFD" w:rsidRDefault="00512CFD" w:rsidP="00ED210C">
      <w:pPr>
        <w:jc w:val="both"/>
        <w:rPr>
          <w:rFonts w:ascii="Arial" w:hAnsi="Arial" w:cs="Arial"/>
          <w:color w:val="000000"/>
          <w:sz w:val="20"/>
        </w:rPr>
      </w:pPr>
    </w:p>
    <w:p w14:paraId="728DFABB" w14:textId="77777777" w:rsidR="001D22D9" w:rsidRDefault="001D22D9" w:rsidP="00ED210C">
      <w:pPr>
        <w:jc w:val="both"/>
        <w:rPr>
          <w:rFonts w:ascii="Arial" w:hAnsi="Arial" w:cs="Arial"/>
          <w:color w:val="000000"/>
          <w:sz w:val="20"/>
        </w:rPr>
      </w:pPr>
    </w:p>
    <w:p w14:paraId="57D494E0" w14:textId="77777777" w:rsidR="001D22D9" w:rsidRDefault="001D22D9" w:rsidP="00ED210C">
      <w:pPr>
        <w:jc w:val="both"/>
        <w:rPr>
          <w:rFonts w:ascii="Arial" w:hAnsi="Arial" w:cs="Arial"/>
          <w:color w:val="000000"/>
          <w:sz w:val="20"/>
        </w:rPr>
      </w:pPr>
    </w:p>
    <w:p w14:paraId="405C5360" w14:textId="2B1944DB" w:rsidR="00ED210C" w:rsidRPr="001E2519" w:rsidRDefault="00ED210C" w:rsidP="00ED210C">
      <w:pPr>
        <w:jc w:val="both"/>
        <w:rPr>
          <w:rFonts w:ascii="Arial" w:hAnsi="Arial" w:cs="Arial"/>
          <w:color w:val="000000"/>
          <w:sz w:val="20"/>
          <w:szCs w:val="20"/>
        </w:rPr>
      </w:pPr>
      <w:r w:rsidRPr="001E2519">
        <w:rPr>
          <w:rFonts w:ascii="Arial" w:hAnsi="Arial" w:cs="Arial"/>
          <w:color w:val="000000"/>
          <w:sz w:val="20"/>
          <w:szCs w:val="20"/>
        </w:rPr>
        <w:t xml:space="preserve">See also </w:t>
      </w:r>
      <w:r w:rsidRPr="001E2519">
        <w:rPr>
          <w:rFonts w:ascii="Arial" w:hAnsi="Arial" w:cs="Arial"/>
          <w:i/>
          <w:color w:val="000000"/>
          <w:sz w:val="20"/>
          <w:szCs w:val="20"/>
        </w:rPr>
        <w:t>R v Akin Sari</w:t>
      </w:r>
      <w:r w:rsidRPr="001E2519">
        <w:rPr>
          <w:rFonts w:ascii="Arial" w:hAnsi="Arial" w:cs="Arial"/>
          <w:color w:val="000000"/>
          <w:sz w:val="20"/>
          <w:szCs w:val="20"/>
        </w:rPr>
        <w:t xml:space="preserve"> [2008] VSCA 137 at [18] per Ashley JA and at [62]-[65] per Lasry AJA; </w:t>
      </w:r>
      <w:r w:rsidRPr="001E2519">
        <w:rPr>
          <w:rFonts w:ascii="Arial" w:hAnsi="Arial" w:cs="Arial"/>
          <w:i/>
          <w:color w:val="000000"/>
          <w:sz w:val="20"/>
          <w:szCs w:val="20"/>
        </w:rPr>
        <w:t xml:space="preserve">R v Musa &amp; Wubneh </w:t>
      </w:r>
      <w:r w:rsidRPr="001E2519">
        <w:rPr>
          <w:rFonts w:ascii="Arial" w:hAnsi="Arial" w:cs="Arial"/>
          <w:color w:val="000000"/>
          <w:sz w:val="20"/>
          <w:szCs w:val="20"/>
        </w:rPr>
        <w:t xml:space="preserve">[2014] VSC 15 per Dixon J; </w:t>
      </w:r>
      <w:r w:rsidRPr="001E2519">
        <w:rPr>
          <w:rFonts w:ascii="Arial" w:hAnsi="Arial" w:cs="Arial"/>
          <w:i/>
          <w:color w:val="000000"/>
          <w:sz w:val="20"/>
          <w:szCs w:val="20"/>
        </w:rPr>
        <w:t>DPP v McCloskey-Sharp</w:t>
      </w:r>
      <w:r w:rsidRPr="001E2519">
        <w:rPr>
          <w:rFonts w:ascii="Arial" w:hAnsi="Arial" w:cs="Arial"/>
          <w:color w:val="000000"/>
          <w:sz w:val="20"/>
          <w:szCs w:val="20"/>
        </w:rPr>
        <w:t xml:space="preserve"> [2014] VSC 634</w:t>
      </w:r>
      <w:r w:rsidR="001E2519" w:rsidRP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0B0D0A">
        <w:rPr>
          <w:rFonts w:ascii="Arial" w:hAnsi="Arial" w:cs="Arial"/>
          <w:sz w:val="20"/>
          <w:szCs w:val="20"/>
        </w:rPr>
        <w:t xml:space="preserve">; </w:t>
      </w:r>
      <w:r w:rsidR="000B0D0A" w:rsidRPr="000B0D0A">
        <w:rPr>
          <w:rFonts w:ascii="Arial" w:hAnsi="Arial" w:cs="Arial"/>
          <w:i/>
          <w:iCs/>
          <w:sz w:val="20"/>
          <w:szCs w:val="20"/>
        </w:rPr>
        <w:t>DPP v Pedlar</w:t>
      </w:r>
      <w:r w:rsidR="000B0D0A">
        <w:rPr>
          <w:rFonts w:ascii="Arial" w:hAnsi="Arial" w:cs="Arial"/>
          <w:sz w:val="20"/>
          <w:szCs w:val="20"/>
        </w:rPr>
        <w:t xml:space="preserve"> [2023] VSC 250</w:t>
      </w:r>
      <w:r w:rsidRPr="001E2519">
        <w:rPr>
          <w:rFonts w:ascii="Arial" w:hAnsi="Arial" w:cs="Arial"/>
          <w:color w:val="000000"/>
          <w:sz w:val="20"/>
          <w:szCs w:val="20"/>
        </w:rPr>
        <w:t>.</w:t>
      </w:r>
    </w:p>
    <w:p w14:paraId="4C3ECA0B" w14:textId="05B2BC98" w:rsidR="0098660E" w:rsidRDefault="0098660E" w:rsidP="00F56FF4">
      <w:pPr>
        <w:pStyle w:val="Heading3"/>
        <w:widowControl/>
        <w:spacing w:line="240" w:lineRule="auto"/>
        <w:rPr>
          <w:rFonts w:ascii="Arial" w:hAnsi="Arial" w:cs="Arial"/>
          <w:b/>
          <w:bCs/>
          <w:color w:val="000000"/>
          <w:sz w:val="20"/>
        </w:rPr>
      </w:pPr>
      <w:bookmarkStart w:id="683" w:name="_11.2.24.6__"/>
      <w:bookmarkEnd w:id="683"/>
    </w:p>
    <w:p w14:paraId="1C5D64CE" w14:textId="3D1E3E0A" w:rsidR="006C0B26" w:rsidRPr="001C6E0E" w:rsidRDefault="00D84680" w:rsidP="009E719D">
      <w:pPr>
        <w:pStyle w:val="Heading3"/>
        <w:widowControl/>
        <w:spacing w:after="120" w:line="240" w:lineRule="auto"/>
        <w:rPr>
          <w:rFonts w:ascii="Arial" w:hAnsi="Arial" w:cs="Arial"/>
          <w:b/>
          <w:bCs/>
          <w:color w:val="000000"/>
          <w:sz w:val="20"/>
        </w:rPr>
      </w:pPr>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0F37D94A" w14:textId="72D25B7D"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84" w:name="_A_RECKLESS_CONDUCT"/>
      <w:bookmarkEnd w:id="684"/>
      <w:r w:rsidRPr="00AD22D9">
        <w:rPr>
          <w:rFonts w:ascii="Arial" w:hAnsi="Arial" w:cs="Arial"/>
          <w:b/>
          <w:color w:val="FFFFFF"/>
          <w:sz w:val="22"/>
          <w:shd w:val="clear" w:color="auto" w:fill="000000"/>
        </w:rPr>
        <w:t>A</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6EF3D3FF" w14:textId="77777777" w:rsidR="00050220" w:rsidRDefault="00050220"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VChC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DPP v Graoroski</w:t>
      </w:r>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w:t>
      </w:r>
      <w:r w:rsidR="004B644A">
        <w:rPr>
          <w:rFonts w:ascii="Arial" w:hAnsi="Arial" w:cs="Arial"/>
          <w:color w:val="000000"/>
          <w:sz w:val="20"/>
        </w:rPr>
        <w:lastRenderedPageBreak/>
        <w:t xml:space="preserve">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“confronted with an extremely difficult set of 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machette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r w:rsidRPr="005B6AE1">
        <w:rPr>
          <w:rFonts w:ascii="Arial" w:hAnsi="Arial" w:cs="Arial"/>
          <w:sz w:val="20"/>
        </w:rPr>
        <w:t>Anagnostou from his house, the danger had passed.  And, as a prohibited person, he shot Anagnostou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Anagnostou, his action in discharging the shotgun so close to Anagnostou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r w:rsidRPr="0081049C">
        <w:rPr>
          <w:rFonts w:ascii="Arial" w:hAnsi="Arial" w:cs="Arial"/>
          <w:i/>
          <w:iCs/>
          <w:color w:val="000000"/>
          <w:sz w:val="20"/>
        </w:rPr>
        <w:t>Nicos Kiril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enlivened.  .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Zogheib</w:t>
      </w:r>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44A214C7" w14:textId="253B47D7" w:rsidR="00A3142A" w:rsidRDefault="00A3142A" w:rsidP="005D2AEF">
      <w:pPr>
        <w:jc w:val="both"/>
        <w:rPr>
          <w:rFonts w:ascii="Arial" w:hAnsi="Arial" w:cs="Arial"/>
          <w:sz w:val="18"/>
          <w:szCs w:val="18"/>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3 the Court of Appeal dismissed an appeal against a sentence of IMP20m imposed on the 47 year old applicant with a ‘dreadful’ criminal history on a charge of </w:t>
      </w:r>
      <w:r w:rsidRPr="008708E2">
        <w:rPr>
          <w:rFonts w:ascii="Arial" w:hAnsi="Arial" w:cs="Arial"/>
          <w:color w:val="000000"/>
          <w:sz w:val="20"/>
          <w:szCs w:val="20"/>
        </w:rPr>
        <w:t>reckless conduct endangering serious injury</w:t>
      </w:r>
      <w:r>
        <w:rPr>
          <w:rFonts w:ascii="Arial" w:hAnsi="Arial" w:cs="Arial"/>
          <w:color w:val="000000"/>
          <w:sz w:val="20"/>
          <w:szCs w:val="20"/>
        </w:rPr>
        <w:t xml:space="preserve"> in the context of driving described by the sentencing judge as ‘simply appalling’. Both Niall CJ at [25] and Walker JA at [48] &amp; [56] considered that no different sentence ought be imposed. </w:t>
      </w:r>
      <w:r w:rsidR="005D2AEF">
        <w:rPr>
          <w:rFonts w:ascii="Arial" w:hAnsi="Arial" w:cs="Arial"/>
          <w:color w:val="000000"/>
          <w:sz w:val="20"/>
          <w:szCs w:val="20"/>
        </w:rPr>
        <w:t>After describing the 20m sentence as “lenient” Niall CJ said a</w:t>
      </w:r>
      <w:r>
        <w:rPr>
          <w:rFonts w:ascii="Arial" w:hAnsi="Arial" w:cs="Arial"/>
          <w:color w:val="000000"/>
          <w:sz w:val="20"/>
          <w:szCs w:val="20"/>
        </w:rPr>
        <w:t>t [</w:t>
      </w:r>
      <w:r w:rsidR="005D2AEF">
        <w:rPr>
          <w:rFonts w:ascii="Arial" w:hAnsi="Arial" w:cs="Arial"/>
          <w:color w:val="000000"/>
          <w:sz w:val="20"/>
          <w:szCs w:val="20"/>
        </w:rPr>
        <w:t>39</w:t>
      </w:r>
      <w:r>
        <w:rPr>
          <w:rFonts w:ascii="Arial" w:hAnsi="Arial" w:cs="Arial"/>
          <w:color w:val="000000"/>
          <w:sz w:val="20"/>
          <w:szCs w:val="20"/>
        </w:rPr>
        <w:t>]</w:t>
      </w:r>
      <w:r w:rsidR="005D2AEF">
        <w:rPr>
          <w:rFonts w:ascii="Arial" w:hAnsi="Arial" w:cs="Arial"/>
          <w:color w:val="000000"/>
          <w:sz w:val="20"/>
          <w:szCs w:val="20"/>
        </w:rPr>
        <w:t>-[40]</w:t>
      </w:r>
      <w:r>
        <w:rPr>
          <w:rFonts w:ascii="Arial" w:hAnsi="Arial" w:cs="Arial"/>
          <w:color w:val="000000"/>
          <w:sz w:val="20"/>
          <w:szCs w:val="20"/>
        </w:rPr>
        <w:t>:</w:t>
      </w:r>
    </w:p>
    <w:p w14:paraId="65651765" w14:textId="77777777" w:rsidR="005D2AEF" w:rsidRDefault="005D2AEF" w:rsidP="005D2AEF">
      <w:pPr>
        <w:spacing w:before="60"/>
        <w:ind w:left="567" w:right="567"/>
        <w:jc w:val="both"/>
        <w:rPr>
          <w:rFonts w:ascii="Arial" w:hAnsi="Arial" w:cs="Arial"/>
          <w:sz w:val="20"/>
          <w:szCs w:val="20"/>
        </w:rPr>
      </w:pPr>
      <w:r>
        <w:rPr>
          <w:rFonts w:ascii="Arial" w:hAnsi="Arial" w:cs="Arial"/>
          <w:color w:val="000000"/>
          <w:sz w:val="20"/>
        </w:rPr>
        <w:t xml:space="preserve">[39] </w:t>
      </w:r>
      <w:r w:rsidR="00A3142A">
        <w:rPr>
          <w:rFonts w:ascii="Arial" w:hAnsi="Arial" w:cs="Arial"/>
          <w:color w:val="000000"/>
          <w:sz w:val="20"/>
        </w:rPr>
        <w:t>“</w:t>
      </w:r>
      <w:r w:rsidRPr="005D2AEF">
        <w:rPr>
          <w:rFonts w:ascii="Arial" w:hAnsi="Arial" w:cs="Arial"/>
          <w:sz w:val="20"/>
          <w:szCs w:val="20"/>
        </w:rPr>
        <w:t xml:space="preserve">The charge of recklessly endangering serious injury can cover a variety of circumstances, only some of which involve the operation of a motor vehicle. Where as in this case the offending arises from driving a car on a freeway, the risk of danger is often </w:t>
      </w:r>
      <w:r w:rsidRPr="005D2AEF">
        <w:rPr>
          <w:rFonts w:ascii="Arial" w:hAnsi="Arial" w:cs="Arial"/>
          <w:sz w:val="20"/>
          <w:szCs w:val="20"/>
        </w:rPr>
        <w:lastRenderedPageBreak/>
        <w:t xml:space="preserve">large. Here, the applicant was driving his car at speeds which were considerably greater than surrounding vehicles on a busy stretch of freeway and engaged in aggressive and unpredictable driving. The risk of serious injury is obvious. The collision that ultimately ensued could very easily have resulted in very serious injury for the occupant of that car or other road users. The driver lost control of her car as a result of the collision and it rebounded in a way that could have easily resulted in a further collision with oncoming traffic. The judge’s description of the driving as ‘appalling’ was entirely apt, and the risk it involved was high. The objective gravity was significant and certainly not towards the lower end. </w:t>
      </w:r>
    </w:p>
    <w:p w14:paraId="4060DBCF" w14:textId="35FA391F" w:rsidR="005D2AEF" w:rsidRPr="005D2AEF" w:rsidRDefault="005D2AEF" w:rsidP="005D2AEF">
      <w:pPr>
        <w:spacing w:before="60"/>
        <w:ind w:left="567" w:right="567"/>
        <w:jc w:val="both"/>
        <w:rPr>
          <w:rFonts w:ascii="Arial" w:hAnsi="Arial" w:cs="Arial"/>
          <w:color w:val="000000"/>
          <w:sz w:val="20"/>
        </w:rPr>
      </w:pPr>
      <w:r>
        <w:rPr>
          <w:rFonts w:ascii="Arial" w:hAnsi="Arial" w:cs="Arial"/>
          <w:sz w:val="20"/>
          <w:szCs w:val="20"/>
        </w:rPr>
        <w:t>[</w:t>
      </w:r>
      <w:r w:rsidRPr="005D2AEF">
        <w:rPr>
          <w:rFonts w:ascii="Arial" w:hAnsi="Arial" w:cs="Arial"/>
          <w:sz w:val="20"/>
          <w:szCs w:val="20"/>
        </w:rPr>
        <w:t>40</w:t>
      </w:r>
      <w:r>
        <w:rPr>
          <w:rFonts w:ascii="Arial" w:hAnsi="Arial" w:cs="Arial"/>
          <w:sz w:val="20"/>
          <w:szCs w:val="20"/>
        </w:rPr>
        <w:t>]</w:t>
      </w:r>
      <w:r w:rsidRPr="005D2AEF">
        <w:rPr>
          <w:rFonts w:ascii="Arial" w:hAnsi="Arial" w:cs="Arial"/>
          <w:sz w:val="20"/>
          <w:szCs w:val="20"/>
        </w:rPr>
        <w:t xml:space="preserve"> Importantly, offending of this kind required close attention to general deterrence to deter reckless and cavalier driving at speed on public roads. The important need for deterrence meant that it was legitimate to temper the moderating impact of the personal circumstances of the applicant</w:t>
      </w:r>
      <w:r>
        <w:rPr>
          <w:rFonts w:ascii="Arial" w:hAnsi="Arial" w:cs="Arial"/>
          <w:sz w:val="20"/>
          <w:szCs w:val="20"/>
        </w:rPr>
        <w:t>..</w:t>
      </w:r>
      <w:r w:rsidRPr="005D2AEF">
        <w:rPr>
          <w:rFonts w:ascii="Arial" w:hAnsi="Arial" w:cs="Arial"/>
          <w:sz w:val="20"/>
          <w:szCs w:val="20"/>
        </w:rPr>
        <w:t>.</w:t>
      </w:r>
      <w:r>
        <w:rPr>
          <w:rFonts w:ascii="Arial" w:hAnsi="Arial" w:cs="Arial"/>
          <w:sz w:val="20"/>
          <w:szCs w:val="20"/>
        </w:rPr>
        <w:t>”</w:t>
      </w:r>
    </w:p>
    <w:p w14:paraId="6CE22930" w14:textId="77777777" w:rsidR="005D2AEF" w:rsidRDefault="005D2AEF" w:rsidP="00A03D24">
      <w:pPr>
        <w:ind w:right="1021"/>
        <w:jc w:val="both"/>
        <w:rPr>
          <w:rFonts w:ascii="Arial" w:hAnsi="Arial" w:cs="Arial"/>
          <w:sz w:val="18"/>
          <w:szCs w:val="18"/>
        </w:rPr>
      </w:pPr>
    </w:p>
    <w:p w14:paraId="600653C7" w14:textId="62FCE5A4" w:rsidR="002A1008" w:rsidRPr="002A1008" w:rsidRDefault="002A1008" w:rsidP="002043D0">
      <w:pPr>
        <w:jc w:val="both"/>
        <w:rPr>
          <w:rFonts w:ascii="Arial" w:hAnsi="Arial" w:cs="Arial"/>
          <w:sz w:val="20"/>
          <w:szCs w:val="20"/>
        </w:rPr>
      </w:pPr>
      <w:r w:rsidRPr="002A1008">
        <w:rPr>
          <w:rFonts w:ascii="Arial" w:hAnsi="Arial" w:cs="Arial"/>
          <w:sz w:val="20"/>
          <w:szCs w:val="20"/>
        </w:rPr>
        <w:t xml:space="preserve">In </w:t>
      </w:r>
      <w:r w:rsidRPr="002A1008">
        <w:rPr>
          <w:rFonts w:ascii="Arial" w:hAnsi="Arial" w:cs="Arial"/>
          <w:i/>
          <w:iCs/>
          <w:sz w:val="20"/>
          <w:szCs w:val="20"/>
        </w:rPr>
        <w:t>Brown v The King</w:t>
      </w:r>
      <w:r w:rsidRPr="002A1008">
        <w:rPr>
          <w:rFonts w:ascii="Arial" w:hAnsi="Arial" w:cs="Arial"/>
          <w:sz w:val="20"/>
          <w:szCs w:val="20"/>
        </w:rPr>
        <w:t xml:space="preserve"> [2025] VSCA 39 the app</w:t>
      </w:r>
      <w:r w:rsidR="00CE37D0">
        <w:rPr>
          <w:rFonts w:ascii="Arial" w:hAnsi="Arial" w:cs="Arial"/>
          <w:sz w:val="20"/>
          <w:szCs w:val="20"/>
        </w:rPr>
        <w:t>ell</w:t>
      </w:r>
      <w:r w:rsidRPr="002A1008">
        <w:rPr>
          <w:rFonts w:ascii="Arial" w:hAnsi="Arial" w:cs="Arial"/>
          <w:sz w:val="20"/>
          <w:szCs w:val="20"/>
        </w:rPr>
        <w:t xml:space="preserve">ant </w:t>
      </w:r>
      <w:r>
        <w:rPr>
          <w:rFonts w:ascii="Arial" w:hAnsi="Arial" w:cs="Arial"/>
          <w:sz w:val="20"/>
          <w:szCs w:val="20"/>
        </w:rPr>
        <w:t xml:space="preserve">had pleaded guilty </w:t>
      </w:r>
      <w:r w:rsidR="00CE37D0">
        <w:rPr>
          <w:rFonts w:ascii="Arial" w:hAnsi="Arial" w:cs="Arial"/>
          <w:sz w:val="20"/>
          <w:szCs w:val="20"/>
        </w:rPr>
        <w:t xml:space="preserve">at an early stage </w:t>
      </w:r>
      <w:r>
        <w:rPr>
          <w:rFonts w:ascii="Arial" w:hAnsi="Arial" w:cs="Arial"/>
          <w:sz w:val="20"/>
          <w:szCs w:val="20"/>
        </w:rPr>
        <w:t>to reckless conduct endangering persons and had been sentenced to IMP18m/12m.</w:t>
      </w:r>
      <w:r w:rsidR="002043D0">
        <w:rPr>
          <w:rFonts w:ascii="Arial" w:hAnsi="Arial" w:cs="Arial"/>
          <w:sz w:val="20"/>
          <w:szCs w:val="20"/>
        </w:rPr>
        <w:t xml:space="preserve"> The co-accused, his brother, had ignited a blow-torch in two places in a house while the occupants were asleep. The app</w:t>
      </w:r>
      <w:r w:rsidR="00CE37D0">
        <w:rPr>
          <w:rFonts w:ascii="Arial" w:hAnsi="Arial" w:cs="Arial"/>
          <w:sz w:val="20"/>
          <w:szCs w:val="20"/>
        </w:rPr>
        <w:t>ell</w:t>
      </w:r>
      <w:r w:rsidR="002043D0">
        <w:rPr>
          <w:rFonts w:ascii="Arial" w:hAnsi="Arial" w:cs="Arial"/>
          <w:sz w:val="20"/>
          <w:szCs w:val="20"/>
        </w:rPr>
        <w:t xml:space="preserve">ant was present only during the first ignition which was minor and did not cause damage to the house. </w:t>
      </w:r>
      <w:r w:rsidR="000D2258">
        <w:rPr>
          <w:rFonts w:ascii="Arial" w:hAnsi="Arial" w:cs="Arial"/>
          <w:sz w:val="20"/>
          <w:szCs w:val="20"/>
        </w:rPr>
        <w:t xml:space="preserve">The second ignition – in which the appellant was not involved – had resulted in the destruction of the house. </w:t>
      </w:r>
      <w:r w:rsidR="00CE37D0">
        <w:rPr>
          <w:rFonts w:ascii="Arial" w:hAnsi="Arial" w:cs="Arial"/>
          <w:sz w:val="20"/>
          <w:szCs w:val="20"/>
        </w:rPr>
        <w:t>Noting that the offending had occurred only days after the death of the appellant’s mother and h</w:t>
      </w:r>
      <w:r w:rsidR="002043D0">
        <w:rPr>
          <w:rFonts w:ascii="Arial" w:hAnsi="Arial" w:cs="Arial"/>
          <w:sz w:val="20"/>
          <w:szCs w:val="20"/>
        </w:rPr>
        <w:t>olding that the co-accused’s offending had been erroneously considered when sentencing the app</w:t>
      </w:r>
      <w:r w:rsidR="00CE37D0">
        <w:rPr>
          <w:rFonts w:ascii="Arial" w:hAnsi="Arial" w:cs="Arial"/>
          <w:sz w:val="20"/>
          <w:szCs w:val="20"/>
        </w:rPr>
        <w:t>ell</w:t>
      </w:r>
      <w:r w:rsidR="002043D0">
        <w:rPr>
          <w:rFonts w:ascii="Arial" w:hAnsi="Arial" w:cs="Arial"/>
          <w:sz w:val="20"/>
          <w:szCs w:val="20"/>
        </w:rPr>
        <w:t>ant, the Court of Appeal allowed the appeal and substituted a sentence of IMP9m.</w:t>
      </w:r>
    </w:p>
    <w:p w14:paraId="38094876" w14:textId="77777777" w:rsidR="002A1008" w:rsidRDefault="002A1008" w:rsidP="00A03D24">
      <w:pPr>
        <w:ind w:right="1021"/>
        <w:jc w:val="both"/>
        <w:rPr>
          <w:rFonts w:ascii="Arial" w:hAnsi="Arial" w:cs="Arial"/>
          <w:sz w:val="18"/>
          <w:szCs w:val="18"/>
        </w:rPr>
      </w:pPr>
    </w:p>
    <w:p w14:paraId="28676DE5" w14:textId="0341182E" w:rsidR="00A03D24" w:rsidRPr="00FB52A1" w:rsidRDefault="00A03D24" w:rsidP="008A5A37">
      <w:pPr>
        <w:jc w:val="both"/>
        <w:rPr>
          <w:rFonts w:ascii="Arial" w:hAnsi="Arial" w:cs="Arial"/>
          <w:sz w:val="20"/>
          <w:szCs w:val="20"/>
        </w:rPr>
      </w:pPr>
      <w:r w:rsidRPr="00FB52A1">
        <w:rPr>
          <w:rFonts w:ascii="Arial" w:hAnsi="Arial" w:cs="Arial"/>
          <w:sz w:val="20"/>
          <w:szCs w:val="20"/>
        </w:rPr>
        <w:t xml:space="preserve">See also </w:t>
      </w:r>
      <w:r w:rsidRPr="00FB52A1">
        <w:rPr>
          <w:rFonts w:ascii="Arial" w:hAnsi="Arial" w:cs="Arial"/>
          <w:i/>
          <w:iCs/>
          <w:sz w:val="20"/>
          <w:szCs w:val="20"/>
        </w:rPr>
        <w:t>R v LW &amp; Anor</w:t>
      </w:r>
      <w:r w:rsidRPr="00FB52A1">
        <w:rPr>
          <w:rFonts w:ascii="Arial" w:hAnsi="Arial" w:cs="Arial"/>
          <w:sz w:val="20"/>
          <w:szCs w:val="20"/>
        </w:rPr>
        <w:t xml:space="preserve"> [2021] VSC 278</w:t>
      </w:r>
      <w:r w:rsidR="00F920C9" w:rsidRPr="00FB52A1">
        <w:rPr>
          <w:rFonts w:ascii="Arial" w:hAnsi="Arial" w:cs="Arial"/>
          <w:sz w:val="20"/>
          <w:szCs w:val="20"/>
        </w:rPr>
        <w:t xml:space="preserve">; </w:t>
      </w:r>
      <w:r w:rsidR="00F920C9" w:rsidRPr="00FB52A1">
        <w:rPr>
          <w:rFonts w:ascii="Arial" w:hAnsi="Arial" w:cs="Arial"/>
          <w:i/>
          <w:iCs/>
          <w:sz w:val="20"/>
          <w:szCs w:val="20"/>
        </w:rPr>
        <w:t>Jones v The King</w:t>
      </w:r>
      <w:r w:rsidR="00F920C9" w:rsidRPr="00FB52A1">
        <w:rPr>
          <w:rFonts w:ascii="Arial" w:hAnsi="Arial" w:cs="Arial"/>
          <w:sz w:val="20"/>
          <w:szCs w:val="20"/>
        </w:rPr>
        <w:t xml:space="preserve"> [2023] VSCA 167</w:t>
      </w:r>
      <w:r w:rsidR="008A5A37" w:rsidRPr="00FB52A1">
        <w:rPr>
          <w:rFonts w:ascii="Arial" w:hAnsi="Arial" w:cs="Arial"/>
          <w:sz w:val="20"/>
          <w:szCs w:val="20"/>
        </w:rPr>
        <w:t xml:space="preserve">; </w:t>
      </w:r>
      <w:r w:rsidR="008A5A37" w:rsidRPr="00FB52A1">
        <w:rPr>
          <w:rFonts w:ascii="Arial" w:hAnsi="Arial" w:cs="Arial"/>
          <w:i/>
          <w:iCs/>
          <w:sz w:val="20"/>
          <w:szCs w:val="20"/>
        </w:rPr>
        <w:t>DPP v Campbell</w:t>
      </w:r>
      <w:r w:rsidR="008A5A37" w:rsidRPr="00FB52A1">
        <w:rPr>
          <w:rFonts w:ascii="Arial" w:hAnsi="Arial" w:cs="Arial"/>
          <w:sz w:val="20"/>
          <w:szCs w:val="20"/>
        </w:rPr>
        <w:t xml:space="preserve"> [2023] VSC 691</w:t>
      </w:r>
      <w:r w:rsidR="00FB52A1" w:rsidRPr="00FB52A1">
        <w:rPr>
          <w:rFonts w:ascii="Arial" w:hAnsi="Arial" w:cs="Arial"/>
          <w:sz w:val="20"/>
          <w:szCs w:val="20"/>
        </w:rPr>
        <w:t xml:space="preserve">; </w:t>
      </w:r>
      <w:r w:rsidR="00FB52A1" w:rsidRPr="00FB52A1">
        <w:rPr>
          <w:rFonts w:ascii="Arial" w:hAnsi="Arial" w:cs="Arial"/>
          <w:i/>
          <w:iCs/>
          <w:sz w:val="20"/>
          <w:szCs w:val="20"/>
        </w:rPr>
        <w:t>Gardezi v The King</w:t>
      </w:r>
      <w:r w:rsidR="00FB52A1" w:rsidRPr="00FB52A1">
        <w:rPr>
          <w:rFonts w:ascii="Arial" w:hAnsi="Arial" w:cs="Arial"/>
          <w:sz w:val="20"/>
          <w:szCs w:val="20"/>
        </w:rPr>
        <w:t xml:space="preserve"> [2023] VSCA 297 at [30]-[45]</w:t>
      </w:r>
      <w:r w:rsidR="00D4233D">
        <w:rPr>
          <w:rFonts w:ascii="Arial" w:hAnsi="Arial" w:cs="Arial"/>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D4233D" w:rsidRPr="005244BA">
        <w:rPr>
          <w:rFonts w:ascii="Arial" w:hAnsi="Arial" w:cs="Arial"/>
          <w:color w:val="000000"/>
          <w:sz w:val="20"/>
          <w:szCs w:val="20"/>
        </w:rPr>
        <w:t>.</w:t>
      </w:r>
    </w:p>
    <w:p w14:paraId="5E387284" w14:textId="3CE8B442" w:rsidR="00A03D24" w:rsidRDefault="00A03D24" w:rsidP="00A03D24">
      <w:pPr>
        <w:ind w:right="1021"/>
        <w:jc w:val="both"/>
        <w:rPr>
          <w:rFonts w:ascii="Arial" w:hAnsi="Arial" w:cs="Arial"/>
          <w:sz w:val="18"/>
          <w:szCs w:val="18"/>
        </w:rPr>
      </w:pPr>
    </w:p>
    <w:p w14:paraId="5057CED1" w14:textId="77777777"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85" w:name="_B_RECKLESSLY_EXPOSING"/>
      <w:bookmarkEnd w:id="685"/>
      <w:r>
        <w:rPr>
          <w:rFonts w:ascii="Arial" w:hAnsi="Arial" w:cs="Arial"/>
          <w:b/>
          <w:color w:val="FFFFFF"/>
          <w:sz w:val="22"/>
          <w:shd w:val="clear" w:color="auto" w:fill="000000"/>
        </w:rPr>
        <w:t>B</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r w:rsidRPr="00CD65DC">
        <w:rPr>
          <w:rFonts w:ascii="Arial" w:hAnsi="Arial" w:cs="Arial"/>
          <w:i/>
          <w:iCs/>
          <w:sz w:val="20"/>
          <w:szCs w:val="20"/>
        </w:rPr>
        <w:t>Kehiyas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Sifris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t>“</w:t>
      </w:r>
      <w:r w:rsidR="00735DD5" w:rsidRPr="00735DD5">
        <w:rPr>
          <w:rFonts w:ascii="Arial" w:hAnsi="Arial" w:cs="Arial"/>
          <w:sz w:val="20"/>
          <w:szCs w:val="22"/>
        </w:rPr>
        <w:t>This is a situation which comes down to in my view very dangerous driving indeed and that is exemplified by the fact that two policeman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686" w:name="_11.2.25_Sentencing_for"/>
      <w:bookmarkStart w:id="687" w:name="_Toc107101764"/>
      <w:bookmarkEnd w:id="686"/>
    </w:p>
    <w:p w14:paraId="7BCA18AB" w14:textId="226E6B6A" w:rsidR="00727D98" w:rsidRPr="005244BA" w:rsidRDefault="00727D98" w:rsidP="004E4510">
      <w:pPr>
        <w:jc w:val="both"/>
        <w:rPr>
          <w:rFonts w:ascii="Arial" w:hAnsi="Arial" w:cs="Arial"/>
          <w:color w:val="000000"/>
          <w:sz w:val="20"/>
          <w:szCs w:val="20"/>
        </w:rPr>
      </w:pPr>
      <w:r w:rsidRPr="005244BA">
        <w:rPr>
          <w:rFonts w:ascii="Arial" w:hAnsi="Arial" w:cs="Arial"/>
          <w:color w:val="000000"/>
          <w:sz w:val="20"/>
          <w:szCs w:val="20"/>
        </w:rPr>
        <w:t xml:space="preserve">See also </w:t>
      </w:r>
      <w:r w:rsidRPr="005244BA">
        <w:rPr>
          <w:rFonts w:ascii="Arial" w:hAnsi="Arial" w:cs="Arial"/>
          <w:i/>
          <w:iCs/>
          <w:color w:val="000000"/>
          <w:sz w:val="20"/>
          <w:szCs w:val="20"/>
        </w:rPr>
        <w:t>Clark v The Queen</w:t>
      </w:r>
      <w:r w:rsidRPr="005244BA">
        <w:rPr>
          <w:rFonts w:ascii="Arial" w:hAnsi="Arial" w:cs="Arial"/>
          <w:color w:val="000000"/>
          <w:sz w:val="20"/>
          <w:szCs w:val="20"/>
        </w:rPr>
        <w:t xml:space="preserve"> [2021] VSCA 350 at [21]</w:t>
      </w:r>
      <w:r w:rsidR="00D2088A" w:rsidRPr="005244BA">
        <w:rPr>
          <w:rFonts w:ascii="Arial" w:hAnsi="Arial" w:cs="Arial"/>
          <w:color w:val="000000"/>
          <w:sz w:val="20"/>
          <w:szCs w:val="20"/>
        </w:rPr>
        <w:t xml:space="preserve">; </w:t>
      </w:r>
      <w:r w:rsidR="00D2088A" w:rsidRPr="005244BA">
        <w:rPr>
          <w:rFonts w:ascii="Arial" w:hAnsi="Arial" w:cs="Arial"/>
          <w:i/>
          <w:iCs/>
          <w:color w:val="000000"/>
          <w:sz w:val="20"/>
          <w:szCs w:val="20"/>
        </w:rPr>
        <w:t>Smith v The Queen</w:t>
      </w:r>
      <w:r w:rsidR="00D2088A" w:rsidRPr="005244BA">
        <w:rPr>
          <w:rFonts w:ascii="Arial" w:hAnsi="Arial" w:cs="Arial"/>
          <w:color w:val="000000"/>
          <w:sz w:val="20"/>
          <w:szCs w:val="20"/>
        </w:rPr>
        <w:t xml:space="preserve"> [2022] VSCA 148, esp. at [49]-[51]</w:t>
      </w:r>
      <w:r w:rsidR="005244BA" w:rsidRPr="005244BA">
        <w:rPr>
          <w:rFonts w:ascii="Arial" w:hAnsi="Arial" w:cs="Arial"/>
          <w:color w:val="000000"/>
          <w:sz w:val="20"/>
          <w:szCs w:val="20"/>
        </w:rPr>
        <w:t xml:space="preserve">; </w:t>
      </w:r>
      <w:r w:rsidR="005244BA" w:rsidRPr="005244BA">
        <w:rPr>
          <w:rFonts w:ascii="Arial" w:hAnsi="Arial" w:cs="Arial"/>
          <w:i/>
          <w:iCs/>
          <w:color w:val="000000"/>
          <w:sz w:val="20"/>
          <w:szCs w:val="20"/>
        </w:rPr>
        <w:t>Nelson v The Queen</w:t>
      </w:r>
      <w:r w:rsidR="005244BA" w:rsidRPr="005244BA">
        <w:rPr>
          <w:rFonts w:ascii="Arial" w:hAnsi="Arial" w:cs="Arial"/>
          <w:color w:val="000000"/>
          <w:sz w:val="20"/>
          <w:szCs w:val="20"/>
        </w:rPr>
        <w:t xml:space="preserve"> [2020] VSCA 219; </w:t>
      </w:r>
      <w:r w:rsidR="005244BA" w:rsidRPr="005244BA">
        <w:rPr>
          <w:rFonts w:ascii="Arial" w:hAnsi="Arial" w:cs="Arial"/>
          <w:i/>
          <w:iCs/>
          <w:color w:val="000000"/>
          <w:sz w:val="20"/>
          <w:szCs w:val="20"/>
        </w:rPr>
        <w:t>McKay v The King</w:t>
      </w:r>
      <w:r w:rsidR="005244BA">
        <w:rPr>
          <w:rFonts w:ascii="Arial" w:hAnsi="Arial" w:cs="Arial"/>
          <w:i/>
          <w:iCs/>
          <w:color w:val="000000"/>
          <w:sz w:val="20"/>
          <w:szCs w:val="20"/>
        </w:rPr>
        <w:t xml:space="preserve"> [No 2]</w:t>
      </w:r>
      <w:r w:rsidR="005244BA" w:rsidRPr="005244BA">
        <w:rPr>
          <w:rFonts w:ascii="Arial" w:hAnsi="Arial" w:cs="Arial"/>
          <w:color w:val="000000"/>
          <w:sz w:val="20"/>
          <w:szCs w:val="20"/>
        </w:rPr>
        <w:t xml:space="preserve"> [2023] VSCA 8</w:t>
      </w:r>
      <w:r w:rsidR="00D4233D">
        <w:rPr>
          <w:rFonts w:ascii="Arial" w:hAnsi="Arial" w:cs="Arial"/>
          <w:color w:val="000000"/>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453B00">
        <w:rPr>
          <w:rFonts w:ascii="Arial" w:hAnsi="Arial" w:cs="Arial"/>
          <w:color w:val="000000"/>
          <w:sz w:val="20"/>
          <w:szCs w:val="20"/>
        </w:rPr>
        <w:t xml:space="preserve">; </w:t>
      </w:r>
      <w:r w:rsidR="00453B00" w:rsidRPr="00453B00">
        <w:rPr>
          <w:rFonts w:ascii="Arial" w:hAnsi="Arial" w:cs="Arial"/>
          <w:i/>
          <w:iCs/>
          <w:color w:val="000000"/>
          <w:sz w:val="20"/>
          <w:szCs w:val="20"/>
        </w:rPr>
        <w:t>Anh Thai Nguyen v The King</w:t>
      </w:r>
      <w:r w:rsidR="00453B00">
        <w:rPr>
          <w:rFonts w:ascii="Arial" w:hAnsi="Arial" w:cs="Arial"/>
          <w:color w:val="000000"/>
          <w:sz w:val="20"/>
          <w:szCs w:val="20"/>
        </w:rPr>
        <w:t xml:space="preserve"> [2024] VSCA 290</w:t>
      </w:r>
      <w:r w:rsidR="005244BA" w:rsidRPr="005244BA">
        <w:rPr>
          <w:rFonts w:ascii="Arial" w:hAnsi="Arial" w:cs="Arial"/>
          <w:color w:val="000000"/>
          <w:sz w:val="20"/>
          <w:szCs w:val="20"/>
        </w:rPr>
        <w:t>.</w:t>
      </w:r>
    </w:p>
    <w:p w14:paraId="7F6BEF4F" w14:textId="2D70F8F5" w:rsidR="00727D98" w:rsidRPr="001C6E0E" w:rsidRDefault="00727D98" w:rsidP="004E4510">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687"/>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Carl Williams &amp; Walter Foletti</w:t>
      </w:r>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Lasry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done, must be sentenced having regard, amongst other things, to the fact that the maximum penalty for this offence is 25 years’ imprisonment.  Eight years’ </w:t>
      </w:r>
      <w:r w:rsidRPr="001C6E0E">
        <w:rPr>
          <w:rFonts w:ascii="Arial" w:hAnsi="Arial" w:cs="Arial"/>
          <w:color w:val="000000"/>
          <w:sz w:val="20"/>
          <w:szCs w:val="20"/>
        </w:rPr>
        <w:lastRenderedPageBreak/>
        <w:t>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r w:rsidRPr="008825B2">
        <w:rPr>
          <w:rFonts w:ascii="Arial" w:hAnsi="Arial" w:cs="Arial"/>
          <w:i/>
          <w:color w:val="000000"/>
          <w:sz w:val="20"/>
        </w:rPr>
        <w:t>Dawid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Default="001C023A" w:rsidP="006F261E">
      <w:pPr>
        <w:jc w:val="both"/>
        <w:rPr>
          <w:rFonts w:ascii="Arial" w:hAnsi="Arial" w:cs="Arial"/>
          <w:color w:val="000000"/>
          <w:sz w:val="20"/>
        </w:rPr>
      </w:pPr>
    </w:p>
    <w:p w14:paraId="7F964866" w14:textId="105CF8A0" w:rsidR="00A710FB" w:rsidRDefault="00A710FB" w:rsidP="006F261E">
      <w:pPr>
        <w:jc w:val="both"/>
        <w:rPr>
          <w:rFonts w:ascii="Arial" w:hAnsi="Arial" w:cs="Arial"/>
          <w:color w:val="000000"/>
          <w:sz w:val="20"/>
        </w:rPr>
      </w:pPr>
      <w:r>
        <w:rPr>
          <w:rFonts w:ascii="Arial" w:hAnsi="Arial" w:cs="Arial"/>
          <w:color w:val="000000"/>
          <w:sz w:val="20"/>
        </w:rPr>
        <w:t xml:space="preserve">In </w:t>
      </w:r>
      <w:r w:rsidRPr="00A710FB">
        <w:rPr>
          <w:rFonts w:ascii="Arial" w:hAnsi="Arial" w:cs="Arial"/>
          <w:i/>
          <w:iCs/>
          <w:color w:val="000000"/>
          <w:sz w:val="20"/>
        </w:rPr>
        <w:t>Lang &amp; Ors v The King</w:t>
      </w:r>
      <w:r>
        <w:rPr>
          <w:rFonts w:ascii="Arial" w:hAnsi="Arial" w:cs="Arial"/>
          <w:color w:val="000000"/>
          <w:sz w:val="20"/>
        </w:rPr>
        <w:t xml:space="preserve"> [2025] VSCA 49 the </w:t>
      </w:r>
      <w:r w:rsidR="00042353">
        <w:rPr>
          <w:rFonts w:ascii="Arial" w:hAnsi="Arial" w:cs="Arial"/>
          <w:color w:val="000000"/>
          <w:sz w:val="20"/>
        </w:rPr>
        <w:t>first</w:t>
      </w:r>
      <w:r w:rsidR="00970F22">
        <w:rPr>
          <w:rFonts w:ascii="Arial" w:hAnsi="Arial" w:cs="Arial"/>
          <w:color w:val="000000"/>
          <w:sz w:val="20"/>
        </w:rPr>
        <w:t>-</w:t>
      </w:r>
      <w:r w:rsidR="00042353">
        <w:rPr>
          <w:rFonts w:ascii="Arial" w:hAnsi="Arial" w:cs="Arial"/>
          <w:color w:val="000000"/>
          <w:sz w:val="20"/>
        </w:rPr>
        <w: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w:t>
      </w:r>
      <w:r w:rsidR="00970F22">
        <w:rPr>
          <w:rFonts w:ascii="Arial" w:hAnsi="Arial" w:cs="Arial"/>
          <w:color w:val="000000"/>
          <w:sz w:val="20"/>
        </w:rPr>
        <w:t xml:space="preserve"> it was not open to the judge to impose identical NPPs. Leave to appeal was granted for the first-named applicant and the NPP was reduced to 11y. In relation to sentencing commercial quantity drug traffickers, Beach &amp; McLeish JJA said at [63]</w:t>
      </w:r>
      <w:r w:rsidR="00677929">
        <w:rPr>
          <w:rFonts w:ascii="Arial" w:hAnsi="Arial" w:cs="Arial"/>
          <w:color w:val="000000"/>
          <w:sz w:val="20"/>
        </w:rPr>
        <w:t>:</w:t>
      </w:r>
    </w:p>
    <w:p w14:paraId="04F09EA3" w14:textId="5D95CDB5" w:rsidR="00970F22" w:rsidRPr="008825B2" w:rsidRDefault="00970F22" w:rsidP="00970F22">
      <w:pPr>
        <w:spacing w:before="60"/>
        <w:ind w:left="567" w:right="567"/>
        <w:jc w:val="both"/>
        <w:rPr>
          <w:rFonts w:ascii="Arial" w:hAnsi="Arial" w:cs="Arial"/>
          <w:color w:val="000000"/>
          <w:sz w:val="20"/>
          <w:szCs w:val="20"/>
        </w:rPr>
      </w:pPr>
      <w:r>
        <w:rPr>
          <w:rFonts w:ascii="Arial" w:hAnsi="Arial" w:cs="Arial"/>
          <w:color w:val="000000"/>
          <w:sz w:val="20"/>
          <w:szCs w:val="20"/>
        </w:rPr>
        <w:t xml:space="preserve">“In </w:t>
      </w:r>
      <w:r w:rsidRPr="00970F22">
        <w:rPr>
          <w:rFonts w:ascii="Arial" w:hAnsi="Arial" w:cs="Arial"/>
          <w:i/>
          <w:iCs/>
          <w:color w:val="000000"/>
          <w:sz w:val="20"/>
          <w:szCs w:val="20"/>
        </w:rPr>
        <w:t>Lieu v The Queen</w:t>
      </w:r>
      <w:r>
        <w:rPr>
          <w:rFonts w:ascii="Arial" w:hAnsi="Arial" w:cs="Arial"/>
          <w:color w:val="000000"/>
          <w:sz w:val="20"/>
          <w:szCs w:val="20"/>
        </w:rPr>
        <w:t xml:space="preserve"> (2016) 263 A Crim R 173; [2016] VSCA 277, </w:t>
      </w:r>
      <w:r w:rsidRPr="00970F22">
        <w:rPr>
          <w:rFonts w:ascii="Arial" w:hAnsi="Arial" w:cs="Arial"/>
          <w:color w:val="000000"/>
          <w:sz w:val="20"/>
        </w:rPr>
        <w:t xml:space="preserve">this Court dealt with the principles applicable in the sentencing of offenders who had engaged in commercial quantity drug trafficking. </w:t>
      </w:r>
      <w:r>
        <w:rPr>
          <w:rFonts w:ascii="Arial" w:hAnsi="Arial" w:cs="Arial"/>
          <w:color w:val="000000"/>
          <w:sz w:val="20"/>
        </w:rPr>
        <w:t>Redlich, Beach &amp; Kaye JJA</w:t>
      </w:r>
      <w:r w:rsidRPr="00970F22">
        <w:rPr>
          <w:rFonts w:ascii="Arial" w:hAnsi="Arial" w:cs="Arial"/>
          <w:color w:val="000000"/>
          <w:sz w:val="20"/>
        </w:rPr>
        <w:t xml:space="preserve"> said</w:t>
      </w:r>
      <w:r>
        <w:rPr>
          <w:rFonts w:ascii="Arial" w:hAnsi="Arial" w:cs="Arial"/>
          <w:color w:val="000000"/>
          <w:sz w:val="20"/>
        </w:rPr>
        <w:t xml:space="preserve"> at 185-6 [41]-[43]:</w:t>
      </w:r>
    </w:p>
    <w:p w14:paraId="295A4A8B" w14:textId="77777777" w:rsidR="00970F22" w:rsidRDefault="00970F22" w:rsidP="00970F22">
      <w:pPr>
        <w:spacing w:before="60"/>
        <w:ind w:left="1021" w:right="1021"/>
        <w:jc w:val="both"/>
        <w:rPr>
          <w:rFonts w:ascii="Arial" w:hAnsi="Arial" w:cs="Arial"/>
          <w:color w:val="000000"/>
          <w:sz w:val="18"/>
          <w:szCs w:val="22"/>
        </w:rPr>
      </w:pPr>
      <w:r w:rsidRPr="00970F22">
        <w:rPr>
          <w:rFonts w:ascii="Arial" w:hAnsi="Arial" w:cs="Arial"/>
          <w:color w:val="000000"/>
          <w:sz w:val="18"/>
          <w:szCs w:val="22"/>
        </w:rPr>
        <w:t xml:space="preserve">The principles applicable to the offences to which the applicant pleaded guilty are well </w:t>
      </w:r>
      <w:proofErr w:type="gramStart"/>
      <w:r w:rsidRPr="00970F22">
        <w:rPr>
          <w:rFonts w:ascii="Arial" w:hAnsi="Arial" w:cs="Arial"/>
          <w:color w:val="000000"/>
          <w:sz w:val="18"/>
          <w:szCs w:val="22"/>
        </w:rPr>
        <w:t>established, and</w:t>
      </w:r>
      <w:proofErr w:type="gramEnd"/>
      <w:r w:rsidRPr="00970F22">
        <w:rPr>
          <w:rFonts w:ascii="Arial" w:hAnsi="Arial" w:cs="Arial"/>
          <w:color w:val="000000"/>
          <w:sz w:val="18"/>
          <w:szCs w:val="22"/>
        </w:rPr>
        <w:t xml:space="preserve"> need not be rehearsed at length. Essentially, the determination of the seriousness of the offending is informed by a range of factors, including the role of the offender, the position of the offender in the drug trafficking (or importing) hierarchy, the nature and extent of the offender’s involvement in the enterprise, the sophistication of the enterprise, and the amount of drugs involved, or intended to be involved, in the enterprise. In describing the role of the offender in the hierarchy, it is important that any shorthand label attaching to that role does not obscure the nature and extent of the actions and involvement of the offender.</w:t>
      </w:r>
    </w:p>
    <w:p w14:paraId="7DCDAE14" w14:textId="77777777" w:rsidR="007F6310" w:rsidRDefault="00970F22" w:rsidP="00970F22">
      <w:pPr>
        <w:spacing w:before="60"/>
        <w:ind w:left="1021" w:right="1021"/>
        <w:jc w:val="both"/>
        <w:rPr>
          <w:rFonts w:ascii="Arial" w:hAnsi="Arial" w:cs="Arial"/>
          <w:color w:val="000000"/>
          <w:sz w:val="18"/>
          <w:szCs w:val="22"/>
        </w:rPr>
      </w:pPr>
      <w:r>
        <w:rPr>
          <w:rFonts w:ascii="Arial" w:hAnsi="Arial" w:cs="Arial"/>
          <w:color w:val="000000"/>
          <w:sz w:val="18"/>
          <w:szCs w:val="22"/>
        </w:rPr>
        <w:t xml:space="preserve">In determining the seriousness of the offence, the weight or amount of the drugs </w:t>
      </w:r>
      <w:r w:rsidRPr="00970F22">
        <w:rPr>
          <w:rFonts w:ascii="Arial" w:hAnsi="Arial" w:cs="Arial"/>
          <w:color w:val="000000"/>
          <w:sz w:val="18"/>
          <w:szCs w:val="22"/>
        </w:rPr>
        <w:t xml:space="preserve">involved is a factor of some importance. That circumstance is relevant to determining the dimension of the enterprise in which the offender is involved, and the amount of profit that was expected from the enterprise, which generally constitutes the primary if not sole motive for the offending. The weight or amount of the drugs involved might also indicate that the enterprise, in which the offender has been involved, was far reaching, </w:t>
      </w:r>
      <w:r w:rsidRPr="00970F22">
        <w:rPr>
          <w:rFonts w:ascii="Arial" w:hAnsi="Arial" w:cs="Arial"/>
          <w:color w:val="000000"/>
          <w:sz w:val="18"/>
          <w:szCs w:val="22"/>
        </w:rPr>
        <w:lastRenderedPageBreak/>
        <w:t>and sophisticated. On the other hand, that factor, per se, is not necessarily the primary or overriding factor in determining the gravity of the offending under consideration.</w:t>
      </w:r>
    </w:p>
    <w:p w14:paraId="371452BC" w14:textId="1000B2B4" w:rsidR="00970F22" w:rsidRPr="00970F22" w:rsidRDefault="007F6310" w:rsidP="007F6310">
      <w:pPr>
        <w:spacing w:before="60"/>
        <w:ind w:left="1021" w:right="1021"/>
        <w:jc w:val="both"/>
        <w:rPr>
          <w:rFonts w:ascii="Arial" w:hAnsi="Arial" w:cs="Arial"/>
          <w:color w:val="000000"/>
          <w:sz w:val="18"/>
          <w:szCs w:val="18"/>
        </w:rPr>
      </w:pPr>
      <w:r w:rsidRPr="007F6310">
        <w:rPr>
          <w:rFonts w:ascii="Arial" w:hAnsi="Arial" w:cs="Arial"/>
          <w:i/>
          <w:iCs/>
          <w:color w:val="000000"/>
          <w:sz w:val="18"/>
          <w:szCs w:val="18"/>
        </w:rPr>
        <w:t xml:space="preserve">It is well recognised that in cases such as this significant weight is attached to the principle of general deterrence. </w:t>
      </w:r>
      <w:r w:rsidR="00970F22" w:rsidRPr="00970F22">
        <w:rPr>
          <w:rFonts w:ascii="Arial" w:hAnsi="Arial" w:cs="Arial"/>
          <w:color w:val="000000"/>
          <w:sz w:val="18"/>
          <w:szCs w:val="18"/>
        </w:rPr>
        <w:t xml:space="preserve">The difficulty of detecting importation offences, and the great and far reaching social consequences stemming from the proliferation of illicit drugs in the community, are factors which support the importance of the concept of general deterrence in sentencing for such offences. </w:t>
      </w:r>
      <w:r w:rsidR="00970F22" w:rsidRPr="00970F22">
        <w:rPr>
          <w:rFonts w:ascii="Arial" w:hAnsi="Arial" w:cs="Arial"/>
          <w:i/>
          <w:iCs/>
          <w:color w:val="000000"/>
          <w:sz w:val="18"/>
          <w:szCs w:val="18"/>
        </w:rPr>
        <w:t xml:space="preserve">In particular, it is recognised that, in light of the very large profits that motivate importation and trafficking offences, it is important that the sentence imposed by the courts </w:t>
      </w:r>
      <w:r>
        <w:rPr>
          <w:rFonts w:ascii="Arial" w:hAnsi="Arial" w:cs="Arial"/>
          <w:i/>
          <w:iCs/>
          <w:color w:val="000000"/>
          <w:sz w:val="18"/>
          <w:szCs w:val="18"/>
        </w:rPr>
        <w:t>‘</w:t>
      </w:r>
      <w:r w:rsidR="00970F22" w:rsidRPr="00970F22">
        <w:rPr>
          <w:rFonts w:ascii="Arial" w:hAnsi="Arial" w:cs="Arial"/>
          <w:i/>
          <w:iCs/>
          <w:color w:val="000000"/>
          <w:sz w:val="18"/>
          <w:szCs w:val="18"/>
        </w:rPr>
        <w:t>… must signal to would be traffickers that the potential financial rewards to be gained from such activities are neutralised by the risk of severe punishment …</w:t>
      </w:r>
      <w:r>
        <w:rPr>
          <w:rFonts w:ascii="Arial" w:hAnsi="Arial" w:cs="Arial"/>
          <w:i/>
          <w:iCs/>
          <w:color w:val="000000"/>
          <w:sz w:val="18"/>
          <w:szCs w:val="18"/>
        </w:rPr>
        <w:t>’</w:t>
      </w:r>
      <w:r w:rsidR="00970F22" w:rsidRPr="00970F22">
        <w:rPr>
          <w:rFonts w:ascii="Arial" w:hAnsi="Arial" w:cs="Arial"/>
          <w:color w:val="000000"/>
          <w:sz w:val="18"/>
          <w:szCs w:val="18"/>
        </w:rPr>
        <w:t>. On the other hand, the previous good character, and personal circumstances, of an offender in drug trafficking or importation offences are generally attributed less weight as a mitigating factor.</w:t>
      </w:r>
      <w:r>
        <w:rPr>
          <w:rFonts w:ascii="Arial" w:hAnsi="Arial" w:cs="Arial"/>
          <w:color w:val="000000"/>
          <w:sz w:val="18"/>
          <w:szCs w:val="18"/>
        </w:rPr>
        <w:t>”</w:t>
      </w:r>
    </w:p>
    <w:p w14:paraId="29019904" w14:textId="77777777" w:rsidR="00042353" w:rsidRPr="008825B2" w:rsidRDefault="00042353"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Mahmoud Kheir</w:t>
      </w:r>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5655B6F2" w:rsidR="00BF52E5" w:rsidRDefault="00BF52E5" w:rsidP="00292170">
      <w:pPr>
        <w:jc w:val="both"/>
        <w:rPr>
          <w:rFonts w:ascii="Arial" w:hAnsi="Arial" w:cs="Arial"/>
          <w:color w:val="000000"/>
          <w:sz w:val="20"/>
        </w:rPr>
      </w:pPr>
    </w:p>
    <w:p w14:paraId="31585741" w14:textId="2FD5AFE8" w:rsidR="00EB0017" w:rsidRPr="002E39EA" w:rsidRDefault="00EB0017" w:rsidP="00292170">
      <w:pPr>
        <w:jc w:val="both"/>
        <w:rPr>
          <w:rFonts w:ascii="Arial" w:hAnsi="Arial" w:cs="Arial"/>
          <w:color w:val="000000"/>
          <w:sz w:val="20"/>
          <w:szCs w:val="20"/>
        </w:rPr>
      </w:pPr>
      <w:r w:rsidRPr="002E39EA">
        <w:rPr>
          <w:rFonts w:ascii="Arial" w:hAnsi="Arial" w:cs="Arial"/>
          <w:color w:val="000000"/>
          <w:sz w:val="20"/>
          <w:szCs w:val="20"/>
        </w:rPr>
        <w:t xml:space="preserve">In </w:t>
      </w:r>
      <w:bookmarkStart w:id="688" w:name="_Hlk155604259"/>
      <w:r w:rsidRPr="002E39EA">
        <w:rPr>
          <w:rFonts w:ascii="Arial" w:hAnsi="Arial" w:cs="Arial"/>
          <w:i/>
          <w:iCs/>
          <w:color w:val="000000"/>
          <w:sz w:val="20"/>
          <w:szCs w:val="20"/>
        </w:rPr>
        <w:t>McCabe v The King</w:t>
      </w:r>
      <w:r w:rsidRPr="002E39EA">
        <w:rPr>
          <w:rFonts w:ascii="Arial" w:hAnsi="Arial" w:cs="Arial"/>
          <w:color w:val="000000"/>
          <w:sz w:val="20"/>
          <w:szCs w:val="20"/>
        </w:rPr>
        <w:t xml:space="preserve"> [2023] VSCA 329 </w:t>
      </w:r>
      <w:bookmarkEnd w:id="688"/>
      <w:r w:rsidRPr="002E39EA">
        <w:rPr>
          <w:rFonts w:ascii="Arial" w:hAnsi="Arial" w:cs="Arial"/>
          <w:color w:val="000000"/>
          <w:sz w:val="20"/>
          <w:szCs w:val="20"/>
        </w:rPr>
        <w:t xml:space="preserve">the </w:t>
      </w:r>
      <w:r w:rsidR="002E39EA" w:rsidRPr="002E39EA">
        <w:rPr>
          <w:rFonts w:ascii="Arial" w:hAnsi="Arial" w:cs="Arial"/>
          <w:color w:val="000000"/>
          <w:sz w:val="20"/>
          <w:szCs w:val="20"/>
        </w:rPr>
        <w:t xml:space="preserve">35 </w:t>
      </w:r>
      <w:r w:rsidRPr="002E39EA">
        <w:rPr>
          <w:rFonts w:ascii="Arial" w:hAnsi="Arial" w:cs="Arial"/>
          <w:color w:val="000000"/>
          <w:sz w:val="20"/>
          <w:szCs w:val="20"/>
        </w:rPr>
        <w:t xml:space="preserve">year old applicant </w:t>
      </w:r>
      <w:r w:rsidR="002E39EA" w:rsidRPr="002E39EA">
        <w:rPr>
          <w:rFonts w:ascii="Arial" w:hAnsi="Arial" w:cs="Arial"/>
          <w:color w:val="000000"/>
          <w:sz w:val="20"/>
          <w:szCs w:val="20"/>
        </w:rPr>
        <w:t xml:space="preserve">– who </w:t>
      </w:r>
      <w:r w:rsidR="002E39EA">
        <w:rPr>
          <w:rFonts w:ascii="Arial" w:hAnsi="Arial" w:cs="Arial"/>
          <w:color w:val="000000"/>
          <w:sz w:val="20"/>
          <w:szCs w:val="20"/>
        </w:rPr>
        <w:t>“</w:t>
      </w:r>
      <w:r w:rsidR="002E39EA" w:rsidRPr="002E39EA">
        <w:rPr>
          <w:rFonts w:ascii="Arial" w:hAnsi="Arial" w:cs="Arial"/>
          <w:sz w:val="20"/>
          <w:szCs w:val="20"/>
        </w:rPr>
        <w:t>came from a ‘good family background’, was ‘highly educated’ and it could not be said that his drug trafficking was conducted in order to finance his own drug habit</w:t>
      </w:r>
      <w:r w:rsidR="002E39EA">
        <w:rPr>
          <w:rFonts w:ascii="Arial" w:hAnsi="Arial" w:cs="Arial"/>
          <w:sz w:val="20"/>
          <w:szCs w:val="20"/>
        </w:rPr>
        <w:t>”</w:t>
      </w:r>
      <w:r w:rsidR="002E39EA" w:rsidRPr="002E39EA">
        <w:rPr>
          <w:rFonts w:ascii="Arial" w:hAnsi="Arial" w:cs="Arial"/>
          <w:sz w:val="20"/>
          <w:szCs w:val="20"/>
        </w:rPr>
        <w:t xml:space="preserve"> – </w:t>
      </w:r>
      <w:r w:rsidRPr="002E39EA">
        <w:rPr>
          <w:rFonts w:ascii="Arial" w:hAnsi="Arial" w:cs="Arial"/>
          <w:color w:val="000000"/>
          <w:sz w:val="20"/>
          <w:szCs w:val="20"/>
        </w:rPr>
        <w:t>was</w:t>
      </w:r>
      <w:r w:rsidR="002E39EA" w:rsidRPr="002E39EA">
        <w:rPr>
          <w:rFonts w:ascii="Arial" w:hAnsi="Arial" w:cs="Arial"/>
          <w:color w:val="000000"/>
          <w:sz w:val="20"/>
          <w:szCs w:val="20"/>
        </w:rPr>
        <w:t xml:space="preserve"> </w:t>
      </w:r>
      <w:r w:rsidRPr="002E39EA">
        <w:rPr>
          <w:rFonts w:ascii="Arial" w:hAnsi="Arial" w:cs="Arial"/>
          <w:color w:val="000000"/>
          <w:sz w:val="20"/>
          <w:szCs w:val="20"/>
        </w:rPr>
        <w:t>convicted by a jury of one charge of trafficking in a large commercial quantity of a drug of dependence (5.</w:t>
      </w:r>
      <w:r w:rsidR="00655B96">
        <w:rPr>
          <w:rFonts w:ascii="Arial" w:hAnsi="Arial" w:cs="Arial"/>
          <w:color w:val="000000"/>
          <w:sz w:val="20"/>
          <w:szCs w:val="20"/>
        </w:rPr>
        <w:t>3</w:t>
      </w:r>
      <w:r w:rsidRPr="002E39EA">
        <w:rPr>
          <w:rFonts w:ascii="Arial" w:hAnsi="Arial" w:cs="Arial"/>
          <w:color w:val="000000"/>
          <w:sz w:val="20"/>
          <w:szCs w:val="20"/>
        </w:rPr>
        <w:t xml:space="preserve">kg of MDMA, also known as ‘ecstasy’) and was sentenced to IMP11y/7y.  In refusing leave to appeal the Court of Appeal </w:t>
      </w:r>
      <w:r w:rsidR="002E39EA">
        <w:rPr>
          <w:rFonts w:ascii="Arial" w:hAnsi="Arial" w:cs="Arial"/>
          <w:color w:val="000000"/>
          <w:sz w:val="20"/>
          <w:szCs w:val="20"/>
        </w:rPr>
        <w:t xml:space="preserve">(Macaulay &amp; Taylor JJA) found no error in the judge’s conclusion that “the applicant’s moral culpability was high”, saying at </w:t>
      </w:r>
      <w:r w:rsidRPr="002E39EA">
        <w:rPr>
          <w:rFonts w:ascii="Arial" w:hAnsi="Arial" w:cs="Arial"/>
          <w:color w:val="000000"/>
          <w:sz w:val="20"/>
          <w:szCs w:val="20"/>
        </w:rPr>
        <w:t>[</w:t>
      </w:r>
      <w:r w:rsidR="002E39EA">
        <w:rPr>
          <w:rFonts w:ascii="Arial" w:hAnsi="Arial" w:cs="Arial"/>
          <w:color w:val="000000"/>
          <w:sz w:val="20"/>
          <w:szCs w:val="20"/>
        </w:rPr>
        <w:t>43</w:t>
      </w:r>
      <w:r w:rsidRPr="002E39EA">
        <w:rPr>
          <w:rFonts w:ascii="Arial" w:hAnsi="Arial" w:cs="Arial"/>
          <w:color w:val="000000"/>
          <w:sz w:val="20"/>
          <w:szCs w:val="20"/>
        </w:rPr>
        <w:t>]:</w:t>
      </w:r>
    </w:p>
    <w:p w14:paraId="41629252" w14:textId="4B494EB1" w:rsidR="002E39EA" w:rsidRPr="001C6E0E" w:rsidRDefault="002E39EA" w:rsidP="002E39EA">
      <w:pPr>
        <w:spacing w:before="60"/>
        <w:ind w:left="567" w:right="567"/>
        <w:jc w:val="both"/>
        <w:rPr>
          <w:rFonts w:ascii="Arial" w:hAnsi="Arial" w:cs="Arial"/>
          <w:color w:val="000000"/>
          <w:sz w:val="20"/>
        </w:rPr>
      </w:pPr>
      <w:r>
        <w:rPr>
          <w:rFonts w:ascii="Arial" w:hAnsi="Arial" w:cs="Arial"/>
          <w:color w:val="000000"/>
          <w:sz w:val="20"/>
        </w:rPr>
        <w:t>“</w:t>
      </w:r>
      <w:r w:rsidR="00655B96" w:rsidRPr="00655B96">
        <w:rPr>
          <w:rFonts w:ascii="Arial" w:hAnsi="Arial" w:cs="Arial"/>
          <w:sz w:val="20"/>
          <w:szCs w:val="20"/>
        </w:rPr>
        <w:t>The offence of trafficking a large commercial quantity of a drug of dependence is, by its very nature, an offence which is objectively very grave. The applicant’s role in the trafficking hierarchy, and the fact that profit was his sole motivation, were significant sentencing facts which impacted his moral culpability. The prosecution did not have to prove the anticipated return from trafficking this MDMA in order to establish that the applicant’s offence was objectively serious. The applicant offered no evidence to displace the legislative presumption that trafficking 5.3 kg of mixed MDMA was truly commercial in nature. The judge would only have been speculating, impermissibly, to accept a submission that trafficking these particular pills could only have produced small returns far below those to be expected from trafficking a large commercial quantity of MDMA as defined in the DPCS Act.</w:t>
      </w:r>
    </w:p>
    <w:p w14:paraId="39680FFA" w14:textId="6796CD42" w:rsidR="002E39EA" w:rsidRDefault="002E39EA" w:rsidP="00292170">
      <w:pPr>
        <w:jc w:val="both"/>
        <w:rPr>
          <w:rFonts w:ascii="Arial" w:hAnsi="Arial" w:cs="Arial"/>
          <w:color w:val="000000"/>
          <w:sz w:val="20"/>
        </w:rPr>
      </w:pPr>
    </w:p>
    <w:p w14:paraId="1F4D5338" w14:textId="0E629BD1" w:rsidR="00655B96" w:rsidRDefault="00655B96" w:rsidP="00292170">
      <w:pPr>
        <w:jc w:val="both"/>
        <w:rPr>
          <w:rFonts w:ascii="Arial" w:hAnsi="Arial" w:cs="Arial"/>
          <w:color w:val="000000"/>
          <w:sz w:val="20"/>
        </w:rPr>
      </w:pPr>
      <w:r>
        <w:rPr>
          <w:rFonts w:ascii="Arial" w:hAnsi="Arial" w:cs="Arial"/>
          <w:color w:val="000000"/>
          <w:sz w:val="20"/>
        </w:rPr>
        <w:t xml:space="preserve">In </w:t>
      </w:r>
      <w:r w:rsidRPr="00655B96">
        <w:rPr>
          <w:rFonts w:ascii="Arial" w:hAnsi="Arial" w:cs="Arial"/>
          <w:i/>
          <w:iCs/>
          <w:color w:val="000000"/>
          <w:sz w:val="20"/>
        </w:rPr>
        <w:t>Elkadi v The King</w:t>
      </w:r>
      <w:r>
        <w:rPr>
          <w:rFonts w:ascii="Arial" w:hAnsi="Arial" w:cs="Arial"/>
          <w:color w:val="000000"/>
          <w:sz w:val="20"/>
        </w:rPr>
        <w:t xml:space="preserve"> [2023] VSCA 328 the 40 year old applicant had pleaded guilty to two counts of trafficking a commercial quantity of a drug of dependence and three counts of trafficking a drug of dependence</w:t>
      </w:r>
      <w:r w:rsidR="006F0864">
        <w:rPr>
          <w:rFonts w:ascii="Arial" w:hAnsi="Arial" w:cs="Arial"/>
          <w:color w:val="000000"/>
          <w:sz w:val="20"/>
        </w:rPr>
        <w:t xml:space="preserve"> by means of a sophisticated ‘dark web’ enterprise.  He had relevant prior convictions but powerful evidence of rehabilitation.  Leave to appeal a TES IMP12y4m/7y4m was refused, the Court of Appeal (Macaulay &amp; Taylor JJA) holding that the sentence was not manifestly excessive and saying at [</w:t>
      </w:r>
      <w:r w:rsidR="00480BA2">
        <w:rPr>
          <w:rFonts w:ascii="Arial" w:hAnsi="Arial" w:cs="Arial"/>
          <w:color w:val="000000"/>
          <w:sz w:val="20"/>
        </w:rPr>
        <w:t>30</w:t>
      </w:r>
      <w:r w:rsidR="006F0864">
        <w:rPr>
          <w:rFonts w:ascii="Arial" w:hAnsi="Arial" w:cs="Arial"/>
          <w:color w:val="000000"/>
          <w:sz w:val="20"/>
        </w:rPr>
        <w:t>]-[</w:t>
      </w:r>
      <w:r w:rsidR="00480BA2">
        <w:rPr>
          <w:rFonts w:ascii="Arial" w:hAnsi="Arial" w:cs="Arial"/>
          <w:color w:val="000000"/>
          <w:sz w:val="20"/>
        </w:rPr>
        <w:t>35</w:t>
      </w:r>
      <w:r w:rsidR="006F0864">
        <w:rPr>
          <w:rFonts w:ascii="Arial" w:hAnsi="Arial" w:cs="Arial"/>
          <w:color w:val="000000"/>
          <w:sz w:val="20"/>
        </w:rPr>
        <w:t>]:</w:t>
      </w:r>
    </w:p>
    <w:p w14:paraId="038023B7" w14:textId="2FA4230D" w:rsidR="006F0864" w:rsidRDefault="006F0864" w:rsidP="006F0864">
      <w:pPr>
        <w:spacing w:before="60"/>
        <w:ind w:left="567" w:right="567"/>
        <w:jc w:val="both"/>
        <w:rPr>
          <w:rFonts w:ascii="Arial" w:hAnsi="Arial" w:cs="Arial"/>
          <w:sz w:val="20"/>
          <w:szCs w:val="20"/>
        </w:rPr>
      </w:pPr>
      <w:r>
        <w:rPr>
          <w:rFonts w:ascii="Arial" w:hAnsi="Arial" w:cs="Arial"/>
          <w:color w:val="000000"/>
          <w:sz w:val="20"/>
        </w:rPr>
        <w:t>[30] “</w:t>
      </w:r>
      <w:r w:rsidRPr="00655B96">
        <w:rPr>
          <w:rFonts w:ascii="Arial" w:hAnsi="Arial" w:cs="Arial"/>
          <w:sz w:val="20"/>
          <w:szCs w:val="20"/>
        </w:rPr>
        <w:t>There are many factors relevant to the determination of the seriousness of any particular example of the offence of trafficking a commercial (or large commercial) quantity of drugs. These include the role of the offender, his or her position in the enterprise, the nature and extent of his or her involvement and the amount of drugs involved</w:t>
      </w:r>
      <w:r>
        <w:rPr>
          <w:rFonts w:ascii="Arial" w:hAnsi="Arial" w:cs="Arial"/>
          <w:sz w:val="20"/>
          <w:szCs w:val="20"/>
        </w:rPr>
        <w:t xml:space="preserve">: </w:t>
      </w:r>
      <w:r w:rsidRPr="006F0864">
        <w:rPr>
          <w:rFonts w:ascii="Arial" w:hAnsi="Arial" w:cs="Arial"/>
          <w:i/>
          <w:iCs/>
          <w:sz w:val="20"/>
          <w:szCs w:val="20"/>
        </w:rPr>
        <w:t>Lieu v The Queen</w:t>
      </w:r>
      <w:r w:rsidRPr="006F0864">
        <w:rPr>
          <w:rFonts w:ascii="Arial" w:hAnsi="Arial" w:cs="Arial"/>
          <w:sz w:val="20"/>
          <w:szCs w:val="20"/>
        </w:rPr>
        <w:t xml:space="preserve"> (2016) 263 A Crim R 173, [41]; [2016] VSCA 277</w:t>
      </w:r>
      <w:r>
        <w:rPr>
          <w:rFonts w:ascii="Arial" w:hAnsi="Arial" w:cs="Arial"/>
          <w:sz w:val="20"/>
          <w:szCs w:val="20"/>
        </w:rPr>
        <w:t xml:space="preserve">.  </w:t>
      </w:r>
      <w:r w:rsidRPr="00655B96">
        <w:rPr>
          <w:rFonts w:ascii="Arial" w:hAnsi="Arial" w:cs="Arial"/>
          <w:sz w:val="20"/>
          <w:szCs w:val="20"/>
        </w:rPr>
        <w:t>The latter is a highly relevant consideration and, other things being equal, the greater the quantity trafficked the more serious the offence</w:t>
      </w:r>
      <w:r>
        <w:rPr>
          <w:rFonts w:ascii="Arial" w:hAnsi="Arial" w:cs="Arial"/>
          <w:sz w:val="20"/>
          <w:szCs w:val="20"/>
        </w:rPr>
        <w:t xml:space="preserve">: </w:t>
      </w:r>
      <w:r w:rsidR="00480BA2" w:rsidRPr="00480BA2">
        <w:rPr>
          <w:rFonts w:ascii="Arial" w:hAnsi="Arial" w:cs="Arial"/>
          <w:i/>
          <w:iCs/>
          <w:sz w:val="20"/>
          <w:szCs w:val="20"/>
        </w:rPr>
        <w:t>Gregory (a pseudonym) v The Queen</w:t>
      </w:r>
      <w:r w:rsidR="00480BA2">
        <w:rPr>
          <w:rFonts w:ascii="Arial" w:hAnsi="Arial" w:cs="Arial"/>
          <w:i/>
          <w:iCs/>
          <w:sz w:val="20"/>
          <w:szCs w:val="20"/>
        </w:rPr>
        <w:t xml:space="preserve"> </w:t>
      </w:r>
      <w:r w:rsidRPr="006F0864">
        <w:rPr>
          <w:rFonts w:ascii="Arial" w:hAnsi="Arial" w:cs="Arial"/>
          <w:sz w:val="20"/>
          <w:szCs w:val="20"/>
        </w:rPr>
        <w:t>268 A Crim R 1, [23]; [2017] VSCA 151</w:t>
      </w:r>
      <w:r w:rsidR="00480BA2">
        <w:rPr>
          <w:rFonts w:ascii="Arial" w:hAnsi="Arial" w:cs="Arial"/>
          <w:sz w:val="20"/>
          <w:szCs w:val="20"/>
        </w:rPr>
        <w:t xml:space="preserve">.  </w:t>
      </w:r>
      <w:r w:rsidR="00480BA2" w:rsidRPr="00655B96">
        <w:rPr>
          <w:rFonts w:ascii="Arial" w:hAnsi="Arial" w:cs="Arial"/>
          <w:sz w:val="20"/>
          <w:szCs w:val="20"/>
        </w:rPr>
        <w:t xml:space="preserve">The methylamphetamine relevant to charge 1 was well in </w:t>
      </w:r>
      <w:r w:rsidR="00480BA2" w:rsidRPr="00655B96">
        <w:rPr>
          <w:rFonts w:ascii="Arial" w:hAnsi="Arial" w:cs="Arial"/>
          <w:sz w:val="20"/>
          <w:szCs w:val="20"/>
        </w:rPr>
        <w:lastRenderedPageBreak/>
        <w:t>excess of the commercial quantity threshold. The MDMA relevant to charge 2 was nearly double the commercial quantity threshold.</w:t>
      </w:r>
    </w:p>
    <w:p w14:paraId="46E1757A" w14:textId="42D1739D"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[31] </w:t>
      </w:r>
      <w:r w:rsidRPr="00655B96">
        <w:rPr>
          <w:rFonts w:ascii="Arial" w:hAnsi="Arial" w:cs="Arial"/>
          <w:sz w:val="20"/>
          <w:szCs w:val="20"/>
        </w:rPr>
        <w:t>There can be no doubt that the applicant’s offending was grave.</w:t>
      </w:r>
    </w:p>
    <w:p w14:paraId="784D3967" w14:textId="13148119"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[32] </w:t>
      </w:r>
      <w:r w:rsidRPr="00655B96">
        <w:rPr>
          <w:rFonts w:ascii="Arial" w:hAnsi="Arial" w:cs="Arial"/>
          <w:sz w:val="20"/>
          <w:szCs w:val="20"/>
        </w:rPr>
        <w:t>He also had significant and relevant prior convictions. Furthermore, it is to be noted that a sentence of imprisonment for drug trafficking did not deter him from further, similar offending. It occurred just over one year after his sentence had expired and represents a considerable escalation in his criminal behaviour.</w:t>
      </w:r>
    </w:p>
    <w:p w14:paraId="14A954BB" w14:textId="6791BC03"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[33] </w:t>
      </w:r>
      <w:r w:rsidRPr="00655B96">
        <w:rPr>
          <w:rFonts w:ascii="Arial" w:hAnsi="Arial" w:cs="Arial"/>
          <w:sz w:val="20"/>
          <w:szCs w:val="20"/>
        </w:rPr>
        <w:t>General deterrence and denunciation assume great importance in sentencing for significant drug trafficking. Like the applicant, people are attracted to the promise of large profits, caring little for the societal harm occasioned by the use of illicit drugs. It must be clear that anyone embarking upon a drug trafficking enterprise of this nature will, if detected, be sentenced to a lengthy term of imprisonment.</w:t>
      </w:r>
    </w:p>
    <w:p w14:paraId="570206DB" w14:textId="77777777"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[34] </w:t>
      </w:r>
      <w:r w:rsidRPr="00655B96">
        <w:rPr>
          <w:rFonts w:ascii="Arial" w:hAnsi="Arial" w:cs="Arial"/>
          <w:sz w:val="20"/>
          <w:szCs w:val="20"/>
        </w:rPr>
        <w:t>Further, it is to be recalled that the applicant fell to be sentenced as a serious drug offender with respect to charge 2, elevating protection of the community to the principal sentencing consideration.</w:t>
      </w:r>
    </w:p>
    <w:p w14:paraId="5CE6A78A" w14:textId="5DCB8FCD" w:rsidR="00480BA2" w:rsidRPr="00480BA2" w:rsidRDefault="00480BA2" w:rsidP="006F0864">
      <w:pPr>
        <w:spacing w:before="60"/>
        <w:ind w:left="567" w:right="567"/>
        <w:jc w:val="both"/>
        <w:rPr>
          <w:rFonts w:ascii="Arial" w:hAnsi="Arial" w:cs="Arial"/>
          <w:color w:val="000000"/>
          <w:sz w:val="20"/>
          <w:szCs w:val="20"/>
        </w:rPr>
      </w:pPr>
      <w:r w:rsidRPr="00480BA2">
        <w:rPr>
          <w:rFonts w:ascii="Arial" w:hAnsi="Arial" w:cs="Arial"/>
          <w:sz w:val="20"/>
          <w:szCs w:val="20"/>
        </w:rPr>
        <w:t>[35] Turning to the applicant’s ‘collection of matters’ in mitigation, it is clear that the judge considered and gave appropriate weight to them individually and as a combined force. In particular, the judge recorded, at some length, the steps the applicant had taken towards rehabilitation and commended his desire to ‘pay back’ the community through the establishment of two charitable organisations. The judge specifically recorded that specific deterrence was accorded lesser weight. The applicant’s efforts towards rehabilitation are noteworthy, but in combination with the other matters advanced on his behalf do not, when weighed against the objective gravity of the offending and his moral culpability, establish that the sentence is manifestly excessive.”</w:t>
      </w:r>
    </w:p>
    <w:p w14:paraId="29D274BF" w14:textId="09D59BE1" w:rsidR="00655B96" w:rsidRDefault="00655B96"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r w:rsidRPr="001C6E0E">
        <w:rPr>
          <w:rFonts w:ascii="Arial" w:hAnsi="Arial" w:cs="Arial"/>
          <w:i/>
          <w:color w:val="000000"/>
          <w:sz w:val="20"/>
        </w:rPr>
        <w:t>Beckerton</w:t>
      </w:r>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Nguyen v The Queen; Phommalysack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0D2258">
      <w:pPr>
        <w:pStyle w:val="Quote1"/>
        <w:widowControl/>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w:t>
      </w:r>
      <w:r w:rsidRPr="001C6E0E">
        <w:rPr>
          <w:rFonts w:ascii="Arial" w:hAnsi="Arial" w:cs="Arial"/>
          <w:color w:val="000000"/>
          <w:sz w:val="20"/>
        </w:rPr>
        <w:lastRenderedPageBreak/>
        <w:t>an offender who, having been an addict for much of his or her adult life, and therefore fully appreciates 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R v Scott Wilson; DPP v Sassine; DPP v Kalakias;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accept in your favour that you did not inveigle your victim into starting up the illegal activity of sm</w:t>
      </w:r>
      <w:r w:rsidR="00D81F63">
        <w:rPr>
          <w:rFonts w:ascii="Arial" w:hAnsi="Arial" w:cs="Arial"/>
          <w:color w:val="000000"/>
          <w:sz w:val="20"/>
        </w:rPr>
        <w:t xml:space="preserve"> </w:t>
      </w:r>
      <w:r w:rsidRPr="001C6E0E">
        <w:rPr>
          <w:rFonts w:ascii="Arial" w:hAnsi="Arial" w:cs="Arial"/>
          <w:color w:val="000000"/>
          <w:sz w:val="20"/>
        </w:rPr>
        <w:t>oking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Pablo Foletti</w:t>
      </w:r>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Chinh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Winneke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 xml:space="preserve">"[10]  A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City">
        <w:smartTag w:uri="urn:schemas-microsoft-com:office:smarttags" w:element="place">
          <w:r w:rsidRPr="001C6E0E">
            <w:rPr>
              <w:rFonts w:ascii="Arial" w:hAnsi="Arial" w:cs="Arial"/>
              <w:i/>
              <w:color w:val="000000"/>
              <w:sz w:val="20"/>
            </w:rPr>
            <w:t>Salinas</w:t>
          </w:r>
        </w:smartTag>
      </w:smartTag>
      <w:r w:rsidRPr="001C6E0E">
        <w:rPr>
          <w:rFonts w:ascii="Arial" w:hAnsi="Arial" w:cs="Arial"/>
          <w:i/>
          <w:color w:val="000000"/>
          <w:sz w:val="20"/>
        </w:rPr>
        <w:t xml:space="preserve"> and Lizza</w:t>
      </w:r>
      <w:r w:rsidRPr="001C6E0E">
        <w:rPr>
          <w:rFonts w:ascii="Arial" w:hAnsi="Arial" w:cs="Arial"/>
          <w:color w:val="000000"/>
          <w:sz w:val="20"/>
        </w:rPr>
        <w:t xml:space="preserve"> [unreported, 24/02/1988] Southwell J expressed the view that trafficking in cocaine did not represent as great a threat to society and its victims as did the heroin trade.  In </w:t>
      </w:r>
      <w:r w:rsidRPr="001C6E0E">
        <w:rPr>
          <w:rFonts w:ascii="Arial" w:hAnsi="Arial" w:cs="Arial"/>
          <w:i/>
          <w:color w:val="000000"/>
          <w:sz w:val="20"/>
        </w:rPr>
        <w:t>R v Stavropoulos and Zamouzaris</w:t>
      </w:r>
      <w:r w:rsidRPr="001C6E0E">
        <w:rPr>
          <w:rFonts w:ascii="Arial" w:hAnsi="Arial" w:cs="Arial"/>
          <w:color w:val="000000"/>
          <w:sz w:val="20"/>
        </w:rPr>
        <w:t xml:space="preserve"> (1990) 50 A Crim R 315, McGarvie J, with whom Murphy and Brooking JJ agreed, said at 324:</w:t>
      </w:r>
    </w:p>
    <w:p w14:paraId="674B6934" w14:textId="77777777" w:rsidR="00BF52E5" w:rsidRPr="001C6E0E" w:rsidRDefault="00BF52E5" w:rsidP="007A6A2C">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sentences of the courts under the </w:t>
      </w:r>
      <w:r w:rsidRPr="001C6E0E">
        <w:rPr>
          <w:rFonts w:ascii="Arial" w:hAnsi="Arial" w:cs="Arial"/>
          <w:i/>
          <w:color w:val="000000"/>
          <w:sz w:val="20"/>
        </w:rPr>
        <w:t>Drugs, Poisons and Controlled Substances Act</w:t>
      </w:r>
      <w:r w:rsidRPr="001C6E0E">
        <w:rPr>
          <w:rFonts w:ascii="Arial" w:hAnsi="Arial" w:cs="Arial"/>
          <w:color w:val="000000"/>
          <w:sz w:val="20"/>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rsidP="00783246">
      <w:pPr>
        <w:pStyle w:val="Normal-Indent"/>
        <w:widowControl/>
        <w:spacing w:before="120" w:line="240" w:lineRule="auto"/>
        <w:ind w:left="567" w:right="567"/>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Bimahendali</w:t>
      </w:r>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[11]  More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[2002] VSCA 117, Winneke P, with whom Phillips JA and O’Bryan AJA agreed, said that it was:</w:t>
      </w:r>
    </w:p>
    <w:p w14:paraId="78571DC6" w14:textId="77777777" w:rsidR="00BF52E5" w:rsidRPr="001C6E0E" w:rsidRDefault="00BF52E5" w:rsidP="0085578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[1998] 4 VR 13 at 18 per Winneke P;</w:t>
      </w:r>
      <w:r w:rsidRPr="001C6E0E">
        <w:rPr>
          <w:rFonts w:ascii="Arial" w:hAnsi="Arial" w:cs="Arial"/>
          <w:i/>
          <w:iCs/>
          <w:color w:val="000000"/>
          <w:sz w:val="20"/>
        </w:rPr>
        <w:t xml:space="preserve"> R v Kevenaar</w:t>
      </w:r>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Heydon JA. In </w:t>
      </w:r>
      <w:smartTag w:uri="urn:schemas-microsoft-com:office:smarttags" w:element="place">
        <w:smartTag w:uri="urn:schemas-microsoft-com:office:smarttags" w:element="City">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1C6E0E" w:rsidRDefault="00BF52E5" w:rsidP="005E2302">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Pidoto;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Winneke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R v Pidoto;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R v Pidoto; R v O’Dea</w:t>
      </w:r>
      <w:r w:rsidRPr="001C6E0E">
        <w:rPr>
          <w:rFonts w:ascii="Arial" w:hAnsi="Arial" w:cs="Arial"/>
          <w:color w:val="000000"/>
          <w:sz w:val="20"/>
        </w:rPr>
        <w:t xml:space="preserve"> </w:t>
      </w:r>
      <w:r w:rsidRPr="001C6E0E">
        <w:rPr>
          <w:rFonts w:ascii="Arial" w:hAnsi="Arial" w:cs="Arial"/>
          <w:color w:val="000000"/>
          <w:sz w:val="20"/>
        </w:rPr>
        <w:lastRenderedPageBreak/>
        <w:t xml:space="preserve">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(Cth).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R v Bala</w:t>
      </w:r>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“Importantly, the amount which Bala trafficked was less than five per cent of a commercial quantity of cannabis.  The sentencing regime for drug trafficking offences is quantity-based [</w:t>
      </w:r>
      <w:r w:rsidRPr="001C6E0E">
        <w:rPr>
          <w:rFonts w:ascii="Arial" w:hAnsi="Arial" w:cs="Arial"/>
          <w:i/>
          <w:color w:val="000000"/>
          <w:sz w:val="20"/>
          <w:szCs w:val="20"/>
        </w:rPr>
        <w:t>R v Pidoto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Based on quantity, Bala’s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pPr>
        <w:jc w:val="both"/>
        <w:rPr>
          <w:rFonts w:ascii="Arial" w:hAnsi="Arial" w:cs="Arial"/>
          <w:color w:val="000000"/>
          <w:sz w:val="20"/>
        </w:rPr>
      </w:pPr>
      <w:r>
        <w:rPr>
          <w:rFonts w:ascii="Arial" w:hAnsi="Arial" w:cs="Arial"/>
          <w:color w:val="000000"/>
          <w:sz w:val="20"/>
        </w:rPr>
        <w:t xml:space="preserve">In </w:t>
      </w:r>
      <w:r w:rsidRPr="006232CB">
        <w:rPr>
          <w:rFonts w:ascii="Arial" w:hAnsi="Arial" w:cs="Arial"/>
          <w:i/>
          <w:iCs/>
          <w:color w:val="000000"/>
          <w:sz w:val="20"/>
        </w:rPr>
        <w:t>DPP v Fatho,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the sentencing regime for drug trafficking is quantity-based.  The quantity trafficked can never be the determining factor but it will always be of importance.  Other things being equal, the greater the quantity trafficked, the more serious the trafficking offence</w:t>
      </w:r>
      <w:r>
        <w:rPr>
          <w:rFonts w:ascii="Arial" w:hAnsi="Arial" w:cs="Arial"/>
          <w:sz w:val="20"/>
          <w:szCs w:val="20"/>
        </w:rPr>
        <w:t xml:space="preserve">: see,eg,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Phuong Bich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Default="00F009BB" w:rsidP="00F009BB">
      <w:pPr>
        <w:spacing w:before="60"/>
        <w:ind w:left="1021" w:right="1021"/>
        <w:jc w:val="both"/>
        <w:rPr>
          <w:rFonts w:ascii="Arial" w:hAnsi="Arial" w:cs="Arial"/>
          <w:color w:val="000000"/>
          <w:sz w:val="20"/>
        </w:rPr>
      </w:pPr>
      <w:r>
        <w:rPr>
          <w:rFonts w:ascii="Arial" w:hAnsi="Arial" w:cs="Arial"/>
          <w:color w:val="000000"/>
          <w:sz w:val="20"/>
        </w:rPr>
        <w:t>“</w:t>
      </w:r>
      <w:r w:rsidRPr="00233AEA">
        <w:rPr>
          <w:rFonts w:ascii="Arial" w:hAnsi="Arial" w:cs="Arial"/>
          <w:color w:val="000000"/>
          <w:sz w:val="20"/>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Default="00F009BB" w:rsidP="00F009BB">
      <w:pPr>
        <w:spacing w:before="60"/>
        <w:ind w:left="1021" w:right="1021"/>
        <w:jc w:val="both"/>
        <w:rPr>
          <w:rFonts w:ascii="Arial" w:hAnsi="Arial" w:cs="Arial"/>
          <w:color w:val="000000"/>
          <w:sz w:val="20"/>
        </w:rPr>
      </w:pPr>
      <w:r w:rsidRPr="00233AEA">
        <w:rPr>
          <w:rFonts w:ascii="Arial" w:hAnsi="Arial" w:cs="Arial"/>
          <w:color w:val="000000"/>
          <w:sz w:val="20"/>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r>
        <w:rPr>
          <w:rFonts w:ascii="Arial" w:hAnsi="Arial" w:cs="Arial"/>
          <w:color w:val="000000"/>
          <w:sz w:val="20"/>
        </w:rPr>
        <w:t>’</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R v Mahasay</w:t>
      </w:r>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R v Pidoto;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 xml:space="preserve">There is no reason, in principle, why the fact that the mixture contains what is plainly only the most miniscule quantity of a drug of dependence, and is therefore unlikely to </w:t>
      </w:r>
      <w:r w:rsidRPr="001C6E0E">
        <w:rPr>
          <w:rFonts w:ascii="Arial" w:hAnsi="Arial" w:cs="Arial"/>
          <w:color w:val="000000"/>
          <w:sz w:val="20"/>
          <w:szCs w:val="20"/>
        </w:rPr>
        <w:lastRenderedPageBreak/>
        <w:t>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r w:rsidRPr="001C6E0E">
        <w:rPr>
          <w:rFonts w:ascii="Arial" w:hAnsi="Arial" w:cs="Arial"/>
          <w:i/>
          <w:color w:val="000000"/>
          <w:sz w:val="20"/>
          <w:szCs w:val="20"/>
        </w:rPr>
        <w:t>Pidoto</w:t>
      </w:r>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r w:rsidRPr="008825B2">
        <w:rPr>
          <w:rFonts w:ascii="Arial" w:hAnsi="Arial" w:cs="Arial"/>
          <w:i/>
          <w:color w:val="000000"/>
          <w:sz w:val="20"/>
        </w:rPr>
        <w:t>Kapkidis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r w:rsidRPr="008825B2">
        <w:rPr>
          <w:rFonts w:ascii="Arial" w:hAnsi="Arial" w:cs="Arial"/>
          <w:i/>
          <w:color w:val="000000"/>
          <w:sz w:val="20"/>
          <w:szCs w:val="20"/>
        </w:rPr>
        <w:t>Pidoto</w:t>
      </w:r>
      <w:r w:rsidRPr="008825B2">
        <w:rPr>
          <w:rFonts w:ascii="Arial" w:hAnsi="Arial" w:cs="Arial"/>
          <w:color w:val="000000"/>
          <w:sz w:val="20"/>
          <w:szCs w:val="20"/>
        </w:rPr>
        <w:t>.  There is no place for considering the relative harmfulness of a drug in sentencing an offender for trafficking offences.  Where the purity of the amount trafficked is ‘de minimis’ it may be taken into account, but save for such exceptional circumstances, 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R v Pidoto;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D’Aloia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R v Reed &amp; Shortis</w:t>
      </w:r>
      <w:r w:rsidR="00AE3040" w:rsidRPr="001C6E0E">
        <w:rPr>
          <w:rFonts w:ascii="Arial" w:hAnsi="Arial" w:cs="Arial"/>
          <w:color w:val="000000"/>
          <w:sz w:val="20"/>
        </w:rPr>
        <w:t xml:space="preserve"> [2007] VSCA 67; </w:t>
      </w:r>
      <w:r w:rsidR="001004F7" w:rsidRPr="001C6E0E">
        <w:rPr>
          <w:rFonts w:ascii="Arial" w:hAnsi="Arial" w:cs="Arial"/>
          <w:i/>
          <w:color w:val="000000"/>
          <w:sz w:val="20"/>
        </w:rPr>
        <w:t>R v Karafilowski</w:t>
      </w:r>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Winneke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Weitering</w:t>
      </w:r>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Chernov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Gaudron, Hayne &amp; Callinan JJ in R v Olbrich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w:t>
      </w:r>
      <w:r w:rsidR="00187F4C" w:rsidRPr="001C6E0E">
        <w:rPr>
          <w:rFonts w:ascii="Arial" w:hAnsi="Arial" w:cs="Arial"/>
          <w:color w:val="000000"/>
          <w:sz w:val="20"/>
        </w:rPr>
        <w:lastRenderedPageBreak/>
        <w:t xml:space="preserve">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she had shown a significant degree of rehabilitation.  At [17] Chernov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traffick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[10] I am satisfied that, because of the combination of several factors, the situation of all three of you is that an immediate term of imprisonment is not the only appropriate option.  The first is that the trafficking was at a relatively lower level.  The second is that Z was not sentenced to an immediate term of imprisonment.  Accordingly, parity factors apply, 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Catanzariti</w:t>
      </w:r>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6EBF7466"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DPP(Cth)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 xml:space="preserve">(Cth).  His role had been to “clear drugs” through Customs.  In the course of allowing a DPP appeal and increasing the respondent’s sentence to 7½ years with a minimum of 5 years, Winneke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5D2AEF">
      <w:pPr>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w:t>
      </w:r>
      <w:r w:rsidRPr="001C6E0E">
        <w:rPr>
          <w:rFonts w:ascii="Arial" w:hAnsi="Arial" w:cs="Arial"/>
          <w:color w:val="000000"/>
          <w:sz w:val="20"/>
        </w:rPr>
        <w:lastRenderedPageBreak/>
        <w:t xml:space="preserve">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R. v. Su</w:t>
      </w:r>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Fullagar</w:t>
      </w:r>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1C6E0E" w:rsidRDefault="00AF33FE" w:rsidP="006A4B3B">
      <w:pPr>
        <w:pStyle w:val="Quote1Char"/>
        <w:spacing w:before="60" w:after="60"/>
        <w:ind w:left="1134" w:right="1134" w:firstLine="0"/>
        <w:rPr>
          <w:rFonts w:ascii="Arial" w:hAnsi="Arial" w:cs="Arial"/>
          <w:color w:val="000000"/>
          <w:sz w:val="20"/>
        </w:rPr>
      </w:pPr>
      <w:r w:rsidRPr="001C6E0E">
        <w:rPr>
          <w:rFonts w:ascii="Arial" w:hAnsi="Arial" w:cs="Arial"/>
          <w:color w:val="000000"/>
          <w:sz w:val="20"/>
        </w:rPr>
        <w:t>‘Parliament has indicated the clear legislative intention that severe 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traffick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Cassar</w:t>
      </w:r>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and operating in effect as a customs agent, his role in the enterprise was to be the “man on the inside”.  In holding that a sentence of 6 years’ imprisonment with a non-parole period of 4 years was not manifestly excessive, Nettle JA, with whom Chernov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R v Marcuson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R v Berisha &amp; Ors.</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Phenny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lastRenderedPageBreak/>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country-region">
        <w:smartTag w:uri="urn:schemas-microsoft-com:office:smarttags" w:element="place">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Kiam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largest ever detected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R v Soo Su</w:t>
      </w:r>
      <w:r w:rsidRPr="001C6E0E">
        <w:rPr>
          <w:rFonts w:ascii="Arial" w:hAnsi="Arial" w:cs="Arial"/>
          <w:color w:val="000000"/>
          <w:sz w:val="20"/>
        </w:rPr>
        <w:t xml:space="preserve"> [1997] 1 VR 1 at 73:</w:t>
      </w:r>
    </w:p>
    <w:p w14:paraId="7407F1A2" w14:textId="77777777" w:rsidR="00A92372" w:rsidRPr="001C6E0E" w:rsidRDefault="00A92372" w:rsidP="00A92372">
      <w:pPr>
        <w:ind w:left="1134" w:right="1134"/>
        <w:jc w:val="both"/>
        <w:rPr>
          <w:rFonts w:ascii="Arial" w:hAnsi="Arial" w:cs="Arial"/>
          <w:color w:val="000000"/>
          <w:sz w:val="20"/>
        </w:rPr>
      </w:pPr>
      <w:r w:rsidRPr="001C6E0E">
        <w:rPr>
          <w:rFonts w:ascii="Arial" w:hAnsi="Arial" w:cs="Arial"/>
          <w:color w:val="000000"/>
          <w:sz w:val="20"/>
        </w:rPr>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1C6E0E" w:rsidRDefault="00FD752C" w:rsidP="004E4510">
      <w:pPr>
        <w:pStyle w:val="Quote1Char"/>
        <w:widowControl/>
        <w:spacing w:before="0"/>
        <w:ind w:left="1134" w:right="1134" w:firstLine="0"/>
        <w:rPr>
          <w:rFonts w:ascii="Arial" w:hAnsi="Arial" w:cs="Arial"/>
          <w:color w:val="000000"/>
          <w:sz w:val="20"/>
        </w:rPr>
      </w:pPr>
      <w:r w:rsidRPr="001C6E0E">
        <w:rPr>
          <w:rFonts w:ascii="Arial" w:hAnsi="Arial" w:cs="Arial"/>
          <w:color w:val="000000"/>
          <w:sz w:val="20"/>
        </w:rPr>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1C6E0E" w:rsidRDefault="00FD752C" w:rsidP="00FD752C">
      <w:pPr>
        <w:spacing w:before="60"/>
        <w:ind w:left="1134" w:right="1134"/>
        <w:jc w:val="both"/>
        <w:rPr>
          <w:rFonts w:ascii="Arial" w:hAnsi="Arial" w:cs="Arial"/>
          <w:color w:val="000000"/>
          <w:sz w:val="20"/>
        </w:rPr>
      </w:pPr>
      <w:r w:rsidRPr="001C6E0E">
        <w:rPr>
          <w:rFonts w:ascii="Arial" w:hAnsi="Arial" w:cs="Arial"/>
          <w:color w:val="000000"/>
          <w:sz w:val="20"/>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R v Yau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“In my view lest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Chandler &amp; Paksoy</w:t>
      </w:r>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City">
        <w:smartTag w:uri="urn:schemas-microsoft-com:office:smarttags" w:element="place">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he had taken without permission in the course of his employment with a company whose business was the authorised disposal of pharmaceutical waste.  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Phommalysack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(supra);  </w:t>
      </w:r>
      <w:r w:rsidRPr="001C6E0E">
        <w:rPr>
          <w:rFonts w:ascii="Arial" w:hAnsi="Arial" w:cs="Arial"/>
          <w:i/>
          <w:color w:val="000000"/>
          <w:sz w:val="20"/>
          <w:szCs w:val="20"/>
        </w:rPr>
        <w:t>Savass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446D43">
      <w:pPr>
        <w:keepNext/>
        <w:keepLines/>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six sentences imposed for possession and attempted possession of a marketable quantity of a border controlled drug contrary to s.307.6(1) of the Cth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24 sentences imposed for importation and attempted importation of a marketable quantity of a border controlled drug contrary to s.307.2(1) of the Cth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(Macfarlan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 xml:space="preserve">where an offender…is to be sentenced for an attempted possession offence, it should be kept in mind that the act of attempted possession can be attended by a wide range of </w:t>
      </w:r>
      <w:r w:rsidRPr="001C6E0E">
        <w:rPr>
          <w:rFonts w:ascii="Arial" w:hAnsi="Arial" w:cs="Arial"/>
          <w:color w:val="000000"/>
          <w:sz w:val="20"/>
        </w:rPr>
        <w:lastRenderedPageBreak/>
        <w:t>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Frank Blango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lastRenderedPageBreak/>
        <w:t>In</w:t>
      </w:r>
      <w:r w:rsidRPr="007A5C0F">
        <w:rPr>
          <w:rFonts w:ascii="Arial" w:hAnsi="Arial" w:cs="Arial"/>
          <w:color w:val="000000"/>
          <w:sz w:val="20"/>
          <w:szCs w:val="20"/>
        </w:rPr>
        <w:t xml:space="preserve"> </w:t>
      </w:r>
      <w:r w:rsidRPr="007A5C0F">
        <w:rPr>
          <w:rFonts w:ascii="Arial" w:hAnsi="Arial" w:cs="Arial"/>
          <w:i/>
          <w:color w:val="000000"/>
          <w:sz w:val="20"/>
          <w:szCs w:val="20"/>
        </w:rPr>
        <w:t>Ban Joo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mitiganting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(Cth)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r w:rsidR="00F670EB" w:rsidRPr="00F670EB">
        <w:rPr>
          <w:rFonts w:ascii="Arial" w:hAnsi="Arial" w:cs="Arial"/>
          <w:i/>
          <w:sz w:val="20"/>
          <w:szCs w:val="20"/>
        </w:rPr>
        <w:t>Cappis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invoving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His very considerable offending called for very considerable punishment.  Not only was general deterrence an important feature that needed to be reflected in the sentence imposed, but his enthusiastic and cynical offending demonstrated that a healthy measure of personal 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r w:rsidR="006A6711">
        <w:rPr>
          <w:rFonts w:ascii="Arial" w:hAnsi="Arial" w:cs="Arial"/>
          <w:color w:val="000000"/>
          <w:sz w:val="20"/>
          <w:szCs w:val="20"/>
        </w:rPr>
        <w:t xml:space="preserve">coffender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r w:rsidRPr="00D63AEC">
        <w:rPr>
          <w:rFonts w:ascii="Arial" w:eastAsia="Book Antiqua" w:hAnsi="Arial" w:cs="Arial"/>
          <w:i/>
          <w:sz w:val="20"/>
          <w:szCs w:val="20"/>
        </w:rPr>
        <w:t xml:space="preserve">Schanker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30BECD3E" w:rsidR="006E3804" w:rsidRDefault="006E3804" w:rsidP="00EF63FD">
      <w:pPr>
        <w:jc w:val="both"/>
        <w:rPr>
          <w:rFonts w:ascii="Arial" w:hAnsi="Arial" w:cs="Arial"/>
          <w:color w:val="000000"/>
          <w:sz w:val="20"/>
          <w:szCs w:val="20"/>
        </w:rPr>
      </w:pPr>
    </w:p>
    <w:p w14:paraId="22D48024" w14:textId="19D824EA" w:rsidR="00D27315" w:rsidRDefault="00D27315" w:rsidP="00EF63FD">
      <w:pPr>
        <w:jc w:val="both"/>
        <w:rPr>
          <w:rFonts w:ascii="Arial" w:hAnsi="Arial" w:cs="Arial"/>
          <w:color w:val="000000"/>
          <w:sz w:val="20"/>
          <w:szCs w:val="20"/>
        </w:rPr>
      </w:pPr>
      <w:r w:rsidRPr="006E3804">
        <w:rPr>
          <w:rFonts w:ascii="Arial" w:hAnsi="Arial" w:cs="Arial"/>
          <w:color w:val="000000"/>
          <w:sz w:val="20"/>
          <w:szCs w:val="20"/>
        </w:rPr>
        <w:t xml:space="preserve">In </w:t>
      </w:r>
      <w:r w:rsidR="00413682" w:rsidRPr="00413682">
        <w:rPr>
          <w:rFonts w:ascii="Arial" w:hAnsi="Arial" w:cs="Arial"/>
          <w:i/>
          <w:iCs/>
          <w:color w:val="000000"/>
          <w:sz w:val="20"/>
          <w:szCs w:val="20"/>
        </w:rPr>
        <w:t xml:space="preserve">Terry James </w:t>
      </w:r>
      <w:r>
        <w:rPr>
          <w:rFonts w:ascii="Arial" w:hAnsi="Arial" w:cs="Arial"/>
          <w:i/>
          <w:iCs/>
          <w:color w:val="000000"/>
          <w:sz w:val="20"/>
          <w:szCs w:val="20"/>
        </w:rPr>
        <w:t>Johnson</w:t>
      </w:r>
      <w:r w:rsidRPr="006E3804">
        <w:rPr>
          <w:rFonts w:ascii="Arial" w:hAnsi="Arial" w:cs="Arial"/>
          <w:i/>
          <w:iCs/>
          <w:color w:val="000000"/>
          <w:sz w:val="20"/>
          <w:szCs w:val="20"/>
        </w:rPr>
        <w:t xml:space="preserve"> v The </w:t>
      </w:r>
      <w:r>
        <w:rPr>
          <w:rFonts w:ascii="Arial" w:hAnsi="Arial" w:cs="Arial"/>
          <w:i/>
          <w:iCs/>
          <w:color w:val="000000"/>
          <w:sz w:val="20"/>
          <w:szCs w:val="20"/>
        </w:rPr>
        <w:t>King</w:t>
      </w:r>
      <w:r w:rsidRPr="006E3804">
        <w:rPr>
          <w:rFonts w:ascii="Arial" w:hAnsi="Arial" w:cs="Arial"/>
          <w:i/>
          <w:iCs/>
          <w:color w:val="000000"/>
          <w:sz w:val="20"/>
          <w:szCs w:val="20"/>
        </w:rPr>
        <w:t xml:space="preserve"> </w:t>
      </w:r>
      <w:r w:rsidRPr="006E3804">
        <w:rPr>
          <w:rFonts w:ascii="Arial" w:hAnsi="Arial" w:cs="Arial"/>
          <w:color w:val="000000"/>
          <w:sz w:val="20"/>
          <w:szCs w:val="20"/>
        </w:rPr>
        <w:t>[2022] VSCA 2</w:t>
      </w:r>
      <w:r>
        <w:rPr>
          <w:rFonts w:ascii="Arial" w:hAnsi="Arial" w:cs="Arial"/>
          <w:color w:val="000000"/>
          <w:sz w:val="20"/>
          <w:szCs w:val="20"/>
        </w:rPr>
        <w:t>28</w:t>
      </w:r>
      <w:r w:rsidRPr="006E3804">
        <w:rPr>
          <w:rFonts w:ascii="Arial" w:hAnsi="Arial" w:cs="Arial"/>
          <w:color w:val="000000"/>
          <w:sz w:val="20"/>
          <w:szCs w:val="20"/>
        </w:rPr>
        <w:t xml:space="preserve"> </w:t>
      </w:r>
      <w:r>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Pr>
          <w:rFonts w:ascii="Arial" w:hAnsi="Arial" w:cs="Arial"/>
          <w:color w:val="000000"/>
          <w:sz w:val="20"/>
          <w:szCs w:val="20"/>
        </w:rPr>
        <w:t xml:space="preserve">refused leave to appeal against a sentence of IMP2y6m/16m imposed on a </w:t>
      </w:r>
      <w:r w:rsidR="006E2B80">
        <w:rPr>
          <w:rFonts w:ascii="Arial" w:hAnsi="Arial" w:cs="Arial"/>
          <w:color w:val="000000"/>
          <w:sz w:val="20"/>
          <w:szCs w:val="20"/>
        </w:rPr>
        <w:t xml:space="preserve">31 </w:t>
      </w:r>
      <w:r>
        <w:rPr>
          <w:rFonts w:ascii="Arial" w:hAnsi="Arial" w:cs="Arial"/>
          <w:color w:val="000000"/>
          <w:sz w:val="20"/>
          <w:szCs w:val="20"/>
        </w:rPr>
        <w:t xml:space="preserve">year old offender </w:t>
      </w:r>
      <w:r w:rsidR="006E2B80">
        <w:rPr>
          <w:rFonts w:ascii="Arial" w:hAnsi="Arial" w:cs="Arial"/>
          <w:color w:val="000000"/>
          <w:sz w:val="20"/>
          <w:szCs w:val="20"/>
        </w:rPr>
        <w:t xml:space="preserve">with an extensive criminal history </w:t>
      </w:r>
      <w:r>
        <w:rPr>
          <w:rFonts w:ascii="Arial" w:hAnsi="Arial" w:cs="Arial"/>
          <w:color w:val="000000"/>
          <w:sz w:val="20"/>
          <w:szCs w:val="20"/>
        </w:rPr>
        <w:t xml:space="preserve">who had pleaded guilty to </w:t>
      </w:r>
      <w:r w:rsidR="006E2B80">
        <w:rPr>
          <w:rFonts w:ascii="Arial" w:hAnsi="Arial" w:cs="Arial"/>
          <w:color w:val="000000"/>
          <w:sz w:val="20"/>
          <w:szCs w:val="20"/>
        </w:rPr>
        <w:t xml:space="preserve">trafficking methylamphetamine.  At [9] &amp; [23]-[24] </w:t>
      </w:r>
      <w:r w:rsidR="00671EE8">
        <w:rPr>
          <w:rFonts w:ascii="Arial" w:hAnsi="Arial" w:cs="Arial"/>
          <w:color w:val="000000"/>
          <w:sz w:val="20"/>
          <w:szCs w:val="20"/>
        </w:rPr>
        <w:t xml:space="preserve">Priest AP &amp; </w:t>
      </w:r>
      <w:r w:rsidR="006E2B80">
        <w:rPr>
          <w:rFonts w:ascii="Arial" w:hAnsi="Arial" w:cs="Arial"/>
          <w:color w:val="000000"/>
          <w:sz w:val="20"/>
          <w:szCs w:val="20"/>
        </w:rPr>
        <w:t>Niall JA said:</w:t>
      </w:r>
    </w:p>
    <w:p w14:paraId="527E65AC" w14:textId="72307970"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lastRenderedPageBreak/>
        <w:t>[9] “</w:t>
      </w:r>
      <w:r w:rsidRPr="006E2B80">
        <w:rPr>
          <w:rFonts w:ascii="Arial" w:hAnsi="Arial" w:cs="Arial"/>
          <w:sz w:val="20"/>
          <w:szCs w:val="20"/>
        </w:rPr>
        <w:t>The charge of trafficking in a drug of dependence was put on the basis of possession for sale</w:t>
      </w:r>
      <w:r>
        <w:rPr>
          <w:rFonts w:ascii="Arial" w:hAnsi="Arial" w:cs="Arial"/>
          <w:sz w:val="20"/>
          <w:szCs w:val="20"/>
        </w:rPr>
        <w:t xml:space="preserve">: see </w:t>
      </w:r>
      <w:r w:rsidRPr="006E2B80">
        <w:rPr>
          <w:rFonts w:ascii="Arial" w:hAnsi="Arial" w:cs="Arial"/>
          <w:sz w:val="20"/>
          <w:szCs w:val="20"/>
        </w:rPr>
        <w:t>the definition of ‘traffick’ in s 70 of the Drugs Act.</w:t>
      </w:r>
      <w:r>
        <w:rPr>
          <w:rFonts w:ascii="Arial" w:hAnsi="Arial" w:cs="Arial"/>
          <w:sz w:val="20"/>
          <w:szCs w:val="20"/>
        </w:rPr>
        <w:t xml:space="preserve">  </w:t>
      </w:r>
      <w:r w:rsidRPr="006E2B80">
        <w:rPr>
          <w:rFonts w:ascii="Arial" w:hAnsi="Arial" w:cs="Arial"/>
          <w:sz w:val="20"/>
          <w:szCs w:val="20"/>
        </w:rPr>
        <w:t>In this case, the applicant was found in possession of 94 grams of pure methylamphetamine. The commercial quantity of methylamphetamine is 50 grams pure</w:t>
      </w:r>
      <w:r>
        <w:rPr>
          <w:rFonts w:ascii="Arial" w:hAnsi="Arial" w:cs="Arial"/>
          <w:sz w:val="20"/>
          <w:szCs w:val="20"/>
        </w:rPr>
        <w:t xml:space="preserve"> [</w:t>
      </w:r>
      <w:r w:rsidRPr="006E2B80">
        <w:rPr>
          <w:rFonts w:ascii="Arial" w:hAnsi="Arial" w:cs="Arial"/>
          <w:sz w:val="20"/>
          <w:szCs w:val="20"/>
        </w:rPr>
        <w:t>Drugs Act, Schedule 11, Part 3, column 2</w:t>
      </w:r>
      <w:r>
        <w:rPr>
          <w:rFonts w:ascii="Arial" w:hAnsi="Arial" w:cs="Arial"/>
          <w:sz w:val="20"/>
          <w:szCs w:val="20"/>
        </w:rPr>
        <w:t>]</w:t>
      </w:r>
      <w:r w:rsidRPr="006E2B80">
        <w:rPr>
          <w:rFonts w:ascii="Arial" w:hAnsi="Arial" w:cs="Arial"/>
          <w:sz w:val="20"/>
          <w:szCs w:val="20"/>
        </w:rPr>
        <w:t xml:space="preserve"> and the trafficable quantity is three grams (in a mixture)</w:t>
      </w:r>
      <w:r>
        <w:rPr>
          <w:rFonts w:ascii="Arial" w:hAnsi="Arial" w:cs="Arial"/>
          <w:sz w:val="20"/>
          <w:szCs w:val="20"/>
        </w:rPr>
        <w:t xml:space="preserve"> [</w:t>
      </w:r>
      <w:r w:rsidRPr="006E2B80">
        <w:rPr>
          <w:rFonts w:ascii="Arial" w:hAnsi="Arial" w:cs="Arial"/>
          <w:sz w:val="20"/>
          <w:szCs w:val="20"/>
        </w:rPr>
        <w:t>Drugs Act, Schedule 11, Part 3, column 3</w:t>
      </w:r>
      <w:r>
        <w:rPr>
          <w:rFonts w:ascii="Arial" w:hAnsi="Arial" w:cs="Arial"/>
          <w:sz w:val="20"/>
          <w:szCs w:val="20"/>
        </w:rPr>
        <w:t>]</w:t>
      </w:r>
      <w:r w:rsidRPr="006E2B80">
        <w:rPr>
          <w:rFonts w:ascii="Arial" w:hAnsi="Arial" w:cs="Arial"/>
          <w:sz w:val="20"/>
          <w:szCs w:val="20"/>
        </w:rPr>
        <w:t>. All other things being equal, the greater the quantity trafficked the more serious the offence</w:t>
      </w:r>
      <w:r>
        <w:rPr>
          <w:rFonts w:ascii="Arial" w:hAnsi="Arial" w:cs="Arial"/>
          <w:sz w:val="20"/>
          <w:szCs w:val="20"/>
        </w:rPr>
        <w:t xml:space="preserve">: see </w:t>
      </w:r>
      <w:r w:rsidRPr="006E2B80">
        <w:rPr>
          <w:rFonts w:ascii="Arial" w:hAnsi="Arial" w:cs="Arial"/>
          <w:i/>
          <w:iCs/>
          <w:sz w:val="20"/>
          <w:szCs w:val="20"/>
        </w:rPr>
        <w:t>Wong v The Queen</w:t>
      </w:r>
      <w:r w:rsidRPr="006E2B80">
        <w:rPr>
          <w:rFonts w:ascii="Arial" w:hAnsi="Arial" w:cs="Arial"/>
          <w:sz w:val="20"/>
          <w:szCs w:val="20"/>
        </w:rPr>
        <w:t xml:space="preserve"> (2001) 207 CLR 584, 609 [67]–[69]; </w:t>
      </w:r>
      <w:r w:rsidRPr="006E2B80">
        <w:rPr>
          <w:rFonts w:ascii="Arial" w:hAnsi="Arial" w:cs="Arial"/>
          <w:i/>
          <w:iCs/>
          <w:sz w:val="20"/>
          <w:szCs w:val="20"/>
        </w:rPr>
        <w:t>R v Pidoto</w:t>
      </w:r>
      <w:r w:rsidRPr="006E2B80">
        <w:rPr>
          <w:rFonts w:ascii="Arial" w:hAnsi="Arial" w:cs="Arial"/>
          <w:sz w:val="20"/>
          <w:szCs w:val="20"/>
        </w:rPr>
        <w:t xml:space="preserve"> (2006) 14 VR 269, 278 [41]; </w:t>
      </w:r>
      <w:r w:rsidRPr="006E2B80">
        <w:rPr>
          <w:rFonts w:ascii="Arial" w:hAnsi="Arial" w:cs="Arial"/>
          <w:i/>
          <w:iCs/>
          <w:sz w:val="20"/>
          <w:szCs w:val="20"/>
        </w:rPr>
        <w:t>DPP (Cth) v KMD</w:t>
      </w:r>
      <w:r w:rsidRPr="006E2B80">
        <w:rPr>
          <w:rFonts w:ascii="Arial" w:hAnsi="Arial" w:cs="Arial"/>
          <w:sz w:val="20"/>
          <w:szCs w:val="20"/>
        </w:rPr>
        <w:t xml:space="preserve"> (2015) 254 A Crim R 244, 257 [52]; </w:t>
      </w:r>
      <w:r w:rsidRPr="006E2B80">
        <w:rPr>
          <w:rFonts w:ascii="Arial" w:hAnsi="Arial" w:cs="Arial"/>
          <w:i/>
          <w:iCs/>
          <w:sz w:val="20"/>
          <w:szCs w:val="20"/>
        </w:rPr>
        <w:t>Gregory (a pseudonym) v The Queen</w:t>
      </w:r>
      <w:r w:rsidRPr="006E2B80">
        <w:rPr>
          <w:rFonts w:ascii="Arial" w:hAnsi="Arial" w:cs="Arial"/>
          <w:sz w:val="20"/>
          <w:szCs w:val="20"/>
        </w:rPr>
        <w:t xml:space="preserve"> (2017) 268 A Crim R 1, 8 [24]</w:t>
      </w:r>
      <w:r>
        <w:rPr>
          <w:rFonts w:ascii="Arial" w:hAnsi="Arial" w:cs="Arial"/>
          <w:sz w:val="20"/>
          <w:szCs w:val="20"/>
        </w:rPr>
        <w:t xml:space="preserve">; </w:t>
      </w:r>
      <w:r w:rsidRPr="006E2B80">
        <w:rPr>
          <w:rFonts w:ascii="Arial" w:hAnsi="Arial" w:cs="Arial"/>
          <w:i/>
          <w:iCs/>
          <w:sz w:val="20"/>
          <w:szCs w:val="20"/>
        </w:rPr>
        <w:t>Lytras v The Queen</w:t>
      </w:r>
      <w:r w:rsidRPr="006E2B80">
        <w:rPr>
          <w:rFonts w:ascii="Arial" w:hAnsi="Arial" w:cs="Arial"/>
          <w:sz w:val="20"/>
          <w:szCs w:val="20"/>
        </w:rPr>
        <w:t xml:space="preserve"> [2020] VSCA 150, [59]</w:t>
      </w:r>
      <w:r>
        <w:rPr>
          <w:rFonts w:ascii="Arial" w:hAnsi="Arial" w:cs="Arial"/>
          <w:sz w:val="20"/>
          <w:szCs w:val="20"/>
        </w:rPr>
        <w:noBreakHyphen/>
      </w:r>
      <w:r w:rsidRPr="006E2B80">
        <w:rPr>
          <w:rFonts w:ascii="Arial" w:hAnsi="Arial" w:cs="Arial"/>
          <w:sz w:val="20"/>
          <w:szCs w:val="20"/>
        </w:rPr>
        <w:t>[63]. Thus, even if one accepts — as was put to the judge by the applicant’s counsel — that some of the ice in the applicant’s possession was intended for personal use, the quantity that he possessed for sale remains significant.</w:t>
      </w:r>
      <w:r>
        <w:rPr>
          <w:rFonts w:ascii="Arial" w:hAnsi="Arial" w:cs="Arial"/>
          <w:sz w:val="20"/>
          <w:szCs w:val="20"/>
        </w:rPr>
        <w:t>”</w:t>
      </w:r>
    </w:p>
    <w:p w14:paraId="7F128926" w14:textId="0C5C0EF4"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[23] “</w:t>
      </w:r>
      <w:r w:rsidRPr="006E2B80">
        <w:rPr>
          <w:rFonts w:ascii="Arial" w:hAnsi="Arial" w:cs="Arial"/>
          <w:sz w:val="20"/>
          <w:szCs w:val="20"/>
        </w:rPr>
        <w:t>Although, in the circumstances of this case, the sentence imposed appears to be stern, we are not persuaded that it is wholly outside the range of sentences open in the sound exercise of discretion. That being so, appellate intervention is not warranted.</w:t>
      </w:r>
    </w:p>
    <w:p w14:paraId="42B64D9A" w14:textId="062F539A" w:rsidR="006E2B80" w:rsidRP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 xml:space="preserve">[24] </w:t>
      </w:r>
      <w:r w:rsidRPr="006E2B80">
        <w:rPr>
          <w:rFonts w:ascii="Arial" w:hAnsi="Arial" w:cs="Arial"/>
          <w:sz w:val="20"/>
          <w:szCs w:val="20"/>
        </w:rPr>
        <w:t>This Court has emphasised on many occasions that general deterrence is an important sentencing consideration in cases of drug trafficking. Those who seek the apparent financial rewards associated with drug trafficking must know that they will be punished appropriately if detected. It is also important that a sentencing court take into account the prevalence of the offence of trafficking in methylamphetamine when assessing the weight to be given to general deterrence</w:t>
      </w:r>
      <w:r w:rsidRPr="006E2B80">
        <w:rPr>
          <w:rFonts w:ascii="Arial" w:hAnsi="Arial" w:cs="Arial"/>
          <w:i/>
          <w:iCs/>
          <w:sz w:val="20"/>
          <w:szCs w:val="20"/>
        </w:rPr>
        <w:t>: Haddara v The Queen</w:t>
      </w:r>
      <w:r w:rsidRPr="006E2B80">
        <w:rPr>
          <w:rFonts w:ascii="Arial" w:hAnsi="Arial" w:cs="Arial"/>
          <w:sz w:val="20"/>
          <w:szCs w:val="20"/>
        </w:rPr>
        <w:t xml:space="preserve"> [2016] VSCA 168, [69] (Redlich, Priest and Beach JJA).”</w:t>
      </w:r>
    </w:p>
    <w:p w14:paraId="610F7288" w14:textId="2F9C2BDE" w:rsidR="00D27315" w:rsidRDefault="00D27315" w:rsidP="00EF63FD">
      <w:pPr>
        <w:jc w:val="both"/>
        <w:rPr>
          <w:rFonts w:ascii="Arial" w:hAnsi="Arial" w:cs="Arial"/>
          <w:color w:val="000000"/>
          <w:sz w:val="20"/>
          <w:szCs w:val="20"/>
        </w:rPr>
      </w:pPr>
    </w:p>
    <w:p w14:paraId="3F641EE7" w14:textId="3E91B208" w:rsidR="00C0478F" w:rsidRPr="00C0478F" w:rsidRDefault="00C0478F" w:rsidP="00C0478F">
      <w:pPr>
        <w:jc w:val="both"/>
        <w:rPr>
          <w:rFonts w:ascii="Arial" w:hAnsi="Arial" w:cs="Arial"/>
          <w:color w:val="000000"/>
          <w:sz w:val="20"/>
          <w:szCs w:val="20"/>
        </w:rPr>
      </w:pPr>
      <w:r w:rsidRPr="00C0478F">
        <w:rPr>
          <w:rFonts w:ascii="Arial" w:hAnsi="Arial" w:cs="Arial"/>
          <w:color w:val="000000"/>
          <w:sz w:val="20"/>
          <w:szCs w:val="20"/>
        </w:rPr>
        <w:t xml:space="preserve">In </w:t>
      </w:r>
      <w:r w:rsidRPr="00C0478F">
        <w:rPr>
          <w:rFonts w:ascii="Arial" w:hAnsi="Arial" w:cs="Arial"/>
          <w:i/>
          <w:iCs/>
          <w:color w:val="000000"/>
          <w:sz w:val="20"/>
          <w:szCs w:val="20"/>
        </w:rPr>
        <w:t>Rohen v The King</w:t>
      </w:r>
      <w:r w:rsidRPr="00C0478F">
        <w:rPr>
          <w:rFonts w:ascii="Arial" w:hAnsi="Arial" w:cs="Arial"/>
          <w:color w:val="000000"/>
          <w:sz w:val="20"/>
          <w:szCs w:val="20"/>
        </w:rPr>
        <w:t xml:space="preserve"> [2024] VSCA 1</w:t>
      </w:r>
      <w:r>
        <w:rPr>
          <w:rFonts w:ascii="Arial" w:hAnsi="Arial" w:cs="Arial"/>
          <w:color w:val="000000"/>
          <w:sz w:val="20"/>
          <w:szCs w:val="20"/>
        </w:rPr>
        <w:t>, the applicant was f</w:t>
      </w:r>
      <w:r w:rsidRPr="00C0478F">
        <w:rPr>
          <w:rFonts w:ascii="Arial" w:hAnsi="Arial" w:cs="Arial"/>
          <w:color w:val="000000"/>
          <w:sz w:val="20"/>
          <w:szCs w:val="20"/>
        </w:rPr>
        <w:t>ound guilty after a jury trial and sentenced to IMP10y/6y6m on a charge of attempting to possess a commercial quantity of an unlawfully imported border controlled drug, namely 15.456kg of cocaine.</w:t>
      </w:r>
      <w:r>
        <w:rPr>
          <w:rFonts w:ascii="Arial" w:hAnsi="Arial" w:cs="Arial"/>
          <w:color w:val="000000"/>
          <w:sz w:val="20"/>
          <w:szCs w:val="20"/>
        </w:rPr>
        <w:t xml:space="preserve">  In refusing leave to appeal against the sentence, Boyce JA (with whom Priest &amp; Taylor JJA agreed) said at [125]-[126]:</w:t>
      </w:r>
    </w:p>
    <w:p w14:paraId="589C32FB" w14:textId="77777777" w:rsid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 xml:space="preserve">[125] “…[T]he </w:t>
      </w:r>
      <w:r w:rsidRPr="00C0478F">
        <w:rPr>
          <w:rFonts w:ascii="Arial" w:hAnsi="Arial" w:cs="Arial"/>
          <w:sz w:val="20"/>
          <w:szCs w:val="20"/>
        </w:rPr>
        <w:t>offence committed by the applicant carries a maximum penalty of life imprisonment. The applicant attempted to possess a very substantial quantity of cocaine — well over the commercial threshold — that was valued at millions of dollars (whether the value be assessed at wholesale or street level). His role, while limited, was nonetheless an important one; after all, he signed for the consignment containing the drugs and assisted in the consignment’s transfer away from the point of delivery. The judge, in my view correctly, characterised the applicant’s assistance as ‘substantial and important’ to the overall aims of the criminal enterprise. The applicant could not rely on the mitigating effect of a plea of guilty. The applicant had relevant prior convictions.</w:t>
      </w:r>
    </w:p>
    <w:p w14:paraId="15EB2EA6" w14:textId="58DBBC72" w:rsidR="00C0478F" w:rsidRPr="00C0478F" w:rsidRDefault="00C0478F" w:rsidP="007B6998">
      <w:pPr>
        <w:tabs>
          <w:tab w:val="left" w:pos="284"/>
        </w:tabs>
        <w:spacing w:before="60"/>
        <w:ind w:left="454" w:right="454"/>
        <w:jc w:val="both"/>
        <w:rPr>
          <w:rFonts w:ascii="Arial" w:hAnsi="Arial" w:cs="Arial"/>
          <w:sz w:val="20"/>
          <w:szCs w:val="20"/>
        </w:rPr>
      </w:pPr>
      <w:r>
        <w:rPr>
          <w:rFonts w:ascii="Arial" w:hAnsi="Arial" w:cs="Arial"/>
          <w:sz w:val="20"/>
          <w:szCs w:val="20"/>
        </w:rPr>
        <w:t>[</w:t>
      </w:r>
      <w:r w:rsidRPr="00C0478F">
        <w:rPr>
          <w:rFonts w:ascii="Arial" w:hAnsi="Arial" w:cs="Arial"/>
          <w:sz w:val="20"/>
          <w:szCs w:val="20"/>
        </w:rPr>
        <w:t>126</w:t>
      </w:r>
      <w:r>
        <w:rPr>
          <w:rFonts w:ascii="Arial" w:hAnsi="Arial" w:cs="Arial"/>
          <w:sz w:val="20"/>
          <w:szCs w:val="20"/>
        </w:rPr>
        <w:t>]</w:t>
      </w:r>
      <w:r w:rsidRPr="00C0478F">
        <w:rPr>
          <w:rFonts w:ascii="Arial" w:hAnsi="Arial" w:cs="Arial"/>
          <w:sz w:val="20"/>
          <w:szCs w:val="20"/>
        </w:rPr>
        <w:t xml:space="preserve"> The applicant was able to rely upon various mitigating factors which included the various ‘moderating factors’ taken into account by the sentencing judge. Whilst the combination of those factors carried weight, in my view the sentence imposed, having regard to the sentencing principles that apply to offending of the type committed by the applicant and given the overall circumstances of the offending, gave adequate expression to the combined weight of the mitigatory matters relied upon.</w:t>
      </w:r>
      <w:r>
        <w:rPr>
          <w:rFonts w:ascii="Arial" w:hAnsi="Arial" w:cs="Arial"/>
          <w:sz w:val="20"/>
          <w:szCs w:val="20"/>
        </w:rPr>
        <w:t>”</w:t>
      </w:r>
    </w:p>
    <w:p w14:paraId="4D162FB9" w14:textId="77777777" w:rsidR="00C0478F" w:rsidRDefault="00C0478F" w:rsidP="00EF63FD">
      <w:pPr>
        <w:jc w:val="both"/>
        <w:rPr>
          <w:rFonts w:ascii="Arial" w:hAnsi="Arial" w:cs="Arial"/>
          <w:color w:val="000000"/>
          <w:sz w:val="20"/>
          <w:szCs w:val="20"/>
        </w:rPr>
      </w:pPr>
    </w:p>
    <w:p w14:paraId="1CA7005A" w14:textId="504EAD40" w:rsidR="00147E33" w:rsidRDefault="00147E33" w:rsidP="00EF63FD">
      <w:pPr>
        <w:jc w:val="both"/>
        <w:rPr>
          <w:rFonts w:ascii="Arial" w:hAnsi="Arial" w:cs="Arial"/>
          <w:color w:val="000000"/>
          <w:sz w:val="20"/>
          <w:szCs w:val="20"/>
        </w:rPr>
      </w:pPr>
      <w:r>
        <w:rPr>
          <w:rFonts w:ascii="Arial" w:hAnsi="Arial" w:cs="Arial"/>
          <w:color w:val="000000"/>
          <w:sz w:val="20"/>
          <w:szCs w:val="20"/>
        </w:rPr>
        <w:t xml:space="preserve">In </w:t>
      </w:r>
      <w:r w:rsidRPr="00147E33">
        <w:rPr>
          <w:rFonts w:ascii="Arial" w:hAnsi="Arial" w:cs="Arial"/>
          <w:i/>
          <w:iCs/>
          <w:color w:val="000000"/>
          <w:sz w:val="20"/>
          <w:szCs w:val="20"/>
        </w:rPr>
        <w:t>DPP v Christie</w:t>
      </w:r>
      <w:r>
        <w:rPr>
          <w:rFonts w:ascii="Arial" w:hAnsi="Arial" w:cs="Arial"/>
          <w:color w:val="000000"/>
          <w:sz w:val="20"/>
          <w:szCs w:val="20"/>
        </w:rPr>
        <w:t xml:space="preserve"> [2024] VSCA 198 the 32-year old respondent – who had no criminal history – had pleaded guilty to charges including–</w:t>
      </w:r>
    </w:p>
    <w:p w14:paraId="2439F29A" w14:textId="7DB14474" w:rsidR="00147E33" w:rsidRPr="00147E33" w:rsidRDefault="00147E33">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t xml:space="preserve">a rolled up count of trafficking in a large commercial quantity of a drug of dependence comprising </w:t>
      </w:r>
      <w:r w:rsidRPr="00147E33">
        <w:rPr>
          <w:rFonts w:ascii="Arial" w:hAnsi="Arial" w:cs="Arial"/>
          <w:color w:val="000000"/>
          <w:sz w:val="20"/>
          <w:szCs w:val="20"/>
        </w:rPr>
        <w:t>59.52kg of methamphetamine</w:t>
      </w:r>
      <w:r>
        <w:rPr>
          <w:rFonts w:ascii="Arial" w:hAnsi="Arial" w:cs="Arial"/>
          <w:color w:val="000000"/>
          <w:sz w:val="20"/>
          <w:szCs w:val="20"/>
        </w:rPr>
        <w:t xml:space="preserve">, </w:t>
      </w:r>
      <w:r w:rsidRPr="00147E33">
        <w:rPr>
          <w:rFonts w:ascii="Arial" w:hAnsi="Arial" w:cs="Arial"/>
          <w:color w:val="000000"/>
          <w:sz w:val="20"/>
          <w:szCs w:val="20"/>
        </w:rPr>
        <w:t>33.16kg of cocaine</w:t>
      </w:r>
      <w:r>
        <w:rPr>
          <w:rFonts w:ascii="Arial" w:hAnsi="Arial" w:cs="Arial"/>
          <w:color w:val="000000"/>
          <w:sz w:val="20"/>
          <w:szCs w:val="20"/>
        </w:rPr>
        <w:t xml:space="preserve"> &amp; </w:t>
      </w:r>
      <w:r w:rsidRPr="00147E33">
        <w:rPr>
          <w:rFonts w:ascii="Arial" w:hAnsi="Arial" w:cs="Arial"/>
          <w:color w:val="000000"/>
          <w:sz w:val="20"/>
          <w:szCs w:val="20"/>
        </w:rPr>
        <w:t>3.7kg of MDMA</w:t>
      </w:r>
      <w:r>
        <w:rPr>
          <w:rFonts w:ascii="Arial" w:hAnsi="Arial" w:cs="Arial"/>
          <w:color w:val="000000"/>
          <w:sz w:val="20"/>
          <w:szCs w:val="20"/>
        </w:rPr>
        <w:t xml:space="preserve"> for which he had been sentenced to IMP12y;</w:t>
      </w:r>
    </w:p>
    <w:p w14:paraId="57655314" w14:textId="6F07BC47" w:rsidR="00147E33" w:rsidRPr="00147E33" w:rsidRDefault="00FC04E0">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t xml:space="preserve">a count of trafficking in a commercial quantity of a drug of dependence comprising </w:t>
      </w:r>
      <w:r w:rsidRPr="00147E33">
        <w:rPr>
          <w:rFonts w:ascii="Arial" w:hAnsi="Arial" w:cs="Arial"/>
          <w:color w:val="000000"/>
          <w:sz w:val="20"/>
          <w:szCs w:val="20"/>
        </w:rPr>
        <w:t>4.01kg of 1,4-butanediol</w:t>
      </w:r>
      <w:r>
        <w:rPr>
          <w:rFonts w:ascii="Arial" w:hAnsi="Arial" w:cs="Arial"/>
          <w:color w:val="000000"/>
          <w:sz w:val="20"/>
          <w:szCs w:val="20"/>
        </w:rPr>
        <w:t xml:space="preserve"> for which he had been sentenced to IMP4y of which 2y was cumulative on the sentence on charge 1; and</w:t>
      </w:r>
    </w:p>
    <w:p w14:paraId="65310100" w14:textId="748D879C" w:rsidR="00147E33" w:rsidRPr="00147E33" w:rsidRDefault="00FC04E0">
      <w:pPr>
        <w:pStyle w:val="ListParagraph"/>
        <w:numPr>
          <w:ilvl w:val="0"/>
          <w:numId w:val="135"/>
        </w:numPr>
        <w:ind w:left="357" w:hanging="357"/>
        <w:jc w:val="both"/>
        <w:rPr>
          <w:rFonts w:ascii="Arial" w:hAnsi="Arial" w:cs="Arial"/>
          <w:color w:val="000000"/>
          <w:sz w:val="20"/>
          <w:szCs w:val="20"/>
        </w:rPr>
      </w:pPr>
      <w:r>
        <w:rPr>
          <w:rFonts w:ascii="Arial" w:hAnsi="Arial" w:cs="Arial"/>
          <w:color w:val="000000"/>
          <w:sz w:val="20"/>
          <w:szCs w:val="20"/>
        </w:rPr>
        <w:t xml:space="preserve">a count of knowingly dealing with the proceeds of crime in the form of </w:t>
      </w:r>
      <w:r w:rsidRPr="00147E33">
        <w:rPr>
          <w:rFonts w:ascii="Arial" w:hAnsi="Arial" w:cs="Arial"/>
          <w:color w:val="000000"/>
          <w:sz w:val="20"/>
          <w:szCs w:val="20"/>
        </w:rPr>
        <w:t>$1,585,985 in cash</w:t>
      </w:r>
      <w:r>
        <w:rPr>
          <w:rFonts w:ascii="Arial" w:hAnsi="Arial" w:cs="Arial"/>
          <w:color w:val="000000"/>
          <w:sz w:val="20"/>
          <w:szCs w:val="20"/>
        </w:rPr>
        <w:t xml:space="preserve"> for which he had been sentenced to IMP</w:t>
      </w:r>
      <w:r w:rsidR="007B6998">
        <w:rPr>
          <w:rFonts w:ascii="Arial" w:hAnsi="Arial" w:cs="Arial"/>
          <w:color w:val="000000"/>
          <w:sz w:val="20"/>
          <w:szCs w:val="20"/>
        </w:rPr>
        <w:t>5y of which 2y was culumative on the sentence on charge 1.</w:t>
      </w:r>
    </w:p>
    <w:p w14:paraId="15F97E6E" w14:textId="6AE66180" w:rsidR="007B6998" w:rsidRDefault="007B6998" w:rsidP="00EF63FD">
      <w:pPr>
        <w:jc w:val="both"/>
        <w:rPr>
          <w:rFonts w:ascii="Arial" w:hAnsi="Arial" w:cs="Arial"/>
          <w:color w:val="000000"/>
          <w:sz w:val="20"/>
          <w:szCs w:val="20"/>
        </w:rPr>
      </w:pPr>
      <w:r>
        <w:rPr>
          <w:rFonts w:ascii="Arial" w:hAnsi="Arial" w:cs="Arial"/>
          <w:color w:val="000000"/>
          <w:sz w:val="20"/>
          <w:szCs w:val="20"/>
        </w:rPr>
        <w:t xml:space="preserve">The total effective sentence was IMP16y/11y.  The </w:t>
      </w:r>
      <w:r w:rsidR="003512A4">
        <w:rPr>
          <w:rFonts w:ascii="Arial" w:hAnsi="Arial" w:cs="Arial"/>
          <w:color w:val="000000"/>
          <w:sz w:val="20"/>
          <w:szCs w:val="20"/>
        </w:rPr>
        <w:t xml:space="preserve">DPP </w:t>
      </w:r>
      <w:r>
        <w:rPr>
          <w:rFonts w:ascii="Arial" w:hAnsi="Arial" w:cs="Arial"/>
          <w:color w:val="000000"/>
          <w:sz w:val="20"/>
          <w:szCs w:val="20"/>
        </w:rPr>
        <w:t>appeal was allowed and the respondent was re-sentenced to a TES IMP18y/11y6m made up as follows:</w:t>
      </w:r>
    </w:p>
    <w:p w14:paraId="16AFA9EF" w14:textId="6346E2B9" w:rsidR="007B6998" w:rsidRDefault="007B6998">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IMP16y;</w:t>
      </w:r>
    </w:p>
    <w:p w14:paraId="64A690F3" w14:textId="494B93C5" w:rsidR="007B6998" w:rsidRDefault="007B6998">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IMP4y wholly concurrent on the sentence on charge 1; and</w:t>
      </w:r>
    </w:p>
    <w:p w14:paraId="4921EDD3" w14:textId="7DCED4BE" w:rsidR="007B6998" w:rsidRPr="00147E33" w:rsidRDefault="007B6998">
      <w:pPr>
        <w:pStyle w:val="ListParagraph"/>
        <w:numPr>
          <w:ilvl w:val="0"/>
          <w:numId w:val="137"/>
        </w:numPr>
        <w:ind w:left="357" w:hanging="357"/>
        <w:jc w:val="both"/>
        <w:rPr>
          <w:rFonts w:ascii="Arial" w:hAnsi="Arial" w:cs="Arial"/>
          <w:color w:val="000000"/>
          <w:sz w:val="20"/>
          <w:szCs w:val="20"/>
        </w:rPr>
      </w:pPr>
      <w:r>
        <w:rPr>
          <w:rFonts w:ascii="Arial" w:hAnsi="Arial" w:cs="Arial"/>
          <w:color w:val="000000"/>
          <w:sz w:val="20"/>
          <w:szCs w:val="20"/>
        </w:rPr>
        <w:t>IMP5y of which 2y was cumulative on the sentence on charge 1.</w:t>
      </w:r>
    </w:p>
    <w:p w14:paraId="408FC4DB" w14:textId="20AEF810" w:rsidR="007B6998" w:rsidRDefault="007B6998" w:rsidP="007B6998">
      <w:pPr>
        <w:spacing w:before="60"/>
        <w:jc w:val="both"/>
        <w:rPr>
          <w:rFonts w:ascii="Arial" w:hAnsi="Arial" w:cs="Arial"/>
          <w:color w:val="000000"/>
          <w:sz w:val="20"/>
          <w:szCs w:val="20"/>
        </w:rPr>
      </w:pPr>
      <w:r>
        <w:rPr>
          <w:rFonts w:ascii="Arial" w:hAnsi="Arial" w:cs="Arial"/>
          <w:color w:val="000000"/>
          <w:sz w:val="20"/>
          <w:szCs w:val="20"/>
        </w:rPr>
        <w:t>At [68]-[73] the Court of Appeal (Emerton P, Priest &amp; McLeish JJA) said:</w:t>
      </w:r>
    </w:p>
    <w:p w14:paraId="0DCE9C44" w14:textId="368260D7" w:rsidR="007B6998" w:rsidRDefault="007B6998" w:rsidP="007B6998">
      <w:pPr>
        <w:spacing w:before="60"/>
        <w:ind w:left="454" w:right="454"/>
        <w:jc w:val="both"/>
        <w:rPr>
          <w:rFonts w:ascii="Arial" w:hAnsi="Arial" w:cs="Arial"/>
          <w:color w:val="000000"/>
          <w:sz w:val="20"/>
          <w:szCs w:val="20"/>
        </w:rPr>
      </w:pPr>
      <w:r>
        <w:rPr>
          <w:rFonts w:ascii="Arial" w:hAnsi="Arial" w:cs="Arial"/>
          <w:color w:val="000000"/>
          <w:sz w:val="20"/>
          <w:szCs w:val="20"/>
        </w:rPr>
        <w:t>[68] “</w:t>
      </w:r>
      <w:r w:rsidRPr="007B6998">
        <w:rPr>
          <w:rFonts w:ascii="Arial" w:hAnsi="Arial" w:cs="Arial"/>
          <w:color w:val="000000"/>
          <w:sz w:val="20"/>
          <w:szCs w:val="20"/>
        </w:rPr>
        <w:t xml:space="preserve">In this case, we agree with the Director that the sentence on charge 1 of 12 years’ imprisonment is manifestly inadequate having regard to the eye-wateringly large quantity of </w:t>
      </w:r>
      <w:r w:rsidRPr="007B6998">
        <w:rPr>
          <w:rFonts w:ascii="Arial" w:hAnsi="Arial" w:cs="Arial"/>
          <w:color w:val="000000"/>
          <w:sz w:val="20"/>
          <w:szCs w:val="20"/>
        </w:rPr>
        <w:lastRenderedPageBreak/>
        <w:t>drugs involved. The quantity of methamphetamine alone is 79 times more than the threshold for a large commercial quantity. The quantity of cocaine exceeds the LCQ threshold by a factor of 33. Despite the charges being limited to conduct on one day, this is trafficking on a significant scale. None of the LCQ cases to which the Court was referred involved amounts even approaching these quantities.</w:t>
      </w:r>
    </w:p>
    <w:p w14:paraId="31B2FF32" w14:textId="127B7CA1" w:rsidR="00537194" w:rsidRDefault="00537194" w:rsidP="007B6998">
      <w:pPr>
        <w:spacing w:before="60"/>
        <w:ind w:left="454" w:right="454"/>
        <w:jc w:val="both"/>
        <w:rPr>
          <w:rFonts w:ascii="Arial" w:hAnsi="Arial" w:cs="Arial"/>
          <w:color w:val="000000"/>
          <w:sz w:val="20"/>
          <w:szCs w:val="20"/>
        </w:rPr>
      </w:pPr>
      <w:r>
        <w:rPr>
          <w:rFonts w:ascii="Arial" w:hAnsi="Arial" w:cs="Arial"/>
          <w:color w:val="000000"/>
          <w:sz w:val="20"/>
          <w:szCs w:val="20"/>
        </w:rPr>
        <w:t xml:space="preserve">[69] </w:t>
      </w:r>
      <w:r w:rsidRPr="007B6998">
        <w:rPr>
          <w:rFonts w:ascii="Arial" w:hAnsi="Arial" w:cs="Arial"/>
          <w:color w:val="000000"/>
          <w:sz w:val="20"/>
          <w:szCs w:val="20"/>
        </w:rPr>
        <w:t>In so holding, we are cognisant that, while nearly always important, the quantity of drugs involved is only one of the factors that bears on sentencing</w:t>
      </w:r>
      <w:r>
        <w:rPr>
          <w:rFonts w:ascii="Arial" w:hAnsi="Arial" w:cs="Arial"/>
          <w:color w:val="000000"/>
          <w:sz w:val="20"/>
          <w:szCs w:val="20"/>
        </w:rPr>
        <w:t xml:space="preserve"> [as] t</w:t>
      </w:r>
      <w:r w:rsidRPr="007B6998">
        <w:rPr>
          <w:rFonts w:ascii="Arial" w:hAnsi="Arial" w:cs="Arial"/>
          <w:color w:val="000000"/>
          <w:sz w:val="20"/>
          <w:szCs w:val="20"/>
        </w:rPr>
        <w:t xml:space="preserve">he judgments in </w:t>
      </w:r>
      <w:r w:rsidRPr="00537194">
        <w:rPr>
          <w:rFonts w:ascii="Arial" w:hAnsi="Arial" w:cs="Arial"/>
          <w:i/>
          <w:iCs/>
          <w:color w:val="000000"/>
          <w:sz w:val="20"/>
          <w:szCs w:val="20"/>
        </w:rPr>
        <w:t>R v Pham</w:t>
      </w:r>
      <w:r w:rsidRPr="007B6998">
        <w:rPr>
          <w:rFonts w:ascii="Arial" w:hAnsi="Arial" w:cs="Arial"/>
          <w:color w:val="000000"/>
          <w:sz w:val="20"/>
          <w:szCs w:val="20"/>
        </w:rPr>
        <w:t xml:space="preserve"> </w:t>
      </w:r>
      <w:r w:rsidR="003B0D50">
        <w:rPr>
          <w:rFonts w:ascii="Arial" w:hAnsi="Arial" w:cs="Arial"/>
          <w:color w:val="000000"/>
          <w:sz w:val="20"/>
          <w:szCs w:val="20"/>
        </w:rPr>
        <w:t xml:space="preserve">(2015) 256 CLR 550 </w:t>
      </w:r>
      <w:r w:rsidRPr="007B6998">
        <w:rPr>
          <w:rFonts w:ascii="Arial" w:hAnsi="Arial" w:cs="Arial"/>
          <w:color w:val="000000"/>
          <w:sz w:val="20"/>
          <w:szCs w:val="20"/>
        </w:rPr>
        <w:t>explaine</w:t>
      </w:r>
      <w:r w:rsidR="003B0D50">
        <w:rPr>
          <w:rFonts w:ascii="Arial" w:hAnsi="Arial" w:cs="Arial"/>
          <w:color w:val="000000"/>
          <w:sz w:val="20"/>
          <w:szCs w:val="20"/>
        </w:rPr>
        <w:t>d at 562 [36]:</w:t>
      </w:r>
    </w:p>
    <w:p w14:paraId="274156B3" w14:textId="2668E6DC" w:rsidR="00537194" w:rsidRPr="00537194" w:rsidRDefault="00537194" w:rsidP="00537194">
      <w:pPr>
        <w:spacing w:before="60"/>
        <w:ind w:left="907" w:right="907"/>
        <w:jc w:val="both"/>
        <w:rPr>
          <w:rFonts w:ascii="Arial" w:hAnsi="Arial" w:cs="Arial"/>
          <w:color w:val="000000"/>
          <w:sz w:val="18"/>
          <w:szCs w:val="18"/>
        </w:rPr>
      </w:pPr>
      <w:r w:rsidRPr="00537194">
        <w:rPr>
          <w:rFonts w:ascii="Arial" w:hAnsi="Arial" w:cs="Arial"/>
          <w:color w:val="000000"/>
          <w:sz w:val="18"/>
          <w:szCs w:val="18"/>
        </w:rPr>
        <w:t>[T]o treat the weight of the narcotic as the chief factor in fixing sentence, without taking into account the many conflicting and contradictory elements which bear upon sentencing an offender, represents a departure from fundamental sentencing principle.</w:t>
      </w:r>
    </w:p>
    <w:p w14:paraId="22B11352" w14:textId="24638796" w:rsidR="00537194" w:rsidRDefault="007B6998" w:rsidP="007B6998">
      <w:pPr>
        <w:spacing w:before="60"/>
        <w:ind w:left="454" w:right="454"/>
        <w:jc w:val="both"/>
        <w:rPr>
          <w:rFonts w:ascii="Arial" w:hAnsi="Arial" w:cs="Arial"/>
          <w:color w:val="000000"/>
          <w:sz w:val="20"/>
          <w:szCs w:val="20"/>
        </w:rPr>
      </w:pPr>
      <w:r w:rsidRPr="007B6998">
        <w:rPr>
          <w:rFonts w:ascii="Arial" w:hAnsi="Arial" w:cs="Arial"/>
          <w:color w:val="000000"/>
          <w:sz w:val="20"/>
          <w:szCs w:val="20"/>
        </w:rPr>
        <w:t>[70</w:t>
      </w:r>
      <w:r w:rsidR="00537194">
        <w:rPr>
          <w:rFonts w:ascii="Arial" w:hAnsi="Arial" w:cs="Arial"/>
          <w:color w:val="000000"/>
          <w:sz w:val="20"/>
          <w:szCs w:val="20"/>
        </w:rPr>
        <w:t>]</w:t>
      </w:r>
      <w:r w:rsidRPr="007B6998">
        <w:rPr>
          <w:rFonts w:ascii="Arial" w:hAnsi="Arial" w:cs="Arial"/>
          <w:color w:val="000000"/>
          <w:sz w:val="20"/>
          <w:szCs w:val="20"/>
        </w:rPr>
        <w:t xml:space="preserve"> And</w:t>
      </w:r>
      <w:r w:rsidR="003B0D50">
        <w:rPr>
          <w:rFonts w:ascii="Arial" w:hAnsi="Arial" w:cs="Arial"/>
          <w:color w:val="000000"/>
          <w:sz w:val="20"/>
          <w:szCs w:val="20"/>
        </w:rPr>
        <w:t xml:space="preserve"> at 564 [45]</w:t>
      </w:r>
      <w:r w:rsidRPr="007B6998">
        <w:rPr>
          <w:rFonts w:ascii="Arial" w:hAnsi="Arial" w:cs="Arial"/>
          <w:color w:val="000000"/>
          <w:sz w:val="20"/>
          <w:szCs w:val="20"/>
        </w:rPr>
        <w:t>:</w:t>
      </w:r>
    </w:p>
    <w:p w14:paraId="61346614" w14:textId="49FA5A35" w:rsidR="003B0D50" w:rsidRPr="00537194" w:rsidRDefault="003B0D50" w:rsidP="003B0D50">
      <w:pPr>
        <w:spacing w:before="60"/>
        <w:ind w:left="907" w:right="907"/>
        <w:jc w:val="both"/>
        <w:rPr>
          <w:rFonts w:ascii="Arial" w:hAnsi="Arial" w:cs="Arial"/>
          <w:color w:val="000000"/>
          <w:sz w:val="18"/>
          <w:szCs w:val="18"/>
        </w:rPr>
      </w:pPr>
      <w:r w:rsidRPr="003B0D50">
        <w:rPr>
          <w:rFonts w:ascii="Arial" w:hAnsi="Arial" w:cs="Arial"/>
          <w:color w:val="000000"/>
          <w:sz w:val="18"/>
          <w:szCs w:val="18"/>
        </w:rPr>
        <w:t>It is well settled that the quantity of the drug is not the controlling factor when it comes to the assessment of the seriousness of an importation offence (or other drug offence). The quantity of the drug imported (or trafficked or possessed) will usually be relevant to assessment of the seriousness of the offence. In some cases it will be the most significant consideration in this regard and in other cases it may be of little moment.</w:t>
      </w:r>
    </w:p>
    <w:p w14:paraId="4E5D4975" w14:textId="43CC2C2A"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[71] In this case, </w:t>
      </w:r>
      <w:r w:rsidRPr="007B6998">
        <w:rPr>
          <w:rFonts w:ascii="Arial" w:hAnsi="Arial" w:cs="Arial"/>
          <w:color w:val="000000"/>
          <w:sz w:val="20"/>
          <w:szCs w:val="20"/>
        </w:rPr>
        <w:t>the quantity of the drugs the subject of charge 1 is a most important consideration in sentencing. The sheer quantity of the drugs trafficked by the respondent makes the offending objectively very serious indeed, as the judge recognised. Although the respondent can call upon a number of mitigating factors — most especially his guilty plea to each charge — they are not individually or in combination so weighty or compelling as to justify a term of imprisonment on charge 1 that is significantly below the standard sentence for LCQ trafficking.</w:t>
      </w:r>
    </w:p>
    <w:p w14:paraId="13C953B5" w14:textId="54AE157D"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[72] </w:t>
      </w:r>
      <w:r w:rsidRPr="007B6998">
        <w:rPr>
          <w:rFonts w:ascii="Arial" w:hAnsi="Arial" w:cs="Arial"/>
          <w:color w:val="000000"/>
          <w:sz w:val="20"/>
          <w:szCs w:val="20"/>
        </w:rPr>
        <w:t>There is no challenge to the way in which the judge described the role of the respondent in the trafficking operation in question. He was a ‘trusted participant’ whose role was ‘a vital and important one’. The legislature has made it plain that LCQ trafficking must attract a significant term of imprisonment, and that the penalties must be noticeably more severe than those for trafficking in commercial quantities.</w:t>
      </w:r>
      <w:r>
        <w:rPr>
          <w:rFonts w:ascii="Arial" w:hAnsi="Arial" w:cs="Arial"/>
          <w:color w:val="000000"/>
          <w:sz w:val="20"/>
          <w:szCs w:val="20"/>
        </w:rPr>
        <w:t xml:space="preserve">  General </w:t>
      </w:r>
      <w:r w:rsidRPr="007B6998">
        <w:rPr>
          <w:rFonts w:ascii="Arial" w:hAnsi="Arial" w:cs="Arial"/>
          <w:color w:val="000000"/>
          <w:sz w:val="20"/>
          <w:szCs w:val="20"/>
        </w:rPr>
        <w:t>deterrence is a particularly important sentencing consideration in light of the pernicious effects of the drugs in question on individuals and the community more generally.</w:t>
      </w:r>
    </w:p>
    <w:p w14:paraId="52980A06" w14:textId="45A0AB15"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[73] </w:t>
      </w:r>
      <w:r w:rsidRPr="007B6998">
        <w:rPr>
          <w:rFonts w:ascii="Arial" w:hAnsi="Arial" w:cs="Arial"/>
          <w:color w:val="000000"/>
          <w:sz w:val="20"/>
          <w:szCs w:val="20"/>
        </w:rPr>
        <w:t>Given the standard sentence of 16 years’ imprisonment for LCQ trafficking, and having regard to the seriousness of the offending in this case, 12 years’ imprisonment is outside the range of available sentences, notwithstanding the respondent’s guilty plea and the other factors raised in mitigation.</w:t>
      </w:r>
      <w:r>
        <w:rPr>
          <w:rFonts w:ascii="Arial" w:hAnsi="Arial" w:cs="Arial"/>
          <w:color w:val="000000"/>
          <w:sz w:val="20"/>
          <w:szCs w:val="20"/>
        </w:rPr>
        <w:t>”</w:t>
      </w:r>
    </w:p>
    <w:p w14:paraId="2CE60203" w14:textId="77777777" w:rsidR="003B0D50" w:rsidRDefault="003B0D50" w:rsidP="00EF63FD">
      <w:pPr>
        <w:jc w:val="both"/>
        <w:rPr>
          <w:rFonts w:ascii="Arial" w:hAnsi="Arial" w:cs="Arial"/>
          <w:color w:val="000000"/>
          <w:sz w:val="20"/>
          <w:szCs w:val="20"/>
        </w:rPr>
      </w:pPr>
    </w:p>
    <w:p w14:paraId="37CDE7EE" w14:textId="3FD015ED" w:rsidR="001D7A13" w:rsidRPr="001D7A13" w:rsidRDefault="001D7A13" w:rsidP="00EF63FD">
      <w:pPr>
        <w:jc w:val="both"/>
        <w:rPr>
          <w:rFonts w:ascii="Arial" w:hAnsi="Arial" w:cs="Arial"/>
          <w:color w:val="000000"/>
          <w:sz w:val="20"/>
          <w:szCs w:val="20"/>
        </w:rPr>
      </w:pPr>
      <w:r>
        <w:rPr>
          <w:rFonts w:ascii="Arial" w:hAnsi="Arial" w:cs="Arial"/>
          <w:color w:val="000000"/>
          <w:sz w:val="20"/>
          <w:szCs w:val="20"/>
        </w:rPr>
        <w:t xml:space="preserve">In </w:t>
      </w:r>
      <w:r w:rsidRPr="001D7A13">
        <w:rPr>
          <w:rFonts w:ascii="Arial" w:hAnsi="Arial" w:cs="Arial"/>
          <w:i/>
          <w:iCs/>
          <w:color w:val="000000"/>
          <w:sz w:val="20"/>
          <w:szCs w:val="20"/>
        </w:rPr>
        <w:t>DPP v Luong Tran</w:t>
      </w:r>
      <w:r>
        <w:rPr>
          <w:rFonts w:ascii="Arial" w:hAnsi="Arial" w:cs="Arial"/>
          <w:color w:val="000000"/>
          <w:sz w:val="20"/>
          <w:szCs w:val="20"/>
        </w:rPr>
        <w:t xml:space="preserve"> [2024] VSCA 16 the respondent had pleaded guilty – after a sentence indication – to </w:t>
      </w:r>
      <w:r w:rsidRPr="001D7A13">
        <w:rPr>
          <w:rFonts w:ascii="Arial" w:hAnsi="Arial" w:cs="Arial"/>
          <w:sz w:val="20"/>
          <w:szCs w:val="20"/>
        </w:rPr>
        <w:t>one count of cultivation of a large commercial quantity of a narcotic plant (cannabis)</w:t>
      </w:r>
      <w:r>
        <w:rPr>
          <w:rFonts w:ascii="Arial" w:hAnsi="Arial" w:cs="Arial"/>
          <w:sz w:val="20"/>
          <w:szCs w:val="20"/>
        </w:rPr>
        <w:t xml:space="preserve"> </w:t>
      </w:r>
      <w:r w:rsidRPr="001D7A13">
        <w:rPr>
          <w:rFonts w:ascii="Arial" w:hAnsi="Arial" w:cs="Arial"/>
          <w:sz w:val="20"/>
          <w:szCs w:val="20"/>
        </w:rPr>
        <w:t>at Campbellfield, Kilsyth and Braeside, at which large scale factory-based hydroponic facilities were used. The plea was conducted on the basis that the respondent knew that a large commercial quantity of cannabis was being cultivated at Campbellfield, but that he was unaware of the volume being cultivated at the other two premises. The respondent was not alleged to have been an organiser of the syndicate that operated the cultivation premises. Rather, he had participated in the cultivation by delivering supplies that were necessary to cultivate the cannabis hydroponically and by providing other support to the organisers of the syndicate (such as hiring trucks and making payments of rent for the Campbellfield premises). He also attended the three premises on various occasions.</w:t>
      </w:r>
      <w:r>
        <w:rPr>
          <w:rFonts w:ascii="Arial" w:hAnsi="Arial" w:cs="Arial"/>
          <w:sz w:val="20"/>
          <w:szCs w:val="20"/>
        </w:rPr>
        <w:t xml:space="preserve">  The sentencing judge imposed a sentence of IMP4y4m/2y8m.  On appeal all three justices held that the sentence was manifestly inadequate.  However, Walker JA would have dismissed the appeal in the exercise of the residual discretion.  Niall &amp; Boyce JJA </w:t>
      </w:r>
      <w:r w:rsidR="002A6DBD">
        <w:rPr>
          <w:rFonts w:ascii="Arial" w:hAnsi="Arial" w:cs="Arial"/>
          <w:sz w:val="20"/>
          <w:szCs w:val="20"/>
        </w:rPr>
        <w:t>did not exercise the residual discretion and resentenced the respondent to IMP6y/4y, saying at [2]-[7]:</w:t>
      </w:r>
    </w:p>
    <w:p w14:paraId="76C552D9" w14:textId="05B7D864"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[2] “</w:t>
      </w:r>
      <w:r w:rsidRPr="002A6DBD">
        <w:rPr>
          <w:rFonts w:ascii="Arial" w:hAnsi="Arial" w:cs="Arial"/>
          <w:sz w:val="20"/>
          <w:szCs w:val="20"/>
        </w:rPr>
        <w:t xml:space="preserve">The relevant considerations that a sentencing court must take into account are primarily found in the </w:t>
      </w:r>
      <w:r w:rsidRPr="002A6DBD">
        <w:rPr>
          <w:rFonts w:ascii="Arial" w:hAnsi="Arial" w:cs="Arial"/>
          <w:i/>
          <w:iCs/>
          <w:sz w:val="20"/>
          <w:szCs w:val="20"/>
        </w:rPr>
        <w:t>Sentencing Act 1991</w:t>
      </w:r>
      <w:r w:rsidRPr="002A6DBD">
        <w:rPr>
          <w:rFonts w:ascii="Arial" w:hAnsi="Arial" w:cs="Arial"/>
          <w:sz w:val="20"/>
          <w:szCs w:val="20"/>
        </w:rPr>
        <w:t xml:space="preserve"> as explicated in decisions of this Court and the High Court. The principles that are to be applied in sentencing an offender for drug offences generally accord with those applicable to other offences. That said, the cases emphasise certain factors as being of particular importance in sentencing offenders for drug offences.</w:t>
      </w:r>
    </w:p>
    <w:p w14:paraId="6FCE3DF6" w14:textId="72ED228A"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[3] </w:t>
      </w:r>
      <w:r w:rsidRPr="002A6DBD">
        <w:rPr>
          <w:rFonts w:ascii="Arial" w:hAnsi="Arial" w:cs="Arial"/>
          <w:sz w:val="20"/>
          <w:szCs w:val="20"/>
        </w:rPr>
        <w:t>First, the structure of drug offences is tied to the quantity of drugs involved</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[19]; </w:t>
      </w:r>
      <w:r w:rsidRPr="002A6DBD">
        <w:rPr>
          <w:rFonts w:ascii="Arial" w:hAnsi="Arial" w:cs="Arial"/>
          <w:i/>
          <w:iCs/>
          <w:sz w:val="20"/>
          <w:szCs w:val="20"/>
        </w:rPr>
        <w:t>Dang v The Queen</w:t>
      </w:r>
      <w:r w:rsidRPr="002A6DBD">
        <w:rPr>
          <w:rFonts w:ascii="Arial" w:hAnsi="Arial" w:cs="Arial"/>
          <w:sz w:val="20"/>
          <w:szCs w:val="20"/>
        </w:rPr>
        <w:t xml:space="preserve"> [2020] VSCA 24, [2], [15].</w:t>
      </w:r>
    </w:p>
    <w:p w14:paraId="698D67AD" w14:textId="0E35E631"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[4] </w:t>
      </w:r>
      <w:r w:rsidRPr="002A6DBD">
        <w:rPr>
          <w:rFonts w:ascii="Arial" w:hAnsi="Arial" w:cs="Arial"/>
          <w:sz w:val="20"/>
          <w:szCs w:val="20"/>
        </w:rPr>
        <w:t>Second, Parliament’s assessment of the gravity of this type of offending is partially revealed by the relevant maximum term of imprisonment</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[20]; </w:t>
      </w:r>
      <w:r w:rsidRPr="002A6DBD">
        <w:rPr>
          <w:rFonts w:ascii="Arial" w:hAnsi="Arial" w:cs="Arial"/>
          <w:i/>
          <w:iCs/>
          <w:sz w:val="20"/>
          <w:szCs w:val="20"/>
        </w:rPr>
        <w:t>Lai v The King</w:t>
      </w:r>
      <w:r w:rsidRPr="002A6DBD">
        <w:rPr>
          <w:rFonts w:ascii="Arial" w:hAnsi="Arial" w:cs="Arial"/>
          <w:sz w:val="20"/>
          <w:szCs w:val="20"/>
        </w:rPr>
        <w:t xml:space="preserve"> [2023] VSCA 151, [23].</w:t>
      </w:r>
      <w:r>
        <w:rPr>
          <w:rFonts w:ascii="Arial" w:hAnsi="Arial" w:cs="Arial"/>
          <w:sz w:val="20"/>
          <w:szCs w:val="20"/>
        </w:rPr>
        <w:t xml:space="preserve"> </w:t>
      </w:r>
      <w:r w:rsidRPr="002A6DBD">
        <w:rPr>
          <w:rFonts w:ascii="Arial" w:hAnsi="Arial" w:cs="Arial"/>
          <w:sz w:val="20"/>
          <w:szCs w:val="20"/>
        </w:rPr>
        <w:t xml:space="preserve"> There is no room for the Court to make any relative assessment as to the harm caused by various drugs: Parliament has </w:t>
      </w:r>
      <w:r w:rsidRPr="002A6DBD">
        <w:rPr>
          <w:rFonts w:ascii="Arial" w:hAnsi="Arial" w:cs="Arial"/>
          <w:sz w:val="20"/>
          <w:szCs w:val="20"/>
        </w:rPr>
        <w:lastRenderedPageBreak/>
        <w:t>already attended to that task, as reflected in the different quantities of each drug that make up trafficable, commercial and large commercial quantities.</w:t>
      </w:r>
    </w:p>
    <w:p w14:paraId="706D2F3A" w14:textId="1D0F9209"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[5] </w:t>
      </w:r>
      <w:r w:rsidRPr="002A6DBD">
        <w:rPr>
          <w:rFonts w:ascii="Arial" w:hAnsi="Arial" w:cs="Arial"/>
          <w:sz w:val="20"/>
          <w:szCs w:val="20"/>
        </w:rPr>
        <w:t>Third, in part demand for drugs is fuelled by addiction. That is not always the case. For some people, even where addiction is not relevant drugs are still often highly sought after. Either way, demand is strong. On the other side of the equation, supply is limited by general prohibitions on the possession and sale of illicit drugs, resulting in a large illicit market with very high prices. For that reason, the supply of drugs is often motivated by financial rewards which can be enormous. Having regard to the societal harm that drug use can produce and the enormous profits that can be gained from illicit supply, general deterrence is a very important factor in sentencing</w:t>
      </w:r>
      <w:r>
        <w:rPr>
          <w:rFonts w:ascii="Arial" w:hAnsi="Arial" w:cs="Arial"/>
          <w:sz w:val="20"/>
          <w:szCs w:val="20"/>
        </w:rPr>
        <w:t xml:space="preserve">: </w:t>
      </w:r>
      <w:r w:rsidRPr="002A6DBD">
        <w:rPr>
          <w:rFonts w:ascii="Arial" w:hAnsi="Arial" w:cs="Arial"/>
          <w:i/>
          <w:iCs/>
          <w:sz w:val="20"/>
          <w:szCs w:val="20"/>
        </w:rPr>
        <w:t>Lai</w:t>
      </w:r>
      <w:r w:rsidRPr="002A6DBD">
        <w:rPr>
          <w:rFonts w:ascii="Arial" w:hAnsi="Arial" w:cs="Arial"/>
          <w:sz w:val="20"/>
          <w:szCs w:val="20"/>
        </w:rPr>
        <w:t xml:space="preserve"> [2023] VSCA 151, [18]</w:t>
      </w:r>
      <w:r>
        <w:rPr>
          <w:rFonts w:ascii="Arial" w:hAnsi="Arial" w:cs="Arial"/>
          <w:sz w:val="20"/>
          <w:szCs w:val="20"/>
        </w:rPr>
        <w:t>.</w:t>
      </w:r>
    </w:p>
    <w:p w14:paraId="5C98EB22" w14:textId="52F770CD"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[6] </w:t>
      </w:r>
      <w:r w:rsidRPr="002A6DBD">
        <w:rPr>
          <w:rFonts w:ascii="Arial" w:hAnsi="Arial" w:cs="Arial"/>
          <w:sz w:val="20"/>
          <w:szCs w:val="20"/>
        </w:rPr>
        <w:t>Fourth, it is a corollary of giving significant weight to general deterrence that factors personal to the offender, while remaining important, are often required to yield or be accorded less weight than in respect of other kinds of offences</w:t>
      </w:r>
      <w:r>
        <w:rPr>
          <w:rFonts w:ascii="Arial" w:hAnsi="Arial" w:cs="Arial"/>
          <w:sz w:val="20"/>
          <w:szCs w:val="20"/>
        </w:rPr>
        <w:t xml:space="preserve">: </w:t>
      </w:r>
      <w:r w:rsidRPr="002A6DBD">
        <w:rPr>
          <w:rFonts w:ascii="Arial" w:hAnsi="Arial" w:cs="Arial"/>
          <w:i/>
          <w:iCs/>
          <w:sz w:val="20"/>
          <w:szCs w:val="20"/>
        </w:rPr>
        <w:t>Tsang v The Queen</w:t>
      </w:r>
      <w:r w:rsidRPr="002A6DBD">
        <w:rPr>
          <w:rFonts w:ascii="Arial" w:hAnsi="Arial" w:cs="Arial"/>
          <w:sz w:val="20"/>
          <w:szCs w:val="20"/>
        </w:rPr>
        <w:t xml:space="preserve"> (2011) 35 VR 240, 274 [162]; [2011] VSCA 336.</w:t>
      </w:r>
    </w:p>
    <w:p w14:paraId="0B12B7A0" w14:textId="46598F57" w:rsidR="002A6DBD" w:rsidRPr="00C0478F"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[7] </w:t>
      </w:r>
      <w:r w:rsidRPr="002A6DBD">
        <w:rPr>
          <w:rFonts w:ascii="Arial" w:hAnsi="Arial" w:cs="Arial"/>
          <w:sz w:val="20"/>
          <w:szCs w:val="20"/>
        </w:rPr>
        <w:t>Fifth, as many of the cases demonstrate, in addition to the weight of the drugs involved, the role played by an accused may be significant in assessing the relative criminality and culpability that the offending entails</w:t>
      </w:r>
      <w:r>
        <w:rPr>
          <w:rFonts w:ascii="Arial" w:hAnsi="Arial" w:cs="Arial"/>
          <w:sz w:val="20"/>
          <w:szCs w:val="20"/>
        </w:rPr>
        <w:t xml:space="preserve">: </w:t>
      </w:r>
      <w:r w:rsidR="00DD012E" w:rsidRPr="00DD012E">
        <w:rPr>
          <w:rFonts w:ascii="Arial" w:hAnsi="Arial" w:cs="Arial"/>
          <w:i/>
          <w:iCs/>
          <w:sz w:val="20"/>
          <w:szCs w:val="20"/>
        </w:rPr>
        <w:t>Nguyen v The Queen</w:t>
      </w:r>
      <w:r w:rsidR="00DD012E" w:rsidRPr="002A6DBD">
        <w:rPr>
          <w:rFonts w:ascii="Arial" w:hAnsi="Arial" w:cs="Arial"/>
          <w:sz w:val="20"/>
          <w:szCs w:val="20"/>
        </w:rPr>
        <w:t xml:space="preserve"> [2019] VSCA 134, [59]; </w:t>
      </w:r>
      <w:r w:rsidR="00DD012E" w:rsidRPr="00DD012E">
        <w:rPr>
          <w:rFonts w:ascii="Arial" w:hAnsi="Arial" w:cs="Arial"/>
          <w:i/>
          <w:iCs/>
          <w:sz w:val="20"/>
          <w:szCs w:val="20"/>
        </w:rPr>
        <w:t>Dang</w:t>
      </w:r>
      <w:r w:rsidR="00DD012E" w:rsidRPr="002A6DBD">
        <w:rPr>
          <w:rFonts w:ascii="Arial" w:hAnsi="Arial" w:cs="Arial"/>
          <w:sz w:val="20"/>
          <w:szCs w:val="20"/>
        </w:rPr>
        <w:t xml:space="preserve"> [2020] VSCA 24, [15]</w:t>
      </w:r>
      <w:r w:rsidR="00DD012E">
        <w:rPr>
          <w:rFonts w:ascii="Arial" w:hAnsi="Arial" w:cs="Arial"/>
          <w:sz w:val="20"/>
          <w:szCs w:val="20"/>
        </w:rPr>
        <w:t xml:space="preserve">. </w:t>
      </w:r>
      <w:r w:rsidRPr="002A6DBD">
        <w:rPr>
          <w:rFonts w:ascii="Arial" w:hAnsi="Arial" w:cs="Arial"/>
          <w:sz w:val="20"/>
          <w:szCs w:val="20"/>
        </w:rPr>
        <w:t xml:space="preserve"> There may be, to our minds at least, a tension between a focus on role and the achievement of the deterrence that the maximum</w:t>
      </w:r>
      <w:r>
        <w:rPr>
          <w:rFonts w:ascii="Arial" w:hAnsi="Arial" w:cs="Arial"/>
          <w:sz w:val="20"/>
          <w:szCs w:val="20"/>
        </w:rPr>
        <w:t xml:space="preserve"> </w:t>
      </w:r>
      <w:r w:rsidRPr="002A6DBD">
        <w:rPr>
          <w:rFonts w:ascii="Arial" w:hAnsi="Arial" w:cs="Arial"/>
          <w:sz w:val="20"/>
          <w:szCs w:val="20"/>
        </w:rPr>
        <w:t>penalties are intended to support. That is because it may serve to atomise the organisation in a way that dilutes the fact that the overall enterprise has been assessed by the legislature as grave criminal behaviour which, in respect of a large commercial quantity, attracts a maximum of life imprisonment, an available penalty reserved for very few offences.</w:t>
      </w:r>
      <w:r w:rsidR="00DD012E">
        <w:rPr>
          <w:rFonts w:ascii="Arial" w:hAnsi="Arial" w:cs="Arial"/>
          <w:sz w:val="20"/>
          <w:szCs w:val="20"/>
        </w:rPr>
        <w:t>”</w:t>
      </w:r>
    </w:p>
    <w:p w14:paraId="2256A3A9" w14:textId="77777777" w:rsidR="001D7A13" w:rsidRDefault="001D7A13" w:rsidP="00EF63FD">
      <w:pPr>
        <w:jc w:val="both"/>
        <w:rPr>
          <w:rFonts w:ascii="Arial" w:hAnsi="Arial" w:cs="Arial"/>
          <w:color w:val="000000"/>
          <w:sz w:val="20"/>
          <w:szCs w:val="20"/>
        </w:rPr>
      </w:pPr>
    </w:p>
    <w:p w14:paraId="5D809F89" w14:textId="5D8A0CCC" w:rsidR="00E17C9D" w:rsidRDefault="00E17C9D" w:rsidP="00EF63FD">
      <w:pPr>
        <w:jc w:val="both"/>
        <w:rPr>
          <w:rFonts w:ascii="Arial" w:hAnsi="Arial" w:cs="Arial"/>
          <w:color w:val="000000"/>
          <w:sz w:val="20"/>
          <w:szCs w:val="20"/>
        </w:rPr>
      </w:pPr>
      <w:r>
        <w:rPr>
          <w:rFonts w:ascii="Arial" w:hAnsi="Arial" w:cs="Arial"/>
          <w:color w:val="000000"/>
          <w:sz w:val="20"/>
          <w:szCs w:val="20"/>
        </w:rPr>
        <w:t xml:space="preserve">In </w:t>
      </w:r>
      <w:r w:rsidRPr="00E17C9D">
        <w:rPr>
          <w:rFonts w:ascii="Arial" w:hAnsi="Arial" w:cs="Arial"/>
          <w:i/>
          <w:iCs/>
          <w:color w:val="000000"/>
          <w:sz w:val="20"/>
          <w:szCs w:val="20"/>
        </w:rPr>
        <w:t xml:space="preserve">Hourigan v The King </w:t>
      </w:r>
      <w:r>
        <w:rPr>
          <w:rFonts w:ascii="Arial" w:hAnsi="Arial" w:cs="Arial"/>
          <w:color w:val="000000"/>
          <w:sz w:val="20"/>
          <w:szCs w:val="20"/>
        </w:rPr>
        <w:t>[2024] VSCA 30 the Court of Appeal refused leave to appeal to a 29 year old offender, saying at [21]:</w:t>
      </w:r>
    </w:p>
    <w:p w14:paraId="0F2827BA" w14:textId="2DC3DB3E" w:rsidR="00E17C9D" w:rsidRPr="00C0478F" w:rsidRDefault="00E17C9D" w:rsidP="00E17C9D">
      <w:pPr>
        <w:tabs>
          <w:tab w:val="left" w:pos="284"/>
        </w:tabs>
        <w:spacing w:before="60"/>
        <w:ind w:left="454" w:right="454"/>
        <w:jc w:val="both"/>
        <w:rPr>
          <w:rFonts w:ascii="Arial" w:hAnsi="Arial" w:cs="Arial"/>
          <w:sz w:val="20"/>
          <w:szCs w:val="20"/>
        </w:rPr>
      </w:pPr>
      <w:r>
        <w:rPr>
          <w:rFonts w:ascii="Arial" w:hAnsi="Arial" w:cs="Arial"/>
          <w:sz w:val="20"/>
          <w:szCs w:val="20"/>
        </w:rPr>
        <w:t>“</w:t>
      </w:r>
      <w:r w:rsidRPr="00E17C9D">
        <w:rPr>
          <w:rFonts w:ascii="Arial" w:hAnsi="Arial" w:cs="Arial"/>
          <w:sz w:val="20"/>
          <w:szCs w:val="20"/>
        </w:rPr>
        <w:t xml:space="preserve">It follows that we are not satisfied that the applicant has demonstrated that the sentence is manifestly excessive. An assertion of manifest excess is an assertion that the sentence imposed is wholly beyond the range of sentences open to the judge in the reasonable exercise of his or her sentencing discretion. The sentence must be sufficiently excessive that it bespeaks otherwise unidentifiable error. As we have indicated, our conclusion is that the aggregate sentence of 5 months’ imprisonment falls well short of this characterisation. This was serious offending. The applicant possessed over 2 kilograms of butanediol, nearly 3.5 kilograms of cannabis and smaller quantities of cocaine and methylamphetamine. Cannabis seedlings were growing under a heat lamp. The original sentence was merciful and the resentence, in our view, is still lenient. </w:t>
      </w:r>
      <w:r>
        <w:rPr>
          <w:rFonts w:ascii="Arial" w:hAnsi="Arial" w:cs="Arial"/>
          <w:sz w:val="20"/>
          <w:szCs w:val="20"/>
        </w:rPr>
        <w:t xml:space="preserve"> </w:t>
      </w:r>
      <w:r w:rsidRPr="00E17C9D">
        <w:rPr>
          <w:rFonts w:ascii="Arial" w:hAnsi="Arial" w:cs="Arial"/>
          <w:sz w:val="20"/>
          <w:szCs w:val="20"/>
        </w:rPr>
        <w:t>An examination of comparative sentences demonstrates this</w:t>
      </w:r>
      <w:r>
        <w:rPr>
          <w:rFonts w:ascii="Arial" w:hAnsi="Arial" w:cs="Arial"/>
          <w:sz w:val="20"/>
          <w:szCs w:val="20"/>
        </w:rPr>
        <w:t xml:space="preserve">: see, for example, </w:t>
      </w:r>
      <w:r w:rsidRPr="00E17C9D">
        <w:rPr>
          <w:rFonts w:ascii="Arial" w:hAnsi="Arial" w:cs="Arial"/>
          <w:i/>
          <w:iCs/>
          <w:sz w:val="20"/>
          <w:szCs w:val="20"/>
        </w:rPr>
        <w:t>Nguyen v The Queen</w:t>
      </w:r>
      <w:r>
        <w:rPr>
          <w:rFonts w:ascii="Arial" w:hAnsi="Arial" w:cs="Arial"/>
          <w:sz w:val="20"/>
          <w:szCs w:val="20"/>
        </w:rPr>
        <w:t xml:space="preserve"> [2021] VSCA 346</w:t>
      </w:r>
      <w:r w:rsidRPr="00E17C9D">
        <w:rPr>
          <w:rFonts w:ascii="Arial" w:hAnsi="Arial" w:cs="Arial"/>
          <w:sz w:val="20"/>
          <w:szCs w:val="20"/>
        </w:rPr>
        <w:t>.</w:t>
      </w:r>
      <w:r>
        <w:rPr>
          <w:rFonts w:ascii="Arial" w:hAnsi="Arial" w:cs="Arial"/>
          <w:sz w:val="20"/>
          <w:szCs w:val="20"/>
        </w:rPr>
        <w:t>”</w:t>
      </w:r>
    </w:p>
    <w:p w14:paraId="7E218438" w14:textId="77777777" w:rsidR="00E17C9D" w:rsidRDefault="00E17C9D" w:rsidP="00EF63FD">
      <w:pPr>
        <w:jc w:val="both"/>
        <w:rPr>
          <w:rFonts w:ascii="Arial" w:hAnsi="Arial" w:cs="Arial"/>
          <w:color w:val="000000"/>
          <w:sz w:val="20"/>
          <w:szCs w:val="20"/>
        </w:rPr>
      </w:pPr>
    </w:p>
    <w:p w14:paraId="18BC2D2D" w14:textId="4B8265F7" w:rsidR="004312B0" w:rsidRDefault="004312B0" w:rsidP="00EF63FD">
      <w:pPr>
        <w:jc w:val="both"/>
        <w:rPr>
          <w:rFonts w:ascii="Arial" w:hAnsi="Arial" w:cs="Arial"/>
          <w:color w:val="000000"/>
          <w:sz w:val="20"/>
          <w:szCs w:val="20"/>
        </w:rPr>
      </w:pPr>
      <w:r>
        <w:rPr>
          <w:rFonts w:ascii="Arial" w:hAnsi="Arial" w:cs="Arial"/>
          <w:color w:val="000000"/>
          <w:sz w:val="20"/>
          <w:szCs w:val="20"/>
        </w:rPr>
        <w:t xml:space="preserve">In </w:t>
      </w:r>
      <w:r w:rsidRPr="004312B0">
        <w:rPr>
          <w:rFonts w:ascii="Arial" w:hAnsi="Arial" w:cs="Arial"/>
          <w:i/>
          <w:iCs/>
          <w:color w:val="000000"/>
          <w:sz w:val="20"/>
          <w:szCs w:val="20"/>
        </w:rPr>
        <w:t>Pulis v The King</w:t>
      </w:r>
      <w:r>
        <w:rPr>
          <w:rFonts w:ascii="Arial" w:hAnsi="Arial" w:cs="Arial"/>
          <w:color w:val="000000"/>
          <w:sz w:val="20"/>
          <w:szCs w:val="20"/>
        </w:rPr>
        <w:t xml:space="preserve"> [2025] VSCA 2 the </w:t>
      </w:r>
      <w:r w:rsidR="001238D4">
        <w:rPr>
          <w:rFonts w:ascii="Arial" w:hAnsi="Arial" w:cs="Arial"/>
          <w:color w:val="000000"/>
          <w:sz w:val="20"/>
          <w:szCs w:val="20"/>
        </w:rPr>
        <w:t>40</w:t>
      </w:r>
      <w:r>
        <w:rPr>
          <w:rFonts w:ascii="Arial" w:hAnsi="Arial" w:cs="Arial"/>
          <w:color w:val="000000"/>
          <w:sz w:val="20"/>
          <w:szCs w:val="20"/>
        </w:rPr>
        <w:t xml:space="preserve"> year old applicant had pleaded guilty and been sentenced to IMP8m + CCO18m on one charge of cultivation of Cannabis L, namely 221 plants found at the applicant’s residence which he maintained were for </w:t>
      </w:r>
      <w:r w:rsidRPr="004312B0">
        <w:rPr>
          <w:rFonts w:ascii="Arial" w:hAnsi="Arial" w:cs="Arial"/>
          <w:color w:val="000000"/>
          <w:sz w:val="20"/>
          <w:szCs w:val="20"/>
        </w:rPr>
        <w:t>personal use to self-medicate for mental health issues</w:t>
      </w:r>
      <w:r>
        <w:rPr>
          <w:rFonts w:ascii="Arial" w:hAnsi="Arial" w:cs="Arial"/>
          <w:color w:val="000000"/>
          <w:sz w:val="20"/>
          <w:szCs w:val="20"/>
        </w:rPr>
        <w:t xml:space="preserve">. Refusing leave to appeal Emerton P &amp; J Forrest JA said at [73]: </w:t>
      </w:r>
    </w:p>
    <w:p w14:paraId="7ECC0CEA" w14:textId="77777777" w:rsidR="004312B0" w:rsidRDefault="004312B0" w:rsidP="004312B0">
      <w:pPr>
        <w:tabs>
          <w:tab w:val="left" w:pos="284"/>
        </w:tabs>
        <w:spacing w:before="60"/>
        <w:ind w:left="454" w:right="454"/>
        <w:jc w:val="both"/>
        <w:rPr>
          <w:rFonts w:ascii="Arial" w:hAnsi="Arial" w:cs="Arial"/>
          <w:color w:val="000000"/>
          <w:sz w:val="20"/>
          <w:szCs w:val="20"/>
        </w:rPr>
      </w:pPr>
      <w:r>
        <w:rPr>
          <w:rFonts w:ascii="Arial" w:hAnsi="Arial" w:cs="Arial"/>
          <w:sz w:val="20"/>
          <w:szCs w:val="20"/>
        </w:rPr>
        <w:t>“</w:t>
      </w:r>
      <w:r w:rsidRPr="004312B0">
        <w:rPr>
          <w:rFonts w:ascii="Arial" w:hAnsi="Arial" w:cs="Arial"/>
          <w:color w:val="000000"/>
          <w:sz w:val="20"/>
          <w:szCs w:val="20"/>
        </w:rPr>
        <w:t>The end result was well within the available range of sentencing options available given:</w:t>
      </w:r>
    </w:p>
    <w:p w14:paraId="5CFF77A1" w14:textId="77777777"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nature of the set up and the quantity of plants involved;</w:t>
      </w:r>
    </w:p>
    <w:p w14:paraId="332B6007" w14:textId="77777777"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fact that the applicant was a repeat offender — and that the prior conviction had only occurred a short time prior to the instant offending; and</w:t>
      </w:r>
    </w:p>
    <w:p w14:paraId="52CD2AB6" w14:textId="67636D21"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applicant committed the offending whilst on a CCO.</w:t>
      </w:r>
      <w:r>
        <w:rPr>
          <w:rFonts w:ascii="Arial" w:hAnsi="Arial" w:cs="Arial"/>
          <w:color w:val="000000"/>
          <w:sz w:val="20"/>
          <w:szCs w:val="20"/>
        </w:rPr>
        <w:t>”</w:t>
      </w:r>
    </w:p>
    <w:p w14:paraId="3F7F39C7" w14:textId="77777777" w:rsidR="004312B0" w:rsidRDefault="004312B0" w:rsidP="00EF63FD">
      <w:pPr>
        <w:jc w:val="both"/>
        <w:rPr>
          <w:rFonts w:ascii="Arial" w:hAnsi="Arial" w:cs="Arial"/>
          <w:color w:val="000000"/>
          <w:sz w:val="20"/>
          <w:szCs w:val="20"/>
        </w:rPr>
      </w:pPr>
    </w:p>
    <w:p w14:paraId="381D4512" w14:textId="6F73630D" w:rsidR="00DE4C29" w:rsidRPr="001C6E0E" w:rsidRDefault="00DE4C29" w:rsidP="005D2AEF">
      <w:pPr>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5D2AEF">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w:t>
      </w:r>
      <w:r w:rsidR="00260308" w:rsidRPr="001C6E0E">
        <w:rPr>
          <w:rFonts w:ascii="Arial" w:hAnsi="Arial" w:cs="Arial"/>
          <w:color w:val="000000"/>
          <w:sz w:val="20"/>
        </w:rPr>
        <w:lastRenderedPageBreak/>
        <w:t>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(Cth) v Vestic</w:t>
      </w:r>
      <w:r w:rsidR="003413EF" w:rsidRPr="001C6E0E">
        <w:rPr>
          <w:rFonts w:ascii="Arial" w:hAnsi="Arial" w:cs="Arial"/>
          <w:color w:val="000000"/>
          <w:sz w:val="20"/>
        </w:rPr>
        <w:t xml:space="preserve"> [2008] VSCA 12.</w:t>
      </w:r>
    </w:p>
    <w:p w14:paraId="661BF0E6" w14:textId="77777777" w:rsidR="00D17BFB" w:rsidRPr="001C6E0E" w:rsidRDefault="00D17BFB" w:rsidP="00866EF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Ors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Khanh Phong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R v Berisha, Elmazovski and Rizmani</w:t>
      </w:r>
      <w:r w:rsidRPr="001C6E0E">
        <w:rPr>
          <w:rFonts w:ascii="Arial" w:hAnsi="Arial" w:cs="Arial"/>
          <w:color w:val="000000"/>
          <w:sz w:val="20"/>
          <w:szCs w:val="20"/>
        </w:rPr>
        <w:t xml:space="preserve"> [1999] VSCA 112 per Tadgell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v Roberts and Urbanec</w:t>
      </w:r>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Barbaro &amp; Zirrilli</w:t>
      </w:r>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traffick 4.4ton MDMA &amp; 1.4 ton pure MDMA (2900 times the commercial quantity), traffick in commercial quantity MDMA (1.2 million tablets – 50kg pure MDMA) and attempt to possess commercial quantity of cocaine (99.9kg pure) – Highest level of offending, international organized crime, conducted as business, greed, professionalism, profit.  </w:t>
      </w:r>
      <w:r w:rsidR="00B93DC8" w:rsidRPr="001C6E0E">
        <w:rPr>
          <w:rFonts w:ascii="Arial" w:hAnsi="Arial" w:cs="Arial"/>
          <w:color w:val="000000"/>
          <w:sz w:val="20"/>
          <w:szCs w:val="20"/>
        </w:rPr>
        <w:t xml:space="preserve">Barbaro at apex </w:t>
      </w:r>
      <w:r w:rsidRPr="001C6E0E">
        <w:rPr>
          <w:rFonts w:ascii="Arial" w:hAnsi="Arial" w:cs="Arial"/>
          <w:color w:val="000000"/>
          <w:sz w:val="20"/>
          <w:szCs w:val="20"/>
        </w:rPr>
        <w:t>IMP Life/30y.  Zirrilli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Yim &amp; Ors </w:t>
      </w:r>
      <w:r w:rsidRPr="008825B2">
        <w:rPr>
          <w:rFonts w:ascii="Arial" w:hAnsi="Arial" w:cs="Arial"/>
          <w:color w:val="000000"/>
          <w:sz w:val="20"/>
          <w:szCs w:val="20"/>
        </w:rPr>
        <w:t>[2012] VSC 325 – Guilty plea to importing a commercial quantity of a border controlled drug (207kg pure cocaine: “one of the largest ever detected by our authorities”) – IMP 20y/16y &amp; 29y/15y.  Young coffender aged 20½ guilty plea to attempting to possess a commercial quantity – IMP 11y/6y6m.</w:t>
      </w:r>
    </w:p>
    <w:p w14:paraId="0F6A4F0E" w14:textId="56A4798F"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A Mokbel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r w:rsidR="00464CFA">
        <w:rPr>
          <w:rFonts w:ascii="Arial" w:hAnsi="Arial" w:cs="Arial"/>
          <w:color w:val="000000"/>
          <w:sz w:val="20"/>
          <w:szCs w:val="20"/>
        </w:rPr>
        <w:t xml:space="preserve">  This sentence was subsequently varied to IMP26y/20y: see </w:t>
      </w:r>
      <w:r w:rsidR="00464CFA" w:rsidRPr="00464CFA">
        <w:rPr>
          <w:rFonts w:ascii="Arial" w:hAnsi="Arial" w:cs="Arial"/>
          <w:i/>
          <w:iCs/>
          <w:color w:val="000000"/>
          <w:sz w:val="20"/>
          <w:szCs w:val="20"/>
        </w:rPr>
        <w:t>Mokbel v The King</w:t>
      </w:r>
      <w:r w:rsidR="00464CFA">
        <w:rPr>
          <w:rFonts w:ascii="Arial" w:hAnsi="Arial" w:cs="Arial"/>
          <w:color w:val="000000"/>
          <w:sz w:val="20"/>
          <w:szCs w:val="20"/>
        </w:rPr>
        <w:t xml:space="preserve"> [2023] VSCA 40.</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cking in amphetamine &amp; heroin and possession of cocaine, ecstacy &amp; amphetamine: – 4y2m/25m not manifestly excessive – Defendant was one of 16 persons who played various parts in the conduct of a major drug distribution syndicate controlled by Dominic Parisi,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R v Bosio, Clarke &amp; Zogheib</w:t>
      </w:r>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R v Komljenovic</w:t>
      </w:r>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Polimeni v The Queen </w:t>
      </w:r>
      <w:r w:rsidRPr="008825B2">
        <w:rPr>
          <w:rFonts w:ascii="Arial" w:hAnsi="Arial" w:cs="Arial"/>
          <w:color w:val="000000"/>
          <w:sz w:val="20"/>
          <w:szCs w:val="20"/>
        </w:rPr>
        <w:t>[2014] VSCA 72 – 13 day trial of charge of conspiracy to traffick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cf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traffick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r>
        <w:rPr>
          <w:rFonts w:ascii="Arial" w:hAnsi="Arial" w:cs="Arial"/>
          <w:i/>
          <w:color w:val="000000"/>
          <w:sz w:val="20"/>
          <w:szCs w:val="20"/>
        </w:rPr>
        <w:lastRenderedPageBreak/>
        <w:t xml:space="preserve">Djordjic v The Queen </w:t>
      </w:r>
      <w:r w:rsidRPr="00A14DA7">
        <w:rPr>
          <w:rFonts w:ascii="Arial" w:hAnsi="Arial" w:cs="Arial"/>
          <w:color w:val="000000"/>
          <w:sz w:val="20"/>
          <w:szCs w:val="20"/>
        </w:rPr>
        <w:t>[2018] VSCA 227 – T</w:t>
      </w:r>
      <w:r>
        <w:rPr>
          <w:rFonts w:ascii="Arial" w:hAnsi="Arial" w:cs="Arial"/>
          <w:color w:val="000000"/>
          <w:sz w:val="20"/>
          <w:szCs w:val="20"/>
        </w:rPr>
        <w:t>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unambigious message by the courts that those</w:t>
      </w:r>
      <w:r w:rsidR="000878DD">
        <w:rPr>
          <w:rFonts w:ascii="Arial" w:hAnsi="Arial" w:cs="Arial"/>
          <w:color w:val="000000"/>
          <w:sz w:val="20"/>
          <w:szCs w:val="20"/>
        </w:rPr>
        <w:t>, who wish to reap large pofits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r w:rsidRPr="00C762B3">
        <w:rPr>
          <w:rFonts w:ascii="Arial" w:hAnsi="Arial" w:cs="Arial"/>
          <w:i/>
          <w:color w:val="000000"/>
          <w:sz w:val="20"/>
          <w:szCs w:val="20"/>
        </w:rPr>
        <w:t xml:space="preserve">Rahmani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r w:rsidR="00C762B3" w:rsidRPr="00C762B3">
        <w:rPr>
          <w:rFonts w:ascii="Arial" w:eastAsia="Book Antiqua" w:hAnsi="Arial" w:cs="Arial"/>
          <w:i/>
          <w:sz w:val="20"/>
          <w:szCs w:val="20"/>
        </w:rPr>
        <w:t>Arico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coaccused – on appeal on grounds of parity resentenced to IMP18y/12y.</w:t>
      </w:r>
    </w:p>
    <w:p w14:paraId="3AB92DE4" w14:textId="2B3C2FBF" w:rsidR="00890947" w:rsidRPr="00310E54" w:rsidRDefault="00890947" w:rsidP="008B446A">
      <w:pPr>
        <w:numPr>
          <w:ilvl w:val="0"/>
          <w:numId w:val="16"/>
        </w:numPr>
        <w:spacing w:before="120"/>
        <w:ind w:left="357" w:hanging="357"/>
        <w:jc w:val="both"/>
        <w:rPr>
          <w:rFonts w:ascii="Arial" w:hAnsi="Arial" w:cs="Arial"/>
          <w:color w:val="000000"/>
          <w:sz w:val="20"/>
          <w:szCs w:val="20"/>
        </w:rPr>
      </w:pPr>
      <w:r w:rsidRPr="00890947">
        <w:rPr>
          <w:rFonts w:ascii="Arial" w:hAnsi="Arial" w:cs="Arial"/>
          <w:i/>
          <w:iCs/>
          <w:color w:val="000000"/>
          <w:sz w:val="20"/>
          <w:szCs w:val="20"/>
        </w:rPr>
        <w:t xml:space="preserve">Awad v The Queen; Tambakakis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controlled drug (cocaine of value $3.9-5.3 million) refused – appeal against sentence IMP15y/10y refused – coaccused</w:t>
      </w:r>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connecton with the contraband…the judge was entitled to regard both of the applicants as </w:t>
      </w:r>
      <w:r w:rsidR="00CC0AFD" w:rsidRPr="000C6568">
        <w:rPr>
          <w:rFonts w:ascii="Arial" w:hAnsi="Arial" w:cs="Arial"/>
          <w:sz w:val="20"/>
          <w:szCs w:val="18"/>
        </w:rPr>
        <w:t>playing a key role 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r w:rsidR="00310E54">
        <w:rPr>
          <w:rFonts w:ascii="Arial" w:hAnsi="Arial" w:cs="Arial"/>
          <w:sz w:val="20"/>
          <w:szCs w:val="18"/>
        </w:rPr>
        <w:t xml:space="preserve">  </w:t>
      </w:r>
      <w:r w:rsidR="00310E54" w:rsidRPr="00310E54">
        <w:rPr>
          <w:rFonts w:ascii="Arial" w:hAnsi="Arial" w:cs="Arial"/>
          <w:sz w:val="20"/>
          <w:szCs w:val="20"/>
        </w:rPr>
        <w:t xml:space="preserve">Appeal against conviction allowed by High Court </w:t>
      </w:r>
      <w:r w:rsidR="00310E54">
        <w:rPr>
          <w:rFonts w:ascii="Arial" w:hAnsi="Arial" w:cs="Arial"/>
          <w:sz w:val="20"/>
          <w:szCs w:val="20"/>
        </w:rPr>
        <w:t xml:space="preserve">on ground of breach of s.44J </w:t>
      </w:r>
      <w:r w:rsidR="00310E54" w:rsidRPr="00847FCC">
        <w:rPr>
          <w:rFonts w:ascii="Arial" w:hAnsi="Arial" w:cs="Arial"/>
          <w:i/>
          <w:iCs/>
          <w:sz w:val="20"/>
          <w:szCs w:val="20"/>
        </w:rPr>
        <w:t xml:space="preserve">Jury Directions Act </w:t>
      </w:r>
      <w:r w:rsidR="00847FCC" w:rsidRPr="00847FCC">
        <w:rPr>
          <w:rFonts w:ascii="Arial" w:hAnsi="Arial" w:cs="Arial"/>
          <w:i/>
          <w:iCs/>
          <w:sz w:val="20"/>
          <w:szCs w:val="20"/>
        </w:rPr>
        <w:t>2015</w:t>
      </w:r>
      <w:r w:rsidR="00847FCC">
        <w:rPr>
          <w:rFonts w:ascii="Arial" w:hAnsi="Arial" w:cs="Arial"/>
          <w:sz w:val="20"/>
          <w:szCs w:val="20"/>
        </w:rPr>
        <w:t xml:space="preserve"> </w:t>
      </w:r>
      <w:r w:rsidR="00310E54" w:rsidRPr="00310E54">
        <w:rPr>
          <w:rFonts w:ascii="Arial" w:hAnsi="Arial" w:cs="Arial"/>
          <w:sz w:val="20"/>
          <w:szCs w:val="20"/>
        </w:rPr>
        <w:t xml:space="preserve">and new trial ordered: </w:t>
      </w:r>
      <w:r w:rsidR="00310E54" w:rsidRPr="00310E54">
        <w:rPr>
          <w:rFonts w:ascii="Arial" w:hAnsi="Arial" w:cs="Arial"/>
          <w:i/>
          <w:iCs/>
          <w:sz w:val="20"/>
          <w:szCs w:val="20"/>
        </w:rPr>
        <w:t>Awad v The Queen</w:t>
      </w:r>
      <w:r w:rsidR="00847FCC">
        <w:rPr>
          <w:rFonts w:ascii="Arial" w:hAnsi="Arial" w:cs="Arial"/>
          <w:i/>
          <w:iCs/>
          <w:sz w:val="20"/>
          <w:szCs w:val="20"/>
        </w:rPr>
        <w:t>;</w:t>
      </w:r>
      <w:r w:rsidR="00310E54" w:rsidRPr="00310E54">
        <w:rPr>
          <w:rFonts w:ascii="Arial" w:hAnsi="Arial" w:cs="Arial"/>
          <w:sz w:val="20"/>
          <w:szCs w:val="20"/>
        </w:rPr>
        <w:t xml:space="preserve"> </w:t>
      </w:r>
      <w:r w:rsidR="00310E54" w:rsidRPr="00310E54">
        <w:rPr>
          <w:rFonts w:ascii="Arial" w:hAnsi="Arial" w:cs="Arial"/>
          <w:i/>
          <w:iCs/>
          <w:sz w:val="20"/>
          <w:szCs w:val="20"/>
        </w:rPr>
        <w:t>Tambakakis v The Queen</w:t>
      </w:r>
      <w:r w:rsidR="00310E54" w:rsidRPr="00310E54">
        <w:rPr>
          <w:rFonts w:ascii="Arial" w:hAnsi="Arial" w:cs="Arial"/>
          <w:sz w:val="20"/>
          <w:szCs w:val="20"/>
        </w:rPr>
        <w:t xml:space="preserve"> [2022] HCA 36.</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coaccused Saptura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Chuah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Donnes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6ABDD1DF" w:rsidR="006C3429" w:rsidRPr="00191723" w:rsidRDefault="006C3429" w:rsidP="008B446A">
      <w:pPr>
        <w:numPr>
          <w:ilvl w:val="0"/>
          <w:numId w:val="16"/>
        </w:numPr>
        <w:spacing w:before="120"/>
        <w:ind w:left="357" w:hanging="357"/>
        <w:jc w:val="both"/>
        <w:rPr>
          <w:rFonts w:ascii="Arial" w:hAnsi="Arial" w:cs="Arial"/>
          <w:color w:val="000000"/>
          <w:sz w:val="20"/>
          <w:szCs w:val="20"/>
        </w:rPr>
      </w:pPr>
      <w:bookmarkStart w:id="689" w:name="_Hlk111190354"/>
      <w:r w:rsidRPr="006C3429">
        <w:rPr>
          <w:rFonts w:ascii="Arial" w:hAnsi="Arial" w:cs="Arial"/>
          <w:i/>
          <w:iCs/>
          <w:color w:val="000000"/>
          <w:sz w:val="20"/>
          <w:szCs w:val="20"/>
        </w:rPr>
        <w:t>Rodgerson v The Queen [No 2]</w:t>
      </w:r>
      <w:r w:rsidRPr="006C3429">
        <w:rPr>
          <w:rFonts w:ascii="Arial" w:hAnsi="Arial" w:cs="Arial"/>
          <w:color w:val="000000"/>
          <w:sz w:val="20"/>
          <w:szCs w:val="20"/>
        </w:rPr>
        <w:t xml:space="preserve"> [2022] VSCA 154</w:t>
      </w:r>
      <w:bookmarkEnd w:id="689"/>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3LA(2) of the Crimes Act 1914 (Cth). The Court of Appeal (Emerton P, Kyrou &amp; T Forrest JJA) upheld a TES IMP6y5m/3y8m, holding at [92] that “a lesser sentence would not be of a severity appropriate in all the circumstances of this case.”</w:t>
      </w:r>
    </w:p>
    <w:p w14:paraId="22B0912B" w14:textId="66027CC1" w:rsidR="00191723" w:rsidRDefault="00191723" w:rsidP="005C6EC8">
      <w:pPr>
        <w:numPr>
          <w:ilvl w:val="0"/>
          <w:numId w:val="16"/>
        </w:numPr>
        <w:spacing w:before="120"/>
        <w:ind w:left="357" w:hanging="357"/>
        <w:jc w:val="both"/>
        <w:rPr>
          <w:rFonts w:ascii="Arial" w:hAnsi="Arial" w:cs="Arial"/>
          <w:color w:val="000000"/>
          <w:sz w:val="20"/>
        </w:rPr>
      </w:pPr>
      <w:r w:rsidRPr="005C6EC8">
        <w:rPr>
          <w:rFonts w:ascii="Arial" w:hAnsi="Arial" w:cs="Arial"/>
          <w:i/>
          <w:iCs/>
          <w:color w:val="000000"/>
          <w:sz w:val="20"/>
        </w:rPr>
        <w:t>Alicia Mason (a pseudonym) v The King</w:t>
      </w:r>
      <w:r w:rsidRPr="005C6EC8">
        <w:rPr>
          <w:rFonts w:ascii="Arial" w:hAnsi="Arial" w:cs="Arial"/>
          <w:color w:val="000000"/>
          <w:sz w:val="20"/>
        </w:rPr>
        <w:t xml:space="preserve"> [2023] VSCA 75 – The applicant had pleaded guilty to a charge of importing a commercial quantity of a border controlled drug described by the Court of Appeal as “enormous”, namely around 1.2 tonnes of methylamphetamine and just under 30kg of </w:t>
      </w:r>
      <w:r w:rsidRPr="005C6EC8">
        <w:rPr>
          <w:rFonts w:ascii="Arial" w:hAnsi="Arial" w:cs="Arial"/>
          <w:color w:val="000000"/>
          <w:sz w:val="20"/>
        </w:rPr>
        <w:lastRenderedPageBreak/>
        <w:t>heroin.  She had been sentenced to IMP11y/7y, the sentencing judge having taken into account her plea of guilty, her cooperation with authorities</w:t>
      </w:r>
      <w:r w:rsidR="005C6EC8" w:rsidRPr="005C6EC8">
        <w:rPr>
          <w:rFonts w:ascii="Arial" w:hAnsi="Arial" w:cs="Arial"/>
          <w:color w:val="000000"/>
          <w:sz w:val="20"/>
        </w:rPr>
        <w:t xml:space="preserve">, her ongoing physical and mental health issues </w:t>
      </w:r>
      <w:r w:rsidRPr="005C6EC8">
        <w:rPr>
          <w:rFonts w:ascii="Arial" w:hAnsi="Arial" w:cs="Arial"/>
          <w:color w:val="000000"/>
          <w:sz w:val="20"/>
        </w:rPr>
        <w:t xml:space="preserve">and the </w:t>
      </w:r>
      <w:r w:rsidR="005C6EC8" w:rsidRPr="005C6EC8">
        <w:rPr>
          <w:rFonts w:ascii="Arial" w:hAnsi="Arial" w:cs="Arial"/>
          <w:color w:val="000000"/>
          <w:sz w:val="20"/>
        </w:rPr>
        <w:t xml:space="preserve">impact of imprisonment on her family including her 13 &amp; 16 year old children.  The Court of Appeal (Beach &amp; Niall JJA) dismissed the appeal, holding that </w:t>
      </w:r>
      <w:r w:rsidRPr="005C6EC8">
        <w:rPr>
          <w:rFonts w:ascii="Arial" w:hAnsi="Arial" w:cs="Arial"/>
          <w:color w:val="000000"/>
          <w:sz w:val="20"/>
        </w:rPr>
        <w:t>it was not reasonably arguable that the head sentence and the non-parole period were manifestly excessive.</w:t>
      </w:r>
    </w:p>
    <w:p w14:paraId="15E07B29" w14:textId="6118B3DF" w:rsidR="005D63B6" w:rsidRPr="001414D0" w:rsidRDefault="005D63B6" w:rsidP="005C6EC8">
      <w:pPr>
        <w:numPr>
          <w:ilvl w:val="0"/>
          <w:numId w:val="16"/>
        </w:numPr>
        <w:spacing w:before="120"/>
        <w:ind w:left="357" w:hanging="357"/>
        <w:jc w:val="both"/>
        <w:rPr>
          <w:rFonts w:ascii="Arial" w:hAnsi="Arial" w:cs="Arial"/>
          <w:color w:val="000000"/>
          <w:sz w:val="20"/>
          <w:szCs w:val="20"/>
        </w:rPr>
      </w:pPr>
      <w:r w:rsidRPr="004A4A2A">
        <w:rPr>
          <w:rFonts w:ascii="Arial" w:hAnsi="Arial" w:cs="Arial"/>
          <w:i/>
          <w:iCs/>
          <w:color w:val="000000"/>
          <w:sz w:val="20"/>
          <w:szCs w:val="20"/>
        </w:rPr>
        <w:t>Ong v The King</w:t>
      </w:r>
      <w:r w:rsidRPr="004A4A2A">
        <w:rPr>
          <w:rFonts w:ascii="Arial" w:hAnsi="Arial" w:cs="Arial"/>
          <w:color w:val="000000"/>
          <w:sz w:val="20"/>
          <w:szCs w:val="20"/>
        </w:rPr>
        <w:t xml:space="preserve"> [2023] VSCA 116 – The 27 year old applicant</w:t>
      </w:r>
      <w:r w:rsidR="007515FD">
        <w:rPr>
          <w:rFonts w:ascii="Arial" w:hAnsi="Arial" w:cs="Arial"/>
          <w:color w:val="000000"/>
          <w:sz w:val="20"/>
          <w:szCs w:val="20"/>
        </w:rPr>
        <w:t>, a Malaysian citizen,</w:t>
      </w:r>
      <w:r w:rsidRPr="004A4A2A">
        <w:rPr>
          <w:rFonts w:ascii="Arial" w:hAnsi="Arial" w:cs="Arial"/>
          <w:color w:val="000000"/>
          <w:sz w:val="20"/>
          <w:szCs w:val="20"/>
        </w:rPr>
        <w:t xml:space="preserve"> </w:t>
      </w:r>
      <w:r w:rsidR="00F71331" w:rsidRPr="004A4A2A">
        <w:rPr>
          <w:rFonts w:ascii="Arial" w:hAnsi="Arial" w:cs="Arial"/>
          <w:color w:val="000000"/>
          <w:sz w:val="20"/>
          <w:szCs w:val="20"/>
        </w:rPr>
        <w:t>had pleaded guilty to one charge of attempting to possess a commercial quantity of unlawfully imported border controlled drug (</w:t>
      </w:r>
      <w:r w:rsidR="00FF3E1E" w:rsidRPr="004A4A2A">
        <w:rPr>
          <w:rFonts w:ascii="Arial" w:hAnsi="Arial" w:cs="Arial"/>
          <w:sz w:val="20"/>
          <w:szCs w:val="20"/>
        </w:rPr>
        <w:t>7.7 kilograms of methamphetamine crystals, of 80.1% purity, concealed within 12</w:t>
      </w:r>
      <w:r w:rsidR="0045269D">
        <w:rPr>
          <w:rFonts w:ascii="Arial" w:hAnsi="Arial" w:cs="Arial"/>
          <w:sz w:val="20"/>
          <w:szCs w:val="20"/>
        </w:rPr>
        <w:t> </w:t>
      </w:r>
      <w:r w:rsidR="00FF3E1E" w:rsidRPr="004A4A2A">
        <w:rPr>
          <w:rFonts w:ascii="Arial" w:hAnsi="Arial" w:cs="Arial"/>
          <w:sz w:val="20"/>
          <w:szCs w:val="20"/>
        </w:rPr>
        <w:t xml:space="preserve">water filters).  </w:t>
      </w:r>
      <w:r w:rsidR="006C313B">
        <w:rPr>
          <w:rFonts w:ascii="Arial" w:hAnsi="Arial" w:cs="Arial"/>
          <w:sz w:val="20"/>
          <w:szCs w:val="20"/>
        </w:rPr>
        <w:t xml:space="preserve">In refusing leave to appeal, </w:t>
      </w:r>
      <w:r w:rsidR="005147EB" w:rsidRPr="004A4A2A">
        <w:rPr>
          <w:rFonts w:ascii="Arial" w:hAnsi="Arial" w:cs="Arial"/>
          <w:sz w:val="20"/>
          <w:szCs w:val="20"/>
        </w:rPr>
        <w:t xml:space="preserve">Kyrou JA held </w:t>
      </w:r>
      <w:r w:rsidR="00575401" w:rsidRPr="004A4A2A">
        <w:rPr>
          <w:rFonts w:ascii="Arial" w:hAnsi="Arial" w:cs="Arial"/>
          <w:sz w:val="20"/>
          <w:szCs w:val="20"/>
        </w:rPr>
        <w:t>at [72]</w:t>
      </w:r>
      <w:r w:rsidR="006C313B">
        <w:rPr>
          <w:rFonts w:ascii="Arial" w:hAnsi="Arial" w:cs="Arial"/>
          <w:sz w:val="20"/>
          <w:szCs w:val="20"/>
        </w:rPr>
        <w:t xml:space="preserve">: </w:t>
      </w:r>
      <w:r w:rsidR="00575401" w:rsidRPr="004A4A2A">
        <w:rPr>
          <w:rFonts w:ascii="Arial" w:hAnsi="Arial" w:cs="Arial"/>
          <w:sz w:val="20"/>
          <w:szCs w:val="20"/>
        </w:rPr>
        <w:t xml:space="preserve">“Having regard to the gravity of the offending and the applicant’s moral culpability, the fact that the judge imposed a sentence of </w:t>
      </w:r>
      <w:r w:rsidR="00103E0F">
        <w:rPr>
          <w:rFonts w:ascii="Arial" w:hAnsi="Arial" w:cs="Arial"/>
          <w:sz w:val="20"/>
          <w:szCs w:val="20"/>
        </w:rPr>
        <w:t>[</w:t>
      </w:r>
      <w:r w:rsidR="004A4A2A" w:rsidRPr="004A4A2A">
        <w:rPr>
          <w:rFonts w:ascii="Arial" w:hAnsi="Arial" w:cs="Arial"/>
          <w:sz w:val="20"/>
          <w:szCs w:val="20"/>
        </w:rPr>
        <w:t>IMP7y/4y]</w:t>
      </w:r>
      <w:r w:rsidR="00575401" w:rsidRPr="004A4A2A">
        <w:rPr>
          <w:rFonts w:ascii="Arial" w:hAnsi="Arial" w:cs="Arial"/>
          <w:sz w:val="20"/>
          <w:szCs w:val="20"/>
        </w:rPr>
        <w:t xml:space="preserve"> for an offence with a maximum penalty of life imprisonment can only be explicable on the basis that the judge gave significant weight to the principles in </w:t>
      </w:r>
      <w:r w:rsidR="00575401" w:rsidRPr="004A4A2A">
        <w:rPr>
          <w:rFonts w:ascii="Arial" w:hAnsi="Arial" w:cs="Arial"/>
          <w:i/>
          <w:iCs/>
          <w:sz w:val="20"/>
          <w:szCs w:val="20"/>
        </w:rPr>
        <w:t>Worboyes</w:t>
      </w:r>
      <w:r w:rsidR="00575401" w:rsidRPr="004A4A2A">
        <w:rPr>
          <w:rFonts w:ascii="Arial" w:hAnsi="Arial" w:cs="Arial"/>
          <w:sz w:val="20"/>
          <w:szCs w:val="20"/>
        </w:rPr>
        <w:t xml:space="preserve"> and to the other mitigating factors upon which the applicant relied.</w:t>
      </w:r>
      <w:r w:rsidR="004A4A2A" w:rsidRPr="004A4A2A">
        <w:rPr>
          <w:rFonts w:ascii="Arial" w:hAnsi="Arial" w:cs="Arial"/>
          <w:sz w:val="20"/>
          <w:szCs w:val="20"/>
        </w:rPr>
        <w:t>”</w:t>
      </w:r>
    </w:p>
    <w:p w14:paraId="119AC708" w14:textId="3AA0FD7A" w:rsidR="001414D0" w:rsidRPr="00CF2A3D" w:rsidRDefault="001414D0"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DPP v Jabbour </w:t>
      </w:r>
      <w:r w:rsidRPr="001414D0">
        <w:rPr>
          <w:rFonts w:ascii="Arial" w:hAnsi="Arial" w:cs="Arial"/>
          <w:color w:val="000000"/>
          <w:sz w:val="20"/>
          <w:szCs w:val="20"/>
        </w:rPr>
        <w:t>[2023] VSCA 204 – The respondent had pleaded guilty to one</w:t>
      </w:r>
      <w:r>
        <w:rPr>
          <w:rFonts w:ascii="Arial" w:hAnsi="Arial" w:cs="Arial"/>
          <w:i/>
          <w:iCs/>
          <w:color w:val="000000"/>
          <w:sz w:val="20"/>
          <w:szCs w:val="20"/>
        </w:rPr>
        <w:t xml:space="preserve"> </w:t>
      </w:r>
      <w:r w:rsidRPr="001414D0">
        <w:rPr>
          <w:rFonts w:ascii="Arial" w:hAnsi="Arial" w:cs="Arial"/>
          <w:sz w:val="20"/>
          <w:szCs w:val="20"/>
        </w:rPr>
        <w:t xml:space="preserve">charge of trafficking </w:t>
      </w:r>
      <w:r>
        <w:rPr>
          <w:rFonts w:ascii="Arial" w:hAnsi="Arial" w:cs="Arial"/>
          <w:sz w:val="20"/>
          <w:szCs w:val="20"/>
        </w:rPr>
        <w:t xml:space="preserve">a </w:t>
      </w:r>
      <w:r w:rsidRPr="001414D0">
        <w:rPr>
          <w:rFonts w:ascii="Arial" w:hAnsi="Arial" w:cs="Arial"/>
          <w:sz w:val="20"/>
          <w:szCs w:val="20"/>
        </w:rPr>
        <w:t>drug of dependence in large commercial quantity</w:t>
      </w:r>
      <w:r>
        <w:rPr>
          <w:rFonts w:ascii="Arial" w:hAnsi="Arial" w:cs="Arial"/>
          <w:sz w:val="20"/>
          <w:szCs w:val="20"/>
        </w:rPr>
        <w:t>, o</w:t>
      </w:r>
      <w:r w:rsidRPr="001414D0">
        <w:rPr>
          <w:rFonts w:ascii="Arial" w:hAnsi="Arial" w:cs="Arial"/>
          <w:sz w:val="20"/>
          <w:szCs w:val="20"/>
        </w:rPr>
        <w:t>ne charge of trafficking</w:t>
      </w:r>
      <w:r>
        <w:rPr>
          <w:rFonts w:ascii="Arial" w:hAnsi="Arial" w:cs="Arial"/>
          <w:sz w:val="20"/>
          <w:szCs w:val="20"/>
        </w:rPr>
        <w:t xml:space="preserve"> and o</w:t>
      </w:r>
      <w:r w:rsidRPr="001414D0">
        <w:rPr>
          <w:rFonts w:ascii="Arial" w:hAnsi="Arial" w:cs="Arial"/>
          <w:sz w:val="20"/>
          <w:szCs w:val="20"/>
        </w:rPr>
        <w:t>ne charge of possession</w:t>
      </w:r>
      <w:r>
        <w:rPr>
          <w:rFonts w:ascii="Arial" w:hAnsi="Arial" w:cs="Arial"/>
          <w:sz w:val="20"/>
          <w:szCs w:val="20"/>
        </w:rPr>
        <w:t>.  On the charge of t</w:t>
      </w:r>
      <w:r w:rsidRPr="001414D0">
        <w:rPr>
          <w:rFonts w:ascii="Arial" w:hAnsi="Arial" w:cs="Arial"/>
          <w:sz w:val="20"/>
          <w:szCs w:val="20"/>
        </w:rPr>
        <w:t xml:space="preserve">rafficking in large commercial quantity </w:t>
      </w:r>
      <w:r>
        <w:rPr>
          <w:rFonts w:ascii="Arial" w:hAnsi="Arial" w:cs="Arial"/>
          <w:sz w:val="20"/>
          <w:szCs w:val="20"/>
        </w:rPr>
        <w:t xml:space="preserve">the </w:t>
      </w:r>
      <w:r w:rsidRPr="001414D0">
        <w:rPr>
          <w:rFonts w:ascii="Arial" w:hAnsi="Arial" w:cs="Arial"/>
          <w:sz w:val="20"/>
          <w:szCs w:val="20"/>
        </w:rPr>
        <w:t xml:space="preserve">sentence </w:t>
      </w:r>
      <w:r>
        <w:rPr>
          <w:rFonts w:ascii="Arial" w:hAnsi="Arial" w:cs="Arial"/>
          <w:sz w:val="20"/>
          <w:szCs w:val="20"/>
        </w:rPr>
        <w:t>imposed was IMP12y.  The s</w:t>
      </w:r>
      <w:r w:rsidRPr="001414D0">
        <w:rPr>
          <w:rFonts w:ascii="Arial" w:hAnsi="Arial" w:cs="Arial"/>
          <w:sz w:val="20"/>
          <w:szCs w:val="20"/>
        </w:rPr>
        <w:t xml:space="preserve">tandard sentence </w:t>
      </w:r>
      <w:r>
        <w:rPr>
          <w:rFonts w:ascii="Arial" w:hAnsi="Arial" w:cs="Arial"/>
          <w:sz w:val="20"/>
          <w:szCs w:val="20"/>
        </w:rPr>
        <w:t>is IMP</w:t>
      </w:r>
      <w:r w:rsidRPr="001414D0">
        <w:rPr>
          <w:rFonts w:ascii="Arial" w:hAnsi="Arial" w:cs="Arial"/>
          <w:sz w:val="20"/>
          <w:szCs w:val="20"/>
        </w:rPr>
        <w:t>16y</w:t>
      </w:r>
      <w:r>
        <w:rPr>
          <w:rFonts w:ascii="Arial" w:hAnsi="Arial" w:cs="Arial"/>
          <w:sz w:val="20"/>
          <w:szCs w:val="20"/>
        </w:rPr>
        <w:t>.  The TES was IMP12y6m/7y.  The respondent had two prior convictions for trafficking a drug of depending.  The current offending was “at or just below the middle range of seriousness”.  There were s</w:t>
      </w:r>
      <w:r w:rsidRPr="001414D0">
        <w:rPr>
          <w:rFonts w:ascii="Arial" w:hAnsi="Arial" w:cs="Arial"/>
          <w:sz w:val="20"/>
          <w:szCs w:val="20"/>
        </w:rPr>
        <w:t>ignificant mitigating factors including positive prospects of rehabilitation</w:t>
      </w:r>
      <w:r>
        <w:rPr>
          <w:rFonts w:ascii="Arial" w:hAnsi="Arial" w:cs="Arial"/>
          <w:sz w:val="20"/>
          <w:szCs w:val="20"/>
        </w:rPr>
        <w:t>.  The Court of Appeal (Emerton P, Beach &amp; McLeish JJA) held that the s</w:t>
      </w:r>
      <w:r w:rsidRPr="001414D0">
        <w:rPr>
          <w:rFonts w:ascii="Arial" w:hAnsi="Arial" w:cs="Arial"/>
          <w:sz w:val="20"/>
          <w:szCs w:val="20"/>
        </w:rPr>
        <w:t xml:space="preserve">entences and non-parole period </w:t>
      </w:r>
      <w:r>
        <w:rPr>
          <w:rFonts w:ascii="Arial" w:hAnsi="Arial" w:cs="Arial"/>
          <w:sz w:val="20"/>
          <w:szCs w:val="20"/>
        </w:rPr>
        <w:t xml:space="preserve">were </w:t>
      </w:r>
      <w:r w:rsidRPr="001414D0">
        <w:rPr>
          <w:rFonts w:ascii="Arial" w:hAnsi="Arial" w:cs="Arial"/>
          <w:sz w:val="20"/>
          <w:szCs w:val="20"/>
        </w:rPr>
        <w:t xml:space="preserve">within range </w:t>
      </w:r>
      <w:r>
        <w:rPr>
          <w:rFonts w:ascii="Arial" w:hAnsi="Arial" w:cs="Arial"/>
          <w:sz w:val="20"/>
          <w:szCs w:val="20"/>
        </w:rPr>
        <w:t>and</w:t>
      </w:r>
      <w:r w:rsidRPr="001414D0">
        <w:rPr>
          <w:rFonts w:ascii="Arial" w:hAnsi="Arial" w:cs="Arial"/>
          <w:sz w:val="20"/>
          <w:szCs w:val="20"/>
        </w:rPr>
        <w:t xml:space="preserve"> dismissed</w:t>
      </w:r>
      <w:r>
        <w:rPr>
          <w:rFonts w:ascii="Arial" w:hAnsi="Arial" w:cs="Arial"/>
          <w:sz w:val="20"/>
          <w:szCs w:val="20"/>
        </w:rPr>
        <w:t xml:space="preserve"> the DPP appeal.</w:t>
      </w:r>
    </w:p>
    <w:p w14:paraId="6991FFBC" w14:textId="20C53041" w:rsidR="00CF2A3D" w:rsidRPr="00CF2A3D" w:rsidRDefault="00CF2A3D"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Kwag v The King [2024] VSCA </w:t>
      </w:r>
    </w:p>
    <w:p w14:paraId="1910558D" w14:textId="5ABEDE52" w:rsidR="00CF2A3D" w:rsidRPr="00C0478F" w:rsidRDefault="00CF2A3D" w:rsidP="005C6EC8">
      <w:pPr>
        <w:numPr>
          <w:ilvl w:val="0"/>
          <w:numId w:val="16"/>
        </w:numPr>
        <w:spacing w:before="120"/>
        <w:ind w:left="357" w:hanging="357"/>
        <w:jc w:val="both"/>
        <w:rPr>
          <w:rFonts w:ascii="Arial" w:hAnsi="Arial" w:cs="Arial"/>
          <w:color w:val="000000"/>
          <w:sz w:val="20"/>
          <w:szCs w:val="20"/>
        </w:rPr>
      </w:pPr>
      <w:r w:rsidRPr="00CF2A3D">
        <w:rPr>
          <w:rFonts w:ascii="Arial" w:hAnsi="Arial" w:cs="Arial"/>
          <w:color w:val="000000"/>
          <w:sz w:val="20"/>
          <w:szCs w:val="20"/>
        </w:rPr>
        <w:t>SEONG KWAG Applicant v THE KIN</w:t>
      </w:r>
    </w:p>
    <w:p w14:paraId="57EE626F" w14:textId="594236AD" w:rsidR="005F3DEF" w:rsidRPr="005F3DEF" w:rsidRDefault="00C20CD0" w:rsidP="00103E0F">
      <w:pPr>
        <w:pStyle w:val="ListParagraph"/>
        <w:keepNext/>
        <w:keepLines/>
        <w:numPr>
          <w:ilvl w:val="0"/>
          <w:numId w:val="79"/>
        </w:numPr>
        <w:spacing w:before="120"/>
        <w:ind w:left="357" w:hanging="357"/>
        <w:jc w:val="both"/>
        <w:rPr>
          <w:rFonts w:ascii="Arial" w:hAnsi="Arial" w:cs="Arial"/>
          <w:color w:val="000000"/>
          <w:sz w:val="20"/>
          <w:szCs w:val="20"/>
        </w:rPr>
      </w:pPr>
      <w:r w:rsidRPr="005F3DEF">
        <w:rPr>
          <w:rFonts w:ascii="Arial" w:hAnsi="Arial" w:cs="Arial"/>
          <w:b/>
          <w:bCs/>
          <w:color w:val="000000"/>
          <w:sz w:val="20"/>
          <w:szCs w:val="20"/>
          <w:u w:val="single"/>
        </w:rPr>
        <w:t>Cultivation of cannabis</w:t>
      </w:r>
      <w:r w:rsidRPr="005F3DEF">
        <w:rPr>
          <w:rFonts w:ascii="Arial" w:hAnsi="Arial" w:cs="Arial"/>
          <w:color w:val="000000"/>
          <w:sz w:val="20"/>
          <w:szCs w:val="20"/>
        </w:rPr>
        <w:t>:</w:t>
      </w:r>
    </w:p>
    <w:p w14:paraId="45E82960" w14:textId="77777777" w:rsidR="005F3DEF" w:rsidRDefault="00342872" w:rsidP="001414D0">
      <w:pPr>
        <w:pStyle w:val="ListParagraph"/>
        <w:numPr>
          <w:ilvl w:val="0"/>
          <w:numId w:val="80"/>
        </w:numPr>
        <w:spacing w:before="40"/>
        <w:ind w:left="714"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rsidP="001414D0">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 v Sibic &amp; Sibic </w:t>
      </w:r>
      <w:r w:rsidRPr="005F3DEF">
        <w:rPr>
          <w:rFonts w:ascii="Arial" w:hAnsi="Arial" w:cs="Arial"/>
          <w:color w:val="000000"/>
          <w:sz w:val="20"/>
          <w:szCs w:val="20"/>
        </w:rPr>
        <w:t>[2006] VSCA 296;</w:t>
      </w:r>
    </w:p>
    <w:p w14:paraId="4AA214C5" w14:textId="77777777" w:rsidR="005F3DEF" w:rsidRDefault="005A5132"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Vardouniotis</w:t>
      </w:r>
      <w:r w:rsidRPr="005F3DEF">
        <w:rPr>
          <w:rFonts w:ascii="Arial" w:hAnsi="Arial" w:cs="Arial"/>
          <w:color w:val="000000"/>
          <w:sz w:val="20"/>
          <w:szCs w:val="20"/>
        </w:rPr>
        <w:t xml:space="preserve"> [2007] VSCA 62;</w:t>
      </w:r>
    </w:p>
    <w:p w14:paraId="0166F83C" w14:textId="06A3622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 xml:space="preserve">Ngyuen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Chhim, R v Arslanov</w:t>
      </w:r>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Romano Falzon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Jamel Mohtadi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Muaremov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Quan Quan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rsidP="00C9099E">
      <w:pPr>
        <w:pStyle w:val="ListParagraph"/>
        <w:numPr>
          <w:ilvl w:val="0"/>
          <w:numId w:val="80"/>
        </w:numPr>
        <w:jc w:val="both"/>
        <w:rPr>
          <w:rFonts w:ascii="Arial" w:hAnsi="Arial" w:cs="Arial"/>
          <w:color w:val="000000"/>
          <w:sz w:val="20"/>
          <w:szCs w:val="20"/>
        </w:rPr>
      </w:pPr>
      <w:r>
        <w:rPr>
          <w:rFonts w:ascii="Arial" w:hAnsi="Arial" w:cs="Arial"/>
          <w:i/>
          <w:iCs/>
          <w:color w:val="000000"/>
          <w:sz w:val="20"/>
        </w:rPr>
        <w:t>S</w:t>
      </w:r>
      <w:r w:rsidR="00215E85" w:rsidRPr="005F3DEF">
        <w:rPr>
          <w:rFonts w:ascii="Arial" w:hAnsi="Arial" w:cs="Arial"/>
          <w:i/>
          <w:iCs/>
          <w:color w:val="000000"/>
          <w:sz w:val="20"/>
        </w:rPr>
        <w:t>elaci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rsidP="000D685A">
      <w:pPr>
        <w:pStyle w:val="ListParagraph"/>
        <w:numPr>
          <w:ilvl w:val="0"/>
          <w:numId w:val="80"/>
        </w:numPr>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26C294A0" w:rsidR="00191515" w:rsidRDefault="00191515"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r w:rsidR="00034736">
        <w:rPr>
          <w:rFonts w:ascii="Arial" w:hAnsi="Arial" w:cs="Arial"/>
          <w:color w:val="000000"/>
          <w:sz w:val="20"/>
          <w:szCs w:val="20"/>
        </w:rPr>
        <w:t>;</w:t>
      </w:r>
    </w:p>
    <w:p w14:paraId="14CCD6EF" w14:textId="7C4A7930" w:rsidR="000901CC" w:rsidRDefault="000901CC"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lastRenderedPageBreak/>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r w:rsidR="00034736">
        <w:rPr>
          <w:rFonts w:ascii="Arial" w:hAnsi="Arial" w:cs="Arial"/>
          <w:color w:val="000000"/>
          <w:sz w:val="20"/>
          <w:szCs w:val="20"/>
        </w:rPr>
        <w:t>;</w:t>
      </w:r>
    </w:p>
    <w:p w14:paraId="77EE2687" w14:textId="77A8DC73" w:rsidR="00034736" w:rsidRDefault="00034736"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Nguyen (a pseudonym)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 [cultivation of commercial quantity of cannabis – IMP4y/2y6m – appeal dismissed]</w:t>
      </w:r>
      <w:r w:rsidR="00B12681">
        <w:rPr>
          <w:rFonts w:ascii="Arial" w:hAnsi="Arial" w:cs="Arial"/>
          <w:color w:val="000000"/>
          <w:sz w:val="20"/>
          <w:szCs w:val="20"/>
        </w:rPr>
        <w:t>;</w:t>
      </w:r>
    </w:p>
    <w:p w14:paraId="241E22A9" w14:textId="00CC56FA" w:rsidR="00B12681" w:rsidRDefault="00B12681"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Hoang Lai v The King </w:t>
      </w:r>
      <w:r w:rsidRPr="00B12681">
        <w:rPr>
          <w:rFonts w:ascii="Arial" w:hAnsi="Arial" w:cs="Arial"/>
          <w:color w:val="000000"/>
          <w:sz w:val="20"/>
          <w:szCs w:val="20"/>
        </w:rPr>
        <w:t xml:space="preserve">[2023] VSCA </w:t>
      </w:r>
      <w:r>
        <w:rPr>
          <w:rFonts w:ascii="Arial" w:hAnsi="Arial" w:cs="Arial"/>
          <w:color w:val="000000"/>
          <w:sz w:val="20"/>
          <w:szCs w:val="20"/>
        </w:rPr>
        <w:t xml:space="preserve">151 </w:t>
      </w:r>
      <w:r w:rsidRPr="00B12681">
        <w:rPr>
          <w:rFonts w:ascii="Arial" w:hAnsi="Arial" w:cs="Arial"/>
          <w:color w:val="000000"/>
          <w:sz w:val="20"/>
          <w:szCs w:val="20"/>
        </w:rPr>
        <w:t>[cultivation of a large commercial quantity of cannabis – IMP8y/5y</w:t>
      </w:r>
      <w:r>
        <w:rPr>
          <w:rFonts w:ascii="Arial" w:hAnsi="Arial" w:cs="Arial"/>
          <w:color w:val="000000"/>
          <w:sz w:val="20"/>
          <w:szCs w:val="20"/>
        </w:rPr>
        <w:t>6m</w:t>
      </w:r>
      <w:r w:rsidRPr="00B12681">
        <w:rPr>
          <w:rFonts w:ascii="Arial" w:hAnsi="Arial" w:cs="Arial"/>
          <w:color w:val="000000"/>
          <w:sz w:val="20"/>
          <w:szCs w:val="20"/>
        </w:rPr>
        <w:t xml:space="preserve"> – appeal dismissed]</w:t>
      </w:r>
      <w:r w:rsidR="008932F6">
        <w:rPr>
          <w:rFonts w:ascii="Arial" w:hAnsi="Arial" w:cs="Arial"/>
          <w:color w:val="000000"/>
          <w:sz w:val="20"/>
          <w:szCs w:val="20"/>
        </w:rPr>
        <w:t>;</w:t>
      </w:r>
    </w:p>
    <w:p w14:paraId="53B32AE4" w14:textId="70DAC650" w:rsidR="008932F6" w:rsidRPr="008932F6" w:rsidRDefault="008932F6"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Vocaj v The King </w:t>
      </w:r>
      <w:r w:rsidRPr="008932F6">
        <w:rPr>
          <w:rFonts w:ascii="Arial" w:hAnsi="Arial" w:cs="Arial"/>
          <w:color w:val="000000"/>
          <w:sz w:val="20"/>
          <w:szCs w:val="20"/>
        </w:rPr>
        <w:t xml:space="preserve">[2023] VSCA 242 [cultivation of </w:t>
      </w:r>
      <w:r>
        <w:rPr>
          <w:rFonts w:ascii="Arial" w:hAnsi="Arial" w:cs="Arial"/>
          <w:color w:val="000000"/>
          <w:sz w:val="20"/>
          <w:szCs w:val="20"/>
        </w:rPr>
        <w:t>a commercial quantity of cannabis – IMP3y3m].</w:t>
      </w:r>
    </w:p>
    <w:p w14:paraId="190219D8" w14:textId="62A0E334" w:rsidR="007D00E7" w:rsidRPr="007D00E7" w:rsidRDefault="00C26335" w:rsidP="00D012CF">
      <w:pPr>
        <w:keepNext/>
        <w:keepLines/>
        <w:numPr>
          <w:ilvl w:val="0"/>
          <w:numId w:val="81"/>
        </w:numPr>
        <w:spacing w:before="120"/>
        <w:jc w:val="both"/>
        <w:rPr>
          <w:rFonts w:ascii="Arial" w:hAnsi="Arial" w:cs="Arial"/>
          <w:b/>
          <w:bCs/>
          <w:color w:val="000000"/>
          <w:sz w:val="20"/>
          <w:szCs w:val="20"/>
          <w:u w:val="single"/>
        </w:rPr>
      </w:pPr>
      <w:r w:rsidRPr="007D00E7">
        <w:rPr>
          <w:rFonts w:ascii="Arial" w:hAnsi="Arial" w:cs="Arial"/>
          <w:b/>
          <w:bCs/>
          <w:color w:val="000000"/>
          <w:sz w:val="20"/>
          <w:szCs w:val="20"/>
          <w:u w:val="single"/>
        </w:rPr>
        <w:t>Trafficking</w:t>
      </w:r>
      <w:r w:rsidRPr="007D00E7">
        <w:rPr>
          <w:rFonts w:ascii="Arial" w:hAnsi="Arial" w:cs="Arial"/>
          <w:b/>
          <w:bCs/>
          <w:color w:val="000000"/>
          <w:sz w:val="20"/>
          <w:szCs w:val="20"/>
        </w:rPr>
        <w:t>:</w:t>
      </w:r>
    </w:p>
    <w:p w14:paraId="501F2D2D" w14:textId="77777777" w:rsidR="007D00E7" w:rsidRDefault="00C26335" w:rsidP="007D00E7">
      <w:pPr>
        <w:numPr>
          <w:ilvl w:val="0"/>
          <w:numId w:val="16"/>
        </w:numPr>
        <w:spacing w:before="40"/>
        <w:ind w:left="714" w:hanging="357"/>
        <w:jc w:val="both"/>
        <w:rPr>
          <w:rFonts w:ascii="Arial" w:hAnsi="Arial" w:cs="Arial"/>
          <w:color w:val="000000"/>
          <w:sz w:val="20"/>
          <w:szCs w:val="20"/>
        </w:rPr>
      </w:pPr>
      <w:r w:rsidRPr="00CA306C">
        <w:rPr>
          <w:rFonts w:ascii="Arial" w:hAnsi="Arial" w:cs="Arial"/>
          <w:i/>
          <w:color w:val="000000"/>
          <w:sz w:val="20"/>
          <w:szCs w:val="20"/>
        </w:rPr>
        <w:t>R v Van Xang Nguyen</w:t>
      </w:r>
      <w:r w:rsidRPr="00CA306C">
        <w:rPr>
          <w:rFonts w:ascii="Arial" w:hAnsi="Arial" w:cs="Arial"/>
          <w:color w:val="000000"/>
          <w:sz w:val="20"/>
          <w:szCs w:val="20"/>
        </w:rPr>
        <w:t xml:space="preserve"> [2006] VSCA 158 [commercial quantity of cannabis];</w:t>
      </w:r>
    </w:p>
    <w:p w14:paraId="62481501" w14:textId="77777777" w:rsidR="007D00E7" w:rsidRDefault="0073104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r w:rsidR="007D00E7">
        <w:rPr>
          <w:rFonts w:ascii="Arial" w:hAnsi="Arial" w:cs="Arial"/>
          <w:color w:val="000000"/>
          <w:sz w:val="20"/>
          <w:szCs w:val="20"/>
        </w:rPr>
        <w:t>\</w:t>
      </w:r>
    </w:p>
    <w:p w14:paraId="4B6B58B8"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[ecstacy &amp; amphetamine];</w:t>
      </w:r>
    </w:p>
    <w:p w14:paraId="36D2BACE"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Hoa Trong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Koumis &amp; Ors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Van Dat Le</w:t>
      </w:r>
      <w:r w:rsidRPr="00CA306C">
        <w:rPr>
          <w:rFonts w:ascii="Arial" w:hAnsi="Arial" w:cs="Arial"/>
          <w:color w:val="000000"/>
          <w:sz w:val="20"/>
          <w:szCs w:val="20"/>
        </w:rPr>
        <w:t xml:space="preserve"> [2008] VSCA 155 [heroin];</w:t>
      </w:r>
    </w:p>
    <w:p w14:paraId="4D97DA43"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r w:rsidRPr="00CA306C">
        <w:rPr>
          <w:rFonts w:ascii="Arial" w:hAnsi="Arial" w:cs="Arial"/>
          <w:color w:val="000000"/>
          <w:sz w:val="20"/>
        </w:rPr>
        <w:t>methylenedioxy</w:t>
      </w:r>
      <w:r w:rsidR="00BC3446" w:rsidRPr="00CA306C">
        <w:rPr>
          <w:rFonts w:ascii="Arial" w:hAnsi="Arial" w:cs="Arial"/>
          <w:color w:val="000000"/>
          <w:sz w:val="20"/>
          <w:szCs w:val="20"/>
        </w:rPr>
        <w:t>];</w:t>
      </w:r>
    </w:p>
    <w:p w14:paraId="6BB2E4CB" w14:textId="77777777" w:rsidR="007D00E7" w:rsidRDefault="00BC344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Taric &amp; Sindik</w:t>
      </w:r>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Vasic</w:t>
      </w:r>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Velevski</w:t>
      </w:r>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DPP v Fleiner</w:t>
      </w:r>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manufacture and distribution of at least 42kg of methylamphetamine, traffick in cocaine and MDMA and money laundering activities</w:t>
      </w:r>
      <w:r w:rsidRPr="00CA306C">
        <w:rPr>
          <w:rFonts w:ascii="Arial" w:hAnsi="Arial" w:cs="Arial"/>
          <w:color w:val="000000"/>
          <w:sz w:val="20"/>
          <w:szCs w:val="20"/>
        </w:rPr>
        <w:t>];</w:t>
      </w:r>
    </w:p>
    <w:p w14:paraId="07E00454" w14:textId="77777777" w:rsidR="007D00E7" w:rsidRDefault="00193E6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Samac</w:t>
      </w:r>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Kneifati,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7D00E7">
      <w:pPr>
        <w:numPr>
          <w:ilvl w:val="0"/>
          <w:numId w:val="16"/>
        </w:numPr>
        <w:ind w:left="714" w:hanging="357"/>
        <w:jc w:val="both"/>
        <w:rPr>
          <w:rFonts w:ascii="Arial" w:hAnsi="Arial" w:cs="Arial"/>
          <w:color w:val="000000"/>
          <w:sz w:val="20"/>
          <w:szCs w:val="20"/>
        </w:rPr>
      </w:pPr>
      <w:r w:rsidRPr="00CA306C">
        <w:rPr>
          <w:rFonts w:ascii="Arial" w:hAnsi="Arial" w:cs="Arial"/>
          <w:i/>
          <w:iCs/>
          <w:color w:val="000000"/>
          <w:sz w:val="20"/>
          <w:szCs w:val="20"/>
        </w:rPr>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Rocco Arico v The Queen</w:t>
      </w:r>
      <w:r w:rsidRPr="00CA306C">
        <w:rPr>
          <w:rFonts w:ascii="Arial" w:hAnsi="Arial" w:cs="Arial"/>
          <w:color w:val="000000"/>
          <w:sz w:val="20"/>
          <w:szCs w:val="20"/>
        </w:rPr>
        <w:t xml:space="preserve"> [2018] VSCA 135 [traffick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7D00E7">
      <w:pPr>
        <w:numPr>
          <w:ilvl w:val="0"/>
          <w:numId w:val="16"/>
        </w:numPr>
        <w:ind w:left="714"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7D00E7">
      <w:pPr>
        <w:numPr>
          <w:ilvl w:val="0"/>
          <w:numId w:val="16"/>
        </w:numPr>
        <w:ind w:left="714"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7D00E7">
      <w:pPr>
        <w:numPr>
          <w:ilvl w:val="0"/>
          <w:numId w:val="16"/>
        </w:numPr>
        <w:ind w:left="714" w:hanging="357"/>
        <w:jc w:val="both"/>
        <w:rPr>
          <w:rFonts w:ascii="Arial" w:hAnsi="Arial" w:cs="Arial"/>
          <w:color w:val="000000"/>
          <w:sz w:val="20"/>
          <w:szCs w:val="20"/>
        </w:rPr>
      </w:pPr>
      <w:r w:rsidRPr="006F6F8C">
        <w:rPr>
          <w:rFonts w:ascii="Arial" w:hAnsi="Arial" w:cs="Arial"/>
          <w:i/>
          <w:iCs/>
          <w:color w:val="000000"/>
          <w:sz w:val="20"/>
          <w:szCs w:val="20"/>
        </w:rPr>
        <w:t>Dukic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7D00E7">
      <w:pPr>
        <w:numPr>
          <w:ilvl w:val="0"/>
          <w:numId w:val="16"/>
        </w:numPr>
        <w:ind w:left="714" w:hanging="357"/>
        <w:jc w:val="both"/>
        <w:rPr>
          <w:rFonts w:ascii="Arial" w:hAnsi="Arial" w:cs="Arial"/>
          <w:color w:val="000000"/>
          <w:sz w:val="20"/>
          <w:szCs w:val="20"/>
        </w:rPr>
      </w:pPr>
      <w:r w:rsidRPr="00F40F2E">
        <w:rPr>
          <w:rFonts w:ascii="Arial" w:hAnsi="Arial" w:cs="Arial"/>
          <w:i/>
          <w:iCs/>
          <w:color w:val="000000"/>
          <w:sz w:val="20"/>
          <w:szCs w:val="20"/>
        </w:rPr>
        <w:t>Gayed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7D00E7">
      <w:pPr>
        <w:numPr>
          <w:ilvl w:val="0"/>
          <w:numId w:val="16"/>
        </w:numPr>
        <w:ind w:left="714"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7D00E7">
      <w:pPr>
        <w:numPr>
          <w:ilvl w:val="0"/>
          <w:numId w:val="16"/>
        </w:numPr>
        <w:ind w:left="714"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7D00E7">
      <w:pPr>
        <w:numPr>
          <w:ilvl w:val="0"/>
          <w:numId w:val="16"/>
        </w:numPr>
        <w:ind w:left="714" w:hanging="357"/>
        <w:jc w:val="both"/>
        <w:rPr>
          <w:rFonts w:ascii="Arial" w:hAnsi="Arial" w:cs="Arial"/>
          <w:color w:val="000000"/>
          <w:sz w:val="20"/>
          <w:szCs w:val="20"/>
        </w:rPr>
      </w:pPr>
      <w:r w:rsidRPr="00587BCC">
        <w:rPr>
          <w:rFonts w:ascii="Arial" w:hAnsi="Arial" w:cs="Arial"/>
          <w:i/>
          <w:iCs/>
          <w:sz w:val="20"/>
          <w:szCs w:val="20"/>
        </w:rPr>
        <w:t>Pasquale Barbaro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r w:rsidR="00B811B6" w:rsidRPr="00B811B6">
        <w:rPr>
          <w:rFonts w:ascii="Arial" w:hAnsi="Arial" w:cs="Arial"/>
          <w:i/>
          <w:iCs/>
          <w:sz w:val="20"/>
          <w:szCs w:val="20"/>
        </w:rPr>
        <w:t>Bugmy</w:t>
      </w:r>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Billy Dimovski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7D00E7">
      <w:pPr>
        <w:numPr>
          <w:ilvl w:val="0"/>
          <w:numId w:val="16"/>
        </w:numPr>
        <w:ind w:left="714" w:hanging="357"/>
        <w:jc w:val="both"/>
        <w:rPr>
          <w:rFonts w:ascii="Arial" w:hAnsi="Arial" w:cs="Arial"/>
          <w:color w:val="000000"/>
          <w:sz w:val="20"/>
          <w:szCs w:val="20"/>
        </w:rPr>
      </w:pPr>
      <w:r w:rsidRPr="00502A3B">
        <w:rPr>
          <w:rFonts w:ascii="Arial" w:hAnsi="Arial" w:cs="Arial"/>
          <w:i/>
          <w:iCs/>
          <w:color w:val="000000"/>
          <w:sz w:val="20"/>
          <w:szCs w:val="20"/>
        </w:rPr>
        <w:t>Thuy Thanh Thi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lastRenderedPageBreak/>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7D00E7">
      <w:pPr>
        <w:numPr>
          <w:ilvl w:val="0"/>
          <w:numId w:val="16"/>
        </w:numPr>
        <w:ind w:left="714" w:hanging="357"/>
        <w:jc w:val="both"/>
        <w:rPr>
          <w:rFonts w:ascii="Arial" w:hAnsi="Arial" w:cs="Arial"/>
          <w:color w:val="000000"/>
          <w:sz w:val="20"/>
          <w:szCs w:val="20"/>
        </w:rPr>
      </w:pPr>
      <w:r w:rsidRPr="00D01CBA">
        <w:rPr>
          <w:rFonts w:ascii="Arial" w:hAnsi="Arial" w:cs="Arial"/>
          <w:i/>
          <w:iCs/>
          <w:sz w:val="20"/>
          <w:szCs w:val="20"/>
        </w:rPr>
        <w:t>Thi</w:t>
      </w:r>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2ED5DC6E" w14:textId="777686F5" w:rsidR="00F137D2" w:rsidRPr="00F137D2" w:rsidRDefault="00BD0BEB"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r w:rsidR="00034736">
        <w:rPr>
          <w:rFonts w:ascii="Arial" w:hAnsi="Arial" w:cs="Arial"/>
          <w:sz w:val="20"/>
          <w:szCs w:val="20"/>
        </w:rPr>
        <w:t>;</w:t>
      </w:r>
    </w:p>
    <w:p w14:paraId="27295389" w14:textId="2317E1C4" w:rsidR="00034736" w:rsidRPr="00D01CBA" w:rsidRDefault="00034736" w:rsidP="00034736">
      <w:pPr>
        <w:numPr>
          <w:ilvl w:val="0"/>
          <w:numId w:val="16"/>
        </w:numPr>
        <w:ind w:left="714" w:hanging="357"/>
        <w:jc w:val="both"/>
        <w:rPr>
          <w:rFonts w:ascii="Arial" w:hAnsi="Arial" w:cs="Arial"/>
          <w:color w:val="000000"/>
          <w:sz w:val="20"/>
          <w:szCs w:val="20"/>
        </w:rPr>
      </w:pPr>
      <w:r>
        <w:rPr>
          <w:rFonts w:ascii="Arial" w:hAnsi="Arial" w:cs="Arial"/>
          <w:i/>
          <w:iCs/>
          <w:color w:val="000000"/>
          <w:sz w:val="20"/>
          <w:szCs w:val="20"/>
        </w:rPr>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28765F58" w14:textId="77777777" w:rsidR="007D1FA5" w:rsidRPr="007D1FA5" w:rsidRDefault="00F137D2"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Polos v The King </w:t>
      </w:r>
      <w:r w:rsidRPr="00F137D2">
        <w:rPr>
          <w:rFonts w:ascii="Arial" w:hAnsi="Arial" w:cs="Arial"/>
          <w:sz w:val="20"/>
          <w:szCs w:val="20"/>
        </w:rPr>
        <w:t xml:space="preserve">[2022] VSCA 258 [applicant pleaded guilty to trafficking in </w:t>
      </w:r>
      <w:r>
        <w:rPr>
          <w:rFonts w:ascii="Arial" w:hAnsi="Arial" w:cs="Arial"/>
          <w:sz w:val="20"/>
          <w:szCs w:val="20"/>
        </w:rPr>
        <w:t>a commercial quantity of methylamphetamine and was sentenced to IMP3y3m as part of a TES of IMP3y9m/2y9m</w:t>
      </w:r>
      <w:r w:rsidR="00034736">
        <w:rPr>
          <w:rFonts w:ascii="Arial" w:hAnsi="Arial" w:cs="Arial"/>
          <w:sz w:val="20"/>
          <w:szCs w:val="20"/>
        </w:rPr>
        <w:t>]</w:t>
      </w:r>
      <w:r w:rsidR="007D1FA5">
        <w:rPr>
          <w:rFonts w:ascii="Arial" w:hAnsi="Arial" w:cs="Arial"/>
          <w:sz w:val="20"/>
          <w:szCs w:val="20"/>
        </w:rPr>
        <w:t>;</w:t>
      </w:r>
    </w:p>
    <w:p w14:paraId="015432F0" w14:textId="36A9569B" w:rsidR="00905228" w:rsidRPr="00905228" w:rsidRDefault="007D1FA5" w:rsidP="007D00E7">
      <w:pPr>
        <w:numPr>
          <w:ilvl w:val="0"/>
          <w:numId w:val="16"/>
        </w:numPr>
        <w:ind w:left="714" w:hanging="357"/>
        <w:jc w:val="both"/>
        <w:rPr>
          <w:rFonts w:ascii="Arial" w:hAnsi="Arial" w:cs="Arial"/>
          <w:color w:val="000000"/>
          <w:sz w:val="20"/>
          <w:szCs w:val="20"/>
        </w:rPr>
      </w:pPr>
      <w:bookmarkStart w:id="690" w:name="_Hlk166133364"/>
      <w:r>
        <w:rPr>
          <w:rFonts w:ascii="Arial" w:hAnsi="Arial" w:cs="Arial"/>
          <w:i/>
          <w:iCs/>
          <w:sz w:val="20"/>
          <w:szCs w:val="20"/>
        </w:rPr>
        <w:t xml:space="preserve">Obian v The King </w:t>
      </w:r>
      <w:r w:rsidRPr="007D1FA5">
        <w:rPr>
          <w:rFonts w:ascii="Arial" w:hAnsi="Arial" w:cs="Arial"/>
          <w:sz w:val="20"/>
          <w:szCs w:val="20"/>
        </w:rPr>
        <w:t>[2023] VSCA 1</w:t>
      </w:r>
      <w:r>
        <w:rPr>
          <w:rFonts w:ascii="Arial" w:hAnsi="Arial" w:cs="Arial"/>
          <w:sz w:val="20"/>
          <w:szCs w:val="20"/>
        </w:rPr>
        <w:t>8</w:t>
      </w:r>
      <w:r w:rsidRPr="007D1FA5">
        <w:rPr>
          <w:rFonts w:ascii="Arial" w:hAnsi="Arial" w:cs="Arial"/>
          <w:sz w:val="20"/>
          <w:szCs w:val="20"/>
        </w:rPr>
        <w:t xml:space="preserve"> [after </w:t>
      </w:r>
      <w:r>
        <w:rPr>
          <w:rFonts w:ascii="Arial" w:hAnsi="Arial" w:cs="Arial"/>
          <w:sz w:val="20"/>
          <w:szCs w:val="20"/>
        </w:rPr>
        <w:t>the 5</w:t>
      </w:r>
      <w:r w:rsidRPr="007D1FA5">
        <w:rPr>
          <w:rFonts w:ascii="Arial" w:hAnsi="Arial" w:cs="Arial"/>
          <w:sz w:val="20"/>
          <w:szCs w:val="20"/>
          <w:vertAlign w:val="superscript"/>
        </w:rPr>
        <w:t>th</w:t>
      </w:r>
      <w:r>
        <w:rPr>
          <w:rFonts w:ascii="Arial" w:hAnsi="Arial" w:cs="Arial"/>
          <w:sz w:val="20"/>
          <w:szCs w:val="20"/>
        </w:rPr>
        <w:t xml:space="preserve"> </w:t>
      </w:r>
      <w:r w:rsidRPr="007D1FA5">
        <w:rPr>
          <w:rFonts w:ascii="Arial" w:hAnsi="Arial" w:cs="Arial"/>
          <w:sz w:val="20"/>
          <w:szCs w:val="20"/>
        </w:rPr>
        <w:t xml:space="preserve">contested trial </w:t>
      </w:r>
      <w:r>
        <w:rPr>
          <w:rFonts w:ascii="Arial" w:hAnsi="Arial" w:cs="Arial"/>
          <w:sz w:val="20"/>
          <w:szCs w:val="20"/>
        </w:rPr>
        <w:t xml:space="preserve">(juries having been discharged without verdict in the previous 4 trials) the </w:t>
      </w:r>
      <w:r w:rsidRPr="007D1FA5">
        <w:rPr>
          <w:rFonts w:ascii="Arial" w:hAnsi="Arial" w:cs="Arial"/>
          <w:sz w:val="20"/>
          <w:szCs w:val="20"/>
        </w:rPr>
        <w:t>applicant was found guilty of 3</w:t>
      </w:r>
      <w:r>
        <w:rPr>
          <w:rFonts w:ascii="Arial" w:hAnsi="Arial" w:cs="Arial"/>
          <w:sz w:val="20"/>
          <w:szCs w:val="20"/>
        </w:rPr>
        <w:t xml:space="preserve"> </w:t>
      </w:r>
      <w:r w:rsidRPr="007D1FA5">
        <w:rPr>
          <w:rFonts w:ascii="Arial" w:hAnsi="Arial" w:cs="Arial"/>
          <w:sz w:val="20"/>
          <w:szCs w:val="20"/>
        </w:rPr>
        <w:t>charges of trafficking in nor less than a commercial quantity of 1,4-Butaneidol (quantities between 400 and 8,000 times the commercial quantity threshold</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applicant was the directing mind of a sophisticated operation with sole motivation being financial gain – TES IMP 17y10m/12y10m</w:t>
      </w:r>
      <w:r w:rsidR="00905228">
        <w:rPr>
          <w:rFonts w:ascii="Arial" w:hAnsi="Arial" w:cs="Arial"/>
          <w:sz w:val="20"/>
          <w:szCs w:val="20"/>
        </w:rPr>
        <w:t xml:space="preserve"> – </w:t>
      </w:r>
      <w:r w:rsidR="00A0554C">
        <w:rPr>
          <w:rFonts w:ascii="Arial" w:hAnsi="Arial" w:cs="Arial"/>
          <w:sz w:val="20"/>
          <w:szCs w:val="20"/>
        </w:rPr>
        <w:t xml:space="preserve">unsuccessful </w:t>
      </w:r>
      <w:r w:rsidR="00905228">
        <w:rPr>
          <w:rFonts w:ascii="Arial" w:hAnsi="Arial" w:cs="Arial"/>
          <w:sz w:val="20"/>
          <w:szCs w:val="20"/>
        </w:rPr>
        <w:t>appeal to High Court against conviction on issue of whether a substantial miscarriage of justice result</w:t>
      </w:r>
      <w:r w:rsidR="00A0554C">
        <w:rPr>
          <w:rFonts w:ascii="Arial" w:hAnsi="Arial" w:cs="Arial"/>
          <w:sz w:val="20"/>
          <w:szCs w:val="20"/>
        </w:rPr>
        <w:t>ed</w:t>
      </w:r>
      <w:r w:rsidR="00905228">
        <w:rPr>
          <w:rFonts w:ascii="Arial" w:hAnsi="Arial" w:cs="Arial"/>
          <w:sz w:val="20"/>
          <w:szCs w:val="20"/>
        </w:rPr>
        <w:t xml:space="preserve"> from the trial judge granting leave for the prosecution to adduce evidence in reply </w:t>
      </w:r>
      <w:r w:rsidR="00A0554C">
        <w:rPr>
          <w:rFonts w:ascii="Arial" w:hAnsi="Arial" w:cs="Arial"/>
          <w:sz w:val="20"/>
          <w:szCs w:val="20"/>
        </w:rPr>
        <w:t xml:space="preserve">pursuant to s.233(2) </w:t>
      </w:r>
      <w:r w:rsidR="00A0554C" w:rsidRPr="00A0554C">
        <w:rPr>
          <w:rFonts w:ascii="Arial" w:hAnsi="Arial" w:cs="Arial"/>
          <w:i/>
          <w:iCs/>
          <w:sz w:val="20"/>
          <w:szCs w:val="20"/>
        </w:rPr>
        <w:t>Criminal Procedure Act 2009</w:t>
      </w:r>
      <w:r w:rsidR="00A0554C">
        <w:rPr>
          <w:rFonts w:ascii="Arial" w:hAnsi="Arial" w:cs="Arial"/>
          <w:sz w:val="20"/>
          <w:szCs w:val="20"/>
        </w:rPr>
        <w:t xml:space="preserve"> </w:t>
      </w:r>
      <w:r w:rsidR="00905228">
        <w:rPr>
          <w:rFonts w:ascii="Arial" w:hAnsi="Arial" w:cs="Arial"/>
          <w:sz w:val="20"/>
          <w:szCs w:val="20"/>
        </w:rPr>
        <w:t>based on incorrect statements by the prosecutor: see [2024] HCA 18];</w:t>
      </w:r>
    </w:p>
    <w:bookmarkEnd w:id="690"/>
    <w:p w14:paraId="7FEA7C70" w14:textId="513AD932" w:rsidR="0070165F" w:rsidRPr="0070165F" w:rsidRDefault="00D23956" w:rsidP="007D00E7">
      <w:pPr>
        <w:numPr>
          <w:ilvl w:val="0"/>
          <w:numId w:val="16"/>
        </w:numPr>
        <w:ind w:left="714" w:hanging="357"/>
        <w:jc w:val="both"/>
        <w:rPr>
          <w:rFonts w:ascii="Arial" w:hAnsi="Arial" w:cs="Arial"/>
          <w:color w:val="000000"/>
          <w:sz w:val="20"/>
          <w:szCs w:val="20"/>
        </w:rPr>
      </w:pPr>
      <w:r w:rsidRPr="00D23956">
        <w:rPr>
          <w:rFonts w:ascii="Arial" w:hAnsi="Arial" w:cs="Arial"/>
          <w:bCs/>
          <w:i/>
          <w:iCs/>
          <w:color w:val="000000"/>
          <w:sz w:val="20"/>
          <w:lang w:val="en-US"/>
        </w:rPr>
        <w:t>Biricik v The Queen</w:t>
      </w:r>
      <w:r>
        <w:rPr>
          <w:rFonts w:ascii="Arial" w:hAnsi="Arial" w:cs="Arial"/>
          <w:bCs/>
          <w:color w:val="000000"/>
          <w:sz w:val="20"/>
          <w:lang w:val="en-US"/>
        </w:rPr>
        <w:t xml:space="preserve"> [2023] VSCA 47 [trafficking in cocaine for nearly 2 months described as ‘low level but not lowest level street trafficking’ – IMP2y6m as part of TES IMP3y11m/2y]</w:t>
      </w:r>
      <w:r w:rsidR="0070165F">
        <w:rPr>
          <w:rFonts w:ascii="Arial" w:hAnsi="Arial" w:cs="Arial"/>
          <w:bCs/>
          <w:color w:val="000000"/>
          <w:sz w:val="20"/>
          <w:lang w:val="en-US"/>
        </w:rPr>
        <w:t>;</w:t>
      </w:r>
    </w:p>
    <w:p w14:paraId="62B780DB" w14:textId="5EC5F428" w:rsidR="00E03FA9" w:rsidRPr="00BC3CBA" w:rsidRDefault="00234903" w:rsidP="007D00E7">
      <w:pPr>
        <w:numPr>
          <w:ilvl w:val="0"/>
          <w:numId w:val="16"/>
        </w:numPr>
        <w:ind w:left="714" w:hanging="357"/>
        <w:jc w:val="both"/>
        <w:rPr>
          <w:rFonts w:ascii="Arial" w:hAnsi="Arial" w:cs="Arial"/>
          <w:color w:val="000000"/>
          <w:sz w:val="20"/>
          <w:szCs w:val="20"/>
        </w:rPr>
      </w:pPr>
      <w:r w:rsidRPr="00F42BB8">
        <w:rPr>
          <w:rFonts w:ascii="Arial" w:hAnsi="Arial" w:cs="Arial"/>
          <w:i/>
          <w:iCs/>
          <w:sz w:val="20"/>
          <w:szCs w:val="20"/>
        </w:rPr>
        <w:t>DPP v Goldsmid</w:t>
      </w:r>
      <w:r w:rsidR="00F42BB8" w:rsidRPr="00F42BB8">
        <w:rPr>
          <w:rFonts w:ascii="Arial" w:hAnsi="Arial" w:cs="Arial"/>
          <w:i/>
          <w:iCs/>
          <w:sz w:val="20"/>
          <w:szCs w:val="20"/>
        </w:rPr>
        <w:t>; DPP v Moreau</w:t>
      </w:r>
      <w:r w:rsidR="00F42BB8">
        <w:rPr>
          <w:rFonts w:ascii="Arial" w:hAnsi="Arial" w:cs="Arial"/>
          <w:sz w:val="20"/>
          <w:szCs w:val="20"/>
        </w:rPr>
        <w:t xml:space="preserve"> [2023] VSCA 124 [trafficking in </w:t>
      </w:r>
      <w:r w:rsidR="009709DA">
        <w:rPr>
          <w:rFonts w:ascii="Arial" w:hAnsi="Arial" w:cs="Arial"/>
          <w:sz w:val="20"/>
          <w:szCs w:val="20"/>
        </w:rPr>
        <w:t xml:space="preserve">a large commercial quantity of </w:t>
      </w:r>
      <w:r w:rsidR="002D3909">
        <w:rPr>
          <w:rFonts w:ascii="Arial" w:hAnsi="Arial" w:cs="Arial"/>
          <w:sz w:val="20"/>
          <w:szCs w:val="20"/>
        </w:rPr>
        <w:t>ketamine, MDMA &amp; cocaine</w:t>
      </w:r>
      <w:r w:rsidR="00F52EBA">
        <w:rPr>
          <w:rFonts w:ascii="Arial" w:hAnsi="Arial" w:cs="Arial"/>
          <w:sz w:val="20"/>
          <w:szCs w:val="20"/>
        </w:rPr>
        <w:t xml:space="preserve">, trafficking in </w:t>
      </w:r>
      <w:r w:rsidR="009776CC">
        <w:rPr>
          <w:rFonts w:ascii="Arial" w:hAnsi="Arial" w:cs="Arial"/>
          <w:sz w:val="20"/>
          <w:szCs w:val="20"/>
        </w:rPr>
        <w:t xml:space="preserve">amphetamine, trafficking in LSD </w:t>
      </w:r>
      <w:r w:rsidR="00D34BD1">
        <w:rPr>
          <w:rFonts w:ascii="Arial" w:hAnsi="Arial" w:cs="Arial"/>
          <w:sz w:val="20"/>
          <w:szCs w:val="20"/>
        </w:rPr>
        <w:t>– TES IMP</w:t>
      </w:r>
      <w:r w:rsidR="00283BE5">
        <w:rPr>
          <w:rFonts w:ascii="Arial" w:hAnsi="Arial" w:cs="Arial"/>
          <w:sz w:val="20"/>
          <w:szCs w:val="20"/>
        </w:rPr>
        <w:t>9y</w:t>
      </w:r>
      <w:r w:rsidR="00D34BD1">
        <w:rPr>
          <w:rFonts w:ascii="Arial" w:hAnsi="Arial" w:cs="Arial"/>
          <w:sz w:val="20"/>
          <w:szCs w:val="20"/>
        </w:rPr>
        <w:t>/</w:t>
      </w:r>
      <w:r w:rsidR="00EE49AB">
        <w:rPr>
          <w:rFonts w:ascii="Arial" w:hAnsi="Arial" w:cs="Arial"/>
          <w:sz w:val="20"/>
          <w:szCs w:val="20"/>
        </w:rPr>
        <w:t>4y6m</w:t>
      </w:r>
      <w:r w:rsidR="003B18F5">
        <w:rPr>
          <w:rFonts w:ascii="Arial" w:hAnsi="Arial" w:cs="Arial"/>
          <w:sz w:val="20"/>
          <w:szCs w:val="20"/>
        </w:rPr>
        <w:t xml:space="preserve"> [G] IMP8y/4y [M] – sentences on the trafficking large commercial quantity </w:t>
      </w:r>
      <w:r w:rsidR="00B801D8">
        <w:rPr>
          <w:rFonts w:ascii="Arial" w:hAnsi="Arial" w:cs="Arial"/>
          <w:sz w:val="20"/>
          <w:szCs w:val="20"/>
        </w:rPr>
        <w:t xml:space="preserve">charge </w:t>
      </w:r>
      <w:r w:rsidR="008B53E8">
        <w:rPr>
          <w:rFonts w:ascii="Arial" w:hAnsi="Arial" w:cs="Arial"/>
          <w:sz w:val="20"/>
          <w:szCs w:val="20"/>
        </w:rPr>
        <w:t>IMP7y [G];</w:t>
      </w:r>
      <w:r w:rsidR="00075FF6">
        <w:rPr>
          <w:rFonts w:ascii="Arial" w:hAnsi="Arial" w:cs="Arial"/>
          <w:sz w:val="20"/>
          <w:szCs w:val="20"/>
        </w:rPr>
        <w:t xml:space="preserve"> 6y [M] </w:t>
      </w:r>
      <w:r w:rsidR="00B801D8">
        <w:rPr>
          <w:rFonts w:ascii="Arial" w:hAnsi="Arial" w:cs="Arial"/>
          <w:sz w:val="20"/>
          <w:szCs w:val="20"/>
        </w:rPr>
        <w:t xml:space="preserve">manifestly inadequate – residual discretion exercised </w:t>
      </w:r>
      <w:r w:rsidR="008B53E8">
        <w:rPr>
          <w:rFonts w:ascii="Arial" w:hAnsi="Arial" w:cs="Arial"/>
          <w:sz w:val="20"/>
          <w:szCs w:val="20"/>
        </w:rPr>
        <w:t>– appeals dismissed]</w:t>
      </w:r>
      <w:r w:rsidR="00E03FA9">
        <w:rPr>
          <w:rFonts w:ascii="Arial" w:hAnsi="Arial" w:cs="Arial"/>
          <w:sz w:val="20"/>
          <w:szCs w:val="20"/>
        </w:rPr>
        <w:t>;</w:t>
      </w:r>
    </w:p>
    <w:p w14:paraId="6B348E33" w14:textId="47EE18DE" w:rsidR="00BC3CBA" w:rsidRPr="007C20F3" w:rsidRDefault="00BC3CBA"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Ovadia v The King </w:t>
      </w:r>
      <w:r w:rsidRPr="00BC3CBA">
        <w:rPr>
          <w:rFonts w:ascii="Arial" w:hAnsi="Arial" w:cs="Arial"/>
          <w:sz w:val="20"/>
          <w:szCs w:val="20"/>
        </w:rPr>
        <w:t>[2023] VSCA 211 [</w:t>
      </w:r>
      <w:r>
        <w:rPr>
          <w:rFonts w:ascii="Arial" w:hAnsi="Arial" w:cs="Arial"/>
          <w:sz w:val="20"/>
          <w:szCs w:val="20"/>
        </w:rPr>
        <w:t>applicant had o</w:t>
      </w:r>
      <w:r w:rsidRPr="00BC3CBA">
        <w:rPr>
          <w:rFonts w:ascii="Arial" w:hAnsi="Arial" w:cs="Arial"/>
          <w:sz w:val="20"/>
          <w:szCs w:val="20"/>
        </w:rPr>
        <w:t>riginal</w:t>
      </w:r>
      <w:r>
        <w:rPr>
          <w:rFonts w:ascii="Arial" w:hAnsi="Arial" w:cs="Arial"/>
          <w:sz w:val="20"/>
          <w:szCs w:val="20"/>
        </w:rPr>
        <w:t>ly been</w:t>
      </w:r>
      <w:r w:rsidRPr="00BC3CBA">
        <w:rPr>
          <w:rFonts w:ascii="Arial" w:hAnsi="Arial" w:cs="Arial"/>
          <w:sz w:val="20"/>
          <w:szCs w:val="20"/>
        </w:rPr>
        <w:t xml:space="preserve"> sentence</w:t>
      </w:r>
      <w:r>
        <w:rPr>
          <w:rFonts w:ascii="Arial" w:hAnsi="Arial" w:cs="Arial"/>
          <w:sz w:val="20"/>
          <w:szCs w:val="20"/>
        </w:rPr>
        <w:t>d</w:t>
      </w:r>
      <w:r w:rsidRPr="00BC3CBA">
        <w:rPr>
          <w:rFonts w:ascii="Arial" w:hAnsi="Arial" w:cs="Arial"/>
          <w:sz w:val="20"/>
          <w:szCs w:val="20"/>
        </w:rPr>
        <w:t xml:space="preserve"> </w:t>
      </w:r>
      <w:r>
        <w:rPr>
          <w:rFonts w:ascii="Arial" w:hAnsi="Arial" w:cs="Arial"/>
          <w:sz w:val="20"/>
          <w:szCs w:val="20"/>
        </w:rPr>
        <w:t>to</w:t>
      </w:r>
      <w:r w:rsidRPr="00BC3CBA">
        <w:rPr>
          <w:rFonts w:ascii="Arial" w:hAnsi="Arial" w:cs="Arial"/>
          <w:sz w:val="20"/>
          <w:szCs w:val="20"/>
        </w:rPr>
        <w:t xml:space="preserve"> a community correction order for four years and payment of fine for charge of possession of </w:t>
      </w:r>
      <w:r w:rsidR="00766DCD">
        <w:rPr>
          <w:rFonts w:ascii="Arial" w:hAnsi="Arial" w:cs="Arial"/>
          <w:sz w:val="20"/>
          <w:szCs w:val="20"/>
        </w:rPr>
        <w:t xml:space="preserve">a </w:t>
      </w:r>
      <w:r w:rsidRPr="00BC3CBA">
        <w:rPr>
          <w:rFonts w:ascii="Arial" w:hAnsi="Arial" w:cs="Arial"/>
          <w:sz w:val="20"/>
          <w:szCs w:val="20"/>
        </w:rPr>
        <w:t xml:space="preserve">drug of dependence </w:t>
      </w:r>
      <w:r w:rsidR="00766DCD">
        <w:rPr>
          <w:rFonts w:ascii="Arial" w:hAnsi="Arial" w:cs="Arial"/>
          <w:sz w:val="20"/>
          <w:szCs w:val="20"/>
        </w:rPr>
        <w:t xml:space="preserve">(cocaine) </w:t>
      </w:r>
      <w:r w:rsidRPr="00BC3CBA">
        <w:rPr>
          <w:rFonts w:ascii="Arial" w:hAnsi="Arial" w:cs="Arial"/>
          <w:sz w:val="20"/>
          <w:szCs w:val="20"/>
        </w:rPr>
        <w:t xml:space="preserve">for purpose of trafficking – </w:t>
      </w:r>
      <w:r w:rsidR="00766DCD">
        <w:rPr>
          <w:rFonts w:ascii="Arial" w:hAnsi="Arial" w:cs="Arial"/>
          <w:sz w:val="20"/>
          <w:szCs w:val="20"/>
        </w:rPr>
        <w:t xml:space="preserve">on breach of the CCO he was </w:t>
      </w:r>
      <w:r w:rsidRPr="00BC3CBA">
        <w:rPr>
          <w:rFonts w:ascii="Arial" w:hAnsi="Arial" w:cs="Arial"/>
          <w:sz w:val="20"/>
          <w:szCs w:val="20"/>
        </w:rPr>
        <w:t xml:space="preserve">sentenced to 18 months’ imprisonment – </w:t>
      </w:r>
      <w:r w:rsidR="00766DCD">
        <w:rPr>
          <w:rFonts w:ascii="Arial" w:hAnsi="Arial" w:cs="Arial"/>
          <w:sz w:val="20"/>
          <w:szCs w:val="20"/>
        </w:rPr>
        <w:t xml:space="preserve">the Court of Appeal held that the </w:t>
      </w:r>
      <w:r w:rsidRPr="00BC3CBA">
        <w:rPr>
          <w:rFonts w:ascii="Arial" w:hAnsi="Arial" w:cs="Arial"/>
          <w:sz w:val="20"/>
          <w:szCs w:val="20"/>
        </w:rPr>
        <w:t xml:space="preserve">sentence </w:t>
      </w:r>
      <w:r w:rsidR="00766DCD">
        <w:rPr>
          <w:rFonts w:ascii="Arial" w:hAnsi="Arial" w:cs="Arial"/>
          <w:sz w:val="20"/>
          <w:szCs w:val="20"/>
        </w:rPr>
        <w:t xml:space="preserve">was </w:t>
      </w:r>
      <w:r w:rsidRPr="00BC3CBA">
        <w:rPr>
          <w:rFonts w:ascii="Arial" w:hAnsi="Arial" w:cs="Arial"/>
          <w:sz w:val="20"/>
          <w:szCs w:val="20"/>
        </w:rPr>
        <w:t>manifestly excessive</w:t>
      </w:r>
      <w:r w:rsidR="00766DCD">
        <w:rPr>
          <w:rFonts w:ascii="Arial" w:hAnsi="Arial" w:cs="Arial"/>
          <w:sz w:val="20"/>
          <w:szCs w:val="20"/>
        </w:rPr>
        <w:t>, granted the applicant leave to appeal and resentenced him to IMP8m]</w:t>
      </w:r>
      <w:r w:rsidR="007C20F3">
        <w:rPr>
          <w:rFonts w:ascii="Arial" w:hAnsi="Arial" w:cs="Arial"/>
          <w:sz w:val="20"/>
          <w:szCs w:val="20"/>
        </w:rPr>
        <w:t>;</w:t>
      </w:r>
    </w:p>
    <w:p w14:paraId="143CD3DE" w14:textId="3869C013" w:rsidR="007C20F3" w:rsidRPr="00127335" w:rsidRDefault="007C20F3"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DPP v Richardson </w:t>
      </w:r>
      <w:r w:rsidRPr="007C20F3">
        <w:rPr>
          <w:rFonts w:ascii="Arial" w:hAnsi="Arial" w:cs="Arial"/>
          <w:sz w:val="20"/>
          <w:szCs w:val="20"/>
        </w:rPr>
        <w:t>[2023] VSCA 241 [</w:t>
      </w:r>
      <w:r>
        <w:rPr>
          <w:rFonts w:ascii="Arial" w:hAnsi="Arial" w:cs="Arial"/>
          <w:color w:val="000000"/>
          <w:sz w:val="20"/>
        </w:rPr>
        <w:t>Crown appeal against a sentence of IMP4y/3y (to be served cumulatively upon a sentence currently being served) on a charge of attempting to traffick in a large commercial quantity of a drug of dependence (1,4-BD) dismissed in circumstances where Verdins’ factors applied and the sentencing judge had applied the principle of mercy]</w:t>
      </w:r>
      <w:r w:rsidR="00127335">
        <w:rPr>
          <w:rFonts w:ascii="Arial" w:hAnsi="Arial" w:cs="Arial"/>
          <w:color w:val="000000"/>
          <w:sz w:val="20"/>
        </w:rPr>
        <w:t>;</w:t>
      </w:r>
    </w:p>
    <w:p w14:paraId="4BFA5FDC" w14:textId="44E48E64" w:rsidR="00127335" w:rsidRPr="008E1C94" w:rsidRDefault="00127335" w:rsidP="007D00E7">
      <w:pPr>
        <w:numPr>
          <w:ilvl w:val="0"/>
          <w:numId w:val="16"/>
        </w:numPr>
        <w:ind w:left="714" w:hanging="357"/>
        <w:jc w:val="both"/>
        <w:rPr>
          <w:rFonts w:ascii="Arial" w:hAnsi="Arial" w:cs="Arial"/>
          <w:color w:val="000000"/>
          <w:sz w:val="20"/>
          <w:szCs w:val="20"/>
        </w:rPr>
      </w:pPr>
      <w:bookmarkStart w:id="691" w:name="_Hlk149563821"/>
      <w:r>
        <w:rPr>
          <w:rFonts w:ascii="Arial" w:hAnsi="Arial" w:cs="Arial"/>
          <w:i/>
          <w:iCs/>
          <w:sz w:val="20"/>
          <w:szCs w:val="20"/>
        </w:rPr>
        <w:t xml:space="preserve">Quang Xuan Do v The King </w:t>
      </w:r>
      <w:r w:rsidRPr="00127335">
        <w:rPr>
          <w:rFonts w:ascii="Arial" w:hAnsi="Arial" w:cs="Arial"/>
          <w:sz w:val="20"/>
          <w:szCs w:val="20"/>
        </w:rPr>
        <w:t xml:space="preserve">[2023] VSCA 254 </w:t>
      </w:r>
      <w:bookmarkEnd w:id="691"/>
      <w:r w:rsidRPr="00127335">
        <w:rPr>
          <w:rFonts w:ascii="Arial" w:hAnsi="Arial" w:cs="Arial"/>
          <w:sz w:val="20"/>
          <w:szCs w:val="20"/>
        </w:rPr>
        <w:t>[</w:t>
      </w:r>
      <w:r>
        <w:rPr>
          <w:rFonts w:ascii="Arial" w:hAnsi="Arial" w:cs="Arial"/>
          <w:sz w:val="20"/>
          <w:szCs w:val="20"/>
        </w:rPr>
        <w:t>2 x trafficking in a drug of dependence (&gt;4.45 times the statutory ‘large commercial quantity’ of heroin and &gt; 2 times that of methylamphetamine – trafficking for profit – TES IMP15y/10y – leave to appeal refused].</w:t>
      </w:r>
    </w:p>
    <w:p w14:paraId="6ACAF33F" w14:textId="77777777" w:rsidR="001626FF" w:rsidRPr="001626FF" w:rsidRDefault="008E1C94"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Thang Nguyen v The King </w:t>
      </w:r>
      <w:r w:rsidRPr="008E1C94">
        <w:rPr>
          <w:rFonts w:ascii="Arial" w:hAnsi="Arial" w:cs="Arial"/>
          <w:sz w:val="20"/>
          <w:szCs w:val="20"/>
        </w:rPr>
        <w:t xml:space="preserve">[2023] VSCA 310 [73 year old applicant pleaded guilty to trafficking 2.1kg of heroin – pressed into six 350g blocks – hidden in the centre console of a car </w:t>
      </w:r>
      <w:r>
        <w:rPr>
          <w:rFonts w:ascii="Arial" w:hAnsi="Arial" w:cs="Arial"/>
          <w:sz w:val="20"/>
          <w:szCs w:val="20"/>
        </w:rPr>
        <w:t xml:space="preserve">he was </w:t>
      </w:r>
      <w:r w:rsidRPr="008E1C94">
        <w:rPr>
          <w:rFonts w:ascii="Arial" w:hAnsi="Arial" w:cs="Arial"/>
          <w:sz w:val="20"/>
          <w:szCs w:val="20"/>
        </w:rPr>
        <w:t>driv</w:t>
      </w:r>
      <w:r>
        <w:rPr>
          <w:rFonts w:ascii="Arial" w:hAnsi="Arial" w:cs="Arial"/>
          <w:sz w:val="20"/>
          <w:szCs w:val="20"/>
        </w:rPr>
        <w:t>ing</w:t>
      </w:r>
      <w:r w:rsidRPr="008E1C94">
        <w:rPr>
          <w:rFonts w:ascii="Arial" w:hAnsi="Arial" w:cs="Arial"/>
          <w:sz w:val="20"/>
          <w:szCs w:val="20"/>
        </w:rPr>
        <w:t xml:space="preserve"> to Queensland </w:t>
      </w:r>
      <w:r>
        <w:rPr>
          <w:rFonts w:ascii="Arial" w:hAnsi="Arial" w:cs="Arial"/>
          <w:sz w:val="20"/>
          <w:szCs w:val="20"/>
        </w:rPr>
        <w:t>–</w:t>
      </w:r>
      <w:r w:rsidRPr="008E1C94">
        <w:rPr>
          <w:rFonts w:ascii="Arial" w:hAnsi="Arial" w:cs="Arial"/>
          <w:sz w:val="20"/>
          <w:szCs w:val="20"/>
        </w:rPr>
        <w:t xml:space="preserve"> </w:t>
      </w:r>
      <w:r>
        <w:rPr>
          <w:rFonts w:ascii="Arial" w:hAnsi="Arial" w:cs="Arial"/>
          <w:sz w:val="20"/>
          <w:szCs w:val="20"/>
        </w:rPr>
        <w:t xml:space="preserve">prosecution accepted plea on basis that applicant was not involved in the concealment of the drugs in the vehicle, did not have actual knowledge of drugs on board, but was nevertheless aware of the likelihood that the car he was driving carried a drug that was being trafficked – </w:t>
      </w:r>
      <w:r w:rsidR="005D27A7" w:rsidRPr="005D27A7">
        <w:rPr>
          <w:rFonts w:ascii="Arial" w:hAnsi="Arial" w:cs="Arial"/>
          <w:i/>
          <w:iCs/>
          <w:sz w:val="20"/>
          <w:szCs w:val="20"/>
        </w:rPr>
        <w:t>Verdins</w:t>
      </w:r>
      <w:r w:rsidR="005D27A7" w:rsidRPr="005D27A7">
        <w:rPr>
          <w:rFonts w:ascii="Arial" w:hAnsi="Arial" w:cs="Arial"/>
          <w:sz w:val="20"/>
          <w:szCs w:val="20"/>
        </w:rPr>
        <w:t xml:space="preserve"> principles not engaged, there being scant evidence that the applicant suffered from impaired mental functioning, let alone that there was a serious risk that imprisonment would have a significant adverse effect on the applicant’s mental health. </w:t>
      </w:r>
      <w:r w:rsidRPr="005D27A7">
        <w:rPr>
          <w:rFonts w:ascii="Arial" w:hAnsi="Arial" w:cs="Arial"/>
          <w:sz w:val="20"/>
          <w:szCs w:val="20"/>
        </w:rPr>
        <w:t>IMP6m – lea</w:t>
      </w:r>
      <w:r>
        <w:rPr>
          <w:rFonts w:ascii="Arial" w:hAnsi="Arial" w:cs="Arial"/>
          <w:sz w:val="20"/>
          <w:szCs w:val="20"/>
        </w:rPr>
        <w:t>ve to appeal refused]</w:t>
      </w:r>
      <w:r w:rsidR="001626FF">
        <w:rPr>
          <w:rFonts w:ascii="Arial" w:hAnsi="Arial" w:cs="Arial"/>
          <w:sz w:val="20"/>
          <w:szCs w:val="20"/>
        </w:rPr>
        <w:t>;</w:t>
      </w:r>
    </w:p>
    <w:p w14:paraId="0F376667" w14:textId="5442471A" w:rsidR="008E1C94" w:rsidRPr="008E1C94" w:rsidRDefault="001626FF"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Wu v The King </w:t>
      </w:r>
      <w:r w:rsidRPr="001626FF">
        <w:rPr>
          <w:rFonts w:ascii="Arial" w:hAnsi="Arial" w:cs="Arial"/>
          <w:sz w:val="20"/>
          <w:szCs w:val="20"/>
        </w:rPr>
        <w:t xml:space="preserve">[2025] VSCA 4 [applicant </w:t>
      </w:r>
      <w:r>
        <w:rPr>
          <w:rFonts w:ascii="Arial" w:hAnsi="Arial" w:cs="Arial"/>
          <w:sz w:val="20"/>
          <w:szCs w:val="20"/>
        </w:rPr>
        <w:t xml:space="preserve">pleaded guilty to </w:t>
      </w:r>
      <w:r w:rsidRPr="001626FF">
        <w:rPr>
          <w:rFonts w:ascii="Arial" w:hAnsi="Arial" w:cs="Arial"/>
          <w:sz w:val="20"/>
          <w:szCs w:val="20"/>
        </w:rPr>
        <w:t>trafficking in a commercial quantity of methylamphetamine</w:t>
      </w:r>
      <w:r>
        <w:rPr>
          <w:rFonts w:ascii="Arial" w:hAnsi="Arial" w:cs="Arial"/>
          <w:sz w:val="20"/>
          <w:szCs w:val="20"/>
        </w:rPr>
        <w:t>,</w:t>
      </w:r>
      <w:r w:rsidRPr="001626FF">
        <w:rPr>
          <w:rFonts w:ascii="Arial" w:hAnsi="Arial" w:cs="Arial"/>
          <w:sz w:val="20"/>
          <w:szCs w:val="20"/>
        </w:rPr>
        <w:t xml:space="preserve"> trafficking in heroin </w:t>
      </w:r>
      <w:r>
        <w:rPr>
          <w:rFonts w:ascii="Arial" w:hAnsi="Arial" w:cs="Arial"/>
          <w:sz w:val="20"/>
          <w:szCs w:val="20"/>
        </w:rPr>
        <w:t xml:space="preserve">and </w:t>
      </w:r>
      <w:r w:rsidRPr="001626FF">
        <w:rPr>
          <w:rFonts w:ascii="Arial" w:hAnsi="Arial" w:cs="Arial"/>
          <w:sz w:val="20"/>
          <w:szCs w:val="20"/>
        </w:rPr>
        <w:t>cultivation of a narcotic plant (cannabis)</w:t>
      </w:r>
      <w:r>
        <w:rPr>
          <w:rFonts w:ascii="Arial" w:hAnsi="Arial" w:cs="Arial"/>
          <w:sz w:val="20"/>
          <w:szCs w:val="20"/>
        </w:rPr>
        <w:t xml:space="preserve"> – IMP5y10m/3y10m]</w:t>
      </w:r>
      <w:r w:rsidR="008E1C94">
        <w:rPr>
          <w:rFonts w:ascii="Arial" w:hAnsi="Arial" w:cs="Arial"/>
          <w:sz w:val="20"/>
          <w:szCs w:val="20"/>
        </w:rPr>
        <w:t>.</w:t>
      </w:r>
    </w:p>
    <w:p w14:paraId="767B7257" w14:textId="77777777" w:rsidR="001C6B0F" w:rsidRPr="001C6B0F" w:rsidRDefault="00176C17" w:rsidP="004E4510">
      <w:pPr>
        <w:keepNext/>
        <w:keepLines/>
        <w:numPr>
          <w:ilvl w:val="0"/>
          <w:numId w:val="82"/>
        </w:numPr>
        <w:spacing w:before="120"/>
        <w:jc w:val="both"/>
        <w:rPr>
          <w:rFonts w:ascii="Arial" w:hAnsi="Arial" w:cs="Arial"/>
          <w:b/>
          <w:bCs/>
          <w:color w:val="000000"/>
          <w:sz w:val="16"/>
          <w:szCs w:val="20"/>
          <w:u w:val="single"/>
        </w:rPr>
      </w:pPr>
      <w:r w:rsidRPr="001C6B0F">
        <w:rPr>
          <w:rFonts w:ascii="Arial" w:hAnsi="Arial" w:cs="Arial"/>
          <w:b/>
          <w:bCs/>
          <w:color w:val="000000"/>
          <w:sz w:val="20"/>
          <w:szCs w:val="20"/>
          <w:u w:val="single"/>
        </w:rPr>
        <w:t>Importation</w:t>
      </w:r>
      <w:r w:rsidRPr="001C6B0F">
        <w:rPr>
          <w:rFonts w:ascii="Arial" w:hAnsi="Arial" w:cs="Arial"/>
          <w:b/>
          <w:bCs/>
          <w:color w:val="000000"/>
          <w:sz w:val="20"/>
          <w:szCs w:val="20"/>
        </w:rPr>
        <w:t>:</w:t>
      </w:r>
    </w:p>
    <w:p w14:paraId="4AD3F464" w14:textId="0BC672D6" w:rsidR="001C6B0F" w:rsidRPr="001C6B0F" w:rsidRDefault="00176C17" w:rsidP="001C6B0F">
      <w:pPr>
        <w:numPr>
          <w:ilvl w:val="0"/>
          <w:numId w:val="16"/>
        </w:numPr>
        <w:spacing w:before="40"/>
        <w:ind w:left="714" w:hanging="357"/>
        <w:jc w:val="both"/>
        <w:rPr>
          <w:rFonts w:ascii="Arial" w:hAnsi="Arial" w:cs="Arial"/>
          <w:color w:val="000000"/>
          <w:sz w:val="16"/>
          <w:szCs w:val="20"/>
        </w:rPr>
      </w:pPr>
      <w:r w:rsidRPr="00A71A64">
        <w:rPr>
          <w:rFonts w:ascii="Arial" w:hAnsi="Arial" w:cs="Arial"/>
          <w:i/>
          <w:color w:val="000000"/>
          <w:sz w:val="20"/>
          <w:szCs w:val="20"/>
        </w:rPr>
        <w:t>Alavy</w:t>
      </w:r>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1C6B0F">
      <w:pPr>
        <w:numPr>
          <w:ilvl w:val="0"/>
          <w:numId w:val="16"/>
        </w:numPr>
        <w:ind w:left="714" w:hanging="357"/>
        <w:jc w:val="both"/>
        <w:rPr>
          <w:rFonts w:ascii="Arial" w:hAnsi="Arial" w:cs="Arial"/>
          <w:color w:val="000000"/>
          <w:sz w:val="16"/>
          <w:szCs w:val="20"/>
        </w:rPr>
      </w:pPr>
      <w:r w:rsidRPr="008825B2">
        <w:rPr>
          <w:rFonts w:ascii="Arial" w:hAnsi="Arial" w:cs="Arial"/>
          <w:i/>
          <w:color w:val="000000"/>
          <w:sz w:val="20"/>
          <w:szCs w:val="20"/>
        </w:rPr>
        <w:t>Hibgame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1C6B0F">
      <w:pPr>
        <w:numPr>
          <w:ilvl w:val="0"/>
          <w:numId w:val="16"/>
        </w:numPr>
        <w:ind w:left="714"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Tuyet Thi Vu v The Queen</w:t>
      </w:r>
      <w:r w:rsidRPr="008825B2">
        <w:rPr>
          <w:rFonts w:ascii="Arial" w:hAnsi="Arial" w:cs="Arial"/>
          <w:color w:val="000000"/>
          <w:sz w:val="20"/>
        </w:rPr>
        <w:t xml:space="preserve"> &amp; </w:t>
      </w:r>
      <w:r w:rsidRPr="008825B2">
        <w:rPr>
          <w:rFonts w:ascii="Arial" w:hAnsi="Arial" w:cs="Arial"/>
          <w:i/>
          <w:color w:val="000000"/>
          <w:sz w:val="20"/>
        </w:rPr>
        <w:t>Sayeed Hashmi</w:t>
      </w:r>
      <w:r w:rsidRPr="008825B2">
        <w:rPr>
          <w:rFonts w:ascii="Arial" w:hAnsi="Arial" w:cs="Arial"/>
          <w:color w:val="000000"/>
          <w:sz w:val="20"/>
        </w:rPr>
        <w:t xml:space="preserve">  </w:t>
      </w:r>
      <w:r w:rsidRPr="008825B2">
        <w:rPr>
          <w:rFonts w:ascii="Arial" w:hAnsi="Arial" w:cs="Arial"/>
          <w:i/>
          <w:color w:val="000000"/>
          <w:sz w:val="20"/>
        </w:rPr>
        <w:t>v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A23310" w:rsidRDefault="0010193D" w:rsidP="001C6B0F">
      <w:pPr>
        <w:numPr>
          <w:ilvl w:val="0"/>
          <w:numId w:val="16"/>
        </w:numPr>
        <w:ind w:left="714" w:hanging="357"/>
        <w:jc w:val="both"/>
        <w:rPr>
          <w:rFonts w:ascii="Arial" w:hAnsi="Arial" w:cs="Arial"/>
          <w:color w:val="000000"/>
          <w:sz w:val="16"/>
          <w:szCs w:val="20"/>
        </w:rPr>
      </w:pPr>
      <w:r w:rsidRPr="00D8558E">
        <w:rPr>
          <w:rFonts w:ascii="Arial" w:hAnsi="Arial" w:cs="Arial"/>
          <w:i/>
          <w:iCs/>
          <w:color w:val="000000"/>
          <w:sz w:val="20"/>
          <w:szCs w:val="20"/>
        </w:rPr>
        <w:lastRenderedPageBreak/>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r w:rsidR="00D8558E">
        <w:rPr>
          <w:rFonts w:ascii="Arial" w:hAnsi="Arial" w:cs="Arial"/>
          <w:color w:val="000000"/>
          <w:sz w:val="20"/>
          <w:szCs w:val="20"/>
        </w:rPr>
        <w:t xml:space="preserve">plea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28E7E8A0" w14:textId="252752E9" w:rsidR="00A23310" w:rsidRPr="00A23310" w:rsidRDefault="00A23310" w:rsidP="001C6B0F">
      <w:pPr>
        <w:numPr>
          <w:ilvl w:val="0"/>
          <w:numId w:val="16"/>
        </w:numPr>
        <w:ind w:left="714" w:hanging="357"/>
        <w:jc w:val="both"/>
        <w:rPr>
          <w:rFonts w:ascii="Arial" w:hAnsi="Arial" w:cs="Arial"/>
          <w:color w:val="000000"/>
          <w:sz w:val="16"/>
          <w:szCs w:val="20"/>
        </w:rPr>
      </w:pPr>
      <w:r>
        <w:rPr>
          <w:rFonts w:ascii="Arial" w:hAnsi="Arial" w:cs="Arial"/>
          <w:i/>
          <w:iCs/>
          <w:color w:val="000000"/>
          <w:sz w:val="20"/>
          <w:szCs w:val="20"/>
        </w:rPr>
        <w:t xml:space="preserve">Luu v The King </w:t>
      </w:r>
      <w:r w:rsidRPr="00A23310">
        <w:rPr>
          <w:rFonts w:ascii="Arial" w:hAnsi="Arial" w:cs="Arial"/>
          <w:color w:val="000000"/>
          <w:sz w:val="20"/>
          <w:szCs w:val="20"/>
        </w:rPr>
        <w:t xml:space="preserve">[2024] VSCA 267 [plea guilty to </w:t>
      </w:r>
      <w:r>
        <w:rPr>
          <w:rFonts w:ascii="Arial" w:hAnsi="Arial" w:cs="Arial"/>
          <w:color w:val="000000"/>
          <w:sz w:val="20"/>
          <w:szCs w:val="20"/>
        </w:rPr>
        <w:t>importation of a commercial quantity of a border controlled drug being 11.9kg of pure methylamphetamine (15 times the commercial quantity threshold) – IMP12y/8y].</w:t>
      </w:r>
    </w:p>
    <w:p w14:paraId="500535C4" w14:textId="5BDEEA88" w:rsidR="00B47133" w:rsidRPr="00B47133" w:rsidRDefault="00B47133" w:rsidP="001C6B0F">
      <w:pPr>
        <w:numPr>
          <w:ilvl w:val="0"/>
          <w:numId w:val="16"/>
        </w:numPr>
        <w:ind w:left="714" w:hanging="357"/>
        <w:jc w:val="both"/>
        <w:rPr>
          <w:rFonts w:ascii="Arial" w:hAnsi="Arial" w:cs="Arial"/>
          <w:color w:val="000000"/>
          <w:sz w:val="16"/>
          <w:szCs w:val="20"/>
        </w:rPr>
      </w:pPr>
      <w:r>
        <w:rPr>
          <w:rFonts w:ascii="Arial" w:hAnsi="Arial" w:cs="Arial"/>
          <w:i/>
          <w:iCs/>
          <w:color w:val="000000"/>
          <w:sz w:val="20"/>
          <w:szCs w:val="20"/>
        </w:rPr>
        <w:t xml:space="preserve">McMurray v The King </w:t>
      </w:r>
      <w:r w:rsidRPr="00B47133">
        <w:rPr>
          <w:rFonts w:ascii="Arial" w:hAnsi="Arial" w:cs="Arial"/>
          <w:color w:val="000000"/>
          <w:sz w:val="20"/>
          <w:szCs w:val="20"/>
        </w:rPr>
        <w:t>[2024] VSCA 276 [</w:t>
      </w:r>
      <w:r>
        <w:rPr>
          <w:rFonts w:ascii="Arial" w:hAnsi="Arial" w:cs="Arial"/>
          <w:color w:val="000000"/>
          <w:sz w:val="20"/>
          <w:szCs w:val="20"/>
        </w:rPr>
        <w:t>plea guilty to importation of commercial quantity of border-controlled drug (gamma-butryolacetone or GBL) – IMP18m with release on recognisance after serving 6m].</w:t>
      </w:r>
    </w:p>
    <w:p w14:paraId="6ECC2C89" w14:textId="77777777" w:rsidR="001C6B0F" w:rsidRPr="001C6B0F" w:rsidRDefault="0019415B" w:rsidP="00C0478F">
      <w:pPr>
        <w:keepNext/>
        <w:keepLines/>
        <w:numPr>
          <w:ilvl w:val="0"/>
          <w:numId w:val="83"/>
        </w:numPr>
        <w:spacing w:before="120"/>
        <w:jc w:val="both"/>
        <w:rPr>
          <w:rFonts w:ascii="Arial" w:hAnsi="Arial" w:cs="Arial"/>
          <w:color w:val="000000"/>
          <w:sz w:val="16"/>
          <w:szCs w:val="20"/>
        </w:rPr>
      </w:pPr>
      <w:r w:rsidRPr="001C6B0F">
        <w:rPr>
          <w:rFonts w:ascii="Arial" w:hAnsi="Arial" w:cs="Arial"/>
          <w:b/>
          <w:bCs/>
          <w:color w:val="000000"/>
          <w:sz w:val="20"/>
          <w:u w:val="single"/>
        </w:rPr>
        <w:t>Conspiracy to traffick</w:t>
      </w:r>
      <w:r w:rsidRPr="001C6E0E">
        <w:rPr>
          <w:rFonts w:ascii="Arial" w:hAnsi="Arial" w:cs="Arial"/>
          <w:color w:val="000000"/>
          <w:sz w:val="20"/>
        </w:rPr>
        <w:t>:</w:t>
      </w:r>
    </w:p>
    <w:p w14:paraId="3652EBFE" w14:textId="25F9E160" w:rsidR="00502A3B" w:rsidRDefault="0019415B" w:rsidP="00B47133">
      <w:pPr>
        <w:numPr>
          <w:ilvl w:val="0"/>
          <w:numId w:val="16"/>
        </w:numPr>
        <w:spacing w:before="40"/>
        <w:ind w:left="714" w:hanging="357"/>
        <w:jc w:val="both"/>
      </w:pPr>
      <w:r w:rsidRPr="001C6E0E">
        <w:rPr>
          <w:rFonts w:ascii="Arial" w:hAnsi="Arial" w:cs="Arial"/>
          <w:i/>
          <w:color w:val="000000"/>
          <w:sz w:val="20"/>
        </w:rPr>
        <w:t>DPP v Johnson, Zerna and Bugeja</w:t>
      </w:r>
      <w:r w:rsidRPr="001C6E0E">
        <w:rPr>
          <w:rFonts w:ascii="Arial" w:hAnsi="Arial" w:cs="Arial"/>
          <w:color w:val="000000"/>
          <w:sz w:val="20"/>
        </w:rPr>
        <w:t xml:space="preserve"> [2008] VSC 330 [not less than commercial quantity of </w:t>
      </w:r>
      <w:bookmarkStart w:id="692"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upheld: see [2010] VSCA 321.</w:t>
      </w:r>
    </w:p>
    <w:p w14:paraId="01654E97" w14:textId="73456B0C" w:rsidR="005C6EC8" w:rsidRDefault="005C6EC8" w:rsidP="00B47133">
      <w:pPr>
        <w:rPr>
          <w:rFonts w:ascii="Arial" w:hAnsi="Arial" w:cs="Arial"/>
          <w:b/>
          <w:bCs/>
          <w:color w:val="000000"/>
          <w:kern w:val="28"/>
          <w:sz w:val="20"/>
          <w:szCs w:val="20"/>
          <w:lang w:val="en-GB"/>
        </w:rPr>
      </w:pPr>
    </w:p>
    <w:p w14:paraId="6A01ECF5" w14:textId="77777777" w:rsidR="00D13755" w:rsidRPr="001E6BE9" w:rsidRDefault="00D13755" w:rsidP="00D1375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F87200F" w14:textId="77777777" w:rsidR="007214AD" w:rsidRDefault="007214AD">
      <w:pPr>
        <w:rPr>
          <w:rFonts w:ascii="Arial" w:hAnsi="Arial" w:cs="Arial"/>
          <w:b/>
          <w:bCs/>
          <w:color w:val="000000"/>
          <w:kern w:val="28"/>
          <w:sz w:val="20"/>
          <w:szCs w:val="20"/>
          <w:lang w:val="en-GB"/>
        </w:rPr>
      </w:pPr>
    </w:p>
    <w:p w14:paraId="164E6CE1" w14:textId="77777777" w:rsidR="00D13755" w:rsidRDefault="00D13755">
      <w:pPr>
        <w:rPr>
          <w:rFonts w:ascii="Arial" w:hAnsi="Arial" w:cs="Arial"/>
          <w:b/>
          <w:bCs/>
          <w:color w:val="000000"/>
          <w:kern w:val="28"/>
          <w:sz w:val="20"/>
          <w:szCs w:val="20"/>
          <w:lang w:val="en-GB"/>
        </w:rPr>
      </w:pPr>
      <w:bookmarkStart w:id="693" w:name="_11.2.26_Sentencing_for"/>
      <w:bookmarkEnd w:id="693"/>
      <w:r>
        <w:rPr>
          <w:rFonts w:ascii="Arial" w:hAnsi="Arial" w:cs="Arial"/>
          <w:b/>
          <w:bCs/>
          <w:color w:val="000000"/>
          <w:sz w:val="20"/>
        </w:rPr>
        <w:br w:type="page"/>
      </w:r>
    </w:p>
    <w:p w14:paraId="4515E867" w14:textId="1B024D12" w:rsidR="0085113E" w:rsidRDefault="0085113E" w:rsidP="00EB5DC8">
      <w:pPr>
        <w:pStyle w:val="Heading3"/>
        <w:keepNext/>
        <w:spacing w:line="240" w:lineRule="auto"/>
        <w:rPr>
          <w:rFonts w:ascii="Arial" w:hAnsi="Arial" w:cs="Arial"/>
          <w:b/>
          <w:bCs/>
          <w:color w:val="000000"/>
          <w:sz w:val="20"/>
        </w:rPr>
      </w:pPr>
      <w:bookmarkStart w:id="694" w:name="_11.2.26_Sentencing_for_1"/>
      <w:bookmarkEnd w:id="694"/>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r w:rsidR="005F6C9B">
        <w:rPr>
          <w:rFonts w:ascii="Arial" w:hAnsi="Arial" w:cs="Arial"/>
          <w:b/>
          <w:bCs/>
          <w:color w:val="000000"/>
          <w:sz w:val="20"/>
        </w:rPr>
        <w:t>agg</w:t>
      </w:r>
      <w:r w:rsidR="00BA3FB7">
        <w:rPr>
          <w:rFonts w:ascii="Arial" w:hAnsi="Arial" w:cs="Arial"/>
          <w:b/>
          <w:bCs/>
          <w:color w:val="000000"/>
          <w:sz w:val="20"/>
        </w:rPr>
        <w:t>ravated</w:t>
      </w:r>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4CD55A34"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695" w:name="_11.2.26.1__"/>
      <w:bookmarkEnd w:id="695"/>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692"/>
      <w:r w:rsidR="0025487F">
        <w:rPr>
          <w:rFonts w:ascii="Arial" w:hAnsi="Arial" w:cs="Arial"/>
          <w:b/>
          <w:bCs/>
          <w:color w:val="000000"/>
          <w:sz w:val="20"/>
        </w:rPr>
        <w:t xml:space="preserve"> / </w:t>
      </w:r>
      <w:r w:rsidR="00962DCC">
        <w:rPr>
          <w:rFonts w:ascii="Arial" w:hAnsi="Arial" w:cs="Arial"/>
          <w:b/>
          <w:bCs/>
          <w:color w:val="000000"/>
          <w:sz w:val="20"/>
        </w:rPr>
        <w:t xml:space="preserve">attempted armed robbery / </w:t>
      </w:r>
      <w:r w:rsidR="0025487F">
        <w:rPr>
          <w:rFonts w:ascii="Arial" w:hAnsi="Arial" w:cs="Arial"/>
          <w:b/>
          <w:bCs/>
          <w:color w:val="000000"/>
          <w:sz w:val="20"/>
        </w:rPr>
        <w:t>robbery</w:t>
      </w:r>
    </w:p>
    <w:p w14:paraId="1AA96B7A"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96" w:name="_A_ARMED_ROBBERY"/>
      <w:bookmarkEnd w:id="696"/>
      <w:r w:rsidRPr="00AD22D9">
        <w:rPr>
          <w:rFonts w:ascii="Arial" w:hAnsi="Arial" w:cs="Arial"/>
          <w:b/>
          <w:color w:val="FFFFFF"/>
          <w:sz w:val="22"/>
          <w:shd w:val="clear" w:color="auto" w:fill="000000"/>
        </w:rPr>
        <w:t>A</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Bortoli</w:t>
      </w:r>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Williscroft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r w:rsidRPr="001C6E0E">
        <w:rPr>
          <w:rFonts w:ascii="Arial" w:hAnsi="Arial" w:cs="Arial"/>
          <w:i/>
          <w:color w:val="000000"/>
          <w:sz w:val="20"/>
        </w:rPr>
        <w:t>Barci v Asling</w:t>
      </w:r>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Kittikhoun</w:t>
      </w:r>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[15] Chernov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R v Cotry</w:t>
      </w:r>
      <w:r w:rsidRPr="001C6E0E">
        <w:rPr>
          <w:rFonts w:ascii="Arial" w:hAnsi="Arial" w:cs="Arial"/>
          <w:color w:val="000000"/>
          <w:sz w:val="20"/>
        </w:rPr>
        <w:t xml:space="preserve"> [2002] VSCA 13 at [8] per Winneke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Coldrey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Winneke P in </w:t>
      </w:r>
      <w:r w:rsidRPr="001C6E0E">
        <w:rPr>
          <w:rFonts w:ascii="Arial" w:hAnsi="Arial" w:cs="Arial"/>
          <w:i/>
          <w:color w:val="000000"/>
          <w:sz w:val="20"/>
        </w:rPr>
        <w:t xml:space="preserve">R v Orlikowski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I consider that these observations apply to the facts of the present case.  That is not to say that the significant mitigating factors that operate here are to be minimised or that the 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R 147 at 149 per Tadgell JA with whom Winneke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Armaguard van servicing an ATM.  At [20] Winneke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injured;  although,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Winslett</w:t>
      </w:r>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R v Cotry</w:t>
      </w:r>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Roy</w:t>
          </w:r>
        </w:smartTag>
      </w:smartTag>
      <w:r w:rsidRPr="001C6E0E">
        <w:rPr>
          <w:rFonts w:ascii="Arial" w:hAnsi="Arial" w:cs="Arial"/>
          <w:color w:val="000000"/>
          <w:sz w:val="20"/>
        </w:rPr>
        <w:t xml:space="preserve"> [2001] VSCA 61 at [7] Tadgell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Winneke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t>
      </w:r>
      <w:r w:rsidRPr="001C6E0E">
        <w:rPr>
          <w:rFonts w:ascii="Arial" w:hAnsi="Arial" w:cs="Arial"/>
          <w:color w:val="000000"/>
          <w:sz w:val="20"/>
        </w:rPr>
        <w:lastRenderedPageBreak/>
        <w:t>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Cotry</w:t>
      </w:r>
      <w:r w:rsidRPr="001C6E0E">
        <w:rPr>
          <w:rFonts w:ascii="Arial" w:hAnsi="Arial" w:cs="Arial"/>
          <w:color w:val="000000"/>
          <w:sz w:val="20"/>
        </w:rPr>
        <w:t xml:space="preserve"> [2002] VSCA 13 Winneke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Winneke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4733515B" w14:textId="4944C45E" w:rsidR="00B676A2"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R v Mekal</w:t>
      </w:r>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B676A2">
        <w:rPr>
          <w:rFonts w:ascii="Arial" w:hAnsi="Arial" w:cs="Arial"/>
          <w:color w:val="000000"/>
          <w:sz w:val="20"/>
        </w:rPr>
        <w:t xml:space="preserve">; </w:t>
      </w:r>
      <w:r w:rsidR="00B676A2" w:rsidRPr="00B676A2">
        <w:rPr>
          <w:rFonts w:ascii="Arial" w:hAnsi="Arial" w:cs="Arial"/>
          <w:i/>
          <w:iCs/>
          <w:color w:val="000000"/>
          <w:sz w:val="20"/>
        </w:rPr>
        <w:t>DPP v Aditya Singh</w:t>
      </w:r>
      <w:r w:rsidR="00B676A2">
        <w:rPr>
          <w:rFonts w:ascii="Arial" w:hAnsi="Arial" w:cs="Arial"/>
          <w:color w:val="000000"/>
          <w:sz w:val="20"/>
        </w:rPr>
        <w:t xml:space="preserve"> [2023] VSCA 17 at [</w:t>
      </w:r>
      <w:r w:rsidR="005C793B">
        <w:rPr>
          <w:rFonts w:ascii="Arial" w:hAnsi="Arial" w:cs="Arial"/>
          <w:color w:val="000000"/>
          <w:sz w:val="20"/>
        </w:rPr>
        <w:t>59</w:t>
      </w:r>
      <w:r w:rsidR="00B676A2">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Coldrey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R v Nguyen and Okobagerish</w:t>
      </w:r>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r w:rsidRPr="001C6E0E">
        <w:rPr>
          <w:rFonts w:ascii="Arial" w:hAnsi="Arial" w:cs="Arial"/>
          <w:i/>
          <w:color w:val="000000"/>
          <w:sz w:val="20"/>
        </w:rPr>
        <w:t>Bugmy</w:t>
      </w:r>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R v Nguyen and Okobagerish</w:t>
      </w:r>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previous findings of guilt, mostly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Kilmartin</w:t>
      </w:r>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DPP v Candaza &amp; Others</w:t>
      </w:r>
      <w:r w:rsidRPr="001C6E0E">
        <w:rPr>
          <w:rFonts w:ascii="Arial" w:hAnsi="Arial" w:cs="Arial"/>
          <w:color w:val="000000"/>
          <w:sz w:val="20"/>
        </w:rPr>
        <w:t xml:space="preserve"> [2003] VSCA 91.  In that case Chernov JA (with whom Winneke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r w:rsidRPr="001C6E0E">
        <w:rPr>
          <w:rFonts w:ascii="Arial" w:hAnsi="Arial" w:cs="Arial"/>
          <w:i/>
          <w:color w:val="000000"/>
          <w:sz w:val="20"/>
        </w:rPr>
        <w:t>Candaza</w:t>
      </w:r>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r w:rsidRPr="00296C99">
        <w:rPr>
          <w:rFonts w:ascii="Arial" w:hAnsi="Arial" w:cs="Arial"/>
          <w:i/>
          <w:iCs/>
          <w:color w:val="000000"/>
          <w:sz w:val="20"/>
        </w:rPr>
        <w:t>Agoc Deng Shok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5C6EC8">
      <w:pPr>
        <w:pStyle w:val="Normal-Indent"/>
        <w:widowControl/>
        <w:spacing w:before="60" w:line="240" w:lineRule="auto"/>
        <w:ind w:left="567" w:right="567"/>
        <w:rPr>
          <w:rFonts w:ascii="Arial" w:hAnsi="Arial" w:cs="Arial"/>
          <w:sz w:val="20"/>
        </w:rPr>
      </w:pPr>
      <w:r>
        <w:rPr>
          <w:rFonts w:ascii="Arial" w:eastAsia="Book Antiqua" w:hAnsi="Arial" w:cs="Arial"/>
          <w:sz w:val="20"/>
          <w:szCs w:val="16"/>
        </w:rPr>
        <w:lastRenderedPageBreak/>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r w:rsidRPr="00A37524">
        <w:rPr>
          <w:rFonts w:ascii="Arial" w:eastAsia="Book Antiqua" w:hAnsi="Arial" w:cs="Arial"/>
          <w:i/>
          <w:sz w:val="20"/>
        </w:rPr>
        <w:t xml:space="preserve">Binse v The Queen </w:t>
      </w:r>
      <w:r w:rsidRPr="00A37524">
        <w:rPr>
          <w:rFonts w:ascii="Arial" w:hAnsi="Arial" w:cs="Arial"/>
          <w:sz w:val="20"/>
        </w:rPr>
        <w:t>[2016] VSCA 145}.”</w:t>
      </w:r>
    </w:p>
    <w:p w14:paraId="61F2905A" w14:textId="1CAFF812" w:rsidR="00FD16B9" w:rsidRDefault="00FD16B9">
      <w:pPr>
        <w:jc w:val="both"/>
        <w:rPr>
          <w:rFonts w:ascii="Arial" w:hAnsi="Arial" w:cs="Arial"/>
          <w:color w:val="000000"/>
          <w:sz w:val="20"/>
        </w:rPr>
      </w:pPr>
    </w:p>
    <w:p w14:paraId="25CC8669" w14:textId="6097EFC8" w:rsidR="0093242D" w:rsidRDefault="007E3EE4">
      <w:pPr>
        <w:jc w:val="both"/>
        <w:rPr>
          <w:rFonts w:ascii="Arial" w:hAnsi="Arial" w:cs="Arial"/>
          <w:color w:val="000000"/>
          <w:sz w:val="20"/>
        </w:rPr>
      </w:pPr>
      <w:r>
        <w:rPr>
          <w:rFonts w:ascii="Arial" w:hAnsi="Arial" w:cs="Arial"/>
          <w:color w:val="000000"/>
          <w:sz w:val="20"/>
        </w:rPr>
        <w:t xml:space="preserve">In </w:t>
      </w:r>
      <w:r w:rsidRPr="00186237">
        <w:rPr>
          <w:rFonts w:ascii="Arial" w:hAnsi="Arial" w:cs="Arial"/>
          <w:i/>
          <w:iCs/>
          <w:color w:val="000000"/>
          <w:sz w:val="20"/>
        </w:rPr>
        <w:t>Sinclair v The Queen</w:t>
      </w:r>
      <w:r>
        <w:rPr>
          <w:rFonts w:ascii="Arial" w:hAnsi="Arial" w:cs="Arial"/>
          <w:color w:val="000000"/>
          <w:sz w:val="20"/>
        </w:rPr>
        <w:t xml:space="preserve"> [2022] VSCA </w:t>
      </w:r>
      <w:r w:rsidR="00186237">
        <w:rPr>
          <w:rFonts w:ascii="Arial" w:hAnsi="Arial" w:cs="Arial"/>
          <w:color w:val="000000"/>
          <w:sz w:val="20"/>
        </w:rPr>
        <w:t xml:space="preserve">180 </w:t>
      </w:r>
      <w:r>
        <w:rPr>
          <w:rFonts w:ascii="Arial" w:hAnsi="Arial" w:cs="Arial"/>
          <w:color w:val="000000"/>
          <w:sz w:val="20"/>
        </w:rPr>
        <w:t xml:space="preserve">the Court of Appeal refused </w:t>
      </w:r>
      <w:r w:rsidR="00186237">
        <w:rPr>
          <w:rFonts w:ascii="Arial" w:hAnsi="Arial" w:cs="Arial"/>
          <w:color w:val="000000"/>
          <w:sz w:val="20"/>
        </w:rPr>
        <w:t xml:space="preserve">the 20 year old offender </w:t>
      </w:r>
      <w:r>
        <w:rPr>
          <w:rFonts w:ascii="Arial" w:hAnsi="Arial" w:cs="Arial"/>
          <w:color w:val="000000"/>
          <w:sz w:val="20"/>
        </w:rPr>
        <w:t xml:space="preserve">leave to appeal </w:t>
      </w:r>
      <w:r w:rsidR="00186237">
        <w:rPr>
          <w:rFonts w:ascii="Arial" w:hAnsi="Arial" w:cs="Arial"/>
          <w:color w:val="000000"/>
          <w:sz w:val="20"/>
        </w:rPr>
        <w:t>against a TES IMP2y2m/1y5m on a number of charges, of which IMP1y8m was imposed on a charge of armed robbery.  At [50]-[52] Priest &amp; Kyrou JJA balanced the various sentencing considerations as follows:</w:t>
      </w:r>
    </w:p>
    <w:p w14:paraId="2B4F3738" w14:textId="77777777" w:rsidR="00186237" w:rsidRDefault="00186237" w:rsidP="00186237">
      <w:pPr>
        <w:pStyle w:val="Normal-Indent"/>
        <w:spacing w:before="60" w:line="240" w:lineRule="auto"/>
        <w:ind w:left="567" w:right="567"/>
        <w:rPr>
          <w:rFonts w:ascii="Arial" w:hAnsi="Arial" w:cs="Arial"/>
          <w:sz w:val="20"/>
        </w:rPr>
      </w:pPr>
      <w:r>
        <w:rPr>
          <w:rFonts w:ascii="Arial" w:hAnsi="Arial" w:cs="Arial"/>
          <w:sz w:val="20"/>
        </w:rPr>
        <w:t>“</w:t>
      </w:r>
      <w:r w:rsidR="0093242D" w:rsidRPr="0093242D">
        <w:rPr>
          <w:rFonts w:ascii="Arial" w:hAnsi="Arial" w:cs="Arial"/>
          <w:sz w:val="20"/>
        </w:rPr>
        <w:t>The applicant’s moral culpability was high in the light of the fact that he was serving a CCO and was on bail at the time of the offending and committed the armed robbery very soon after he was sentenced for the previous armed robbery. However, we accept that the applicant’s moral culpability was moderated to some extent due to his deprived background.</w:t>
      </w:r>
    </w:p>
    <w:p w14:paraId="26699AF5" w14:textId="77777777" w:rsidR="00186237"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The applicant’s extensive criminal history was relevant to the exercise of the sentencing discretion in a number of ways. First, it amplified the weight to be given to protection of the community and specific deterrence. Secondly, it demonstrated that previous sentencing dispositions which contained features such as supervision that focused upon the applicant’s rehabilitation were unsuccessful in deterring him from further offending.</w:t>
      </w:r>
    </w:p>
    <w:p w14:paraId="39F99F78" w14:textId="198BB0AE" w:rsidR="00186237" w:rsidRPr="00A37524"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We accept that the mitigating factors upon which the applicant relied warranted significant weight in the exercise of the sentencing discretion. However, their moderating impact had to be balanced against the sentencing considerations — particularly the gravity of the offending and protection of the community — which underscored the need for a substantial custodial sentence. Thus, whilst the applicant’s youth and deprived background meant that rehabilitation remained a key sentencing consideration, its moderating impact was diluted due to the heightened need to protect the community given the gravity of the current offending and similar previous offending by the applicant. It is also relevant in this context that the applicant could not rely upon positive findings regarding remorse and prospects of rehabilitation.</w:t>
      </w:r>
      <w:r w:rsidR="00186237">
        <w:rPr>
          <w:rFonts w:ascii="Arial" w:hAnsi="Arial" w:cs="Arial"/>
          <w:sz w:val="20"/>
        </w:rPr>
        <w:t>”</w:t>
      </w:r>
    </w:p>
    <w:p w14:paraId="0456A7F0" w14:textId="77777777" w:rsidR="0093242D" w:rsidRDefault="0093242D">
      <w:pPr>
        <w:jc w:val="both"/>
        <w:rPr>
          <w:rFonts w:ascii="Arial" w:hAnsi="Arial" w:cs="Arial"/>
          <w:color w:val="000000"/>
          <w:sz w:val="20"/>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1C6E0E" w:rsidRDefault="009303AA">
      <w:pPr>
        <w:jc w:val="both"/>
        <w:rPr>
          <w:rFonts w:ascii="Arial" w:hAnsi="Arial" w:cs="Arial"/>
          <w:color w:val="000000"/>
          <w:sz w:val="20"/>
        </w:rPr>
      </w:pPr>
    </w:p>
    <w:p w14:paraId="1C0635C5" w14:textId="558AAA5B"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R v Ozbec</w:t>
      </w:r>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R v Kitson</w:t>
      </w:r>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DPP v Rizkalla</w:t>
      </w:r>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R v Raccosta</w:t>
      </w:r>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Rancie </w:t>
      </w:r>
      <w:r w:rsidR="00F63210">
        <w:rPr>
          <w:rFonts w:ascii="Arial" w:hAnsi="Arial" w:cs="Arial"/>
          <w:color w:val="000000"/>
          <w:sz w:val="20"/>
        </w:rPr>
        <w:t xml:space="preserve">[2012] VSCA 258; </w:t>
      </w:r>
      <w:r w:rsidR="00373A76" w:rsidRPr="00A37524">
        <w:rPr>
          <w:rFonts w:ascii="Arial" w:eastAsia="Book Antiqua" w:hAnsi="Arial" w:cs="Arial"/>
          <w:i/>
          <w:sz w:val="20"/>
          <w:szCs w:val="20"/>
        </w:rPr>
        <w:t>Mendelle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DPP v Heyfron</w:t>
      </w:r>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w:t>
      </w:r>
      <w:r w:rsidR="00AA0591">
        <w:rPr>
          <w:rFonts w:ascii="Arial" w:hAnsi="Arial" w:cs="Arial"/>
          <w:color w:val="000000"/>
          <w:sz w:val="20"/>
          <w:szCs w:val="20"/>
        </w:rPr>
        <w:t xml:space="preserve">; </w:t>
      </w:r>
      <w:r w:rsidR="00AA0591" w:rsidRPr="00AA0591">
        <w:rPr>
          <w:rFonts w:ascii="Arial" w:hAnsi="Arial" w:cs="Arial"/>
          <w:i/>
          <w:iCs/>
          <w:color w:val="000000"/>
          <w:sz w:val="20"/>
          <w:szCs w:val="20"/>
        </w:rPr>
        <w:t>Garipoli v The King</w:t>
      </w:r>
      <w:r w:rsidR="00AA0591">
        <w:rPr>
          <w:rFonts w:ascii="Arial" w:hAnsi="Arial" w:cs="Arial"/>
          <w:color w:val="000000"/>
          <w:sz w:val="20"/>
          <w:szCs w:val="20"/>
        </w:rPr>
        <w:t xml:space="preserve"> [2022] VSCA 260</w:t>
      </w:r>
      <w:r w:rsidR="008E5CA8">
        <w:rPr>
          <w:rFonts w:ascii="Arial" w:hAnsi="Arial" w:cs="Arial"/>
          <w:color w:val="000000"/>
          <w:sz w:val="20"/>
          <w:szCs w:val="20"/>
        </w:rPr>
        <w:t xml:space="preserve">; </w:t>
      </w:r>
      <w:r w:rsidR="008E5CA8" w:rsidRPr="008E5CA8">
        <w:rPr>
          <w:rFonts w:ascii="Arial" w:hAnsi="Arial" w:cs="Arial"/>
          <w:i/>
          <w:iCs/>
          <w:color w:val="000000"/>
          <w:sz w:val="20"/>
          <w:szCs w:val="20"/>
        </w:rPr>
        <w:t>Castillo (a pseudonym) v The King</w:t>
      </w:r>
      <w:r w:rsidR="008E5CA8">
        <w:rPr>
          <w:rFonts w:ascii="Arial" w:hAnsi="Arial" w:cs="Arial"/>
          <w:color w:val="000000"/>
          <w:sz w:val="20"/>
          <w:szCs w:val="20"/>
        </w:rPr>
        <w:t xml:space="preserve"> [2023] VSCA 150</w:t>
      </w:r>
      <w:r w:rsidR="00B93C85">
        <w:rPr>
          <w:rFonts w:ascii="Arial" w:hAnsi="Arial" w:cs="Arial"/>
          <w:color w:val="000000"/>
          <w:sz w:val="20"/>
          <w:szCs w:val="20"/>
        </w:rPr>
        <w:t xml:space="preserve">; </w:t>
      </w:r>
      <w:r w:rsidR="00B93C85" w:rsidRPr="00B93C85">
        <w:rPr>
          <w:rFonts w:ascii="Arial" w:hAnsi="Arial" w:cs="Arial"/>
          <w:i/>
          <w:iCs/>
          <w:color w:val="000000"/>
          <w:sz w:val="20"/>
          <w:szCs w:val="20"/>
        </w:rPr>
        <w:t>Dabaja v The King</w:t>
      </w:r>
      <w:r w:rsidR="00B93C85">
        <w:rPr>
          <w:rFonts w:ascii="Arial" w:hAnsi="Arial" w:cs="Arial"/>
          <w:color w:val="000000"/>
          <w:sz w:val="20"/>
          <w:szCs w:val="20"/>
        </w:rPr>
        <w:t xml:space="preserve"> [2023] VSCA 209</w:t>
      </w:r>
      <w:r w:rsidR="00BC3CBA">
        <w:rPr>
          <w:rFonts w:ascii="Arial" w:hAnsi="Arial" w:cs="Arial"/>
          <w:color w:val="000000"/>
          <w:sz w:val="20"/>
          <w:szCs w:val="20"/>
        </w:rPr>
        <w:t xml:space="preserve">; </w:t>
      </w:r>
      <w:r w:rsidR="00BC3CBA" w:rsidRPr="00BC3CBA">
        <w:rPr>
          <w:rFonts w:ascii="Arial" w:hAnsi="Arial" w:cs="Arial"/>
          <w:i/>
          <w:iCs/>
          <w:color w:val="000000"/>
          <w:sz w:val="20"/>
          <w:szCs w:val="20"/>
        </w:rPr>
        <w:t>Cao Thien Nguyen v The King</w:t>
      </w:r>
      <w:r w:rsidR="00BC3CBA">
        <w:rPr>
          <w:rFonts w:ascii="Arial" w:hAnsi="Arial" w:cs="Arial"/>
          <w:color w:val="000000"/>
          <w:sz w:val="20"/>
          <w:szCs w:val="20"/>
        </w:rPr>
        <w:t xml:space="preserve"> [2023] VSCA 212</w:t>
      </w:r>
      <w:r w:rsidR="0021499A">
        <w:rPr>
          <w:rFonts w:ascii="Arial" w:hAnsi="Arial" w:cs="Arial"/>
          <w:color w:val="000000"/>
          <w:sz w:val="20"/>
          <w:szCs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[48]-[53]</w:t>
      </w:r>
      <w:r w:rsidR="00465EE8">
        <w:rPr>
          <w:rFonts w:ascii="Arial" w:hAnsi="Arial" w:cs="Arial"/>
          <w:color w:val="000000"/>
          <w:sz w:val="20"/>
        </w:rPr>
        <w:t xml:space="preserve">; </w:t>
      </w:r>
      <w:r w:rsidR="00465EE8" w:rsidRPr="00465EE8">
        <w:rPr>
          <w:rFonts w:ascii="Arial" w:hAnsi="Arial" w:cs="Arial"/>
          <w:i/>
          <w:iCs/>
          <w:color w:val="000000"/>
          <w:sz w:val="20"/>
        </w:rPr>
        <w:t>Tu</w:t>
      </w:r>
      <w:r w:rsidR="00465EE8">
        <w:rPr>
          <w:rFonts w:ascii="Arial" w:hAnsi="Arial" w:cs="Arial"/>
          <w:i/>
          <w:iCs/>
          <w:color w:val="000000"/>
          <w:sz w:val="20"/>
        </w:rPr>
        <w:t>ara</w:t>
      </w:r>
      <w:r w:rsidR="00465EE8" w:rsidRPr="00465EE8">
        <w:rPr>
          <w:rFonts w:ascii="Arial" w:hAnsi="Arial" w:cs="Arial"/>
          <w:i/>
          <w:iCs/>
          <w:color w:val="000000"/>
          <w:sz w:val="20"/>
        </w:rPr>
        <w:t>e v The King</w:t>
      </w:r>
      <w:r w:rsidR="00465EE8">
        <w:rPr>
          <w:rFonts w:ascii="Arial" w:hAnsi="Arial" w:cs="Arial"/>
          <w:color w:val="000000"/>
          <w:sz w:val="20"/>
        </w:rPr>
        <w:t xml:space="preserve"> [2023] VSCA 303 at [36]</w:t>
      </w:r>
      <w:r w:rsidR="00465EE8">
        <w:rPr>
          <w:rFonts w:ascii="Arial" w:hAnsi="Arial" w:cs="Arial"/>
          <w:color w:val="000000"/>
          <w:sz w:val="20"/>
        </w:rPr>
        <w:noBreakHyphen/>
        <w:t>[51]</w:t>
      </w:r>
      <w:r w:rsidR="00A7065A">
        <w:rPr>
          <w:rFonts w:ascii="Arial" w:hAnsi="Arial" w:cs="Arial"/>
          <w:color w:val="000000"/>
          <w:sz w:val="20"/>
        </w:rPr>
        <w:t xml:space="preserve">; </w:t>
      </w:r>
      <w:r w:rsidR="00A7065A" w:rsidRPr="00A7065A">
        <w:rPr>
          <w:rFonts w:ascii="Arial" w:hAnsi="Arial" w:cs="Arial"/>
          <w:i/>
          <w:iCs/>
          <w:color w:val="000000"/>
          <w:sz w:val="20"/>
        </w:rPr>
        <w:t>Sabitovic v The King</w:t>
      </w:r>
      <w:r w:rsidR="00A7065A">
        <w:rPr>
          <w:rFonts w:ascii="Arial" w:hAnsi="Arial" w:cs="Arial"/>
          <w:color w:val="000000"/>
          <w:sz w:val="20"/>
        </w:rPr>
        <w:t xml:space="preserve"> [2024] VSCA 66 at [45]-[53]</w:t>
      </w:r>
      <w:r w:rsidR="00390166">
        <w:rPr>
          <w:rFonts w:ascii="Arial" w:hAnsi="Arial" w:cs="Arial"/>
          <w:color w:val="000000"/>
          <w:sz w:val="20"/>
        </w:rPr>
        <w:t xml:space="preserve">; </w:t>
      </w:r>
      <w:r w:rsidR="00390166" w:rsidRPr="00390166">
        <w:rPr>
          <w:rFonts w:ascii="Arial" w:hAnsi="Arial" w:cs="Arial"/>
          <w:i/>
          <w:iCs/>
          <w:color w:val="000000"/>
          <w:sz w:val="20"/>
        </w:rPr>
        <w:t>Baxter v The King</w:t>
      </w:r>
      <w:r w:rsidR="00390166">
        <w:rPr>
          <w:rFonts w:ascii="Arial" w:hAnsi="Arial" w:cs="Arial"/>
          <w:color w:val="000000"/>
          <w:sz w:val="20"/>
        </w:rPr>
        <w:t xml:space="preserve"> [2024] VSCA 268</w:t>
      </w:r>
      <w:r w:rsidR="00126C77">
        <w:rPr>
          <w:rFonts w:ascii="Arial" w:hAnsi="Arial" w:cs="Arial"/>
          <w:color w:val="000000"/>
          <w:sz w:val="20"/>
        </w:rPr>
        <w:t xml:space="preserve">; </w:t>
      </w:r>
      <w:r w:rsidR="00126C77" w:rsidRPr="00245B15">
        <w:rPr>
          <w:rFonts w:ascii="Arial" w:hAnsi="Arial" w:cs="Arial"/>
          <w:i/>
          <w:iCs/>
          <w:color w:val="000000"/>
          <w:sz w:val="20"/>
        </w:rPr>
        <w:t>Bower v The King</w:t>
      </w:r>
      <w:r w:rsidR="00126C77">
        <w:rPr>
          <w:rFonts w:ascii="Arial" w:hAnsi="Arial" w:cs="Arial"/>
          <w:color w:val="000000"/>
          <w:sz w:val="20"/>
        </w:rPr>
        <w:t xml:space="preserve"> [2024] VSCA 317</w:t>
      </w:r>
      <w:r w:rsidR="00390166">
        <w:rPr>
          <w:rFonts w:ascii="Arial" w:hAnsi="Arial" w:cs="Arial"/>
          <w:color w:val="000000"/>
          <w:sz w:val="20"/>
        </w:rPr>
        <w:t>.</w:t>
      </w:r>
    </w:p>
    <w:p w14:paraId="2DDBB1FB" w14:textId="75492A41" w:rsidR="0025487F" w:rsidRDefault="0025487F">
      <w:pPr>
        <w:jc w:val="both"/>
        <w:rPr>
          <w:rFonts w:ascii="Arial" w:hAnsi="Arial" w:cs="Arial"/>
          <w:color w:val="000000"/>
          <w:sz w:val="20"/>
        </w:rPr>
      </w:pPr>
    </w:p>
    <w:p w14:paraId="69A973A3"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97" w:name="_B_ATTEMPTED_ARMED"/>
      <w:bookmarkStart w:id="698" w:name="_Hlk158792249"/>
      <w:bookmarkEnd w:id="697"/>
      <w:r>
        <w:rPr>
          <w:rFonts w:ascii="Arial" w:hAnsi="Arial" w:cs="Arial"/>
          <w:b/>
          <w:color w:val="FFFFFF"/>
          <w:sz w:val="22"/>
          <w:shd w:val="clear" w:color="auto" w:fill="000000"/>
        </w:rPr>
        <w:t>B</w:t>
      </w:r>
      <w:bookmarkEnd w:id="698"/>
      <w:r>
        <w:rPr>
          <w:rFonts w:ascii="Arial" w:hAnsi="Arial" w:cs="Arial"/>
          <w:b/>
          <w:color w:val="000000"/>
          <w:sz w:val="22"/>
        </w:rPr>
        <w:tab/>
      </w:r>
      <w:r w:rsidR="00962DCC">
        <w:rPr>
          <w:rFonts w:ascii="Arial" w:hAnsi="Arial" w:cs="Arial"/>
          <w:b/>
          <w:bCs/>
          <w:color w:val="FFFFFF" w:themeColor="background1"/>
          <w:sz w:val="20"/>
          <w:shd w:val="clear" w:color="auto" w:fill="000000" w:themeFill="text1"/>
        </w:rPr>
        <w:t>ATTEMPTED ARMED ROBBERY</w:t>
      </w:r>
    </w:p>
    <w:p w14:paraId="5D60C295" w14:textId="10B09871" w:rsidR="008A66C3" w:rsidRDefault="00962DCC" w:rsidP="00962DCC">
      <w:pPr>
        <w:spacing w:before="120"/>
        <w:jc w:val="both"/>
        <w:rPr>
          <w:rFonts w:ascii="Arial" w:hAnsi="Arial" w:cs="Arial"/>
          <w:color w:val="000000"/>
          <w:sz w:val="20"/>
        </w:rPr>
      </w:pPr>
      <w:r w:rsidRPr="001C6E0E">
        <w:rPr>
          <w:rFonts w:ascii="Arial" w:hAnsi="Arial" w:cs="Arial"/>
          <w:color w:val="000000"/>
          <w:sz w:val="20"/>
        </w:rPr>
        <w:t xml:space="preserve">In </w:t>
      </w:r>
      <w:r w:rsidR="008A66C3">
        <w:rPr>
          <w:rFonts w:ascii="Arial" w:hAnsi="Arial" w:cs="Arial"/>
          <w:i/>
          <w:color w:val="000000"/>
          <w:sz w:val="20"/>
        </w:rPr>
        <w:t>Shrubshall v The King</w:t>
      </w:r>
      <w:r w:rsidRPr="001C6E0E">
        <w:rPr>
          <w:rFonts w:ascii="Arial" w:hAnsi="Arial" w:cs="Arial"/>
          <w:color w:val="000000"/>
          <w:sz w:val="20"/>
        </w:rPr>
        <w:t xml:space="preserve"> [20</w:t>
      </w:r>
      <w:r w:rsidR="008A66C3">
        <w:rPr>
          <w:rFonts w:ascii="Arial" w:hAnsi="Arial" w:cs="Arial"/>
          <w:color w:val="000000"/>
          <w:sz w:val="20"/>
        </w:rPr>
        <w:t>22</w:t>
      </w:r>
      <w:r w:rsidRPr="001C6E0E">
        <w:rPr>
          <w:rFonts w:ascii="Arial" w:hAnsi="Arial" w:cs="Arial"/>
          <w:color w:val="000000"/>
          <w:sz w:val="20"/>
        </w:rPr>
        <w:t xml:space="preserve">] VSCA </w:t>
      </w:r>
      <w:r w:rsidR="008A66C3">
        <w:rPr>
          <w:rFonts w:ascii="Arial" w:hAnsi="Arial" w:cs="Arial"/>
          <w:color w:val="000000"/>
          <w:sz w:val="20"/>
        </w:rPr>
        <w:t>221</w:t>
      </w:r>
      <w:r w:rsidRPr="001C6E0E">
        <w:rPr>
          <w:rFonts w:ascii="Arial" w:hAnsi="Arial" w:cs="Arial"/>
          <w:color w:val="000000"/>
          <w:sz w:val="20"/>
        </w:rPr>
        <w:t xml:space="preserve"> </w:t>
      </w:r>
      <w:r w:rsidR="008A66C3">
        <w:rPr>
          <w:rFonts w:ascii="Arial" w:hAnsi="Arial" w:cs="Arial"/>
          <w:color w:val="000000"/>
          <w:sz w:val="20"/>
        </w:rPr>
        <w:t xml:space="preserve">the Court of Appeal refused leave to the 25 year old applicant with a schizotypal personality disorder to appeal against a sentence of IMP4m with 18m </w:t>
      </w:r>
      <w:r w:rsidR="008A66C3">
        <w:rPr>
          <w:rFonts w:ascii="Arial" w:hAnsi="Arial" w:cs="Arial"/>
          <w:color w:val="000000"/>
          <w:sz w:val="20"/>
        </w:rPr>
        <w:lastRenderedPageBreak/>
        <w:t>CCO imposed on a plea of guilty to attempted armed robbery and intentionally causing injury to a ‘soft target’, a passenger on a train.  At [36] Priest AP &amp; Macaulay JA said:</w:t>
      </w:r>
    </w:p>
    <w:p w14:paraId="1E1EA1F1" w14:textId="702A44A4" w:rsidR="008A66C3" w:rsidRPr="00A37524" w:rsidRDefault="008A66C3" w:rsidP="008A66C3">
      <w:pPr>
        <w:pStyle w:val="Normal-Indent"/>
        <w:spacing w:before="60" w:line="240" w:lineRule="auto"/>
        <w:ind w:left="567" w:right="567"/>
        <w:rPr>
          <w:rFonts w:ascii="Arial" w:hAnsi="Arial" w:cs="Arial"/>
          <w:sz w:val="20"/>
        </w:rPr>
      </w:pPr>
      <w:r>
        <w:rPr>
          <w:rFonts w:ascii="Arial" w:hAnsi="Arial" w:cs="Arial"/>
          <w:sz w:val="20"/>
        </w:rPr>
        <w:t>“</w:t>
      </w:r>
      <w:r w:rsidRPr="008A66C3">
        <w:rPr>
          <w:rFonts w:ascii="Arial" w:hAnsi="Arial" w:cs="Arial"/>
          <w:sz w:val="20"/>
        </w:rPr>
        <w:t>Rather than manifestly excessive, we consider the sentence imposed to be moderate (if</w:t>
      </w:r>
      <w:r>
        <w:rPr>
          <w:rFonts w:ascii="Arial" w:hAnsi="Arial" w:cs="Arial"/>
          <w:sz w:val="20"/>
        </w:rPr>
        <w:t> </w:t>
      </w:r>
      <w:r w:rsidRPr="008A66C3">
        <w:rPr>
          <w:rFonts w:ascii="Arial" w:hAnsi="Arial" w:cs="Arial"/>
          <w:sz w:val="20"/>
        </w:rPr>
        <w:t>not lenient). It can only be the result of the judge having weighed all mitigating features — including the applicant’s early plea of guilty (entered during the pandemic); remorse; lack of prior convictions; family support; good prospects of rehabilitation; relative youth; compliance with bail; and mental condition — properly in his favour.</w:t>
      </w:r>
      <w:r>
        <w:rPr>
          <w:rFonts w:ascii="Arial" w:hAnsi="Arial" w:cs="Arial"/>
          <w:sz w:val="20"/>
        </w:rPr>
        <w:t>”</w:t>
      </w:r>
    </w:p>
    <w:p w14:paraId="01C25607" w14:textId="3F95D832" w:rsidR="00671EE8" w:rsidRDefault="00671EE8">
      <w:pPr>
        <w:jc w:val="both"/>
        <w:rPr>
          <w:rFonts w:ascii="Arial" w:hAnsi="Arial" w:cs="Arial"/>
          <w:color w:val="000000"/>
          <w:sz w:val="16"/>
          <w:szCs w:val="20"/>
        </w:rPr>
      </w:pPr>
    </w:p>
    <w:p w14:paraId="7293C3DD" w14:textId="04462EBF" w:rsidR="007922C5" w:rsidRPr="007922C5" w:rsidRDefault="007922C5">
      <w:pPr>
        <w:jc w:val="both"/>
        <w:rPr>
          <w:rFonts w:ascii="Arial" w:hAnsi="Arial" w:cs="Arial"/>
          <w:color w:val="000000"/>
          <w:sz w:val="20"/>
        </w:rPr>
      </w:pPr>
      <w:r w:rsidRPr="007922C5">
        <w:rPr>
          <w:rFonts w:ascii="Arial" w:hAnsi="Arial" w:cs="Arial"/>
          <w:color w:val="000000"/>
          <w:sz w:val="20"/>
        </w:rPr>
        <w:t xml:space="preserve">See also </w:t>
      </w:r>
      <w:r w:rsidRPr="007922C5">
        <w:rPr>
          <w:rFonts w:ascii="Arial" w:hAnsi="Arial" w:cs="Arial"/>
          <w:i/>
          <w:iCs/>
          <w:color w:val="000000"/>
          <w:sz w:val="20"/>
        </w:rPr>
        <w:t>DPP v Hammoud</w:t>
      </w:r>
      <w:r>
        <w:rPr>
          <w:rFonts w:ascii="Arial" w:hAnsi="Arial" w:cs="Arial"/>
          <w:color w:val="000000"/>
          <w:sz w:val="20"/>
        </w:rPr>
        <w:t xml:space="preserve"> [2023] VSC 58</w:t>
      </w:r>
      <w:r w:rsidR="007F3C5F">
        <w:rPr>
          <w:rFonts w:ascii="Arial" w:hAnsi="Arial" w:cs="Arial"/>
          <w:color w:val="000000"/>
          <w:sz w:val="20"/>
        </w:rPr>
        <w:t xml:space="preserve">; </w:t>
      </w:r>
      <w:r w:rsidR="007F3C5F" w:rsidRPr="007F3C5F">
        <w:rPr>
          <w:rFonts w:ascii="Arial" w:hAnsi="Arial" w:cs="Arial"/>
          <w:i/>
          <w:iCs/>
          <w:color w:val="000000"/>
          <w:sz w:val="20"/>
        </w:rPr>
        <w:t>Kennett v The King</w:t>
      </w:r>
      <w:r w:rsidR="007F3C5F">
        <w:rPr>
          <w:rFonts w:ascii="Arial" w:hAnsi="Arial" w:cs="Arial"/>
          <w:color w:val="000000"/>
          <w:sz w:val="20"/>
        </w:rPr>
        <w:t xml:space="preserve"> [2023] VSCA 306</w:t>
      </w:r>
      <w:r w:rsidR="00682B9C">
        <w:rPr>
          <w:rFonts w:ascii="Arial" w:hAnsi="Arial" w:cs="Arial"/>
          <w:color w:val="000000"/>
          <w:sz w:val="20"/>
        </w:rPr>
        <w:t xml:space="preserve">; </w:t>
      </w:r>
      <w:r w:rsidR="00682B9C" w:rsidRPr="00682B9C">
        <w:rPr>
          <w:rFonts w:ascii="Arial" w:hAnsi="Arial" w:cs="Arial"/>
          <w:i/>
          <w:iCs/>
          <w:color w:val="000000"/>
          <w:sz w:val="20"/>
        </w:rPr>
        <w:t>Kowski v The King</w:t>
      </w:r>
      <w:r w:rsidR="00682B9C">
        <w:rPr>
          <w:rFonts w:ascii="Arial" w:hAnsi="Arial" w:cs="Arial"/>
          <w:color w:val="000000"/>
          <w:sz w:val="20"/>
        </w:rPr>
        <w:t xml:space="preserve"> [2024] VSCA 3</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[43]-[47]</w:t>
      </w:r>
      <w:r w:rsidR="00682B9C">
        <w:rPr>
          <w:rFonts w:ascii="Arial" w:hAnsi="Arial" w:cs="Arial"/>
          <w:color w:val="000000"/>
          <w:sz w:val="20"/>
        </w:rPr>
        <w:t>.</w:t>
      </w:r>
    </w:p>
    <w:p w14:paraId="5D1610BE" w14:textId="77777777" w:rsidR="007922C5" w:rsidRPr="008A66C3" w:rsidRDefault="007922C5">
      <w:pPr>
        <w:jc w:val="both"/>
        <w:rPr>
          <w:rFonts w:ascii="Arial" w:hAnsi="Arial" w:cs="Arial"/>
          <w:color w:val="000000"/>
          <w:sz w:val="16"/>
          <w:szCs w:val="20"/>
        </w:rPr>
      </w:pPr>
    </w:p>
    <w:p w14:paraId="60B956DB"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99" w:name="_C_ROBBERY"/>
      <w:bookmarkEnd w:id="699"/>
      <w:r>
        <w:rPr>
          <w:rFonts w:ascii="Arial" w:hAnsi="Arial" w:cs="Arial"/>
          <w:b/>
          <w:color w:val="FFFFFF"/>
          <w:sz w:val="22"/>
          <w:shd w:val="clear" w:color="auto" w:fill="000000"/>
        </w:rPr>
        <w:t>C</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coffender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The prosecution conceded that the sentencing principles under the CYFA should apply.  In convicting AM and releasing him on a youth supervision order for 9m, Tinney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p w14:paraId="47BBAB55" w14:textId="0996AE05" w:rsidR="008035F9" w:rsidRDefault="008035F9">
      <w:pPr>
        <w:jc w:val="both"/>
        <w:rPr>
          <w:rFonts w:ascii="Arial" w:hAnsi="Arial" w:cs="Arial"/>
          <w:color w:val="000000"/>
          <w:sz w:val="20"/>
        </w:rPr>
      </w:pPr>
      <w:r>
        <w:rPr>
          <w:rFonts w:ascii="Arial" w:hAnsi="Arial" w:cs="Arial"/>
          <w:color w:val="000000"/>
          <w:sz w:val="20"/>
        </w:rPr>
        <w:t xml:space="preserve">See also </w:t>
      </w:r>
      <w:r w:rsidRPr="008035F9">
        <w:rPr>
          <w:rFonts w:ascii="Arial" w:hAnsi="Arial" w:cs="Arial"/>
          <w:i/>
          <w:iCs/>
          <w:sz w:val="20"/>
          <w:lang w:val="en-US"/>
        </w:rPr>
        <w:t>Gar v The King</w:t>
      </w:r>
      <w:r>
        <w:rPr>
          <w:rFonts w:ascii="Arial" w:hAnsi="Arial" w:cs="Arial"/>
          <w:sz w:val="20"/>
          <w:lang w:val="en-US"/>
        </w:rPr>
        <w:t xml:space="preserve"> [2024] VSCA 96 at [82]-[87].</w:t>
      </w:r>
    </w:p>
    <w:p w14:paraId="32113F62" w14:textId="77777777" w:rsidR="008035F9" w:rsidRDefault="008035F9">
      <w:pPr>
        <w:jc w:val="both"/>
        <w:rPr>
          <w:rFonts w:ascii="Arial" w:hAnsi="Arial" w:cs="Arial"/>
          <w:color w:val="000000"/>
          <w:sz w:val="20"/>
        </w:rPr>
      </w:pPr>
    </w:p>
    <w:bookmarkStart w:id="700" w:name="_11.2.26.2__"/>
    <w:bookmarkEnd w:id="700"/>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/carjacking</w:t>
      </w:r>
    </w:p>
    <w:p w14:paraId="3325F392"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01" w:name="_A_AGGRAVATED_CARJACKING"/>
      <w:bookmarkEnd w:id="701"/>
      <w:r w:rsidRPr="00AD22D9">
        <w:rPr>
          <w:rFonts w:ascii="Arial" w:hAnsi="Arial" w:cs="Arial"/>
          <w:b/>
          <w:color w:val="FFFFFF"/>
          <w:sz w:val="22"/>
          <w:shd w:val="clear" w:color="auto" w:fill="000000"/>
        </w:rPr>
        <w:t>A</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Andrews Labor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lastRenderedPageBreak/>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rsidP="008035F9">
      <w:pPr>
        <w:keepNext/>
        <w:keepLines/>
        <w:jc w:val="both"/>
        <w:rPr>
          <w:rFonts w:ascii="Arial" w:hAnsi="Arial" w:cs="Arial"/>
          <w:color w:val="000000"/>
          <w:sz w:val="20"/>
        </w:rPr>
      </w:pPr>
      <w:r>
        <w:rPr>
          <w:rFonts w:ascii="Arial" w:hAnsi="Arial" w:cs="Arial"/>
          <w:color w:val="000000"/>
          <w:sz w:val="20"/>
        </w:rPr>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Although stern, we do not consider that the sentence of six years with a nonparole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principles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r w:rsidRPr="000D10DE">
        <w:rPr>
          <w:rFonts w:ascii="Arial" w:hAnsi="Arial" w:cs="Arial"/>
          <w:i/>
          <w:iCs/>
          <w:color w:val="000000"/>
          <w:sz w:val="20"/>
          <w:szCs w:val="20"/>
        </w:rPr>
        <w:t>Magaming v The Queen</w:t>
      </w:r>
      <w:r w:rsidRPr="000D10DE">
        <w:rPr>
          <w:rFonts w:ascii="Arial" w:hAnsi="Arial" w:cs="Arial"/>
          <w:color w:val="000000"/>
          <w:sz w:val="20"/>
          <w:szCs w:val="20"/>
        </w:rPr>
        <w:t xml:space="preserve"> (2013) 252 CLR 381, 396 [48]; [2013] HCA 40 (French CJ, Hayne, Crennan, Kiefel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(Cth)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DPP v Hudgson</w:t>
      </w:r>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r w:rsidRPr="000D10DE">
        <w:rPr>
          <w:rFonts w:ascii="Arial" w:hAnsi="Arial" w:cs="Arial"/>
          <w:i/>
          <w:iCs/>
          <w:color w:val="000000"/>
          <w:sz w:val="20"/>
        </w:rPr>
        <w:t>Atherden v Western Australia</w:t>
      </w:r>
      <w:r w:rsidRPr="000D10DE">
        <w:rPr>
          <w:rFonts w:ascii="Arial" w:hAnsi="Arial" w:cs="Arial"/>
          <w:color w:val="000000"/>
          <w:sz w:val="20"/>
        </w:rPr>
        <w:t xml:space="preserve"> [2010] WASCA 33, [42]–[43] (Wheeler JA, McLure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r w:rsidRPr="0081664C">
        <w:rPr>
          <w:rFonts w:ascii="Arial" w:hAnsi="Arial" w:cs="Arial"/>
          <w:i/>
          <w:iCs/>
          <w:color w:val="000000"/>
          <w:sz w:val="20"/>
        </w:rPr>
        <w:t>Hudgson</w:t>
      </w:r>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w:t>
      </w:r>
      <w:r w:rsidRPr="00AB213B">
        <w:rPr>
          <w:rFonts w:ascii="Arial" w:hAnsi="Arial" w:cs="Arial"/>
          <w:color w:val="000000"/>
          <w:sz w:val="20"/>
        </w:rPr>
        <w:lastRenderedPageBreak/>
        <w:t>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w:t>
      </w:r>
      <w:r w:rsidR="00D44F80" w:rsidRPr="00E94F6B">
        <w:rPr>
          <w:rFonts w:ascii="Arial" w:hAnsi="Arial" w:cs="Arial"/>
          <w:b/>
          <w:bCs/>
          <w:sz w:val="20"/>
          <w:shd w:val="clear" w:color="auto" w:fill="C5E0B3" w:themeFill="accent6" w:themeFillTint="66"/>
        </w:rPr>
        <w:t>Part 11.21</w:t>
      </w:r>
      <w:r w:rsidR="00D44F80">
        <w:rPr>
          <w:rFonts w:ascii="Arial" w:hAnsi="Arial" w:cs="Arial"/>
          <w:sz w:val="20"/>
        </w:rPr>
        <w:t>}</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affected by illicit drugs and which resulted in two separate, serious collisions during a police pursuit. 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A155A">
      <w:pPr>
        <w:pStyle w:val="Normal-Indent"/>
        <w:widowControl/>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702" w:name="_11.2.27_Sentencing_for"/>
      <w:bookmarkStart w:id="703" w:name="_Toc107101766"/>
      <w:bookmarkEnd w:id="702"/>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704" w:name="_Hlk91065090"/>
      <w:r w:rsidR="00D9206A" w:rsidRPr="00D9206A">
        <w:rPr>
          <w:rFonts w:ascii="Arial" w:hAnsi="Arial" w:cs="Arial"/>
          <w:i/>
          <w:iCs/>
          <w:color w:val="000000"/>
          <w:sz w:val="20"/>
        </w:rPr>
        <w:t>Sabbatucci v The Queen</w:t>
      </w:r>
      <w:r w:rsidR="00D9206A">
        <w:rPr>
          <w:rFonts w:ascii="Arial" w:hAnsi="Arial" w:cs="Arial"/>
          <w:color w:val="000000"/>
          <w:sz w:val="20"/>
        </w:rPr>
        <w:t xml:space="preserve"> [2021] VSCA 340</w:t>
      </w:r>
      <w:bookmarkEnd w:id="704"/>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40 year old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Haddara’s motor vehicle, putting him in fear that he ‘would be then and there subject to force’. The applicant’s conduct involved blocking Mr Haddara’s vehicle in with another, and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McInerney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Fullagar and Marks JJ agreeing); </w:t>
      </w:r>
      <w:r w:rsidRPr="009D1352">
        <w:rPr>
          <w:rFonts w:ascii="Arial" w:hAnsi="Arial" w:cs="Arial"/>
          <w:i/>
          <w:iCs/>
          <w:sz w:val="20"/>
          <w:szCs w:val="16"/>
        </w:rPr>
        <w:t>R v Basso &amp; Frazetto</w:t>
      </w:r>
      <w:r w:rsidRPr="009D1352">
        <w:rPr>
          <w:rFonts w:ascii="Arial" w:hAnsi="Arial" w:cs="Arial"/>
          <w:sz w:val="20"/>
          <w:szCs w:val="16"/>
        </w:rPr>
        <w:t xml:space="preserve"> (1999) 108 A Crim R 392, 397–8 [21]–[26] (Chernov JA), 404–5 [57]–[63] (Charles JA); </w:t>
      </w:r>
      <w:r w:rsidRPr="009D1352">
        <w:rPr>
          <w:rFonts w:ascii="Arial" w:hAnsi="Arial" w:cs="Arial"/>
          <w:i/>
          <w:iCs/>
          <w:sz w:val="20"/>
          <w:szCs w:val="16"/>
        </w:rPr>
        <w:t>DPP v Galea &amp; Mosut</w:t>
      </w:r>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Bongiorno JA agreeing); </w:t>
      </w:r>
      <w:r w:rsidRPr="009D1352">
        <w:rPr>
          <w:rFonts w:ascii="Arial" w:hAnsi="Arial" w:cs="Arial"/>
          <w:i/>
          <w:iCs/>
          <w:sz w:val="20"/>
          <w:szCs w:val="16"/>
        </w:rPr>
        <w:t>Samuels-Orunmwense v The Queen; Osifo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r w:rsidRPr="009D1352">
        <w:rPr>
          <w:rFonts w:ascii="Arial" w:hAnsi="Arial" w:cs="Arial"/>
          <w:i/>
          <w:iCs/>
          <w:sz w:val="20"/>
          <w:szCs w:val="16"/>
        </w:rPr>
        <w:t>Makieng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1F5B54">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r w:rsidRPr="003A3511">
        <w:rPr>
          <w:rFonts w:ascii="Arial" w:hAnsi="Arial" w:cs="Arial"/>
          <w:i/>
          <w:iCs/>
          <w:sz w:val="20"/>
          <w:szCs w:val="16"/>
        </w:rPr>
        <w:t>Bugmy</w:t>
      </w:r>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w:t>
      </w:r>
      <w:r w:rsidRPr="003A3511">
        <w:rPr>
          <w:rFonts w:ascii="Arial" w:hAnsi="Arial" w:cs="Arial"/>
          <w:sz w:val="20"/>
          <w:szCs w:val="16"/>
        </w:rPr>
        <w:lastRenderedPageBreak/>
        <w:t>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[32] </w:t>
      </w:r>
      <w:r w:rsidRPr="003A3511">
        <w:rPr>
          <w:rFonts w:ascii="Arial" w:hAnsi="Arial" w:cs="Arial"/>
          <w:sz w:val="20"/>
          <w:szCs w:val="16"/>
        </w:rPr>
        <w:t>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cumulation ordered 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17F9EDA8"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05" w:name="_B_CARJACKING"/>
      <w:bookmarkEnd w:id="705"/>
      <w:r>
        <w:rPr>
          <w:rFonts w:ascii="Arial" w:hAnsi="Arial" w:cs="Arial"/>
          <w:b/>
          <w:color w:val="FFFFFF"/>
          <w:sz w:val="22"/>
          <w:shd w:val="clear" w:color="auto" w:fill="000000"/>
        </w:rPr>
        <w:t>B</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rsidP="009A195E">
      <w:pPr>
        <w:pStyle w:val="Normal-Indent"/>
        <w:widowControl/>
        <w:numPr>
          <w:ilvl w:val="0"/>
          <w:numId w:val="95"/>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rsidP="0041583D">
      <w:pPr>
        <w:pStyle w:val="Normal-Indent"/>
        <w:numPr>
          <w:ilvl w:val="0"/>
          <w:numId w:val="95"/>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6F4F78CD" w:rsidR="00220B9E" w:rsidRDefault="00220B9E" w:rsidP="00D97844">
      <w:pPr>
        <w:pStyle w:val="Normal-Indent"/>
        <w:spacing w:line="240" w:lineRule="auto"/>
        <w:ind w:left="0"/>
        <w:rPr>
          <w:rFonts w:ascii="Arial" w:hAnsi="Arial" w:cs="Arial"/>
          <w:color w:val="000000"/>
          <w:sz w:val="20"/>
        </w:rPr>
      </w:pPr>
    </w:p>
    <w:p w14:paraId="56DA322E" w14:textId="3F285BA7" w:rsidR="00C369A1" w:rsidRDefault="00C369A1" w:rsidP="00D97844">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2C2268">
        <w:rPr>
          <w:rFonts w:ascii="Arial" w:hAnsi="Arial" w:cs="Arial"/>
          <w:i/>
          <w:iCs/>
          <w:sz w:val="20"/>
        </w:rPr>
        <w:t>Tewaka v The King</w:t>
      </w:r>
      <w:r>
        <w:rPr>
          <w:rFonts w:ascii="Arial" w:hAnsi="Arial" w:cs="Arial"/>
          <w:sz w:val="20"/>
        </w:rPr>
        <w:t xml:space="preserve"> [2022] VSCA 275</w:t>
      </w:r>
      <w:r w:rsidRPr="00D1255F">
        <w:rPr>
          <w:rFonts w:ascii="Arial" w:hAnsi="Arial" w:cs="Arial"/>
          <w:color w:val="000000"/>
          <w:sz w:val="20"/>
        </w:rPr>
        <w:t>.</w:t>
      </w:r>
    </w:p>
    <w:p w14:paraId="74EE4434" w14:textId="77777777" w:rsidR="00C369A1" w:rsidRDefault="00C369A1"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706" w:name="_11.2.27_Sentencing_for_1"/>
      <w:bookmarkEnd w:id="706"/>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703"/>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r w:rsidR="00512083">
        <w:rPr>
          <w:rFonts w:ascii="Arial" w:hAnsi="Arial" w:cs="Arial"/>
          <w:b/>
          <w:bCs/>
          <w:color w:val="000000"/>
          <w:sz w:val="20"/>
        </w:rPr>
        <w:t xml:space="preserve">agg </w:t>
      </w:r>
      <w:r w:rsidR="001603D4">
        <w:rPr>
          <w:rFonts w:ascii="Arial" w:hAnsi="Arial" w:cs="Arial"/>
          <w:b/>
          <w:bCs/>
          <w:color w:val="000000"/>
          <w:sz w:val="20"/>
        </w:rPr>
        <w:t>home invasion</w:t>
      </w:r>
    </w:p>
    <w:p w14:paraId="415C81A4"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18"/>
          <w:szCs w:val="18"/>
        </w:rPr>
      </w:pPr>
      <w:bookmarkStart w:id="707" w:name="_A_BURGLARY"/>
      <w:bookmarkEnd w:id="707"/>
      <w:r w:rsidRPr="00127335">
        <w:rPr>
          <w:rFonts w:ascii="Arial" w:hAnsi="Arial" w:cs="Arial"/>
          <w:b/>
          <w:color w:val="FFFFFF"/>
          <w:sz w:val="20"/>
          <w:szCs w:val="18"/>
          <w:shd w:val="clear" w:color="auto" w:fill="000000"/>
        </w:rPr>
        <w:t>A</w:t>
      </w:r>
      <w:r w:rsidRPr="00127335">
        <w:rPr>
          <w:rFonts w:ascii="Arial" w:hAnsi="Arial" w:cs="Arial"/>
          <w:b/>
          <w:color w:val="000000"/>
          <w:sz w:val="20"/>
          <w:szCs w:val="18"/>
        </w:rPr>
        <w:tab/>
      </w:r>
      <w:r w:rsidR="00771EF6" w:rsidRPr="00127335">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t>
      </w:r>
      <w:r w:rsidRPr="001C6E0E">
        <w:rPr>
          <w:rFonts w:ascii="Arial" w:hAnsi="Arial" w:cs="Arial"/>
          <w:color w:val="000000"/>
          <w:sz w:val="20"/>
        </w:rPr>
        <w:lastRenderedPageBreak/>
        <w:t xml:space="preserve">were shown to have attracted sentences of greater than three years.  Similar conclusions emerge from the most recently published sentencing statistics for superior courts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I do not 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708"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9A195E">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463D134E" w:rsidR="00D8326C" w:rsidRDefault="00D8326C" w:rsidP="006E4106">
      <w:pPr>
        <w:pStyle w:val="Heading2"/>
        <w:tabs>
          <w:tab w:val="left" w:pos="567"/>
        </w:tabs>
        <w:spacing w:line="240" w:lineRule="auto"/>
        <w:ind w:left="567" w:hanging="567"/>
        <w:rPr>
          <w:rFonts w:ascii="Arial" w:hAnsi="Arial" w:cs="Arial"/>
          <w:bCs/>
          <w:color w:val="000000"/>
          <w:sz w:val="20"/>
          <w:szCs w:val="24"/>
        </w:rPr>
      </w:pPr>
    </w:p>
    <w:p w14:paraId="348AE8BB" w14:textId="77777777" w:rsidR="006849E2" w:rsidRPr="001C6E0E" w:rsidRDefault="00EC7A37" w:rsidP="006849E2">
      <w:pPr>
        <w:jc w:val="both"/>
        <w:rPr>
          <w:rFonts w:ascii="Arial" w:hAnsi="Arial" w:cs="Arial"/>
          <w:color w:val="000000"/>
          <w:sz w:val="20"/>
        </w:rPr>
      </w:pPr>
      <w:r>
        <w:rPr>
          <w:rFonts w:ascii="Arial" w:hAnsi="Arial" w:cs="Arial"/>
          <w:bCs/>
          <w:color w:val="000000"/>
          <w:sz w:val="20"/>
        </w:rPr>
        <w:t xml:space="preserve">In </w:t>
      </w:r>
      <w:r w:rsidRPr="00EC7A37">
        <w:rPr>
          <w:rFonts w:ascii="Arial" w:hAnsi="Arial" w:cs="Arial"/>
          <w:bCs/>
          <w:i/>
          <w:iCs/>
          <w:color w:val="000000"/>
          <w:sz w:val="20"/>
        </w:rPr>
        <w:t>Tyson Ralph v The Queen</w:t>
      </w:r>
      <w:r>
        <w:rPr>
          <w:rFonts w:ascii="Arial" w:hAnsi="Arial" w:cs="Arial"/>
          <w:bCs/>
          <w:color w:val="000000"/>
          <w:sz w:val="20"/>
        </w:rPr>
        <w:t xml:space="preserve"> [2022] VSCA 185 </w:t>
      </w:r>
      <w:r w:rsidR="00A122A2">
        <w:rPr>
          <w:rFonts w:ascii="Arial" w:hAnsi="Arial" w:cs="Arial"/>
          <w:bCs/>
          <w:color w:val="000000"/>
          <w:sz w:val="20"/>
        </w:rPr>
        <w:t>the Court of Appeal allowed an appeal against a TES IMP3y/18m imposed on a plea of guilty to t</w:t>
      </w:r>
      <w:r w:rsidR="00A122A2" w:rsidRPr="00A122A2">
        <w:rPr>
          <w:rFonts w:ascii="Arial" w:hAnsi="Arial" w:cs="Arial"/>
          <w:sz w:val="20"/>
          <w:szCs w:val="16"/>
        </w:rPr>
        <w:t>wo charges of burglary, one charge of theft, one charge of theft of motor vehicle, one charge of theft of firearm and one charge of handling stolen goods</w:t>
      </w:r>
      <w:r w:rsidR="00A122A2">
        <w:rPr>
          <w:rFonts w:ascii="Arial" w:hAnsi="Arial" w:cs="Arial"/>
          <w:sz w:val="20"/>
          <w:szCs w:val="16"/>
        </w:rPr>
        <w:t xml:space="preserve"> and resentenced the appellant to IMP2y2m/14m.  At [37]-[</w:t>
      </w:r>
      <w:r w:rsidR="00885D50">
        <w:rPr>
          <w:rFonts w:ascii="Arial" w:hAnsi="Arial" w:cs="Arial"/>
          <w:sz w:val="20"/>
          <w:szCs w:val="16"/>
        </w:rPr>
        <w:t>57</w:t>
      </w:r>
      <w:r w:rsidR="00A122A2">
        <w:rPr>
          <w:rFonts w:ascii="Arial" w:hAnsi="Arial" w:cs="Arial"/>
          <w:sz w:val="20"/>
          <w:szCs w:val="16"/>
        </w:rPr>
        <w:t>] Niall &amp; Kaye JJA said:</w:t>
      </w:r>
    </w:p>
    <w:p w14:paraId="5B519756" w14:textId="631419AE"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[37] </w:t>
      </w:r>
      <w:r w:rsidRPr="00EC7A37">
        <w:rPr>
          <w:rFonts w:ascii="Arial" w:hAnsi="Arial" w:cs="Arial"/>
          <w:sz w:val="20"/>
          <w:szCs w:val="16"/>
        </w:rPr>
        <w:t>The burglary of a private home, the rifling through personal possessions and the theft of items of significant sentimental value is appalling. It understandably caused great pain and anguish to the victims, which is ongoing.</w:t>
      </w:r>
    </w:p>
    <w:p w14:paraId="152A2678" w14:textId="4A962C3F"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[38] </w:t>
      </w:r>
      <w:r w:rsidRPr="00EC7A37">
        <w:rPr>
          <w:rFonts w:ascii="Arial" w:hAnsi="Arial" w:cs="Arial"/>
          <w:sz w:val="20"/>
          <w:szCs w:val="16"/>
        </w:rPr>
        <w:t>The transgression of the private boundary of the home will often leave the victim feeling violated and unsettled. That is what occurred here. The call for punishment and redress is powerful. However, it is also necessary to take into account some other features of the offending, which, although they provide no comfort to the victims, provide important context.</w:t>
      </w:r>
    </w:p>
    <w:p w14:paraId="7E2C4E11" w14:textId="6195B25C"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[39] </w:t>
      </w:r>
      <w:r w:rsidRPr="00EC7A37">
        <w:rPr>
          <w:rFonts w:ascii="Arial" w:hAnsi="Arial" w:cs="Arial"/>
          <w:sz w:val="20"/>
          <w:szCs w:val="16"/>
        </w:rPr>
        <w:t>The offending occurred during daylight hours and, as was accepted on the plea, the applicant entered through an unlocked door. That does not mean that the victims bear any responsibility for the criminal actions of the applicant, but it does mean that there was no forced entry or damage to doors or windows to effect entry. The burglary was unplanned and unsophisticated. It was opportunistic.</w:t>
      </w:r>
    </w:p>
    <w:p w14:paraId="09A694EB" w14:textId="54798487"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[40] </w:t>
      </w:r>
      <w:r w:rsidRPr="00EC7A37">
        <w:rPr>
          <w:rFonts w:ascii="Arial" w:hAnsi="Arial" w:cs="Arial"/>
          <w:sz w:val="20"/>
          <w:szCs w:val="16"/>
        </w:rPr>
        <w:t xml:space="preserve">The purpose of the burglary was theft, and the applicant stole a number of items of </w:t>
      </w:r>
      <w:r w:rsidRPr="00885D50">
        <w:rPr>
          <w:rFonts w:ascii="Arial" w:hAnsi="Arial" w:cs="Arial"/>
          <w:sz w:val="20"/>
        </w:rPr>
        <w:t xml:space="preserve">varying value. As this Court said in </w:t>
      </w:r>
      <w:r w:rsidRPr="00885D50">
        <w:rPr>
          <w:rFonts w:ascii="Arial" w:hAnsi="Arial" w:cs="Arial"/>
          <w:i/>
          <w:iCs/>
          <w:sz w:val="20"/>
        </w:rPr>
        <w:t>Chamma v The Queen</w:t>
      </w:r>
      <w:r w:rsidR="00885D50" w:rsidRPr="00885D50">
        <w:rPr>
          <w:rFonts w:ascii="Arial" w:hAnsi="Arial" w:cs="Arial"/>
          <w:i/>
          <w:iCs/>
          <w:sz w:val="20"/>
        </w:rPr>
        <w:t xml:space="preserve"> </w:t>
      </w:r>
      <w:r w:rsidR="00885D50" w:rsidRPr="00885D50">
        <w:rPr>
          <w:rFonts w:ascii="Arial" w:hAnsi="Arial" w:cs="Arial"/>
          <w:sz w:val="20"/>
        </w:rPr>
        <w:t>[2020] VSCA 232, [71] :</w:t>
      </w:r>
    </w:p>
    <w:p w14:paraId="46E86709" w14:textId="0B70418E" w:rsidR="00A122A2" w:rsidRPr="001C6E0E" w:rsidRDefault="00A122A2" w:rsidP="00A122A2">
      <w:pPr>
        <w:pStyle w:val="Normal-Indent"/>
        <w:widowControl/>
        <w:spacing w:line="240" w:lineRule="auto"/>
        <w:ind w:left="1021" w:right="1021"/>
        <w:rPr>
          <w:rFonts w:ascii="Arial" w:hAnsi="Arial" w:cs="Arial"/>
          <w:color w:val="000000"/>
          <w:sz w:val="20"/>
        </w:rPr>
      </w:pPr>
      <w:r>
        <w:rPr>
          <w:rFonts w:ascii="Arial" w:hAnsi="Arial" w:cs="Arial"/>
          <w:sz w:val="20"/>
          <w:szCs w:val="16"/>
        </w:rPr>
        <w:t>‘</w:t>
      </w:r>
      <w:r w:rsidRPr="00EC7A37">
        <w:rPr>
          <w:rFonts w:ascii="Arial" w:hAnsi="Arial" w:cs="Arial"/>
          <w:sz w:val="20"/>
          <w:szCs w:val="16"/>
        </w:rPr>
        <w:t>The objective gravity of any theft needs to be considered by reference to what was taken (including its value), from whom it was taken, and all other relevant surrounding circumstances, including the purpose for which it was taken.</w:t>
      </w:r>
      <w:r>
        <w:rPr>
          <w:rFonts w:ascii="Arial" w:hAnsi="Arial" w:cs="Arial"/>
          <w:sz w:val="20"/>
          <w:szCs w:val="16"/>
        </w:rPr>
        <w:t>’</w:t>
      </w:r>
    </w:p>
    <w:p w14:paraId="4C192DBE" w14:textId="6BBF2F5B"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[41] </w:t>
      </w:r>
      <w:r w:rsidRPr="00EC7A37">
        <w:rPr>
          <w:rFonts w:ascii="Arial" w:hAnsi="Arial" w:cs="Arial"/>
          <w:sz w:val="20"/>
          <w:szCs w:val="16"/>
        </w:rPr>
        <w:t>On that measure, the theft of the watch and jewellery was serious. It involved the theft of items of very significant sentimental value that could not be replaced.</w:t>
      </w:r>
    </w:p>
    <w:p w14:paraId="2088AEB2" w14:textId="71B72E4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[42] </w:t>
      </w:r>
      <w:r w:rsidRPr="00EC7A37">
        <w:rPr>
          <w:rFonts w:ascii="Arial" w:hAnsi="Arial" w:cs="Arial"/>
          <w:sz w:val="20"/>
          <w:szCs w:val="16"/>
        </w:rPr>
        <w:t>The theft of the firearm was of a different order again. The decision to break into the firearm safe and steal the rifle sets it apart from the other items stolen from the property. It brought into play significant considerations of community protection. The applicant said that he disposed of the gun by throwing it into a river, but the judge was sceptical of that contention. On the state of the evidence, it is not possible to conclude that the firearm is in circulation, but issues of community protection and deterrence remain especially important in offending of this kind.</w:t>
      </w:r>
    </w:p>
    <w:p w14:paraId="1B76AD96" w14:textId="445E5B3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[43] </w:t>
      </w:r>
      <w:r w:rsidRPr="00EC7A37">
        <w:rPr>
          <w:rFonts w:ascii="Arial" w:hAnsi="Arial" w:cs="Arial"/>
          <w:sz w:val="20"/>
          <w:szCs w:val="16"/>
        </w:rPr>
        <w:t>As already noted, the burglary was opportunistic. That aspect in large part reflected the applicant’s unstable life and drug addiction. At the time of the offending, the applicant was homeless.</w:t>
      </w:r>
    </w:p>
    <w:p w14:paraId="72DD92C2" w14:textId="6FE92ECF"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[44] </w:t>
      </w:r>
      <w:r w:rsidRPr="00EC7A37">
        <w:rPr>
          <w:rFonts w:ascii="Arial" w:hAnsi="Arial" w:cs="Arial"/>
          <w:sz w:val="20"/>
          <w:szCs w:val="16"/>
        </w:rPr>
        <w:t>The current offending was by no means out of character for the applicant. He has a lengthy and concerning criminal history. He has many convictions for theft, burglary and other anti-social offending. As the respondent rightly pointed out, he has eight prior convictions for burglary and some 45 prior convictions for theft. He has been given multiple Community Correction Orders, as well as several wholly suspended sentences. These were important matters to take into account. Of course, the applicant was not to be punished again for his earlier crimes, but the judge was entitled to give weight to his criminal record as an indicator of the applicant’s moral culpability, his prospects of rehabilitation, the community’s need for protection, and the increased importance of specific deterrence</w:t>
      </w:r>
      <w:r w:rsidR="00885D50">
        <w:rPr>
          <w:rFonts w:ascii="Arial" w:hAnsi="Arial" w:cs="Arial"/>
          <w:sz w:val="20"/>
          <w:szCs w:val="16"/>
        </w:rPr>
        <w:t xml:space="preserve">: </w:t>
      </w:r>
      <w:r w:rsidR="00885D50" w:rsidRPr="00885D50">
        <w:rPr>
          <w:rFonts w:ascii="Arial" w:hAnsi="Arial" w:cs="Arial"/>
          <w:i/>
          <w:iCs/>
          <w:sz w:val="20"/>
        </w:rPr>
        <w:t>R v O’Brien &amp; Gloster</w:t>
      </w:r>
      <w:r w:rsidR="00885D50" w:rsidRPr="00885D50">
        <w:rPr>
          <w:rFonts w:ascii="Arial" w:hAnsi="Arial" w:cs="Arial"/>
          <w:sz w:val="20"/>
        </w:rPr>
        <w:t xml:space="preserve"> [1997] 2 VR 714, 718</w:t>
      </w:r>
      <w:r w:rsidRPr="00885D50">
        <w:rPr>
          <w:rFonts w:ascii="Arial" w:hAnsi="Arial" w:cs="Arial"/>
          <w:sz w:val="20"/>
        </w:rPr>
        <w:t>.</w:t>
      </w:r>
    </w:p>
    <w:p w14:paraId="5E2B33E0" w14:textId="6EF936F9"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[45] </w:t>
      </w:r>
      <w:r w:rsidRPr="00EC7A37">
        <w:rPr>
          <w:rFonts w:ascii="Arial" w:hAnsi="Arial" w:cs="Arial"/>
          <w:sz w:val="20"/>
          <w:szCs w:val="16"/>
        </w:rPr>
        <w:t>For a man with this history, and a lack of any demonstrated commitment to addressing his drug addiction, specific deterrence was a necessary feature of the sentence to be imposed. On the other hand, the applicant’s sorry life story was not entirely his own doing. As the judge accepted, the applicant had a deprived background. The judge made only minimal allowance for this in the sentence she imposed on the basis that the applicant’s counsel had submitted that his deprived background did not leave him without ‘a moral compass’. We take from that observation that the judge did not consider that the applicant’s capacity for moral judgment was impaired by reason of his deprived background.</w:t>
      </w:r>
    </w:p>
    <w:p w14:paraId="69BED688" w14:textId="3EF2E06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[46] </w:t>
      </w:r>
      <w:r w:rsidRPr="00EC7A37">
        <w:rPr>
          <w:rFonts w:ascii="Arial" w:hAnsi="Arial" w:cs="Arial"/>
          <w:sz w:val="20"/>
          <w:szCs w:val="16"/>
        </w:rPr>
        <w:t xml:space="preserve">It will be recalled that in </w:t>
      </w:r>
      <w:r w:rsidRPr="00885D50">
        <w:rPr>
          <w:rFonts w:ascii="Arial" w:hAnsi="Arial" w:cs="Arial"/>
          <w:i/>
          <w:iCs/>
          <w:sz w:val="20"/>
          <w:szCs w:val="16"/>
        </w:rPr>
        <w:t>Bugmy</w:t>
      </w:r>
      <w:r w:rsidRPr="00EC7A37">
        <w:rPr>
          <w:rFonts w:ascii="Arial" w:hAnsi="Arial" w:cs="Arial"/>
          <w:sz w:val="20"/>
          <w:szCs w:val="16"/>
        </w:rPr>
        <w:t>, the High Court noted profound childhood deprivation may compromise the person’s capacity to mature and to learn from experience, result in impulsive behaviour and that this inability to control behaviour</w:t>
      </w:r>
      <w:r>
        <w:rPr>
          <w:rFonts w:ascii="Arial" w:hAnsi="Arial" w:cs="Arial"/>
          <w:sz w:val="20"/>
          <w:szCs w:val="16"/>
        </w:rPr>
        <w:t xml:space="preserve"> </w:t>
      </w:r>
      <w:r w:rsidRPr="00EC7A37">
        <w:rPr>
          <w:rFonts w:ascii="Arial" w:hAnsi="Arial" w:cs="Arial"/>
          <w:sz w:val="20"/>
          <w:szCs w:val="16"/>
        </w:rPr>
        <w:t>may reduce the offender’s moral culpability. This latter aspect was not relied on by the applicant in this case. That did not mean that his deprived background had no role to play.</w:t>
      </w:r>
    </w:p>
    <w:p w14:paraId="0697A969" w14:textId="1BFA7E5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[47] </w:t>
      </w:r>
      <w:r w:rsidRPr="00EC7A37">
        <w:rPr>
          <w:rFonts w:ascii="Arial" w:hAnsi="Arial" w:cs="Arial"/>
          <w:sz w:val="20"/>
          <w:szCs w:val="16"/>
        </w:rPr>
        <w:t>Neither the fact that offending took place under the influence of drugs nor that it was motived to fund a drug habit mitigated sentence. But the reason that the applicant had succumbed to drug addiction and his isolation from positive influences during his formative years did place his offending in a particular context. It is not merely a question of whether the applicant did or did not have ‘a moral compass’. Moral culpability is not binary and any assessment of moral culpability involves a variety of factors and degree.</w:t>
      </w:r>
    </w:p>
    <w:p w14:paraId="73CD9210" w14:textId="305D82BD" w:rsidR="00A122A2" w:rsidRPr="00885D50" w:rsidRDefault="00A122A2" w:rsidP="00A122A2">
      <w:pPr>
        <w:pStyle w:val="Normal-Indent"/>
        <w:widowControl/>
        <w:spacing w:before="60" w:line="240" w:lineRule="auto"/>
        <w:ind w:left="567" w:right="567"/>
        <w:rPr>
          <w:rFonts w:ascii="Arial" w:hAnsi="Arial" w:cs="Arial"/>
          <w:sz w:val="20"/>
        </w:rPr>
      </w:pPr>
      <w:r w:rsidRPr="00885D50">
        <w:rPr>
          <w:rFonts w:ascii="Arial" w:hAnsi="Arial" w:cs="Arial"/>
          <w:sz w:val="20"/>
        </w:rPr>
        <w:t xml:space="preserve">[48] </w:t>
      </w:r>
      <w:r w:rsidR="00885D50" w:rsidRPr="00885D50">
        <w:rPr>
          <w:rFonts w:ascii="Arial" w:hAnsi="Arial" w:cs="Arial"/>
          <w:sz w:val="20"/>
        </w:rPr>
        <w:t xml:space="preserve">As this Court said in the </w:t>
      </w:r>
      <w:r w:rsidR="00885D50" w:rsidRPr="00885D50">
        <w:rPr>
          <w:rFonts w:ascii="Arial" w:hAnsi="Arial" w:cs="Arial"/>
          <w:i/>
          <w:iCs/>
          <w:sz w:val="20"/>
        </w:rPr>
        <w:t>Director of Public Prosecutions v Drake</w:t>
      </w:r>
      <w:r w:rsidR="00885D50" w:rsidRPr="00885D50">
        <w:rPr>
          <w:rFonts w:ascii="Arial" w:hAnsi="Arial" w:cs="Arial"/>
          <w:sz w:val="20"/>
        </w:rPr>
        <w:t xml:space="preserve"> [2019] VSCA 293, [32] </w:t>
      </w:r>
      <w:r w:rsidR="00885D50">
        <w:rPr>
          <w:rFonts w:ascii="Arial" w:hAnsi="Arial" w:cs="Arial"/>
          <w:sz w:val="20"/>
        </w:rPr>
        <w:t xml:space="preserve">per </w:t>
      </w:r>
      <w:r w:rsidR="00885D50" w:rsidRPr="00885D50">
        <w:rPr>
          <w:rFonts w:ascii="Arial" w:hAnsi="Arial" w:cs="Arial"/>
          <w:sz w:val="20"/>
        </w:rPr>
        <w:t>Maxwell P, Priest, Kaye, T Forrest and Emerton JJA:</w:t>
      </w:r>
    </w:p>
    <w:p w14:paraId="0E2EA692" w14:textId="245F4892" w:rsidR="00885D50" w:rsidRPr="001C6E0E" w:rsidRDefault="00885D50" w:rsidP="00885D50">
      <w:pPr>
        <w:pStyle w:val="Normal-Indent"/>
        <w:widowControl/>
        <w:spacing w:line="240" w:lineRule="auto"/>
        <w:ind w:left="1021" w:right="1021"/>
        <w:rPr>
          <w:rFonts w:ascii="Arial" w:hAnsi="Arial" w:cs="Arial"/>
          <w:color w:val="000000"/>
          <w:sz w:val="20"/>
        </w:rPr>
      </w:pPr>
      <w:r>
        <w:rPr>
          <w:rFonts w:ascii="Arial" w:hAnsi="Arial" w:cs="Arial"/>
          <w:color w:val="000000"/>
          <w:sz w:val="20"/>
        </w:rPr>
        <w:t>‘</w:t>
      </w:r>
      <w:r w:rsidRPr="00EC7A37">
        <w:rPr>
          <w:rFonts w:ascii="Arial" w:hAnsi="Arial" w:cs="Arial"/>
          <w:sz w:val="20"/>
          <w:szCs w:val="16"/>
        </w:rPr>
        <w:t>In particular, the profound dysfunction, disadvantage and abuse experienced by the respondent during his formative years were relevant to an appropriate evaluation of his moral culpability. As recognised by the High Court in Bugmy, those experiences, none of which were of his making, all played a significant role in shaping the respondent’s personality and his responses. As a consequence, his subjective culpability, for the offending in which he engaged, could not be equated with that of a person who committed the same offence but had had the advantage of a normal, stable and regular home environment during his or her childhood years. In that way, those factors constituted an important mitigating circumstance in the determination of the respondent’s sentence.</w:t>
      </w:r>
      <w:r>
        <w:rPr>
          <w:rFonts w:ascii="Arial" w:hAnsi="Arial" w:cs="Arial"/>
          <w:sz w:val="20"/>
          <w:szCs w:val="16"/>
        </w:rPr>
        <w:t>’</w:t>
      </w:r>
    </w:p>
    <w:p w14:paraId="3A1267B6" w14:textId="73FD3DE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[49] </w:t>
      </w:r>
      <w:r w:rsidRPr="00EC7A37">
        <w:rPr>
          <w:rFonts w:ascii="Arial" w:hAnsi="Arial" w:cs="Arial"/>
          <w:sz w:val="20"/>
          <w:szCs w:val="16"/>
        </w:rPr>
        <w:t>Although not the subject of specific error, and with respect to the judge, we would regard the applicant’s childhood deprivation as deserving of a significantly greater level of mitigation than the judge was prepared to afford it.</w:t>
      </w:r>
    </w:p>
    <w:p w14:paraId="553DE5CC" w14:textId="68452944"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[50] </w:t>
      </w:r>
      <w:r w:rsidRPr="00EC7A37">
        <w:rPr>
          <w:rFonts w:ascii="Arial" w:hAnsi="Arial" w:cs="Arial"/>
          <w:sz w:val="20"/>
          <w:szCs w:val="16"/>
        </w:rPr>
        <w:t>The plea of guilty was also a significant matter. Although his criminal history meant that any assertion as to remorse and any assessment of rehabilitation required close scrutiny, there were at least some more favourable aspects, including that he had done well in prison and, according to his counsel, was drug free.</w:t>
      </w:r>
    </w:p>
    <w:p w14:paraId="404CF47D" w14:textId="43AF2D8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[51] </w:t>
      </w:r>
      <w:r w:rsidRPr="00EC7A37">
        <w:rPr>
          <w:rFonts w:ascii="Arial" w:hAnsi="Arial" w:cs="Arial"/>
          <w:sz w:val="20"/>
          <w:szCs w:val="16"/>
        </w:rPr>
        <w:t>Importantly, having regard to the additional burdens imposed on the court system by the pandemic, the utilitarian value of the plea was heightened. It is necessary that there be a perceptible impact on the sentence imposed.</w:t>
      </w:r>
    </w:p>
    <w:p w14:paraId="3271D016" w14:textId="7BA88B77"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[52] </w:t>
      </w:r>
      <w:r w:rsidRPr="00EC7A37">
        <w:rPr>
          <w:rFonts w:ascii="Arial" w:hAnsi="Arial" w:cs="Arial"/>
          <w:sz w:val="20"/>
          <w:szCs w:val="16"/>
        </w:rPr>
        <w:t>In accordance with the orthodox approach, the judge was required to impose the appropriate sentence on each charge. It was also necessary for the judge to ensure that, through the process of applying cumulation or concurrency, a proportionate and just total effective sentence was imposed having regard to the overall level of criminality involved. Unless care is taken, a stern individual sentence may lead, through cumulation, to a manifestly excessive total sentence.</w:t>
      </w:r>
    </w:p>
    <w:p w14:paraId="0BFB4EBE" w14:textId="5363A95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[53] </w:t>
      </w:r>
      <w:r w:rsidRPr="00EC7A37">
        <w:rPr>
          <w:rFonts w:ascii="Arial" w:hAnsi="Arial" w:cs="Arial"/>
          <w:sz w:val="20"/>
          <w:szCs w:val="16"/>
        </w:rPr>
        <w:t>Charges 1 to 4 all arose out of a single incident. Plainly, the applicant fell to be punished for both the burglary and the associated thefts, however, as the judge recorded by her order for total cumulation in respect of charge 2, there was a clear overlap between the charges. It is notable that the judge ordered no cumulation on charge 2, which covered the theft of the items of sentimental value and which caused the most grief to the victims, but ordered 50 per cent of the sentence on charge 3 (theft of the motorbike) be served cumulatively. Both in the sentence imposed, and in the order for cumulation, the sentence on charge 3 formed a significant component of the sentence, which, when all of the factors are taken into account, was disproportionate.</w:t>
      </w:r>
    </w:p>
    <w:p w14:paraId="3165894A" w14:textId="78417C3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[54] </w:t>
      </w:r>
      <w:r w:rsidRPr="00EC7A37">
        <w:rPr>
          <w:rFonts w:ascii="Arial" w:hAnsi="Arial" w:cs="Arial"/>
          <w:sz w:val="20"/>
          <w:szCs w:val="16"/>
        </w:rPr>
        <w:t>Notwithstanding the attractive submission of Ms Roodenburg who appeared for the respondent, once regard is had to the plea of guilty, its particular utilitarian effect arising from the COVID-19 pandemic, and the relevant impact of the applicant’s deprived upbringing, we are persuaded that the sentence of three years’ imprisonment that was imposed in respect of the residential burglary and theft from the Broadford property was manifestly excessive. The judge was correct to regard the plea as entitling the applicant to a ‘significant discount’ and that there be a ‘solid allowance’ for the additional value of a plea in the current circumstances of the pandemic. In our assessment, when these matters are combined with the features of the applicant’s background that we have averted to, the total effective sentence was entirely outside the range. In the particular circumstances of this case, a sentence of three years’ imprisonment for the Broadford property offences, which involved a single episode of offending, was outside of the range available to the judge. That conclusion is sufficient to vitiate the sentence.</w:t>
      </w:r>
    </w:p>
    <w:p w14:paraId="0346A438" w14:textId="7B9BAC6B"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w:t>
      </w:r>
      <w:r w:rsidRPr="00EC7A37">
        <w:rPr>
          <w:rFonts w:ascii="Arial" w:hAnsi="Arial" w:cs="Arial"/>
          <w:sz w:val="20"/>
          <w:szCs w:val="16"/>
        </w:rPr>
        <w:t>We would add that, although it did not increase the total effective sentence, the term of imprisonment of 10 months in relation to the burglary at the school was manifestly excessive. At the time of the offending, the applicant was homeless and after entering the school he sought to fashion a bed. There was an element of pathos to that offending that did not warrant a term of imprisonment of the length imposed, even for a person with a very poor record.</w:t>
      </w:r>
    </w:p>
    <w:p w14:paraId="1E328454" w14:textId="5615A515"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EC7A37">
        <w:rPr>
          <w:rFonts w:ascii="Arial" w:hAnsi="Arial" w:cs="Arial"/>
          <w:sz w:val="20"/>
          <w:szCs w:val="16"/>
        </w:rPr>
        <w:t>It is thus necessary to resentence the applicant. In doing so, it is necessary for this Court to impose the appropriate sentence on the material before it. In anticipation of the possibility that this Court might resentence the applicant, he relied on additional matters in mitigation that have arisen since the plea. First, the applicant had taken successful steps to return the gold watch that he had taken from the Broadford property. That does not account for all of the stolen property but it does ameliorate, at least to some extent, the loss and is also evidence of some further remorse on the part of the applicant.</w:t>
      </w:r>
    </w:p>
    <w:p w14:paraId="176B03E1" w14:textId="31B6B16D"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[57] </w:t>
      </w:r>
      <w:r w:rsidRPr="00EC7A37">
        <w:rPr>
          <w:rFonts w:ascii="Arial" w:hAnsi="Arial" w:cs="Arial"/>
          <w:sz w:val="20"/>
          <w:szCs w:val="16"/>
        </w:rPr>
        <w:t>Further, the applicant has completed some semi-intensive drug and alcohol treatment in prison and he has obtained a number of occupational certificates from Bendigo TAFE. The fact that the applicant is undertaking slow release drug therapy for his addiction also demonstrates a step towards rehabilitation and a willingness to address the drug addiction that has underpinned much of his offending. The applicant also relied on evidence of clear drug screens. This evidence provides some further evidence supporting a more favourable assessment of his prospects of rehabilitation but, given his lamentable past, any assessment must remain guarded.</w:t>
      </w:r>
      <w:r>
        <w:rPr>
          <w:rFonts w:ascii="Arial" w:hAnsi="Arial" w:cs="Arial"/>
          <w:sz w:val="20"/>
          <w:szCs w:val="16"/>
        </w:rPr>
        <w:t>”</w:t>
      </w:r>
    </w:p>
    <w:p w14:paraId="64D0AA24" w14:textId="004851F3" w:rsidR="00885D50" w:rsidRDefault="00885D50" w:rsidP="006E4106">
      <w:pPr>
        <w:pStyle w:val="Heading2"/>
        <w:tabs>
          <w:tab w:val="left" w:pos="567"/>
        </w:tabs>
        <w:spacing w:line="240" w:lineRule="auto"/>
        <w:ind w:left="567" w:hanging="567"/>
        <w:rPr>
          <w:rFonts w:ascii="Arial" w:hAnsi="Arial" w:cs="Arial"/>
          <w:bCs/>
          <w:color w:val="000000"/>
          <w:sz w:val="20"/>
          <w:szCs w:val="24"/>
        </w:rPr>
      </w:pPr>
    </w:p>
    <w:p w14:paraId="717C8BB9" w14:textId="5D354505" w:rsidR="009F71C6" w:rsidRDefault="009F71C6" w:rsidP="006E4106">
      <w:pPr>
        <w:pStyle w:val="Heading2"/>
        <w:tabs>
          <w:tab w:val="left" w:pos="567"/>
        </w:tabs>
        <w:spacing w:line="240" w:lineRule="auto"/>
        <w:ind w:left="567" w:hanging="567"/>
        <w:rPr>
          <w:rFonts w:ascii="Arial" w:hAnsi="Arial" w:cs="Arial"/>
          <w:bCs/>
          <w:color w:val="000000"/>
          <w:sz w:val="20"/>
          <w:szCs w:val="24"/>
        </w:rPr>
      </w:pPr>
      <w:r>
        <w:rPr>
          <w:rFonts w:ascii="Arial" w:hAnsi="Arial" w:cs="Arial"/>
          <w:bCs/>
          <w:color w:val="000000"/>
          <w:sz w:val="20"/>
          <w:szCs w:val="24"/>
        </w:rPr>
        <w:t xml:space="preserve">See also </w:t>
      </w:r>
      <w:r w:rsidRPr="009F71C6">
        <w:rPr>
          <w:rFonts w:ascii="Arial" w:hAnsi="Arial" w:cs="Arial"/>
          <w:bCs/>
          <w:i/>
          <w:iCs/>
          <w:color w:val="000000"/>
          <w:sz w:val="20"/>
          <w:szCs w:val="24"/>
        </w:rPr>
        <w:t>Repac v The King</w:t>
      </w:r>
      <w:r>
        <w:rPr>
          <w:rFonts w:ascii="Arial" w:hAnsi="Arial" w:cs="Arial"/>
          <w:bCs/>
          <w:color w:val="000000"/>
          <w:sz w:val="20"/>
          <w:szCs w:val="24"/>
        </w:rPr>
        <w:t xml:space="preserve"> [2023] VSCA 313.</w:t>
      </w:r>
    </w:p>
    <w:p w14:paraId="47A06A73" w14:textId="77777777" w:rsidR="009F71C6" w:rsidRPr="00885D50" w:rsidRDefault="009F71C6" w:rsidP="006E4106">
      <w:pPr>
        <w:pStyle w:val="Heading2"/>
        <w:tabs>
          <w:tab w:val="left" w:pos="567"/>
        </w:tabs>
        <w:spacing w:line="240" w:lineRule="auto"/>
        <w:ind w:left="567" w:hanging="567"/>
        <w:rPr>
          <w:rFonts w:ascii="Arial" w:hAnsi="Arial" w:cs="Arial"/>
          <w:bCs/>
          <w:color w:val="000000"/>
          <w:sz w:val="20"/>
          <w:szCs w:val="24"/>
        </w:rPr>
      </w:pPr>
    </w:p>
    <w:p w14:paraId="60744B8B"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0"/>
        </w:rPr>
      </w:pPr>
      <w:bookmarkStart w:id="709" w:name="_B_AGGRAVATED_BURGLARY"/>
      <w:bookmarkEnd w:id="709"/>
      <w:r w:rsidRPr="00127335">
        <w:rPr>
          <w:rFonts w:ascii="Arial" w:hAnsi="Arial" w:cs="Arial"/>
          <w:b/>
          <w:color w:val="FFFFFF"/>
          <w:sz w:val="20"/>
          <w:shd w:val="clear" w:color="auto" w:fill="000000"/>
        </w:rPr>
        <w:t>B</w:t>
      </w:r>
      <w:r w:rsidRPr="00127335">
        <w:rPr>
          <w:rFonts w:ascii="Arial" w:hAnsi="Arial" w:cs="Arial"/>
          <w:b/>
          <w:color w:val="000000"/>
          <w:sz w:val="20"/>
        </w:rPr>
        <w:tab/>
      </w:r>
      <w:r w:rsidR="00771EF6" w:rsidRPr="00127335">
        <w:rPr>
          <w:rFonts w:ascii="Arial" w:hAnsi="Arial" w:cs="Arial"/>
          <w:b/>
          <w:bCs/>
          <w:color w:val="FFFFFF" w:themeColor="background1"/>
          <w:sz w:val="20"/>
          <w:shd w:val="clear" w:color="auto" w:fill="000000" w:themeFill="text1"/>
        </w:rPr>
        <w:t>AGGRAVATED BURGLARY</w:t>
      </w:r>
    </w:p>
    <w:p w14:paraId="31E7647F" w14:textId="02AFEBB7" w:rsidR="0071679B" w:rsidRPr="001C6E0E" w:rsidRDefault="00D40978" w:rsidP="00771EF6">
      <w:pPr>
        <w:spacing w:before="120"/>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i/>
          <w:color w:val="000000"/>
          <w:sz w:val="20"/>
        </w:rPr>
        <w:t>R v</w:t>
      </w:r>
      <w:r w:rsidRPr="00CA1495">
        <w:rPr>
          <w:rFonts w:ascii="Arial" w:hAnsi="Arial" w:cs="Arial"/>
          <w:color w:val="000000"/>
          <w:sz w:val="20"/>
        </w:rPr>
        <w:t xml:space="preserve"> </w:t>
      </w:r>
      <w:r w:rsidRPr="00CA1495">
        <w:rPr>
          <w:rFonts w:ascii="Arial" w:hAnsi="Arial" w:cs="Arial"/>
          <w:i/>
          <w:color w:val="000000"/>
          <w:sz w:val="20"/>
        </w:rPr>
        <w:t>Aujla &amp; Anor</w:t>
      </w:r>
      <w:r w:rsidRPr="00CA1495">
        <w:rPr>
          <w:rFonts w:ascii="Arial" w:hAnsi="Arial" w:cs="Arial"/>
          <w:bCs/>
          <w:color w:val="000000"/>
          <w:sz w:val="20"/>
        </w:rPr>
        <w:t xml:space="preserve"> [2012] VSC 503 T Forrest J imposed a sentence of IMP6y6m on a 40 year old man who had been found guilty of </w:t>
      </w:r>
      <w:r w:rsidRPr="00036065">
        <w:rPr>
          <w:rFonts w:ascii="Arial" w:hAnsi="Arial" w:cs="Arial"/>
          <w:b/>
          <w:color w:val="000000"/>
          <w:sz w:val="20"/>
        </w:rPr>
        <w:t>aggravated burglary</w:t>
      </w:r>
      <w:r w:rsidRPr="00CA1495">
        <w:rPr>
          <w:rFonts w:ascii="Arial" w:hAnsi="Arial" w:cs="Arial"/>
          <w:bCs/>
          <w:color w:val="000000"/>
          <w:sz w:val="20"/>
        </w:rPr>
        <w:t xml:space="preserve"> of his estranged wife’s cousin’s house in the course of which he seriously injured the cousin.  The accused Mr Aujla believed that the victim had </w:t>
      </w:r>
      <w:r w:rsidRPr="00CA1495">
        <w:rPr>
          <w:rFonts w:ascii="Arial" w:hAnsi="Arial" w:cs="Arial"/>
          <w:bCs/>
          <w:color w:val="000000"/>
          <w:sz w:val="20"/>
        </w:rPr>
        <w:lastRenderedPageBreak/>
        <w:t>encouraged his wife to leave him and to obtain an intervention order against him.  At [</w:t>
      </w:r>
      <w:r w:rsidR="002E235E" w:rsidRPr="00CA1495">
        <w:rPr>
          <w:rFonts w:ascii="Arial" w:hAnsi="Arial" w:cs="Arial"/>
          <w:bCs/>
          <w:color w:val="000000"/>
          <w:sz w:val="20"/>
        </w:rPr>
        <w:t>14</w:t>
      </w:r>
      <w:r w:rsidRPr="00CA1495">
        <w:rPr>
          <w:rFonts w:ascii="Arial" w:hAnsi="Arial" w:cs="Arial"/>
          <w:bCs/>
          <w:color w:val="000000"/>
          <w:sz w:val="20"/>
        </w:rPr>
        <w:t>]-[</w:t>
      </w:r>
      <w:r w:rsidR="002E235E" w:rsidRPr="00CA1495">
        <w:rPr>
          <w:rFonts w:ascii="Arial" w:hAnsi="Arial" w:cs="Arial"/>
          <w:bCs/>
          <w:color w:val="000000"/>
          <w:sz w:val="20"/>
        </w:rPr>
        <w:t>15</w:t>
      </w:r>
      <w:r w:rsidRPr="00CA1495">
        <w:rPr>
          <w:rFonts w:ascii="Arial" w:hAnsi="Arial" w:cs="Arial"/>
          <w:bCs/>
          <w:color w:val="000000"/>
          <w:sz w:val="20"/>
        </w:rPr>
        <w:t>] his</w:t>
      </w:r>
      <w:r w:rsidR="002E235E" w:rsidRPr="00CA1495">
        <w:rPr>
          <w:rFonts w:ascii="Arial" w:hAnsi="Arial" w:cs="Arial"/>
          <w:bCs/>
          <w:color w:val="000000"/>
          <w:sz w:val="20"/>
        </w:rPr>
        <w:t> </w:t>
      </w:r>
      <w:r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Winneke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BA155A">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Hajje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[40]–[41].}  This Court raised the same issue, in relation to the same offence, in </w:t>
      </w:r>
      <w:r w:rsidRPr="001C6E0E">
        <w:rPr>
          <w:rFonts w:ascii="Arial" w:hAnsi="Arial" w:cs="Arial"/>
          <w:i/>
          <w:color w:val="000000"/>
          <w:sz w:val="20"/>
        </w:rPr>
        <w:t>DPP v El Hajje</w:t>
      </w:r>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The  Queen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lastRenderedPageBreak/>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r w:rsidRPr="00CA1495">
        <w:rPr>
          <w:rFonts w:ascii="Arial" w:hAnsi="Arial" w:cs="Arial"/>
          <w:i/>
          <w:color w:val="000000"/>
          <w:sz w:val="20"/>
        </w:rPr>
        <w:t>Makarian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burglary do not adequately reflect that yardstick.  As this Court has said previously, where there is a conflict between the guidance afforded by the maximum penalty and that 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r w:rsidRPr="00CA1495">
        <w:rPr>
          <w:rFonts w:ascii="Arial" w:hAnsi="Arial" w:cs="Arial"/>
          <w:i/>
          <w:color w:val="000000"/>
          <w:sz w:val="20"/>
        </w:rPr>
        <w:t xml:space="preserve">Felicite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Pasinis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710"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710"/>
      <w:r w:rsidRPr="00CA1495">
        <w:rPr>
          <w:rFonts w:ascii="Arial" w:hAnsi="Arial" w:cs="Arial"/>
          <w:color w:val="000000"/>
          <w:sz w:val="20"/>
        </w:rPr>
        <w:t>”</w:t>
      </w:r>
    </w:p>
    <w:p w14:paraId="358A7BD3" w14:textId="6AF18EB6" w:rsidR="00330BBA" w:rsidRDefault="00330BBA" w:rsidP="00326479">
      <w:pPr>
        <w:pStyle w:val="Heading2"/>
        <w:tabs>
          <w:tab w:val="left" w:pos="567"/>
        </w:tabs>
        <w:spacing w:line="240" w:lineRule="auto"/>
        <w:ind w:left="567" w:hanging="567"/>
        <w:rPr>
          <w:rFonts w:ascii="Arial" w:hAnsi="Arial" w:cs="Arial"/>
          <w:bCs/>
          <w:color w:val="000000"/>
          <w:sz w:val="20"/>
        </w:rPr>
      </w:pPr>
    </w:p>
    <w:p w14:paraId="7CF39B13" w14:textId="77777777" w:rsidR="00302CF8" w:rsidRPr="001C6E0E" w:rsidRDefault="00FA036C" w:rsidP="00302CF8">
      <w:pPr>
        <w:jc w:val="both"/>
        <w:rPr>
          <w:rFonts w:ascii="Arial" w:hAnsi="Arial" w:cs="Arial"/>
          <w:color w:val="000000"/>
          <w:sz w:val="20"/>
          <w:szCs w:val="20"/>
        </w:rPr>
      </w:pPr>
      <w:r>
        <w:rPr>
          <w:rFonts w:ascii="Arial" w:hAnsi="Arial" w:cs="Arial"/>
          <w:bCs/>
          <w:color w:val="000000"/>
          <w:sz w:val="20"/>
        </w:rPr>
        <w:t xml:space="preserve">In </w:t>
      </w:r>
      <w:r w:rsidRPr="00FA036C">
        <w:rPr>
          <w:rFonts w:ascii="Arial" w:hAnsi="Arial" w:cs="Arial"/>
          <w:bCs/>
          <w:i/>
          <w:iCs/>
          <w:color w:val="000000"/>
          <w:sz w:val="20"/>
        </w:rPr>
        <w:t>Tseros v The King</w:t>
      </w:r>
      <w:r>
        <w:rPr>
          <w:rFonts w:ascii="Arial" w:hAnsi="Arial" w:cs="Arial"/>
          <w:bCs/>
          <w:color w:val="000000"/>
          <w:sz w:val="20"/>
        </w:rPr>
        <w:t xml:space="preserve"> [2023] VSCA </w:t>
      </w:r>
      <w:r w:rsidR="00327FDD">
        <w:rPr>
          <w:rFonts w:ascii="Arial" w:hAnsi="Arial" w:cs="Arial"/>
          <w:bCs/>
          <w:color w:val="000000"/>
          <w:sz w:val="20"/>
        </w:rPr>
        <w:t xml:space="preserve">179 </w:t>
      </w:r>
      <w:r w:rsidR="00E810E3">
        <w:rPr>
          <w:rFonts w:ascii="Arial" w:hAnsi="Arial" w:cs="Arial"/>
          <w:bCs/>
          <w:color w:val="000000"/>
          <w:sz w:val="20"/>
        </w:rPr>
        <w:t xml:space="preserve">the 31 year old applicant with a relevant prior criminal history had been sentenced to TES IMP5y/3y on a plea of guilty to multiple charges.  The TES </w:t>
      </w:r>
      <w:r w:rsidR="00327FDD">
        <w:rPr>
          <w:rFonts w:ascii="Arial" w:hAnsi="Arial" w:cs="Arial"/>
          <w:bCs/>
          <w:color w:val="000000"/>
          <w:sz w:val="20"/>
        </w:rPr>
        <w:t>included</w:t>
      </w:r>
      <w:r w:rsidR="00E810E3">
        <w:rPr>
          <w:rFonts w:ascii="Arial" w:hAnsi="Arial" w:cs="Arial"/>
          <w:bCs/>
          <w:color w:val="000000"/>
          <w:sz w:val="20"/>
        </w:rPr>
        <w:t xml:space="preserve"> IMP4y for aggravated burglary, IMP18m/9m CUM for recklessly causing injur</w:t>
      </w:r>
      <w:r w:rsidR="00327FDD">
        <w:rPr>
          <w:rFonts w:ascii="Arial" w:hAnsi="Arial" w:cs="Arial"/>
          <w:bCs/>
          <w:color w:val="000000"/>
          <w:sz w:val="20"/>
        </w:rPr>
        <w:t>y</w:t>
      </w:r>
      <w:r w:rsidR="00E810E3">
        <w:rPr>
          <w:rFonts w:ascii="Arial" w:hAnsi="Arial" w:cs="Arial"/>
          <w:bCs/>
          <w:color w:val="000000"/>
          <w:sz w:val="20"/>
        </w:rPr>
        <w:t xml:space="preserve">, IMP6m/2m CUM for theft and IMP6m/CUM 1m for possessing two or more firearms.  The applicant had entered the premises of a blind and vulnerable man and had inflicted a gratuitous injury.  On the appeal counsel for the applicant </w:t>
      </w:r>
      <w:r w:rsidR="000F57FF">
        <w:rPr>
          <w:rFonts w:ascii="Arial" w:hAnsi="Arial" w:cs="Arial"/>
          <w:bCs/>
          <w:color w:val="000000"/>
          <w:sz w:val="20"/>
        </w:rPr>
        <w:t>contrasted</w:t>
      </w:r>
      <w:r w:rsidR="00E810E3">
        <w:rPr>
          <w:rFonts w:ascii="Arial" w:hAnsi="Arial" w:cs="Arial"/>
          <w:bCs/>
          <w:color w:val="000000"/>
          <w:sz w:val="20"/>
        </w:rPr>
        <w:t xml:space="preserve"> </w:t>
      </w:r>
      <w:r w:rsidR="00E810E3" w:rsidRPr="00E810E3">
        <w:rPr>
          <w:rFonts w:ascii="Arial" w:hAnsi="Arial" w:cs="Arial"/>
          <w:bCs/>
          <w:i/>
          <w:iCs/>
          <w:color w:val="000000"/>
          <w:sz w:val="20"/>
        </w:rPr>
        <w:t>DPP v Meyers</w:t>
      </w:r>
      <w:r w:rsidR="000F57FF">
        <w:rPr>
          <w:rFonts w:ascii="Arial" w:hAnsi="Arial" w:cs="Arial"/>
          <w:bCs/>
          <w:color w:val="000000"/>
          <w:sz w:val="20"/>
        </w:rPr>
        <w:t xml:space="preserve">, noting </w:t>
      </w:r>
      <w:r w:rsidR="000F57FF" w:rsidRPr="000F57FF">
        <w:rPr>
          <w:rFonts w:ascii="Arial" w:hAnsi="Arial" w:cs="Arial"/>
          <w:sz w:val="20"/>
          <w:szCs w:val="16"/>
        </w:rPr>
        <w:t xml:space="preserve">that the following factors are ordinarily relevant to an assessment of the gravity of a particular instance of aggravated burglary: the offender’s intent at the point of entry; the mode of entry; whether the offender was armed; whether the offender was alone or in company; the time of day; what the offender knew or believed about who would be inside; and whether the offender was someone of whom the victim was particularly frightened. In this case, many </w:t>
      </w:r>
      <w:r w:rsidR="000F57FF">
        <w:rPr>
          <w:rFonts w:ascii="Arial" w:hAnsi="Arial" w:cs="Arial"/>
          <w:sz w:val="20"/>
          <w:szCs w:val="16"/>
        </w:rPr>
        <w:t xml:space="preserve">of these </w:t>
      </w:r>
      <w:r w:rsidR="000F57FF" w:rsidRPr="000F57FF">
        <w:rPr>
          <w:rFonts w:ascii="Arial" w:hAnsi="Arial" w:cs="Arial"/>
          <w:sz w:val="20"/>
          <w:szCs w:val="16"/>
        </w:rPr>
        <w:t>factors of aggravation were absent. The present case</w:t>
      </w:r>
      <w:r w:rsidR="000F57FF">
        <w:rPr>
          <w:rFonts w:ascii="Arial" w:hAnsi="Arial" w:cs="Arial"/>
          <w:sz w:val="20"/>
          <w:szCs w:val="16"/>
        </w:rPr>
        <w:t>, counsel submitted,</w:t>
      </w:r>
      <w:r w:rsidR="000F57FF" w:rsidRPr="000F57FF">
        <w:rPr>
          <w:rFonts w:ascii="Arial" w:hAnsi="Arial" w:cs="Arial"/>
          <w:sz w:val="20"/>
          <w:szCs w:val="16"/>
        </w:rPr>
        <w:t xml:space="preserve"> should be considered less serious than one where entry was forced</w:t>
      </w:r>
      <w:r w:rsidR="000F57FF">
        <w:rPr>
          <w:rFonts w:ascii="Arial" w:hAnsi="Arial" w:cs="Arial"/>
          <w:sz w:val="20"/>
          <w:szCs w:val="16"/>
        </w:rPr>
        <w:t xml:space="preserve"> and did not warrant a sentence of IMP4y</w:t>
      </w:r>
      <w:r w:rsidR="000F57FF" w:rsidRPr="000F57FF">
        <w:rPr>
          <w:rFonts w:ascii="Arial" w:hAnsi="Arial" w:cs="Arial"/>
          <w:sz w:val="20"/>
          <w:szCs w:val="16"/>
        </w:rPr>
        <w:t>.</w:t>
      </w:r>
      <w:r w:rsidR="00327FDD">
        <w:rPr>
          <w:rFonts w:ascii="Arial" w:hAnsi="Arial" w:cs="Arial"/>
          <w:sz w:val="20"/>
          <w:szCs w:val="16"/>
        </w:rPr>
        <w:t xml:space="preserve">  </w:t>
      </w:r>
      <w:r w:rsidR="000F57FF">
        <w:rPr>
          <w:rFonts w:ascii="Arial" w:hAnsi="Arial" w:cs="Arial"/>
          <w:sz w:val="20"/>
          <w:szCs w:val="16"/>
        </w:rPr>
        <w:t>In</w:t>
      </w:r>
      <w:r w:rsidR="00327FDD">
        <w:rPr>
          <w:rFonts w:ascii="Arial" w:hAnsi="Arial" w:cs="Arial"/>
          <w:sz w:val="20"/>
          <w:szCs w:val="16"/>
        </w:rPr>
        <w:t> </w:t>
      </w:r>
      <w:r w:rsidR="000F57FF">
        <w:rPr>
          <w:rFonts w:ascii="Arial" w:hAnsi="Arial" w:cs="Arial"/>
          <w:sz w:val="20"/>
          <w:szCs w:val="16"/>
        </w:rPr>
        <w:t>refusing leave to appeal the Court of Appeal (Priest JA &amp; J Forrest AJA) said at [28]-[30]:</w:t>
      </w:r>
    </w:p>
    <w:p w14:paraId="5AF54892" w14:textId="7D7096F4" w:rsidR="000F57FF" w:rsidRDefault="000F57FF" w:rsidP="000F57FF">
      <w:pPr>
        <w:pStyle w:val="Normal-Indent"/>
        <w:spacing w:before="60" w:line="240" w:lineRule="auto"/>
        <w:ind w:left="567" w:right="567"/>
        <w:rPr>
          <w:rFonts w:ascii="Arial" w:hAnsi="Arial" w:cs="Arial"/>
          <w:sz w:val="20"/>
          <w:szCs w:val="16"/>
        </w:rPr>
      </w:pPr>
      <w:r>
        <w:rPr>
          <w:rFonts w:ascii="Arial" w:hAnsi="Arial" w:cs="Arial"/>
          <w:color w:val="000000"/>
          <w:sz w:val="20"/>
        </w:rPr>
        <w:t>[28] “</w:t>
      </w:r>
      <w:r w:rsidRPr="000F57FF">
        <w:rPr>
          <w:rFonts w:ascii="Arial" w:hAnsi="Arial" w:cs="Arial"/>
          <w:sz w:val="20"/>
          <w:szCs w:val="16"/>
        </w:rPr>
        <w:t>We are not persuaded that the sentence under challenge is manifestly excessive.</w:t>
      </w:r>
    </w:p>
    <w:p w14:paraId="635C150F" w14:textId="1847890B" w:rsidR="000F57FF" w:rsidRDefault="000F57FF" w:rsidP="000F57FF">
      <w:pPr>
        <w:pStyle w:val="Normal-Indent"/>
        <w:spacing w:before="60" w:line="240" w:lineRule="auto"/>
        <w:ind w:left="567" w:right="567"/>
        <w:rPr>
          <w:rFonts w:ascii="Arial" w:hAnsi="Arial" w:cs="Arial"/>
          <w:sz w:val="20"/>
          <w:szCs w:val="16"/>
        </w:rPr>
      </w:pPr>
      <w:r>
        <w:rPr>
          <w:rFonts w:ascii="Arial" w:hAnsi="Arial" w:cs="Arial"/>
          <w:sz w:val="20"/>
          <w:szCs w:val="16"/>
        </w:rPr>
        <w:t xml:space="preserve">[29] </w:t>
      </w:r>
      <w:r w:rsidRPr="000F57FF">
        <w:rPr>
          <w:rFonts w:ascii="Arial" w:hAnsi="Arial" w:cs="Arial"/>
          <w:sz w:val="20"/>
          <w:szCs w:val="16"/>
        </w:rPr>
        <w:t xml:space="preserve">Although the applicant’s aggravated burglary was not accompanied by a number of the aggravating features identified in </w:t>
      </w:r>
      <w:r w:rsidRPr="000F57FF">
        <w:rPr>
          <w:rFonts w:ascii="Arial" w:hAnsi="Arial" w:cs="Arial"/>
          <w:i/>
          <w:iCs/>
          <w:sz w:val="20"/>
          <w:szCs w:val="16"/>
        </w:rPr>
        <w:t>Meyers</w:t>
      </w:r>
      <w:r w:rsidRPr="000F57FF">
        <w:rPr>
          <w:rFonts w:ascii="Arial" w:hAnsi="Arial" w:cs="Arial"/>
          <w:sz w:val="20"/>
          <w:szCs w:val="16"/>
        </w:rPr>
        <w:t>, it was nonetheless serious. He was able to accomplish entry through trickery due to the extreme vulnerability of the occupant. Indeed, at the time that he attempted to gain entry to the victim’s home, the applicant knew that Mr Zammit was frail and vulnerable.</w:t>
      </w:r>
    </w:p>
    <w:p w14:paraId="0B61333B" w14:textId="4B1C3E8B" w:rsidR="000F57FF" w:rsidRPr="000F57FF" w:rsidRDefault="000F57FF" w:rsidP="000F57FF">
      <w:pPr>
        <w:pStyle w:val="Normal-Indent"/>
        <w:spacing w:before="60" w:line="240" w:lineRule="auto"/>
        <w:ind w:left="567" w:right="567"/>
        <w:rPr>
          <w:rFonts w:ascii="Arial" w:hAnsi="Arial" w:cs="Arial"/>
          <w:color w:val="000000"/>
          <w:sz w:val="20"/>
        </w:rPr>
      </w:pPr>
      <w:r>
        <w:rPr>
          <w:rFonts w:ascii="Arial" w:hAnsi="Arial" w:cs="Arial"/>
          <w:sz w:val="20"/>
          <w:szCs w:val="16"/>
        </w:rPr>
        <w:lastRenderedPageBreak/>
        <w:t xml:space="preserve">[30] </w:t>
      </w:r>
      <w:r w:rsidRPr="000F57FF">
        <w:rPr>
          <w:rFonts w:ascii="Arial" w:hAnsi="Arial" w:cs="Arial"/>
          <w:sz w:val="20"/>
          <w:szCs w:val="16"/>
        </w:rPr>
        <w:t>Moreover, the recklessly causing injury perpetrated after entry was a nasty offence. It</w:t>
      </w:r>
      <w:r>
        <w:rPr>
          <w:rFonts w:ascii="Arial" w:hAnsi="Arial" w:cs="Arial"/>
          <w:sz w:val="20"/>
          <w:szCs w:val="16"/>
        </w:rPr>
        <w:t> </w:t>
      </w:r>
      <w:r w:rsidRPr="000F57FF">
        <w:rPr>
          <w:rFonts w:ascii="Arial" w:hAnsi="Arial" w:cs="Arial"/>
          <w:sz w:val="20"/>
          <w:szCs w:val="16"/>
        </w:rPr>
        <w:t xml:space="preserve">was a gratuitous, disturbingly callous and cowardly crime, perpetrated on a very vulnerable victim in the sanctity of his own home. Aptly, the judge described the applicant’s conduct as ‘reprehensible’. Plainly, it was a serious example of the offence of recklessly causing injury. The applicant, without any provocation, viciously struck the victim — who, because of his blindness, was truly defenceless — to the head, and left him unconscious in a pool of blood. Given the circumstances in which that offence was committed, including the extreme vulnerability of the victim who was entitled to feel safe in his own home, and the applicant’s very considerable moral culpability, the individual sentence of 18 months’ imprisonment on that charge was lenient. Furthermore, the order for cumulation of a mere nine months of that sentence on the aggravated burglary demonstrates that the judge had an eye on totality, and was astute not to inflict double punishment on the applicant. It was also a significant aggravating feature that the </w:t>
      </w:r>
      <w:r w:rsidRPr="000F57FF">
        <w:rPr>
          <w:rFonts w:ascii="Arial" w:hAnsi="Arial" w:cs="Arial"/>
          <w:sz w:val="20"/>
        </w:rPr>
        <w:t xml:space="preserve">applicant was on bail at the time that he committed the present offences: </w:t>
      </w:r>
      <w:r w:rsidRPr="000F57FF">
        <w:rPr>
          <w:rFonts w:ascii="Arial" w:hAnsi="Arial" w:cs="Arial"/>
          <w:i/>
          <w:iCs/>
          <w:sz w:val="20"/>
        </w:rPr>
        <w:t>DPP v Milson</w:t>
      </w:r>
      <w:r w:rsidRPr="000F57FF">
        <w:rPr>
          <w:rFonts w:ascii="Arial" w:hAnsi="Arial" w:cs="Arial"/>
          <w:sz w:val="20"/>
        </w:rPr>
        <w:t xml:space="preserve"> [2019] VSCA 55, [61]; </w:t>
      </w:r>
      <w:r w:rsidRPr="000F57FF">
        <w:rPr>
          <w:rFonts w:ascii="Arial" w:hAnsi="Arial" w:cs="Arial"/>
          <w:i/>
          <w:iCs/>
          <w:sz w:val="20"/>
        </w:rPr>
        <w:t>R v Gray</w:t>
      </w:r>
      <w:r w:rsidRPr="000F57FF">
        <w:rPr>
          <w:rFonts w:ascii="Arial" w:hAnsi="Arial" w:cs="Arial"/>
          <w:sz w:val="20"/>
        </w:rPr>
        <w:t xml:space="preserve"> [1977] VR 225, 229–230 (Gillard, McInerney and Crocket JJ); </w:t>
      </w:r>
      <w:r w:rsidRPr="000F57FF">
        <w:rPr>
          <w:rFonts w:ascii="Arial" w:hAnsi="Arial" w:cs="Arial"/>
          <w:i/>
          <w:iCs/>
          <w:sz w:val="20"/>
        </w:rPr>
        <w:t>R v Treloar and Butler</w:t>
      </w:r>
      <w:r w:rsidRPr="000F57FF">
        <w:rPr>
          <w:rFonts w:ascii="Arial" w:hAnsi="Arial" w:cs="Arial"/>
          <w:sz w:val="20"/>
        </w:rPr>
        <w:t xml:space="preserve"> (1989) 43 A Crim R 75, 80 (Crocket J, Fullagar and Marks JJ agreeing); </w:t>
      </w:r>
      <w:r w:rsidRPr="000F57FF">
        <w:rPr>
          <w:rFonts w:ascii="Arial" w:hAnsi="Arial" w:cs="Arial"/>
          <w:i/>
          <w:iCs/>
          <w:sz w:val="20"/>
        </w:rPr>
        <w:t>R v Basso &amp; Frazetto</w:t>
      </w:r>
      <w:r w:rsidRPr="000F57FF">
        <w:rPr>
          <w:rFonts w:ascii="Arial" w:hAnsi="Arial" w:cs="Arial"/>
          <w:sz w:val="20"/>
        </w:rPr>
        <w:t xml:space="preserve"> (1999) 108 A Crim R 392, 397–8 [21]–[26] (Chernov JA), 404–5 [57]– [63] (Charles JA); </w:t>
      </w:r>
      <w:r w:rsidRPr="000F57FF">
        <w:rPr>
          <w:rFonts w:ascii="Arial" w:hAnsi="Arial" w:cs="Arial"/>
          <w:i/>
          <w:iCs/>
          <w:sz w:val="20"/>
        </w:rPr>
        <w:t>DPP v Galea and Mosut</w:t>
      </w:r>
      <w:r w:rsidRPr="000F57FF">
        <w:rPr>
          <w:rFonts w:ascii="Arial" w:hAnsi="Arial" w:cs="Arial"/>
          <w:sz w:val="20"/>
        </w:rPr>
        <w:t xml:space="preserve"> (2000) 112 A Crim R 507; </w:t>
      </w:r>
      <w:r w:rsidRPr="000F57FF">
        <w:rPr>
          <w:rFonts w:ascii="Arial" w:hAnsi="Arial" w:cs="Arial"/>
          <w:i/>
          <w:iCs/>
          <w:sz w:val="20"/>
        </w:rPr>
        <w:t>R v Pop</w:t>
      </w:r>
      <w:r w:rsidRPr="000F57FF">
        <w:rPr>
          <w:rFonts w:ascii="Arial" w:hAnsi="Arial" w:cs="Arial"/>
          <w:sz w:val="20"/>
        </w:rPr>
        <w:t xml:space="preserve"> (2000) 116 A Crim R. 398; </w:t>
      </w:r>
      <w:r w:rsidRPr="000F57FF">
        <w:rPr>
          <w:rFonts w:ascii="Arial" w:hAnsi="Arial" w:cs="Arial"/>
          <w:i/>
          <w:iCs/>
          <w:sz w:val="20"/>
        </w:rPr>
        <w:t>Georges v The Queen</w:t>
      </w:r>
      <w:r w:rsidRPr="000F57FF">
        <w:rPr>
          <w:rFonts w:ascii="Arial" w:hAnsi="Arial" w:cs="Arial"/>
          <w:sz w:val="20"/>
        </w:rPr>
        <w:t xml:space="preserve"> [2015] VSCA 82, [31]; </w:t>
      </w:r>
      <w:r w:rsidRPr="000F57FF">
        <w:rPr>
          <w:rFonts w:ascii="Arial" w:hAnsi="Arial" w:cs="Arial"/>
          <w:i/>
          <w:iCs/>
          <w:sz w:val="20"/>
        </w:rPr>
        <w:t>Samuels</w:t>
      </w:r>
      <w:r w:rsidRPr="000F57FF">
        <w:rPr>
          <w:rFonts w:ascii="Cambria Math" w:hAnsi="Cambria Math" w:cs="Cambria Math"/>
          <w:i/>
          <w:iCs/>
          <w:sz w:val="20"/>
        </w:rPr>
        <w:t>‐</w:t>
      </w:r>
      <w:r w:rsidRPr="000F57FF">
        <w:rPr>
          <w:rFonts w:ascii="Arial" w:hAnsi="Arial" w:cs="Arial"/>
          <w:i/>
          <w:iCs/>
          <w:sz w:val="20"/>
        </w:rPr>
        <w:t>Orumnwense v The Queen; Osifo v The Queen</w:t>
      </w:r>
      <w:r w:rsidRPr="000F57FF">
        <w:rPr>
          <w:rFonts w:ascii="Arial" w:hAnsi="Arial" w:cs="Arial"/>
          <w:sz w:val="20"/>
        </w:rPr>
        <w:t xml:space="preserve"> [2015] VSCA 152, [110] (Priest JA, Maxwell ACJ and Redlich JA agreeing); </w:t>
      </w:r>
      <w:r w:rsidRPr="000F57FF">
        <w:rPr>
          <w:rFonts w:ascii="Arial" w:hAnsi="Arial" w:cs="Arial"/>
          <w:i/>
          <w:iCs/>
          <w:sz w:val="20"/>
        </w:rPr>
        <w:t>Makieng v The Queen</w:t>
      </w:r>
      <w:r w:rsidRPr="000F57FF">
        <w:rPr>
          <w:rFonts w:ascii="Arial" w:hAnsi="Arial" w:cs="Arial"/>
          <w:sz w:val="20"/>
        </w:rPr>
        <w:t xml:space="preserve"> [2022] VSCA 52, [45] (Priest and Kyrou JJA). See also s 16(3C) of the </w:t>
      </w:r>
      <w:r w:rsidRPr="000F57FF">
        <w:rPr>
          <w:rFonts w:ascii="Arial" w:hAnsi="Arial" w:cs="Arial"/>
          <w:i/>
          <w:iCs/>
          <w:sz w:val="20"/>
        </w:rPr>
        <w:t>Sentencing Act 1991</w:t>
      </w:r>
      <w:r>
        <w:rPr>
          <w:rFonts w:ascii="Arial" w:hAnsi="Arial" w:cs="Arial"/>
          <w:sz w:val="20"/>
        </w:rPr>
        <w:t>.”</w:t>
      </w:r>
    </w:p>
    <w:p w14:paraId="5412690B" w14:textId="048E2E30" w:rsidR="00E810E3" w:rsidRPr="000F57FF" w:rsidRDefault="00E810E3" w:rsidP="00326479">
      <w:pPr>
        <w:pStyle w:val="Heading2"/>
        <w:tabs>
          <w:tab w:val="left" w:pos="567"/>
        </w:tabs>
        <w:spacing w:line="240" w:lineRule="auto"/>
        <w:ind w:left="567" w:hanging="567"/>
        <w:rPr>
          <w:rFonts w:ascii="Arial" w:hAnsi="Arial" w:cs="Arial"/>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9A195E">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similarily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r w:rsidRPr="00304E93">
        <w:rPr>
          <w:rFonts w:ascii="Arial" w:hAnsi="Arial" w:cs="Arial"/>
          <w:bCs/>
          <w:i/>
          <w:color w:val="000000"/>
          <w:sz w:val="20"/>
        </w:rPr>
        <w:t>Sovolos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 xml:space="preserve">he applicant’s offending was extremely grave.  I recall having encountered no other case of aggravated burglary where an offender has fired seven rounds from a </w:t>
      </w:r>
      <w:r w:rsidRPr="00304E93">
        <w:rPr>
          <w:rFonts w:ascii="Arial" w:hAnsi="Arial" w:cs="Arial"/>
          <w:sz w:val="20"/>
        </w:rPr>
        <w:lastRenderedPageBreak/>
        <w:t>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r w:rsidRPr="00813F3E">
        <w:rPr>
          <w:rFonts w:ascii="Arial" w:hAnsi="Arial" w:cs="Arial"/>
          <w:bCs/>
          <w:i/>
          <w:iCs/>
          <w:color w:val="000000"/>
          <w:sz w:val="20"/>
        </w:rPr>
        <w:t>Comensoli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The sentencing judge was right to treat this as a serious instance of aggravated burglary.  The applicant entered the premises by force, at night, aware that someone was likely to be at home.  The householder lived there with her two young children.  She was in bed 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813F3E">
      <w:pPr>
        <w:pStyle w:val="Normal-Indent"/>
        <w:spacing w:before="60" w:after="60" w:line="240" w:lineRule="auto"/>
        <w:ind w:left="567" w:right="567"/>
        <w:rPr>
          <w:rFonts w:ascii="Arial" w:hAnsi="Arial" w:cs="Arial"/>
          <w:bCs/>
          <w:color w:val="000000"/>
          <w:sz w:val="20"/>
        </w:rPr>
      </w:pPr>
      <w:r w:rsidRPr="00813F3E">
        <w:rPr>
          <w:rFonts w:ascii="Arial" w:hAnsi="Arial" w:cs="Arial"/>
          <w:bCs/>
          <w:color w:val="000000"/>
          <w:sz w:val="20"/>
        </w:rPr>
        <w:t>This was, in many respects, the archetypal aggravated burglary.  The offender makes a forced entry to premises at night, intending to steal, well aware that there are likely to be persons present.  It is the kind of offending which strikes terror into the hearts of 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(2014) 44 VR 486;  [2014] VSCA 314 about the need for increased sentences for aggravated burglary.  Furthermore, specific deterrence and 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344D3E">
      <w:pPr>
        <w:keepNext/>
        <w:keepLines/>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At [38] Maxwell P &amp; Sifris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Bux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r w:rsidRPr="002339D6">
              <w:rPr>
                <w:rFonts w:ascii="Arial" w:hAnsi="Arial" w:cs="Arial"/>
                <w:i/>
                <w:iCs/>
                <w:sz w:val="20"/>
                <w:szCs w:val="20"/>
              </w:rPr>
              <w:t>Dughetti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Comensoli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2025A87B" w14:textId="299F71F9" w:rsidR="00512083" w:rsidRDefault="00512083" w:rsidP="00512083">
      <w:pPr>
        <w:spacing w:after="20"/>
        <w:jc w:val="both"/>
        <w:rPr>
          <w:rFonts w:ascii="Arial" w:hAnsi="Arial" w:cs="Arial"/>
          <w:sz w:val="20"/>
          <w:szCs w:val="20"/>
        </w:rPr>
      </w:pPr>
      <w:r w:rsidRPr="00CB6994">
        <w:rPr>
          <w:rFonts w:ascii="Arial" w:hAnsi="Arial" w:cs="Arial"/>
          <w:bCs/>
          <w:sz w:val="20"/>
        </w:rPr>
        <w:t xml:space="preserve">See also </w:t>
      </w:r>
      <w:r w:rsidR="003B7930" w:rsidRPr="001C6E0E">
        <w:rPr>
          <w:rFonts w:ascii="Arial" w:hAnsi="Arial" w:cs="Arial"/>
          <w:i/>
          <w:color w:val="000000"/>
          <w:sz w:val="20"/>
        </w:rPr>
        <w:t>R v Davis</w:t>
      </w:r>
      <w:r w:rsidR="003B7930" w:rsidRPr="001C6E0E">
        <w:rPr>
          <w:rFonts w:ascii="Arial" w:hAnsi="Arial" w:cs="Arial"/>
          <w:color w:val="000000"/>
          <w:sz w:val="20"/>
        </w:rPr>
        <w:t xml:space="preserve"> [2006] VSCA 8</w:t>
      </w:r>
      <w:r w:rsidR="003B7930">
        <w:rPr>
          <w:rFonts w:ascii="Arial" w:hAnsi="Arial" w:cs="Arial"/>
          <w:color w:val="000000"/>
          <w:sz w:val="20"/>
        </w:rPr>
        <w:t xml:space="preserve">;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Butkovic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Vasile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r w:rsidRPr="00CB6994">
        <w:rPr>
          <w:rFonts w:ascii="Arial" w:hAnsi="Arial" w:cs="Arial"/>
          <w:i/>
          <w:sz w:val="20"/>
        </w:rPr>
        <w:t>Kargar v The Queen</w:t>
      </w:r>
      <w:r w:rsidRPr="00CB6994">
        <w:rPr>
          <w:rFonts w:ascii="Arial" w:hAnsi="Arial" w:cs="Arial"/>
          <w:sz w:val="20"/>
        </w:rPr>
        <w:t xml:space="preserve"> [2018] VSCA 148; </w:t>
      </w:r>
      <w:r w:rsidRPr="00CB6994">
        <w:rPr>
          <w:rFonts w:ascii="Arial" w:hAnsi="Arial" w:cs="Arial"/>
          <w:i/>
          <w:sz w:val="20"/>
        </w:rPr>
        <w:t xml:space="preserve">Wood v The Queen; Bell v The </w:t>
      </w:r>
      <w:r w:rsidRPr="00CB6994">
        <w:rPr>
          <w:rFonts w:ascii="Arial" w:hAnsi="Arial" w:cs="Arial"/>
          <w:i/>
          <w:sz w:val="20"/>
        </w:rPr>
        <w:lastRenderedPageBreak/>
        <w:t xml:space="preserve">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Frost &amp; Deen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Jiaming Gui v The Queen</w:t>
      </w:r>
      <w:r w:rsidRPr="00CB6994">
        <w:rPr>
          <w:rFonts w:ascii="Arial" w:hAnsi="Arial" w:cs="Arial"/>
          <w:sz w:val="20"/>
          <w:szCs w:val="20"/>
        </w:rPr>
        <w:t xml:space="preserve"> [2020] VSCA 273</w:t>
      </w:r>
      <w:r>
        <w:rPr>
          <w:rFonts w:ascii="Arial" w:hAnsi="Arial" w:cs="Arial"/>
          <w:sz w:val="20"/>
          <w:szCs w:val="20"/>
        </w:rPr>
        <w:t xml:space="preserve">; </w:t>
      </w:r>
      <w:r w:rsidRPr="00CB6994">
        <w:rPr>
          <w:rFonts w:ascii="Arial" w:hAnsi="Arial" w:cs="Arial"/>
          <w:i/>
          <w:iCs/>
          <w:sz w:val="20"/>
        </w:rPr>
        <w:t>Bava v The Queen</w:t>
      </w:r>
      <w:r w:rsidRPr="00CB6994">
        <w:rPr>
          <w:rFonts w:ascii="Arial" w:hAnsi="Arial" w:cs="Arial"/>
          <w:sz w:val="20"/>
        </w:rPr>
        <w:t xml:space="preserve"> [2021] VSCA 34 at [50]-[68]</w:t>
      </w:r>
      <w:r>
        <w:rPr>
          <w:rFonts w:ascii="Arial" w:hAnsi="Arial" w:cs="Arial"/>
          <w:sz w:val="20"/>
          <w:szCs w:val="20"/>
        </w:rPr>
        <w:t xml:space="preserve">; </w:t>
      </w:r>
      <w:r w:rsidRPr="00CB6994">
        <w:rPr>
          <w:rFonts w:ascii="Arial" w:hAnsi="Arial" w:cs="Arial"/>
          <w:i/>
          <w:iCs/>
          <w:sz w:val="20"/>
        </w:rPr>
        <w:t>Balshaw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r w:rsidR="00687021" w:rsidRPr="00687021">
        <w:rPr>
          <w:rFonts w:ascii="Arial" w:hAnsi="Arial" w:cs="Arial"/>
          <w:i/>
          <w:iCs/>
          <w:color w:val="000000"/>
          <w:sz w:val="20"/>
        </w:rPr>
        <w:t>Konidaris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sidR="001D6806">
        <w:rPr>
          <w:rFonts w:ascii="Arial" w:hAnsi="Arial" w:cs="Arial"/>
          <w:color w:val="000000"/>
          <w:sz w:val="20"/>
        </w:rPr>
        <w:t xml:space="preserve">; </w:t>
      </w:r>
      <w:r w:rsidR="001D6806" w:rsidRPr="001D6806">
        <w:rPr>
          <w:rFonts w:ascii="Arial" w:hAnsi="Arial" w:cs="Arial"/>
          <w:i/>
          <w:iCs/>
          <w:color w:val="000000"/>
          <w:sz w:val="20"/>
        </w:rPr>
        <w:t>Stowers v The King; Phillips v The King</w:t>
      </w:r>
      <w:r w:rsidR="001D6806">
        <w:rPr>
          <w:rFonts w:ascii="Arial" w:hAnsi="Arial" w:cs="Arial"/>
          <w:color w:val="000000"/>
          <w:sz w:val="20"/>
        </w:rPr>
        <w:t xml:space="preserve"> [2022] VSCA 203</w:t>
      </w:r>
      <w:r w:rsidR="007922C5">
        <w:rPr>
          <w:rFonts w:ascii="Arial" w:hAnsi="Arial" w:cs="Arial"/>
          <w:color w:val="000000"/>
          <w:sz w:val="20"/>
        </w:rPr>
        <w:t xml:space="preserve">; </w:t>
      </w:r>
      <w:r w:rsidR="007922C5" w:rsidRPr="007922C5">
        <w:rPr>
          <w:rFonts w:ascii="Arial" w:hAnsi="Arial" w:cs="Arial"/>
          <w:i/>
          <w:iCs/>
          <w:color w:val="000000"/>
          <w:sz w:val="20"/>
        </w:rPr>
        <w:t>DPP v Hammoud</w:t>
      </w:r>
      <w:r w:rsidR="007922C5">
        <w:rPr>
          <w:rFonts w:ascii="Arial" w:hAnsi="Arial" w:cs="Arial"/>
          <w:color w:val="000000"/>
          <w:sz w:val="20"/>
        </w:rPr>
        <w:t xml:space="preserve"> [2023] VSC 58</w:t>
      </w:r>
      <w:r w:rsidR="00F41C56">
        <w:rPr>
          <w:rFonts w:ascii="Arial" w:hAnsi="Arial" w:cs="Arial"/>
          <w:color w:val="000000"/>
          <w:sz w:val="20"/>
        </w:rPr>
        <w:t xml:space="preserve">; </w:t>
      </w:r>
      <w:r w:rsidR="00F41C56" w:rsidRPr="00F41C56">
        <w:rPr>
          <w:rFonts w:ascii="Arial" w:hAnsi="Arial" w:cs="Arial"/>
          <w:i/>
          <w:iCs/>
          <w:color w:val="000000"/>
          <w:sz w:val="20"/>
        </w:rPr>
        <w:t>DPP v Rahman</w:t>
      </w:r>
      <w:r w:rsidR="00F41C56">
        <w:rPr>
          <w:rFonts w:ascii="Arial" w:hAnsi="Arial" w:cs="Arial"/>
          <w:color w:val="000000"/>
          <w:sz w:val="20"/>
        </w:rPr>
        <w:t xml:space="preserve"> [2023] VSC 87</w:t>
      </w:r>
      <w:r w:rsidR="00E05B29">
        <w:rPr>
          <w:rFonts w:ascii="Arial" w:hAnsi="Arial" w:cs="Arial"/>
          <w:color w:val="000000"/>
          <w:sz w:val="20"/>
        </w:rPr>
        <w:t xml:space="preserve">; </w:t>
      </w:r>
      <w:r w:rsidR="00E05B29" w:rsidRPr="00E05B29">
        <w:rPr>
          <w:rFonts w:ascii="Arial" w:hAnsi="Arial" w:cs="Arial"/>
          <w:i/>
          <w:iCs/>
          <w:color w:val="000000"/>
          <w:sz w:val="20"/>
        </w:rPr>
        <w:t>Potter v The King</w:t>
      </w:r>
      <w:r w:rsidR="00E05B29">
        <w:rPr>
          <w:rFonts w:ascii="Arial" w:hAnsi="Arial" w:cs="Arial"/>
          <w:color w:val="000000"/>
          <w:sz w:val="20"/>
        </w:rPr>
        <w:t xml:space="preserve"> [2023] VSCA 104</w:t>
      </w:r>
      <w:r w:rsidR="00655875">
        <w:rPr>
          <w:rFonts w:ascii="Arial" w:hAnsi="Arial" w:cs="Arial"/>
          <w:color w:val="000000"/>
          <w:sz w:val="20"/>
        </w:rPr>
        <w:t xml:space="preserve">; </w:t>
      </w:r>
      <w:r w:rsidR="00655875" w:rsidRPr="00655875">
        <w:rPr>
          <w:rFonts w:ascii="Arial" w:hAnsi="Arial" w:cs="Arial"/>
          <w:i/>
          <w:iCs/>
          <w:color w:val="000000"/>
          <w:sz w:val="20"/>
        </w:rPr>
        <w:t>R v Scriven</w:t>
      </w:r>
      <w:r w:rsidR="00655875">
        <w:rPr>
          <w:rFonts w:ascii="Arial" w:hAnsi="Arial" w:cs="Arial"/>
          <w:color w:val="000000"/>
          <w:sz w:val="20"/>
        </w:rPr>
        <w:t xml:space="preserve"> [2023] VSC 652</w:t>
      </w:r>
      <w:r w:rsidR="003B7930">
        <w:rPr>
          <w:rFonts w:ascii="Arial" w:hAnsi="Arial" w:cs="Arial"/>
          <w:color w:val="000000"/>
          <w:sz w:val="20"/>
        </w:rPr>
        <w:t xml:space="preserve">; </w:t>
      </w:r>
      <w:r w:rsidR="003B7930" w:rsidRPr="003B7930">
        <w:rPr>
          <w:rFonts w:ascii="Arial" w:hAnsi="Arial" w:cs="Arial"/>
          <w:i/>
          <w:iCs/>
          <w:color w:val="000000"/>
          <w:sz w:val="20"/>
        </w:rPr>
        <w:t>Seualuga v The King</w:t>
      </w:r>
      <w:r w:rsidR="003B7930">
        <w:rPr>
          <w:rFonts w:ascii="Arial" w:hAnsi="Arial" w:cs="Arial"/>
          <w:color w:val="000000"/>
          <w:sz w:val="20"/>
        </w:rPr>
        <w:t xml:space="preserve"> [2024] VSCA 7 {attempted aggravated burglary}</w:t>
      </w:r>
      <w:r w:rsidR="00A371CB">
        <w:rPr>
          <w:rFonts w:ascii="Arial" w:hAnsi="Arial" w:cs="Arial"/>
          <w:color w:val="000000"/>
          <w:sz w:val="20"/>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w:t>
      </w:r>
      <w:r w:rsidR="00D07967">
        <w:rPr>
          <w:rFonts w:ascii="Arial" w:hAnsi="Arial" w:cs="Arial"/>
          <w:bCs/>
          <w:color w:val="000000"/>
          <w:sz w:val="20"/>
          <w:lang w:val="en-US"/>
        </w:rPr>
        <w:t xml:space="preserve">; </w:t>
      </w:r>
      <w:r w:rsidR="00D07967" w:rsidRPr="00D07967">
        <w:rPr>
          <w:rFonts w:ascii="Arial" w:hAnsi="Arial" w:cs="Arial"/>
          <w:bCs/>
          <w:i/>
          <w:iCs/>
          <w:color w:val="000000"/>
          <w:sz w:val="20"/>
          <w:lang w:val="en-US"/>
        </w:rPr>
        <w:t>Wang v The King</w:t>
      </w:r>
      <w:r w:rsidR="00D07967">
        <w:rPr>
          <w:rFonts w:ascii="Arial" w:hAnsi="Arial" w:cs="Arial"/>
          <w:bCs/>
          <w:color w:val="000000"/>
          <w:sz w:val="20"/>
          <w:lang w:val="en-US"/>
        </w:rPr>
        <w:t xml:space="preserve"> [2024] VSCA 97</w:t>
      </w:r>
      <w:r w:rsidR="002207D4">
        <w:rPr>
          <w:rFonts w:ascii="Arial" w:hAnsi="Arial" w:cs="Arial"/>
          <w:bCs/>
          <w:color w:val="000000"/>
          <w:sz w:val="20"/>
          <w:lang w:val="en-US"/>
        </w:rPr>
        <w:t xml:space="preserve">; </w:t>
      </w:r>
      <w:r w:rsidR="002207D4" w:rsidRPr="002207D4">
        <w:rPr>
          <w:rFonts w:ascii="Arial" w:hAnsi="Arial" w:cs="Arial"/>
          <w:bCs/>
          <w:i/>
          <w:iCs/>
          <w:color w:val="000000"/>
          <w:sz w:val="20"/>
          <w:lang w:val="en-US"/>
        </w:rPr>
        <w:t>DPP v Tiba</w:t>
      </w:r>
      <w:r w:rsidR="002207D4">
        <w:rPr>
          <w:rFonts w:ascii="Arial" w:hAnsi="Arial" w:cs="Arial"/>
          <w:bCs/>
          <w:color w:val="000000"/>
          <w:sz w:val="20"/>
          <w:lang w:val="en-US"/>
        </w:rPr>
        <w:t xml:space="preserve"> [2024] VSC 509</w:t>
      </w:r>
      <w:r w:rsidR="009722CF">
        <w:rPr>
          <w:rFonts w:ascii="Arial" w:hAnsi="Arial" w:cs="Arial"/>
          <w:bCs/>
          <w:color w:val="000000"/>
          <w:sz w:val="20"/>
          <w:lang w:val="en-US"/>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[32]-[52]</w:t>
      </w:r>
      <w:r w:rsidR="006F0AAB">
        <w:rPr>
          <w:rFonts w:ascii="Arial" w:hAnsi="Arial" w:cs="Arial"/>
          <w:color w:val="000000"/>
          <w:sz w:val="20"/>
        </w:rPr>
        <w:t xml:space="preserve">; </w:t>
      </w:r>
      <w:r w:rsidR="006F0AAB" w:rsidRPr="006F0AAB">
        <w:rPr>
          <w:rFonts w:ascii="Arial" w:hAnsi="Arial" w:cs="Arial"/>
          <w:i/>
          <w:iCs/>
          <w:color w:val="000000"/>
          <w:sz w:val="20"/>
        </w:rPr>
        <w:t>Al-Bab v The King</w:t>
      </w:r>
      <w:r w:rsidR="006F0AAB">
        <w:rPr>
          <w:rFonts w:ascii="Arial" w:hAnsi="Arial" w:cs="Arial"/>
          <w:color w:val="000000"/>
          <w:sz w:val="20"/>
        </w:rPr>
        <w:t xml:space="preserve"> [2025] VSCA 22.</w:t>
      </w:r>
    </w:p>
    <w:p w14:paraId="11EA8B6A" w14:textId="207E8C01" w:rsidR="00512083" w:rsidRDefault="00512083" w:rsidP="002207D4">
      <w:pPr>
        <w:pStyle w:val="Heading2"/>
        <w:tabs>
          <w:tab w:val="left" w:pos="567"/>
        </w:tabs>
        <w:spacing w:line="240" w:lineRule="auto"/>
        <w:rPr>
          <w:rFonts w:ascii="Arial" w:hAnsi="Arial" w:cs="Arial"/>
          <w:bCs/>
          <w:color w:val="000000"/>
          <w:sz w:val="20"/>
        </w:rPr>
      </w:pPr>
    </w:p>
    <w:p w14:paraId="046CF02C"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2"/>
          <w:szCs w:val="22"/>
        </w:rPr>
      </w:pPr>
      <w:bookmarkStart w:id="711" w:name="_C_HOME_INVASION"/>
      <w:bookmarkEnd w:id="711"/>
      <w:r w:rsidRPr="00127335">
        <w:rPr>
          <w:rFonts w:ascii="Arial" w:hAnsi="Arial" w:cs="Arial"/>
          <w:b/>
          <w:color w:val="FFFFFF"/>
          <w:sz w:val="22"/>
          <w:szCs w:val="22"/>
          <w:shd w:val="clear" w:color="auto" w:fill="000000"/>
        </w:rPr>
        <w:t>C</w:t>
      </w:r>
      <w:r w:rsidRPr="00127335">
        <w:rPr>
          <w:rFonts w:ascii="Arial" w:hAnsi="Arial" w:cs="Arial"/>
          <w:b/>
          <w:color w:val="000000"/>
          <w:sz w:val="22"/>
          <w:szCs w:val="22"/>
        </w:rPr>
        <w:tab/>
      </w:r>
      <w:r w:rsidR="00771EF6" w:rsidRPr="00127335">
        <w:rPr>
          <w:rFonts w:ascii="Arial" w:hAnsi="Arial" w:cs="Arial"/>
          <w:b/>
          <w:bCs/>
          <w:color w:val="FFFFFF" w:themeColor="background1"/>
          <w:sz w:val="22"/>
          <w:szCs w:val="22"/>
          <w:shd w:val="clear" w:color="auto" w:fill="000000" w:themeFill="text1"/>
        </w:rPr>
        <w:t>HOME INVASION</w:t>
      </w:r>
    </w:p>
    <w:p w14:paraId="1B8E4D22" w14:textId="034A04DA" w:rsidR="00CB6994" w:rsidRPr="009D021F" w:rsidRDefault="00CB6994" w:rsidP="00D664A4">
      <w:pPr>
        <w:spacing w:before="120"/>
        <w:rPr>
          <w:rFonts w:ascii="Arial" w:hAnsi="Arial" w:cs="Arial"/>
          <w:sz w:val="20"/>
          <w:szCs w:val="20"/>
        </w:rPr>
      </w:pPr>
      <w:r w:rsidRPr="009D021F">
        <w:rPr>
          <w:rFonts w:ascii="Arial" w:hAnsi="Arial" w:cs="Arial"/>
          <w:sz w:val="20"/>
          <w:szCs w:val="20"/>
        </w:rPr>
        <w:t xml:space="preserve">In </w:t>
      </w:r>
      <w:r w:rsidR="00337CD5" w:rsidRPr="009D021F">
        <w:rPr>
          <w:rFonts w:ascii="Arial" w:hAnsi="Arial" w:cs="Arial"/>
          <w:i/>
          <w:iCs/>
          <w:sz w:val="20"/>
          <w:szCs w:val="20"/>
        </w:rPr>
        <w:t>Schaeffer v The Queen</w:t>
      </w:r>
      <w:r w:rsidR="00337CD5" w:rsidRPr="009D021F">
        <w:rPr>
          <w:rFonts w:ascii="Arial" w:hAnsi="Arial" w:cs="Arial"/>
          <w:sz w:val="20"/>
          <w:szCs w:val="20"/>
        </w:rPr>
        <w:t xml:space="preserve"> [2021] VSCA 171, in </w:t>
      </w:r>
      <w:r w:rsidRPr="009D021F">
        <w:rPr>
          <w:rFonts w:ascii="Arial" w:hAnsi="Arial" w:cs="Arial"/>
          <w:sz w:val="20"/>
          <w:szCs w:val="20"/>
        </w:rPr>
        <w:t xml:space="preserve">dismissing an appeal against a sentence of IMP6y6m imposed on a charge of </w:t>
      </w:r>
      <w:r w:rsidRPr="009D021F">
        <w:rPr>
          <w:rFonts w:ascii="Arial" w:hAnsi="Arial" w:cs="Arial"/>
          <w:b/>
          <w:sz w:val="20"/>
          <w:szCs w:val="20"/>
        </w:rPr>
        <w:t xml:space="preserve">home invasion </w:t>
      </w:r>
      <w:r w:rsidR="00337CD5" w:rsidRPr="009D021F">
        <w:rPr>
          <w:rFonts w:ascii="Arial" w:hAnsi="Arial" w:cs="Arial"/>
          <w:b/>
          <w:sz w:val="20"/>
          <w:szCs w:val="20"/>
        </w:rPr>
        <w:t>(intent to steal)</w:t>
      </w:r>
      <w:r w:rsidR="00337CD5" w:rsidRPr="009D021F">
        <w:rPr>
          <w:rFonts w:ascii="Arial" w:hAnsi="Arial" w:cs="Arial"/>
          <w:sz w:val="20"/>
          <w:szCs w:val="20"/>
        </w:rPr>
        <w:t xml:space="preserve"> </w:t>
      </w:r>
      <w:r w:rsidRPr="009D021F">
        <w:rPr>
          <w:rFonts w:ascii="Arial" w:hAnsi="Arial" w:cs="Arial"/>
          <w:sz w:val="20"/>
          <w:szCs w:val="20"/>
        </w:rPr>
        <w:t xml:space="preserve">by a </w:t>
      </w:r>
      <w:r w:rsidR="00337CD5" w:rsidRPr="009D021F">
        <w:rPr>
          <w:rFonts w:ascii="Arial" w:hAnsi="Arial" w:cs="Arial"/>
          <w:sz w:val="20"/>
          <w:szCs w:val="20"/>
        </w:rPr>
        <w:t xml:space="preserve">29 year old </w:t>
      </w:r>
      <w:r w:rsidRPr="009D021F">
        <w:rPr>
          <w:rFonts w:ascii="Arial" w:hAnsi="Arial" w:cs="Arial"/>
          <w:sz w:val="20"/>
          <w:szCs w:val="20"/>
        </w:rPr>
        <w:t>offender with a significant criminal history, the Court of Appeal (Priest, Kaye &amp; T Forrest JJA) said at [65]-[69]:</w:t>
      </w:r>
    </w:p>
    <w:p w14:paraId="41D0ABB3" w14:textId="36DCAE01" w:rsidR="00CB6994" w:rsidRDefault="00CB6994" w:rsidP="007C0286">
      <w:pPr>
        <w:pStyle w:val="Normal-Indent"/>
        <w:widowControl/>
        <w:spacing w:before="60" w:after="60" w:line="240" w:lineRule="auto"/>
        <w:ind w:left="567" w:right="567"/>
        <w:rPr>
          <w:rFonts w:ascii="Arial" w:hAnsi="Arial" w:cs="Arial"/>
          <w:color w:val="000000" w:themeColor="text1"/>
          <w:sz w:val="20"/>
        </w:rPr>
      </w:pPr>
      <w:r>
        <w:rPr>
          <w:rFonts w:ascii="Arial" w:hAnsi="Arial" w:cs="Arial"/>
          <w:bCs/>
          <w:color w:val="000000"/>
          <w:sz w:val="20"/>
        </w:rPr>
        <w:t xml:space="preserve">[65] “The starting point…is that </w:t>
      </w:r>
      <w:r w:rsidRPr="00CB6994">
        <w:rPr>
          <w:rFonts w:ascii="Arial" w:hAnsi="Arial" w:cs="Arial"/>
          <w:color w:val="000000"/>
          <w:sz w:val="20"/>
        </w:rPr>
        <w:t>the offence of home invasion is, by its very nature, a serious criminal offence, the maximum sentence for which is 25 years’ imprisonment.  As this Court observed, at the commencement of its reasons in </w:t>
      </w:r>
      <w:hyperlink r:id="rId32" w:history="1">
        <w:r w:rsidRPr="00CB6994">
          <w:rPr>
            <w:rStyle w:val="Hyperlink"/>
            <w:rFonts w:ascii="Arial" w:hAnsi="Arial" w:cs="Arial"/>
            <w:i/>
            <w:iCs/>
            <w:color w:val="000000" w:themeColor="text1"/>
            <w:sz w:val="20"/>
            <w:u w:val="none"/>
          </w:rPr>
          <w:t>O’Brien</w:t>
        </w:r>
      </w:hyperlink>
      <w:r w:rsidRPr="00CB6994">
        <w:rPr>
          <w:rFonts w:ascii="Arial" w:hAnsi="Arial" w:cs="Arial"/>
          <w:color w:val="000000"/>
          <w:sz w:val="20"/>
        </w:rPr>
        <w:t>, the crime of home invasion is ‘a particularly nasty form of criminal conduct’</w:t>
      </w:r>
      <w:r>
        <w:rPr>
          <w:rFonts w:ascii="Arial" w:hAnsi="Arial" w:cs="Arial"/>
          <w:color w:val="000000"/>
          <w:sz w:val="20"/>
        </w:rPr>
        <w:t xml:space="preserve">: see </w:t>
      </w:r>
      <w:r w:rsidRPr="00CB6994">
        <w:rPr>
          <w:rFonts w:ascii="Arial" w:hAnsi="Arial" w:cs="Arial"/>
          <w:color w:val="000000" w:themeColor="text1"/>
          <w:sz w:val="20"/>
        </w:rPr>
        <w:t>(2019) 280 A Crim R 1,</w:t>
      </w:r>
      <w:r w:rsidR="00337CD5">
        <w:rPr>
          <w:rFonts w:ascii="Arial" w:hAnsi="Arial" w:cs="Arial"/>
          <w:color w:val="000000" w:themeColor="text1"/>
          <w:sz w:val="20"/>
        </w:rPr>
        <w:t xml:space="preserve"> </w:t>
      </w:r>
      <w:hyperlink r:id="rId33" w:history="1">
        <w:r w:rsidRPr="00CB6994">
          <w:rPr>
            <w:rStyle w:val="Hyperlink"/>
            <w:rFonts w:ascii="Arial" w:hAnsi="Arial" w:cs="Arial"/>
            <w:color w:val="000000" w:themeColor="text1"/>
            <w:sz w:val="20"/>
            <w:u w:val="none"/>
          </w:rPr>
          <w:t>2</w:t>
        </w:r>
      </w:hyperlink>
      <w:r w:rsidR="00337CD5">
        <w:rPr>
          <w:rFonts w:ascii="Arial" w:hAnsi="Arial" w:cs="Arial"/>
          <w:color w:val="000000" w:themeColor="text1"/>
          <w:sz w:val="20"/>
        </w:rPr>
        <w:t xml:space="preserve"> </w:t>
      </w:r>
      <w:hyperlink r:id="rId34"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w:t>
      </w:r>
      <w:r w:rsidR="00337CD5">
        <w:rPr>
          <w:rFonts w:ascii="Arial" w:hAnsi="Arial" w:cs="Arial"/>
          <w:color w:val="000000" w:themeColor="text1"/>
          <w:sz w:val="20"/>
        </w:rPr>
        <w:t xml:space="preserve"> </w:t>
      </w:r>
      <w:hyperlink r:id="rId35" w:history="1">
        <w:r w:rsidRPr="00CB6994">
          <w:rPr>
            <w:rStyle w:val="Hyperlink"/>
            <w:rFonts w:ascii="Arial" w:hAnsi="Arial" w:cs="Arial"/>
            <w:color w:val="000000" w:themeColor="text1"/>
            <w:sz w:val="20"/>
            <w:u w:val="none"/>
          </w:rPr>
          <w:t>[2019] VSCA 254</w:t>
        </w:r>
      </w:hyperlink>
      <w:r w:rsidRPr="00CB6994">
        <w:rPr>
          <w:rFonts w:ascii="Arial" w:hAnsi="Arial" w:cs="Arial"/>
          <w:color w:val="000000" w:themeColor="text1"/>
          <w:sz w:val="20"/>
        </w:rPr>
        <w:t> (Maxwell P, Niall and T Forrest JJA), quoting </w:t>
      </w:r>
      <w:hyperlink r:id="rId36" w:history="1">
        <w:r w:rsidRPr="00CB6994">
          <w:rPr>
            <w:rStyle w:val="Hyperlink"/>
            <w:rFonts w:ascii="Arial" w:hAnsi="Arial" w:cs="Arial"/>
            <w:i/>
            <w:iCs/>
            <w:color w:val="000000" w:themeColor="text1"/>
            <w:sz w:val="20"/>
            <w:u w:val="none"/>
          </w:rPr>
          <w:t>Hogarth v The Queen </w:t>
        </w:r>
      </w:hyperlink>
      <w:r w:rsidRPr="00CB6994">
        <w:rPr>
          <w:rFonts w:ascii="Arial" w:hAnsi="Arial" w:cs="Arial"/>
          <w:color w:val="000000" w:themeColor="text1"/>
          <w:sz w:val="20"/>
        </w:rPr>
        <w:t>(2012) 37 VR 658, </w:t>
      </w:r>
      <w:hyperlink r:id="rId37" w:history="1">
        <w:r w:rsidRPr="00CB6994">
          <w:rPr>
            <w:rStyle w:val="Hyperlink"/>
            <w:rFonts w:ascii="Arial" w:hAnsi="Arial" w:cs="Arial"/>
            <w:color w:val="000000" w:themeColor="text1"/>
            <w:sz w:val="20"/>
            <w:u w:val="none"/>
          </w:rPr>
          <w:t>659</w:t>
        </w:r>
      </w:hyperlink>
      <w:r w:rsidRPr="00CB6994">
        <w:rPr>
          <w:rFonts w:ascii="Arial" w:hAnsi="Arial" w:cs="Arial"/>
          <w:color w:val="000000" w:themeColor="text1"/>
          <w:sz w:val="20"/>
        </w:rPr>
        <w:t> </w:t>
      </w:r>
      <w:hyperlink r:id="rId38"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 [2012] VSCA 302 (Maxwell P, Neave JA and Coghlan AJA)</w:t>
      </w:r>
      <w:r w:rsidR="00EE229E">
        <w:rPr>
          <w:rFonts w:ascii="Arial" w:hAnsi="Arial" w:cs="Arial"/>
          <w:color w:val="000000" w:themeColor="text1"/>
          <w:sz w:val="20"/>
        </w:rPr>
        <w:t>.</w:t>
      </w:r>
    </w:p>
    <w:p w14:paraId="0DA3E57E" w14:textId="5F201C40" w:rsidR="00CB6994" w:rsidRDefault="00CB6994" w:rsidP="009F71C6">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[66] </w:t>
      </w:r>
      <w:r w:rsidRPr="00CB6994">
        <w:rPr>
          <w:rFonts w:ascii="Arial" w:hAnsi="Arial" w:cs="Arial"/>
          <w:color w:val="000000"/>
          <w:sz w:val="20"/>
        </w:rPr>
        <w:t>In the present case, there were a number of serious features attending the commission of the offence.  As the judge noted, there had been a material degree of planning for the offence, in which the applicant and his co-offenders had studied the work hours of the victim and her husband, had ascertained the name of the victim, and had prepared themselves with disguises including balaclavas.  As an aggravating feature, they selected the home of an elderly couple, and broke into it through the front door. </w:t>
      </w:r>
    </w:p>
    <w:p w14:paraId="6DE89C56" w14:textId="724B0E2A"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[67] </w:t>
      </w:r>
      <w:r w:rsidRPr="00CB6994">
        <w:rPr>
          <w:rFonts w:ascii="Arial" w:hAnsi="Arial" w:cs="Arial"/>
          <w:color w:val="000000"/>
          <w:sz w:val="20"/>
        </w:rPr>
        <w:t>The victim of the offence was particularly vulnerable.  At the time of the offence, she was alone and asleep.</w:t>
      </w:r>
      <w:r w:rsidR="00337CD5">
        <w:rPr>
          <w:rFonts w:ascii="Arial" w:hAnsi="Arial" w:cs="Arial"/>
          <w:color w:val="000000"/>
          <w:sz w:val="20"/>
        </w:rPr>
        <w:t xml:space="preserve">  </w:t>
      </w:r>
      <w:r w:rsidRPr="00CB6994">
        <w:rPr>
          <w:rFonts w:ascii="Arial" w:hAnsi="Arial" w:cs="Arial"/>
          <w:color w:val="000000"/>
          <w:sz w:val="20"/>
        </w:rPr>
        <w:t>The judge accepted that at the time at which he entered the premises, the applicant believed that the victim and her husband were at work.</w:t>
      </w:r>
      <w:r w:rsidR="00337CD5">
        <w:rPr>
          <w:rFonts w:ascii="Arial" w:hAnsi="Arial" w:cs="Arial"/>
          <w:color w:val="000000"/>
          <w:sz w:val="20"/>
        </w:rPr>
        <w:t xml:space="preserve"> </w:t>
      </w:r>
      <w:r w:rsidRPr="00CB6994">
        <w:rPr>
          <w:rFonts w:ascii="Arial" w:hAnsi="Arial" w:cs="Arial"/>
          <w:color w:val="000000"/>
          <w:sz w:val="20"/>
        </w:rPr>
        <w:t xml:space="preserve"> However, he did not choose to depart from the premises when he and his co-offenders ascertained the victim was in it.  While the offence was completed at the time at which the applicant entered the premises, nevertheless it might be inferred, from the fact that the applicant remained in the premises, guarding the victim, that when he entered the premises, he was minded to continue with the home invasion, even if the owner of it was at home. </w:t>
      </w:r>
    </w:p>
    <w:p w14:paraId="57330987" w14:textId="77777777"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[68] </w:t>
      </w:r>
      <w:r w:rsidRPr="00CB6994">
        <w:rPr>
          <w:rFonts w:ascii="Arial" w:hAnsi="Arial" w:cs="Arial"/>
          <w:color w:val="000000"/>
          <w:sz w:val="20"/>
        </w:rPr>
        <w:t>The circumstances, in which the victim was awoken, must have been absolutely terrifying for her.  She found herself, alone, in the middle of the night, surrounded by three strange men clad in disguises including balaclavas.  The applicant’s co-offenders were acting in an aggressive and uncouth manner.  The applicant and his co-offenders invaded her sanctuary, and left her feeling vulnerable and unsafe in her own home.</w:t>
      </w:r>
    </w:p>
    <w:p w14:paraId="4D8D8964" w14:textId="561A68D3" w:rsidR="00CB6994" w:rsidRDefault="00CB6994" w:rsidP="00CB6994">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[69]</w:t>
      </w:r>
      <w:r w:rsidRPr="00CB6994">
        <w:rPr>
          <w:rFonts w:ascii="Arial" w:hAnsi="Arial" w:cs="Arial"/>
          <w:color w:val="000000"/>
          <w:sz w:val="20"/>
        </w:rPr>
        <w:t> One particular aggravating feature of the offending was that the victim was referred to by the offenders by her first name.  Their reference to her name must have added to her feelings of terror and vulnerability, signifying to her that she had been under some form of observation or surveillance by the offenders before they chose to break into her home in the early hours of the morning.</w:t>
      </w:r>
      <w:r w:rsidR="00337CD5">
        <w:rPr>
          <w:rFonts w:ascii="Arial" w:hAnsi="Arial" w:cs="Arial"/>
          <w:color w:val="000000"/>
          <w:sz w:val="20"/>
        </w:rPr>
        <w:t>”</w:t>
      </w:r>
    </w:p>
    <w:p w14:paraId="6D59EDFE" w14:textId="30AB1FF5" w:rsidR="00387DD9" w:rsidRDefault="00387DD9" w:rsidP="00330A4E">
      <w:pPr>
        <w:spacing w:after="20"/>
        <w:jc w:val="both"/>
        <w:rPr>
          <w:rFonts w:ascii="Arial" w:hAnsi="Arial" w:cs="Arial"/>
          <w:sz w:val="20"/>
          <w:szCs w:val="20"/>
        </w:rPr>
      </w:pPr>
    </w:p>
    <w:p w14:paraId="2FF5D7F7" w14:textId="0BE8D644" w:rsidR="00F432F5" w:rsidRDefault="00F432F5" w:rsidP="00F37DAB">
      <w:pPr>
        <w:spacing w:after="20"/>
        <w:jc w:val="both"/>
        <w:rPr>
          <w:rFonts w:ascii="Arial" w:hAnsi="Arial" w:cs="Arial"/>
          <w:sz w:val="20"/>
          <w:szCs w:val="20"/>
        </w:rPr>
      </w:pPr>
      <w:r>
        <w:rPr>
          <w:rFonts w:ascii="Arial" w:hAnsi="Arial" w:cs="Arial"/>
          <w:sz w:val="20"/>
          <w:szCs w:val="20"/>
        </w:rPr>
        <w:t xml:space="preserve">In </w:t>
      </w:r>
      <w:r w:rsidRPr="00F432F5">
        <w:rPr>
          <w:rFonts w:ascii="Arial" w:hAnsi="Arial" w:cs="Arial"/>
          <w:i/>
          <w:iCs/>
          <w:sz w:val="20"/>
          <w:szCs w:val="20"/>
        </w:rPr>
        <w:t>DPP v JK (Sentence)</w:t>
      </w:r>
      <w:r>
        <w:rPr>
          <w:rFonts w:ascii="Arial" w:hAnsi="Arial" w:cs="Arial"/>
          <w:sz w:val="20"/>
          <w:szCs w:val="20"/>
        </w:rPr>
        <w:t xml:space="preserve"> [2020] VSC 510 the </w:t>
      </w:r>
      <w:r w:rsidR="002F5189">
        <w:rPr>
          <w:rFonts w:ascii="Arial" w:hAnsi="Arial" w:cs="Arial"/>
          <w:sz w:val="20"/>
          <w:szCs w:val="20"/>
        </w:rPr>
        <w:t xml:space="preserve">17 year old </w:t>
      </w:r>
      <w:r w:rsidR="00131E2F">
        <w:rPr>
          <w:rFonts w:ascii="Arial" w:hAnsi="Arial" w:cs="Arial"/>
          <w:sz w:val="20"/>
          <w:szCs w:val="20"/>
        </w:rPr>
        <w:t xml:space="preserve">was originally charged with murder but was found not guilty, with the jury hung on manslaughter.  He was re-presented on manslaughter, but this was withdrawn on a pla to home invasion and recklessly causing serious injury.  JK and his friend JF (15 at the time) had entered the victim’s home and attacked him.  JF had a friend who had been sexually abused by her father and </w:t>
      </w:r>
      <w:r w:rsidR="00117286">
        <w:rPr>
          <w:rFonts w:ascii="Arial" w:hAnsi="Arial" w:cs="Arial"/>
          <w:sz w:val="20"/>
          <w:szCs w:val="20"/>
        </w:rPr>
        <w:t>they went to a house to confront the father.  Unfortunately it turned out to be the wrong house.  JK punched the victim to the head and stomped on his leg, fracturing his femur.  JK</w:t>
      </w:r>
      <w:r w:rsidR="00920C16">
        <w:rPr>
          <w:rFonts w:ascii="Arial" w:hAnsi="Arial" w:cs="Arial"/>
          <w:sz w:val="20"/>
          <w:szCs w:val="20"/>
        </w:rPr>
        <w:t> </w:t>
      </w:r>
      <w:r w:rsidR="00117286">
        <w:rPr>
          <w:rFonts w:ascii="Arial" w:hAnsi="Arial" w:cs="Arial"/>
          <w:sz w:val="20"/>
          <w:szCs w:val="20"/>
        </w:rPr>
        <w:t xml:space="preserve">then tried to stop JF as he repeatedly stomped on the victim’s head.  The victim ultimately died from injuries inflicted by JF.  It was conceded that this was a serious example of home invasion and a moderately serious example of recklessly causing serious injury.  JK was sentenced to DET 2y6m on home invasion and 1y on the serious injury charge </w:t>
      </w:r>
      <w:r w:rsidR="00920C16">
        <w:rPr>
          <w:rFonts w:ascii="Arial" w:hAnsi="Arial" w:cs="Arial"/>
          <w:sz w:val="20"/>
          <w:szCs w:val="20"/>
        </w:rPr>
        <w:t>with 6m cumulative, a TES of 3y detention.</w:t>
      </w:r>
    </w:p>
    <w:p w14:paraId="72871974" w14:textId="07110658" w:rsidR="00F432F5" w:rsidRDefault="00F432F5" w:rsidP="00330A4E">
      <w:pPr>
        <w:spacing w:after="20"/>
        <w:jc w:val="both"/>
        <w:rPr>
          <w:rFonts w:ascii="Arial" w:hAnsi="Arial" w:cs="Arial"/>
          <w:sz w:val="20"/>
          <w:szCs w:val="20"/>
        </w:rPr>
      </w:pPr>
    </w:p>
    <w:p w14:paraId="2E354E1B" w14:textId="551FE3B8" w:rsidR="00E05D78" w:rsidRPr="00E05D78" w:rsidRDefault="00E05D78" w:rsidP="00330A4E">
      <w:pPr>
        <w:spacing w:after="20"/>
        <w:jc w:val="both"/>
        <w:rPr>
          <w:rFonts w:ascii="Arial" w:hAnsi="Arial" w:cs="Arial"/>
          <w:sz w:val="20"/>
          <w:szCs w:val="20"/>
        </w:rPr>
      </w:pPr>
      <w:r>
        <w:rPr>
          <w:rFonts w:ascii="Arial" w:hAnsi="Arial" w:cs="Arial"/>
          <w:sz w:val="20"/>
          <w:szCs w:val="20"/>
        </w:rPr>
        <w:t xml:space="preserve">In </w:t>
      </w:r>
      <w:r w:rsidRPr="00E05D78">
        <w:rPr>
          <w:rFonts w:ascii="Arial" w:hAnsi="Arial" w:cs="Arial"/>
          <w:i/>
          <w:iCs/>
          <w:sz w:val="20"/>
          <w:szCs w:val="20"/>
        </w:rPr>
        <w:t>Wright v The King</w:t>
      </w:r>
      <w:r>
        <w:rPr>
          <w:rFonts w:ascii="Arial" w:hAnsi="Arial" w:cs="Arial"/>
          <w:sz w:val="20"/>
          <w:szCs w:val="20"/>
        </w:rPr>
        <w:t xml:space="preserve"> [2023] VSCA 243 – in affirming a sentence of IMP2y6m on a charge of home invastion – Walker &amp; Macaulay JJA referred to the cases of </w:t>
      </w:r>
      <w:r w:rsidRPr="00E05D78">
        <w:rPr>
          <w:rFonts w:ascii="Arial" w:hAnsi="Arial" w:cs="Arial"/>
          <w:i/>
          <w:iCs/>
          <w:sz w:val="20"/>
          <w:szCs w:val="20"/>
        </w:rPr>
        <w:t>Hogarth v R</w:t>
      </w:r>
      <w:r w:rsidRPr="00E05D78">
        <w:rPr>
          <w:rFonts w:ascii="Arial" w:hAnsi="Arial" w:cs="Arial"/>
          <w:sz w:val="20"/>
          <w:szCs w:val="20"/>
        </w:rPr>
        <w:t xml:space="preserve"> (2012) 37 VR 658, [63]; [2012] VSCA 302; </w:t>
      </w:r>
      <w:r w:rsidRPr="00E05D78">
        <w:rPr>
          <w:rFonts w:ascii="Arial" w:hAnsi="Arial" w:cs="Arial"/>
          <w:i/>
          <w:iCs/>
          <w:sz w:val="20"/>
          <w:szCs w:val="20"/>
        </w:rPr>
        <w:t>Taleb v The Queen</w:t>
      </w:r>
      <w:r w:rsidRPr="00E05D78">
        <w:rPr>
          <w:rFonts w:ascii="Arial" w:hAnsi="Arial" w:cs="Arial"/>
          <w:sz w:val="20"/>
          <w:szCs w:val="20"/>
        </w:rPr>
        <w:t xml:space="preserve"> [2020] VSCA 329, [32]; </w:t>
      </w:r>
      <w:r w:rsidRPr="00E05D78">
        <w:rPr>
          <w:rFonts w:ascii="Arial" w:hAnsi="Arial" w:cs="Arial"/>
          <w:i/>
          <w:iCs/>
          <w:sz w:val="20"/>
          <w:szCs w:val="20"/>
        </w:rPr>
        <w:t>Hope v The Queen</w:t>
      </w:r>
      <w:r w:rsidRPr="00E05D78">
        <w:rPr>
          <w:rFonts w:ascii="Arial" w:hAnsi="Arial" w:cs="Arial"/>
          <w:sz w:val="20"/>
          <w:szCs w:val="20"/>
        </w:rPr>
        <w:t xml:space="preserve"> [2021] VSCA 177, [44], [53]; </w:t>
      </w:r>
      <w:r w:rsidRPr="00E05D78">
        <w:rPr>
          <w:rFonts w:ascii="Arial" w:hAnsi="Arial" w:cs="Arial"/>
          <w:i/>
          <w:iCs/>
          <w:sz w:val="20"/>
          <w:szCs w:val="20"/>
        </w:rPr>
        <w:t>Mang v The Queen</w:t>
      </w:r>
      <w:r w:rsidRPr="00E05D78">
        <w:rPr>
          <w:rFonts w:ascii="Arial" w:hAnsi="Arial" w:cs="Arial"/>
          <w:sz w:val="20"/>
          <w:szCs w:val="20"/>
        </w:rPr>
        <w:t xml:space="preserve"> [2022] VSCA 10, [24]–[26]; </w:t>
      </w:r>
      <w:r w:rsidRPr="00E05D78">
        <w:rPr>
          <w:rFonts w:ascii="Arial" w:hAnsi="Arial" w:cs="Arial"/>
          <w:i/>
          <w:iCs/>
          <w:sz w:val="20"/>
          <w:szCs w:val="20"/>
        </w:rPr>
        <w:t>Jackson v The Queen</w:t>
      </w:r>
      <w:r w:rsidRPr="00E05D78">
        <w:rPr>
          <w:rFonts w:ascii="Arial" w:hAnsi="Arial" w:cs="Arial"/>
          <w:sz w:val="20"/>
          <w:szCs w:val="20"/>
        </w:rPr>
        <w:t xml:space="preserve"> [2020] VSCA 95, [157]</w:t>
      </w:r>
      <w:r>
        <w:rPr>
          <w:rFonts w:ascii="Arial" w:hAnsi="Arial" w:cs="Arial"/>
          <w:sz w:val="20"/>
          <w:szCs w:val="20"/>
        </w:rPr>
        <w:t xml:space="preserve"> and said at [88]: “[I]t is </w:t>
      </w:r>
      <w:r w:rsidRPr="00E05D78">
        <w:rPr>
          <w:rFonts w:ascii="Arial" w:hAnsi="Arial" w:cs="Arial"/>
          <w:sz w:val="20"/>
          <w:szCs w:val="20"/>
        </w:rPr>
        <w:t>highly unusual for a sentence of less than 3 years’ imprisonment to be imposed upon an offender for the offence of home invasion. Many sentences were considerably higher.</w:t>
      </w:r>
      <w:r>
        <w:rPr>
          <w:rFonts w:ascii="Arial" w:hAnsi="Arial" w:cs="Arial"/>
          <w:sz w:val="20"/>
          <w:szCs w:val="20"/>
        </w:rPr>
        <w:t>”</w:t>
      </w:r>
    </w:p>
    <w:p w14:paraId="3983C5DF" w14:textId="77777777" w:rsidR="00E05D78" w:rsidRDefault="00E05D78" w:rsidP="00330A4E">
      <w:pPr>
        <w:spacing w:after="20"/>
        <w:jc w:val="both"/>
        <w:rPr>
          <w:rFonts w:ascii="Arial" w:hAnsi="Arial" w:cs="Arial"/>
          <w:sz w:val="20"/>
          <w:szCs w:val="20"/>
        </w:rPr>
      </w:pPr>
    </w:p>
    <w:p w14:paraId="1B333A51" w14:textId="70804AC8" w:rsidR="00330A4E" w:rsidRPr="00387DD9" w:rsidRDefault="0044218F" w:rsidP="00330A4E">
      <w:pPr>
        <w:spacing w:after="20"/>
        <w:jc w:val="both"/>
        <w:rPr>
          <w:rFonts w:ascii="Arial" w:hAnsi="Arial" w:cs="Arial"/>
          <w:sz w:val="20"/>
          <w:szCs w:val="20"/>
        </w:rPr>
      </w:pPr>
      <w:r w:rsidRPr="0044218F">
        <w:rPr>
          <w:rFonts w:ascii="Arial" w:hAnsi="Arial" w:cs="Arial"/>
          <w:sz w:val="20"/>
          <w:szCs w:val="20"/>
        </w:rPr>
        <w:t xml:space="preserve">See also </w:t>
      </w:r>
      <w:r w:rsidR="008615F7" w:rsidRPr="00CB6994">
        <w:rPr>
          <w:rFonts w:ascii="Arial" w:hAnsi="Arial" w:cs="Arial"/>
          <w:bCs/>
          <w:i/>
          <w:iCs/>
          <w:sz w:val="20"/>
          <w:lang w:val="en-US"/>
        </w:rPr>
        <w:t>Hatzis v The Queen</w:t>
      </w:r>
      <w:r w:rsidR="008615F7" w:rsidRPr="00CB6994">
        <w:rPr>
          <w:rFonts w:ascii="Arial" w:hAnsi="Arial" w:cs="Arial"/>
          <w:bCs/>
          <w:sz w:val="20"/>
          <w:lang w:val="en-US"/>
        </w:rPr>
        <w:t xml:space="preserve"> [2021] VSCA 43 at [26]</w:t>
      </w:r>
      <w:r w:rsidR="001E2DE0">
        <w:rPr>
          <w:rFonts w:ascii="Arial" w:hAnsi="Arial" w:cs="Arial"/>
          <w:bCs/>
          <w:sz w:val="20"/>
          <w:lang w:val="en-US"/>
        </w:rPr>
        <w:t xml:space="preserve">; </w:t>
      </w:r>
      <w:r w:rsidR="00DE6D19" w:rsidRPr="007B7730">
        <w:rPr>
          <w:rFonts w:ascii="Arial" w:hAnsi="Arial" w:cs="Arial"/>
          <w:bCs/>
          <w:i/>
          <w:iCs/>
          <w:sz w:val="20"/>
          <w:lang w:val="en-US"/>
        </w:rPr>
        <w:t>DPP v Talbot</w:t>
      </w:r>
      <w:r w:rsidR="00DE6D19">
        <w:rPr>
          <w:rFonts w:ascii="Arial" w:hAnsi="Arial" w:cs="Arial"/>
          <w:bCs/>
          <w:sz w:val="20"/>
          <w:lang w:val="en-US"/>
        </w:rPr>
        <w:t xml:space="preserve"> [2023] VSCA 95 at [</w:t>
      </w:r>
      <w:r w:rsidR="007B7730">
        <w:rPr>
          <w:rFonts w:ascii="Arial" w:hAnsi="Arial" w:cs="Arial"/>
          <w:bCs/>
          <w:sz w:val="20"/>
          <w:lang w:val="en-US"/>
        </w:rPr>
        <w:t>22</w:t>
      </w:r>
      <w:r w:rsidR="00DE6D19">
        <w:rPr>
          <w:rFonts w:ascii="Arial" w:hAnsi="Arial" w:cs="Arial"/>
          <w:bCs/>
          <w:sz w:val="20"/>
          <w:lang w:val="en-US"/>
        </w:rPr>
        <w:t>]</w:t>
      </w:r>
      <w:r w:rsidR="00B651D0">
        <w:rPr>
          <w:rFonts w:ascii="Arial" w:hAnsi="Arial" w:cs="Arial"/>
          <w:bCs/>
          <w:sz w:val="20"/>
          <w:lang w:val="en-US"/>
        </w:rPr>
        <w:t xml:space="preserve">; </w:t>
      </w:r>
      <w:r w:rsidR="00B651D0" w:rsidRPr="00B651D0">
        <w:rPr>
          <w:rFonts w:ascii="Arial" w:hAnsi="Arial" w:cs="Arial"/>
          <w:bCs/>
          <w:i/>
          <w:iCs/>
          <w:sz w:val="20"/>
          <w:lang w:val="en-US"/>
        </w:rPr>
        <w:t>Mattin Nguyen v The King</w:t>
      </w:r>
      <w:r w:rsidR="00B651D0">
        <w:rPr>
          <w:rFonts w:ascii="Arial" w:hAnsi="Arial" w:cs="Arial"/>
          <w:bCs/>
          <w:sz w:val="20"/>
          <w:lang w:val="en-US"/>
        </w:rPr>
        <w:t xml:space="preserve"> [2023] VSCA 206 at [21]-[25]</w:t>
      </w:r>
      <w:r w:rsidR="00B74F4C">
        <w:rPr>
          <w:rFonts w:ascii="Arial" w:hAnsi="Arial" w:cs="Arial"/>
          <w:bCs/>
          <w:sz w:val="20"/>
          <w:lang w:val="en-US"/>
        </w:rPr>
        <w:t xml:space="preserve">; </w:t>
      </w:r>
      <w:r w:rsidR="00B74F4C" w:rsidRPr="00B74F4C">
        <w:rPr>
          <w:rFonts w:ascii="Arial" w:hAnsi="Arial" w:cs="Arial"/>
          <w:bCs/>
          <w:i/>
          <w:iCs/>
          <w:sz w:val="20"/>
          <w:lang w:val="en-US"/>
        </w:rPr>
        <w:t>DPP v Batsanes &amp; Smith</w:t>
      </w:r>
      <w:r w:rsidR="00B74F4C">
        <w:rPr>
          <w:rFonts w:ascii="Arial" w:hAnsi="Arial" w:cs="Arial"/>
          <w:bCs/>
          <w:sz w:val="20"/>
          <w:lang w:val="en-US"/>
        </w:rPr>
        <w:t xml:space="preserve"> [2023] VSC 693</w:t>
      </w:r>
      <w:r w:rsidR="00B651D0">
        <w:rPr>
          <w:rFonts w:ascii="Arial" w:hAnsi="Arial" w:cs="Arial"/>
          <w:bCs/>
          <w:sz w:val="20"/>
          <w:lang w:val="en-US"/>
        </w:rPr>
        <w:t>.</w:t>
      </w:r>
    </w:p>
    <w:p w14:paraId="17A362F9" w14:textId="7426C9B3" w:rsidR="00E20FF9" w:rsidRDefault="00E20FF9" w:rsidP="00E20FF9">
      <w:pPr>
        <w:pStyle w:val="Heading2"/>
        <w:tabs>
          <w:tab w:val="left" w:pos="567"/>
        </w:tabs>
        <w:spacing w:line="240" w:lineRule="auto"/>
        <w:ind w:left="567" w:hanging="567"/>
        <w:rPr>
          <w:rFonts w:ascii="Arial" w:hAnsi="Arial" w:cs="Arial"/>
          <w:bCs/>
          <w:color w:val="000000"/>
          <w:sz w:val="20"/>
        </w:rPr>
      </w:pPr>
      <w:bookmarkStart w:id="712" w:name="_11.2.28_Sentencing_for"/>
      <w:bookmarkEnd w:id="712"/>
    </w:p>
    <w:p w14:paraId="46991CEB"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13" w:name="_D_AGGRAVATED_HOME"/>
      <w:bookmarkEnd w:id="713"/>
      <w:r>
        <w:rPr>
          <w:rFonts w:ascii="Arial" w:hAnsi="Arial" w:cs="Arial"/>
          <w:b/>
          <w:color w:val="FFFFFF"/>
          <w:sz w:val="22"/>
          <w:shd w:val="clear" w:color="auto" w:fill="000000"/>
        </w:rPr>
        <w:t>D</w:t>
      </w:r>
      <w:r>
        <w:rPr>
          <w:rFonts w:ascii="Arial" w:hAnsi="Arial" w:cs="Arial"/>
          <w:b/>
          <w:color w:val="000000"/>
          <w:sz w:val="22"/>
        </w:rPr>
        <w:tab/>
      </w:r>
      <w:r w:rsidR="00E20FF9">
        <w:rPr>
          <w:rFonts w:ascii="Arial" w:hAnsi="Arial" w:cs="Arial"/>
          <w:b/>
          <w:bCs/>
          <w:color w:val="FFFFFF" w:themeColor="background1"/>
          <w:sz w:val="20"/>
          <w:shd w:val="clear" w:color="auto" w:fill="000000" w:themeFill="text1"/>
        </w:rPr>
        <w:t>AGGRAVATED HOME INVASION</w:t>
      </w:r>
    </w:p>
    <w:p w14:paraId="63520A6A" w14:textId="77777777" w:rsidR="00302CF8" w:rsidRPr="001C6E0E" w:rsidRDefault="00E20FF9" w:rsidP="00302CF8">
      <w:pPr>
        <w:jc w:val="both"/>
        <w:rPr>
          <w:rFonts w:ascii="Arial" w:hAnsi="Arial" w:cs="Arial"/>
          <w:color w:val="000000"/>
          <w:sz w:val="20"/>
          <w:szCs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and  screwdrivers.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“He may have been a youthful offender, but the applicant’s offending was nothing less than shocking…[I]t involved a wantonly violent invasion of a family home – where the occupants were entitled to feel safe – by disguised and armed intruders, in circumstances that must have been absolutely terrifying for the…family.”</w:t>
      </w:r>
    </w:p>
    <w:p w14:paraId="03EF8A90" w14:textId="2BF4D98D" w:rsidR="00E20FF9" w:rsidRDefault="00E20FF9" w:rsidP="00902933">
      <w:pPr>
        <w:pStyle w:val="Heading3"/>
        <w:spacing w:line="240" w:lineRule="auto"/>
        <w:rPr>
          <w:rFonts w:ascii="Arial" w:hAnsi="Arial" w:cs="Arial"/>
          <w:color w:val="000000"/>
          <w:sz w:val="20"/>
        </w:rPr>
      </w:pPr>
    </w:p>
    <w:p w14:paraId="3DFEDE02" w14:textId="0B3EC5D1" w:rsidR="0034270F" w:rsidRDefault="0034270F" w:rsidP="00902933">
      <w:pPr>
        <w:pStyle w:val="Heading3"/>
        <w:spacing w:line="240" w:lineRule="auto"/>
        <w:rPr>
          <w:rFonts w:ascii="Arial" w:hAnsi="Arial" w:cs="Arial"/>
          <w:color w:val="000000"/>
          <w:sz w:val="20"/>
        </w:rPr>
      </w:pPr>
      <w:r>
        <w:rPr>
          <w:rFonts w:ascii="Arial" w:hAnsi="Arial" w:cs="Arial"/>
          <w:color w:val="000000"/>
          <w:sz w:val="20"/>
        </w:rPr>
        <w:t xml:space="preserve">In </w:t>
      </w:r>
      <w:r w:rsidRPr="0034270F">
        <w:rPr>
          <w:rFonts w:ascii="Arial" w:hAnsi="Arial" w:cs="Arial"/>
          <w:i/>
          <w:iCs/>
          <w:color w:val="000000"/>
          <w:sz w:val="20"/>
        </w:rPr>
        <w:t>Xian v The King</w:t>
      </w:r>
      <w:r>
        <w:rPr>
          <w:rFonts w:ascii="Arial" w:hAnsi="Arial" w:cs="Arial"/>
          <w:color w:val="000000"/>
          <w:sz w:val="20"/>
        </w:rPr>
        <w:t xml:space="preserve"> [2024] VSCA 227 the appellant – who was aged 18 at the time of the offending </w:t>
      </w:r>
      <w:r w:rsidR="008F0605">
        <w:rPr>
          <w:rFonts w:ascii="Arial" w:hAnsi="Arial" w:cs="Arial"/>
          <w:color w:val="000000"/>
          <w:sz w:val="20"/>
        </w:rPr>
        <w:t xml:space="preserve">and had no prior criminal history </w:t>
      </w:r>
      <w:r>
        <w:rPr>
          <w:rFonts w:ascii="Arial" w:hAnsi="Arial" w:cs="Arial"/>
          <w:color w:val="000000"/>
          <w:sz w:val="20"/>
        </w:rPr>
        <w:t>– had pleaded guilty to aggravated home invasion, damaging property, aggravated burglary and attempted aggravated burglary.  The offending was against the backdrop of violent incidents involving two youth gangs.  The appellant was sentenced to TES IMP5y6m/3y, of which IMP4y was imposed on the charge of aggravated home invasion.  Subsequent to being sentenced the Adult Parole Board had transferred the appellant to a youth justice centre.  In</w:t>
      </w:r>
      <w:r w:rsidR="008F0605">
        <w:rPr>
          <w:rFonts w:ascii="Arial" w:hAnsi="Arial" w:cs="Arial"/>
          <w:color w:val="000000"/>
          <w:sz w:val="20"/>
        </w:rPr>
        <w:t> </w:t>
      </w:r>
      <w:r>
        <w:rPr>
          <w:rFonts w:ascii="Arial" w:hAnsi="Arial" w:cs="Arial"/>
          <w:color w:val="000000"/>
          <w:sz w:val="20"/>
        </w:rPr>
        <w:t>dismissing the appeal, the Court of Appeal (Boyce &amp; Orr JJA) said at [93]:</w:t>
      </w:r>
    </w:p>
    <w:p w14:paraId="2DBD16C4" w14:textId="56F947DF" w:rsidR="0034270F" w:rsidRDefault="0034270F" w:rsidP="008F0605">
      <w:pPr>
        <w:pStyle w:val="Normal-Indent"/>
        <w:widowControl/>
        <w:spacing w:before="60" w:line="240" w:lineRule="auto"/>
        <w:ind w:left="567" w:right="567"/>
        <w:rPr>
          <w:rFonts w:ascii="Arial" w:hAnsi="Arial" w:cs="Arial"/>
          <w:color w:val="000000" w:themeColor="text1"/>
          <w:sz w:val="20"/>
        </w:rPr>
      </w:pPr>
      <w:r>
        <w:rPr>
          <w:rFonts w:ascii="Arial" w:hAnsi="Arial" w:cs="Arial"/>
          <w:color w:val="000000" w:themeColor="text1"/>
          <w:sz w:val="20"/>
        </w:rPr>
        <w:t>“</w:t>
      </w:r>
      <w:r w:rsidRPr="0034270F">
        <w:rPr>
          <w:rFonts w:ascii="Arial" w:hAnsi="Arial" w:cs="Arial"/>
          <w:color w:val="000000"/>
          <w:sz w:val="20"/>
        </w:rPr>
        <w:t>In all of the circumstances, we are not persuaded that a lesser sentence should be imposed</w:t>
      </w:r>
      <w:r>
        <w:rPr>
          <w:rFonts w:ascii="Arial" w:hAnsi="Arial" w:cs="Arial"/>
          <w:color w:val="000000"/>
          <w:sz w:val="20"/>
        </w:rPr>
        <w:t xml:space="preserve">: see </w:t>
      </w:r>
      <w:r w:rsidRPr="0034270F">
        <w:rPr>
          <w:rFonts w:ascii="Arial" w:hAnsi="Arial" w:cs="Arial"/>
          <w:color w:val="000000"/>
          <w:sz w:val="20"/>
        </w:rPr>
        <w:t>Criminal Procedure Act 2009 s 281(1)(b)</w:t>
      </w:r>
      <w:r>
        <w:rPr>
          <w:rFonts w:ascii="Arial" w:hAnsi="Arial" w:cs="Arial"/>
          <w:color w:val="000000"/>
          <w:sz w:val="20"/>
        </w:rPr>
        <w:t xml:space="preserve"> and</w:t>
      </w:r>
      <w:r w:rsidRPr="0034270F">
        <w:rPr>
          <w:rFonts w:ascii="Arial" w:hAnsi="Arial" w:cs="Arial"/>
          <w:color w:val="000000"/>
          <w:sz w:val="20"/>
        </w:rPr>
        <w:t xml:space="preserve"> </w:t>
      </w:r>
      <w:r w:rsidRPr="0034270F">
        <w:rPr>
          <w:rFonts w:ascii="Arial" w:hAnsi="Arial" w:cs="Arial"/>
          <w:i/>
          <w:iCs/>
          <w:color w:val="000000"/>
          <w:sz w:val="20"/>
        </w:rPr>
        <w:t>Kentwell v The Queen</w:t>
      </w:r>
      <w:r w:rsidRPr="0034270F">
        <w:rPr>
          <w:rFonts w:ascii="Arial" w:hAnsi="Arial" w:cs="Arial"/>
          <w:color w:val="000000"/>
          <w:sz w:val="20"/>
        </w:rPr>
        <w:t xml:space="preserve"> (2014) 252 CLR 601, 617–19 [42]–[43]; [2014] HCA 37</w:t>
      </w:r>
      <w:r w:rsidR="00B348D4">
        <w:rPr>
          <w:rFonts w:ascii="Arial" w:hAnsi="Arial" w:cs="Arial"/>
          <w:color w:val="000000"/>
          <w:sz w:val="20"/>
        </w:rPr>
        <w:t>.</w:t>
      </w:r>
      <w:r>
        <w:rPr>
          <w:rFonts w:ascii="Arial" w:hAnsi="Arial" w:cs="Arial"/>
          <w:color w:val="000000"/>
          <w:sz w:val="20"/>
        </w:rPr>
        <w:t xml:space="preserve"> </w:t>
      </w:r>
      <w:r w:rsidR="00B348D4">
        <w:rPr>
          <w:rFonts w:ascii="Arial" w:hAnsi="Arial" w:cs="Arial"/>
          <w:color w:val="000000"/>
          <w:sz w:val="20"/>
        </w:rPr>
        <w:t xml:space="preserve"> </w:t>
      </w:r>
      <w:r w:rsidRPr="0034270F">
        <w:rPr>
          <w:rFonts w:ascii="Arial" w:hAnsi="Arial" w:cs="Arial"/>
          <w:color w:val="000000"/>
          <w:sz w:val="20"/>
        </w:rPr>
        <w:t>As the respondent submitted, the appellant’s offending was especially grave. It was committed in a large group in the early hours of the morning, with the intention of terrorising the occupants of three separate homes. The appellant was wielding a metal baseball bat. The attacks were committed with ferocity and callousness. During the attacks on the first and second houses, there were young children at home. The victims have undergone significant and lasting trauma as a result of the offending. As we have said, offending of this kind strikes at the foundation of a civilised society, and considerations of general deterrence and denunciation must loom large.</w:t>
      </w:r>
      <w:r>
        <w:rPr>
          <w:rFonts w:ascii="Arial" w:hAnsi="Arial" w:cs="Arial"/>
          <w:color w:val="000000"/>
          <w:sz w:val="20"/>
        </w:rPr>
        <w:t>”</w:t>
      </w:r>
    </w:p>
    <w:p w14:paraId="7EEE3D0C" w14:textId="77777777" w:rsidR="000A7B05" w:rsidRDefault="000A7B05" w:rsidP="00902933">
      <w:pPr>
        <w:pStyle w:val="Heading3"/>
        <w:spacing w:line="240" w:lineRule="auto"/>
        <w:rPr>
          <w:rFonts w:ascii="Arial" w:hAnsi="Arial" w:cs="Arial"/>
          <w:color w:val="000000"/>
          <w:sz w:val="20"/>
        </w:rPr>
      </w:pPr>
    </w:p>
    <w:p w14:paraId="04B2C808" w14:textId="05FEBD25" w:rsidR="00B348D4" w:rsidRDefault="00B348D4" w:rsidP="00902933">
      <w:pPr>
        <w:pStyle w:val="Heading3"/>
        <w:spacing w:line="240" w:lineRule="auto"/>
        <w:rPr>
          <w:rFonts w:ascii="Arial" w:hAnsi="Arial" w:cs="Arial"/>
          <w:color w:val="000000"/>
          <w:sz w:val="20"/>
        </w:rPr>
      </w:pPr>
      <w:r>
        <w:rPr>
          <w:rFonts w:ascii="Arial" w:hAnsi="Arial" w:cs="Arial"/>
          <w:color w:val="000000"/>
          <w:sz w:val="20"/>
        </w:rPr>
        <w:t xml:space="preserve">See also </w:t>
      </w:r>
      <w:r w:rsidRPr="000A7B05">
        <w:rPr>
          <w:rFonts w:ascii="Arial" w:hAnsi="Arial" w:cs="Arial"/>
          <w:i/>
          <w:iCs/>
          <w:color w:val="000000"/>
          <w:sz w:val="20"/>
        </w:rPr>
        <w:t>DPP v Wol</w:t>
      </w:r>
      <w:r w:rsidRPr="000A7B05">
        <w:rPr>
          <w:rFonts w:ascii="Arial" w:hAnsi="Arial" w:cs="Arial"/>
          <w:color w:val="000000"/>
          <w:sz w:val="20"/>
        </w:rPr>
        <w:t xml:space="preserve"> [2019] VSCA 268</w:t>
      </w:r>
      <w:r>
        <w:rPr>
          <w:rFonts w:ascii="Arial" w:hAnsi="Arial" w:cs="Arial"/>
          <w:color w:val="000000"/>
          <w:sz w:val="20"/>
        </w:rPr>
        <w:t xml:space="preserve">; </w:t>
      </w:r>
      <w:r w:rsidRPr="002A56D4">
        <w:rPr>
          <w:rFonts w:ascii="Arial" w:hAnsi="Arial" w:cs="Arial"/>
          <w:i/>
          <w:iCs/>
          <w:color w:val="000000"/>
          <w:sz w:val="20"/>
        </w:rPr>
        <w:t>Brendan Lowell (a pseudonym) v The Queen</w:t>
      </w:r>
      <w:r>
        <w:rPr>
          <w:rFonts w:ascii="Arial" w:hAnsi="Arial" w:cs="Arial"/>
          <w:color w:val="000000"/>
          <w:sz w:val="20"/>
        </w:rPr>
        <w:t xml:space="preserve"> [2022] VSCA 134 </w:t>
      </w:r>
      <w:r w:rsidRPr="002A56D4">
        <w:rPr>
          <w:rFonts w:ascii="Arial" w:hAnsi="Arial" w:cs="Arial"/>
          <w:color w:val="000000"/>
          <w:sz w:val="20"/>
        </w:rPr>
        <w:t xml:space="preserve">where the offending is detailed at [4] and described as </w:t>
      </w:r>
      <w:r>
        <w:rPr>
          <w:rFonts w:ascii="Arial" w:hAnsi="Arial" w:cs="Arial"/>
          <w:color w:val="000000"/>
          <w:sz w:val="20"/>
        </w:rPr>
        <w:t>‘</w:t>
      </w:r>
      <w:r w:rsidRPr="002A56D4">
        <w:rPr>
          <w:rFonts w:ascii="Arial" w:hAnsi="Arial" w:cs="Arial"/>
          <w:color w:val="000000"/>
          <w:sz w:val="20"/>
        </w:rPr>
        <w:t>grave</w:t>
      </w:r>
      <w:r>
        <w:rPr>
          <w:rFonts w:ascii="Arial" w:hAnsi="Arial" w:cs="Arial"/>
          <w:color w:val="000000"/>
          <w:sz w:val="20"/>
        </w:rPr>
        <w:t>’</w:t>
      </w:r>
      <w:r w:rsidRPr="002A56D4">
        <w:rPr>
          <w:rFonts w:ascii="Arial" w:hAnsi="Arial" w:cs="Arial"/>
          <w:color w:val="000000"/>
          <w:sz w:val="20"/>
        </w:rPr>
        <w:t xml:space="preserve">, </w:t>
      </w:r>
      <w:r>
        <w:rPr>
          <w:rFonts w:ascii="Arial" w:hAnsi="Arial" w:cs="Arial"/>
          <w:color w:val="000000"/>
          <w:sz w:val="20"/>
        </w:rPr>
        <w:t>‘</w:t>
      </w:r>
      <w:r w:rsidRPr="002A56D4">
        <w:rPr>
          <w:rFonts w:ascii="Arial" w:hAnsi="Arial" w:cs="Arial"/>
          <w:sz w:val="20"/>
        </w:rPr>
        <w:t>an extremely serious example of aggravated home invasion</w:t>
      </w:r>
      <w:r>
        <w:rPr>
          <w:rFonts w:ascii="Arial" w:hAnsi="Arial" w:cs="Arial"/>
          <w:sz w:val="20"/>
        </w:rPr>
        <w:t>’</w:t>
      </w:r>
      <w:r w:rsidRPr="002A56D4">
        <w:rPr>
          <w:rFonts w:ascii="Arial" w:hAnsi="Arial" w:cs="Arial"/>
          <w:color w:val="000000"/>
          <w:sz w:val="20"/>
        </w:rPr>
        <w:t xml:space="preserve"> and </w:t>
      </w:r>
      <w:r>
        <w:rPr>
          <w:rFonts w:ascii="Arial" w:hAnsi="Arial" w:cs="Arial"/>
          <w:color w:val="000000"/>
          <w:sz w:val="20"/>
        </w:rPr>
        <w:t>‘dreadful’</w:t>
      </w:r>
      <w:r w:rsidRPr="002A56D4">
        <w:rPr>
          <w:rFonts w:ascii="Arial" w:hAnsi="Arial" w:cs="Arial"/>
          <w:color w:val="000000"/>
          <w:sz w:val="20"/>
        </w:rPr>
        <w:t>.</w:t>
      </w:r>
    </w:p>
    <w:p w14:paraId="6392AB72" w14:textId="77777777" w:rsidR="00B348D4" w:rsidRPr="000A7B05" w:rsidRDefault="00B348D4"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bookmarkStart w:id="714" w:name="_11.2.28_Sentencing_for_1"/>
      <w:bookmarkEnd w:id="714"/>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715" w:name="_11.2.28.1__"/>
      <w:bookmarkEnd w:id="715"/>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 xml:space="preserve">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w:t>
      </w:r>
      <w:r w:rsidRPr="00CE40FD">
        <w:rPr>
          <w:rFonts w:ascii="Arial" w:hAnsi="Arial" w:cs="Arial"/>
          <w:sz w:val="20"/>
          <w:szCs w:val="18"/>
        </w:rPr>
        <w:lastRenderedPageBreak/>
        <w:t>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Bongiorno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Avci</w:t>
      </w:r>
      <w:r w:rsidRPr="001C6E0E">
        <w:rPr>
          <w:rFonts w:ascii="Arial" w:hAnsi="Arial" w:cs="Arial"/>
          <w:color w:val="000000"/>
          <w:sz w:val="20"/>
        </w:rPr>
        <w:t xml:space="preserve"> [2008] VSCA 256 the </w:t>
      </w:r>
      <w:r w:rsidR="00C23CE4" w:rsidRPr="001C6E0E">
        <w:rPr>
          <w:rFonts w:ascii="Arial" w:hAnsi="Arial" w:cs="Arial"/>
          <w:color w:val="000000"/>
          <w:sz w:val="20"/>
        </w:rPr>
        <w:t>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State">
        <w:smartTag w:uri="urn:schemas-microsoft-com:office:smarttags" w:element="plac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Southwell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R v Vaitos</w:t>
      </w:r>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DPP v Avci</w:t>
      </w:r>
      <w:r w:rsidRPr="001C6E0E">
        <w:rPr>
          <w:rFonts w:ascii="Arial" w:hAnsi="Arial" w:cs="Arial"/>
          <w:color w:val="000000"/>
          <w:sz w:val="20"/>
        </w:rPr>
        <w:t xml:space="preserve"> and the following dicta of Crockett &amp; Southwell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655875">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“[C]ommunity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Bongiorno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R v Sibic</w:t>
      </w:r>
      <w:r w:rsidRPr="001C6E0E">
        <w:rPr>
          <w:rFonts w:ascii="Arial" w:hAnsi="Arial" w:cs="Arial"/>
          <w:color w:val="000000"/>
          <w:sz w:val="20"/>
        </w:rPr>
        <w:t xml:space="preserve"> (2006) 168 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716"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DPP v Devaldez</w:t>
      </w:r>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716"/>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717"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717"/>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556C165B" w:rsidR="00F61D70" w:rsidRPr="001C6E0E" w:rsidRDefault="00CD0083" w:rsidP="00766866">
      <w:pPr>
        <w:jc w:val="both"/>
        <w:rPr>
          <w:rFonts w:ascii="Arial" w:hAnsi="Arial" w:cs="Arial"/>
          <w:color w:val="000000"/>
          <w:sz w:val="20"/>
        </w:rPr>
      </w:pPr>
      <w:r w:rsidRPr="001C6E0E">
        <w:rPr>
          <w:rFonts w:ascii="Arial" w:hAnsi="Arial" w:cs="Arial"/>
          <w:bCs/>
          <w:color w:val="000000"/>
          <w:sz w:val="20"/>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007C7E43">
        <w:rPr>
          <w:rFonts w:ascii="Arial" w:hAnsi="Arial" w:cs="Arial"/>
          <w:bCs/>
          <w:color w:val="000000"/>
          <w:sz w:val="20"/>
        </w:rPr>
        <w:t xml:space="preserve">the Court of Appeal </w:t>
      </w:r>
      <w:r w:rsidRPr="001C6E0E">
        <w:rPr>
          <w:rFonts w:ascii="Arial" w:hAnsi="Arial" w:cs="Arial"/>
          <w:bCs/>
          <w:color w:val="000000"/>
          <w:sz w:val="20"/>
        </w:rPr>
        <w:t xml:space="preserve">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BA155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Winneke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R v Yankovski</w:t>
      </w:r>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xml:space="preserve">] the Court of Appeal said that but for the constrains of current sentencing practice and the requirement for </w:t>
      </w:r>
      <w:r w:rsidR="00C925CD" w:rsidRPr="001C6E0E">
        <w:rPr>
          <w:rFonts w:ascii="Arial" w:hAnsi="Arial" w:cs="Arial"/>
          <w:bCs/>
          <w:color w:val="000000"/>
          <w:sz w:val="20"/>
        </w:rPr>
        <w:lastRenderedPageBreak/>
        <w:t>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77777777"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Extracts from the majority judgment are set out in 11.1.3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Wales.  On the NSW charges he had been sentenced to IMP 11y/7y.  On the Victorian charges he was sentenced to IMP13y4m of whch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38 year old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referred to in </w:t>
      </w:r>
      <w:r w:rsidRPr="00B7176E">
        <w:rPr>
          <w:rFonts w:ascii="Arial" w:eastAsia="Book Antiqua" w:hAnsi="Arial" w:cs="Arial"/>
          <w:i/>
          <w:sz w:val="20"/>
        </w:rPr>
        <w:t xml:space="preserve">Jurj </w:t>
      </w:r>
      <w:r w:rsidRPr="00B7176E">
        <w:rPr>
          <w:rFonts w:ascii="Arial" w:hAnsi="Arial" w:cs="Arial"/>
          <w:sz w:val="20"/>
        </w:rPr>
        <w:t xml:space="preserve">are absent.  The offender did act alone, no weapon was used, and no injuries were inflicted apart from the temporary unconsciousness and the inevitable psychological impact of offending of this kind.  But the features set out by this Court in </w:t>
      </w:r>
      <w:r w:rsidRPr="00B7176E">
        <w:rPr>
          <w:rFonts w:ascii="Arial" w:eastAsia="Book Antiqua" w:hAnsi="Arial" w:cs="Arial"/>
          <w:i/>
          <w:sz w:val="20"/>
        </w:rPr>
        <w:t>Jurj</w:t>
      </w:r>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Jurj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r w:rsidRPr="00B7176E">
        <w:rPr>
          <w:rFonts w:ascii="Arial" w:eastAsia="Book Antiqua" w:hAnsi="Arial" w:cs="Arial"/>
          <w:i/>
          <w:sz w:val="20"/>
        </w:rPr>
        <w:t xml:space="preserve">Pasinis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Jayadev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xml:space="preserve">, 3 charges of assault and one charge of threat to kill. The rapes were categorized as “Forcible rapes with violence – Humiliating and degrading treatment – Breach of trust – Vulnerable victim – Severe victim impact”.  Holding that </w:t>
      </w:r>
      <w:r w:rsidRPr="009D021F">
        <w:rPr>
          <w:rFonts w:ascii="Arial" w:hAnsi="Arial" w:cs="Arial"/>
          <w:sz w:val="20"/>
          <w:szCs w:val="20"/>
          <w:lang w:val="en-US"/>
        </w:rPr>
        <w:lastRenderedPageBreak/>
        <w:t>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appellant’s.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appellant’s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5D2571B9" w14:textId="79256DFA" w:rsidR="00302CF8" w:rsidRPr="001C6E0E" w:rsidRDefault="009261F3" w:rsidP="00302CF8">
      <w:pPr>
        <w:jc w:val="both"/>
        <w:rPr>
          <w:rFonts w:ascii="Arial" w:hAnsi="Arial" w:cs="Arial"/>
          <w:color w:val="000000"/>
          <w:sz w:val="20"/>
          <w:szCs w:val="20"/>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does not sit comfortably 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r w:rsidR="009A39CC" w:rsidRPr="006F7F20">
        <w:rPr>
          <w:rFonts w:ascii="Arial" w:hAnsi="Arial" w:cs="Arial"/>
          <w:i/>
          <w:iCs/>
          <w:sz w:val="20"/>
        </w:rPr>
        <w:t>Ibbs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DPP v Dalgliesh</w:t>
      </w:r>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Hasan v The Queen</w:t>
      </w:r>
      <w:r w:rsidR="006F7F20" w:rsidRPr="006F7F20">
        <w:rPr>
          <w:rFonts w:ascii="Arial" w:hAnsi="Arial" w:cs="Arial"/>
          <w:sz w:val="20"/>
        </w:rPr>
        <w:t xml:space="preserve"> (2010) 31 VR 28</w:t>
      </w:r>
      <w:r w:rsidR="007C7E43">
        <w:rPr>
          <w:rFonts w:ascii="Arial" w:hAnsi="Arial" w:cs="Arial"/>
          <w:sz w:val="20"/>
        </w:rPr>
        <w:t xml:space="preserve">; </w:t>
      </w:r>
      <w:r w:rsidR="007C7E43" w:rsidRPr="001C6E0E">
        <w:rPr>
          <w:rFonts w:ascii="Arial" w:hAnsi="Arial" w:cs="Arial"/>
          <w:color w:val="000000"/>
          <w:sz w:val="20"/>
        </w:rPr>
        <w:t>[2010] VSCA 352</w:t>
      </w:r>
      <w:r w:rsidR="007C7E43" w:rsidRPr="001C6E0E">
        <w:rPr>
          <w:rFonts w:ascii="Arial" w:hAnsi="Arial" w:cs="Arial"/>
          <w:bCs/>
          <w:color w:val="000000"/>
          <w:sz w:val="20"/>
        </w:rPr>
        <w:t xml:space="preserve"> </w:t>
      </w:r>
      <w:r w:rsidR="006F7F20">
        <w:rPr>
          <w:rFonts w:ascii="Arial" w:hAnsi="Arial" w:cs="Arial"/>
          <w:sz w:val="20"/>
        </w:rPr>
        <w:t xml:space="preserve">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57671952" w14:textId="05146A95" w:rsidR="00EA745D" w:rsidRDefault="00EA745D" w:rsidP="00787124">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EA745D">
        <w:rPr>
          <w:rFonts w:ascii="Arial" w:hAnsi="Arial" w:cs="Arial"/>
          <w:bCs/>
          <w:i/>
          <w:iCs/>
          <w:color w:val="000000"/>
          <w:sz w:val="20"/>
          <w:lang w:val="en-US"/>
        </w:rPr>
        <w:t>DPP v Sharp</w:t>
      </w:r>
      <w:r>
        <w:rPr>
          <w:rFonts w:ascii="Arial" w:hAnsi="Arial" w:cs="Arial"/>
          <w:bCs/>
          <w:color w:val="000000"/>
          <w:sz w:val="20"/>
          <w:lang w:val="en-US"/>
        </w:rPr>
        <w:t xml:space="preserve"> [2024] VSCA 24 the </w:t>
      </w:r>
      <w:r w:rsidR="00AF475E">
        <w:rPr>
          <w:rFonts w:ascii="Arial" w:hAnsi="Arial" w:cs="Arial"/>
          <w:bCs/>
          <w:color w:val="000000"/>
          <w:sz w:val="20"/>
          <w:lang w:val="en-US"/>
        </w:rPr>
        <w:t xml:space="preserve">32-year old </w:t>
      </w:r>
      <w:r>
        <w:rPr>
          <w:rFonts w:ascii="Arial" w:hAnsi="Arial" w:cs="Arial"/>
          <w:bCs/>
          <w:color w:val="000000"/>
          <w:sz w:val="20"/>
          <w:lang w:val="en-US"/>
        </w:rPr>
        <w:t xml:space="preserve">respondent had been sentenced </w:t>
      </w:r>
      <w:r w:rsidR="00AF475E">
        <w:rPr>
          <w:rFonts w:ascii="Arial" w:hAnsi="Arial" w:cs="Arial"/>
          <w:bCs/>
          <w:color w:val="000000"/>
          <w:sz w:val="20"/>
          <w:lang w:val="en-US"/>
        </w:rPr>
        <w:t>to a TES IMP3y of which 2y was suspended for 3y on charges of rape (IMP3y), false imprisonment (IMP8m) and common law assault (IMP2m) which he had committed at the age of 19.</w:t>
      </w:r>
      <w:r w:rsidR="00787124">
        <w:rPr>
          <w:rFonts w:ascii="Arial" w:hAnsi="Arial" w:cs="Arial"/>
          <w:bCs/>
          <w:color w:val="000000"/>
          <w:sz w:val="20"/>
          <w:lang w:val="en-US"/>
        </w:rPr>
        <w:t xml:space="preserve">  </w:t>
      </w:r>
      <w:r w:rsidR="00AF475E">
        <w:rPr>
          <w:rFonts w:ascii="Arial" w:hAnsi="Arial" w:cs="Arial"/>
          <w:bCs/>
          <w:color w:val="000000"/>
          <w:sz w:val="20"/>
          <w:lang w:val="en-US"/>
        </w:rPr>
        <w:t>The Court of Appeal allowed the Director’s appeal</w:t>
      </w:r>
      <w:r w:rsidR="00787124">
        <w:rPr>
          <w:rFonts w:ascii="Arial" w:hAnsi="Arial" w:cs="Arial"/>
          <w:bCs/>
          <w:color w:val="000000"/>
          <w:sz w:val="20"/>
          <w:lang w:val="en-US"/>
        </w:rPr>
        <w:t xml:space="preserve"> and re-sentenced the respondent to a TES IMP5y4m/3y comprised of IMP5y on the charge of rape and ordering that 3m of the IMP on false imprisonment and 1m of the IMP on common law assault be cumulative.  At [45]-[48] Niall JA, Boyce &amp; T Forrest JJA said:</w:t>
      </w:r>
    </w:p>
    <w:p w14:paraId="6A942FDE" w14:textId="1A36CF7B"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[45] “</w:t>
      </w:r>
      <w:r w:rsidRPr="00EA745D">
        <w:rPr>
          <w:rFonts w:ascii="Arial" w:hAnsi="Arial" w:cs="Arial"/>
          <w:sz w:val="20"/>
          <w:szCs w:val="16"/>
        </w:rPr>
        <w:t>As already noted, a partially suspended sentence was a legal option here, so long as the length of the total sentence did not exceed three years. But was it really ever open in this case to impose a total-effective term of no longer than three years? Given that the sentence imposed on the rape charge was three years’ imprisonment, and in light of the fact that all the other sentences were ordered to run concurrently with the rape sentence, this question may be answered simply by asking whether it was reasonably open to the sentencing judge to impose a three-year term for the respondent’s commission of the rape.</w:t>
      </w:r>
    </w:p>
    <w:p w14:paraId="27D6A6E2" w14:textId="79D82DE5"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w:t>
      </w:r>
      <w:r w:rsidRPr="00EA745D">
        <w:rPr>
          <w:rFonts w:ascii="Arial" w:hAnsi="Arial" w:cs="Arial"/>
          <w:sz w:val="20"/>
          <w:szCs w:val="16"/>
        </w:rPr>
        <w:t>46</w:t>
      </w:r>
      <w:r>
        <w:rPr>
          <w:rFonts w:ascii="Arial" w:hAnsi="Arial" w:cs="Arial"/>
          <w:sz w:val="20"/>
          <w:szCs w:val="16"/>
        </w:rPr>
        <w:t>]</w:t>
      </w:r>
      <w:r w:rsidRPr="00EA745D">
        <w:rPr>
          <w:rFonts w:ascii="Arial" w:hAnsi="Arial" w:cs="Arial"/>
          <w:sz w:val="20"/>
          <w:szCs w:val="16"/>
        </w:rPr>
        <w:t xml:space="preserve"> Quite simply, we do not think that it was. Affording the respondent all the benefit that must accrue to him on account of delay, achieved rehabilitation</w:t>
      </w:r>
      <w:r>
        <w:rPr>
          <w:rFonts w:ascii="Arial" w:hAnsi="Arial" w:cs="Arial"/>
          <w:sz w:val="20"/>
          <w:szCs w:val="16"/>
        </w:rPr>
        <w:t xml:space="preserve"> {</w:t>
      </w:r>
      <w:r w:rsidRPr="00EA745D">
        <w:rPr>
          <w:rFonts w:ascii="Arial" w:hAnsi="Arial" w:cs="Arial"/>
          <w:i/>
          <w:iCs/>
          <w:sz w:val="20"/>
          <w:szCs w:val="16"/>
        </w:rPr>
        <w:t>R v MWH</w:t>
      </w:r>
      <w:r w:rsidRPr="00EA745D">
        <w:rPr>
          <w:rFonts w:ascii="Arial" w:hAnsi="Arial" w:cs="Arial"/>
          <w:sz w:val="20"/>
          <w:szCs w:val="16"/>
        </w:rPr>
        <w:t xml:space="preserve"> [2001] VSCA 197, [18]</w:t>
      </w:r>
      <w:r>
        <w:rPr>
          <w:rFonts w:ascii="Arial" w:hAnsi="Arial" w:cs="Arial"/>
          <w:sz w:val="20"/>
          <w:szCs w:val="16"/>
        </w:rPr>
        <w:t>},</w:t>
      </w:r>
      <w:r w:rsidRPr="00EA745D">
        <w:rPr>
          <w:rFonts w:ascii="Arial" w:hAnsi="Arial" w:cs="Arial"/>
          <w:sz w:val="20"/>
          <w:szCs w:val="16"/>
        </w:rPr>
        <w:t xml:space="preserve"> the Crown concession concerning the respondent’s lack of responsibility for delay, totality, as well as the respondent’s age at the time of the crime’s commission</w:t>
      </w:r>
      <w:r w:rsidR="00AF475E">
        <w:rPr>
          <w:rFonts w:ascii="Arial" w:hAnsi="Arial" w:cs="Arial"/>
          <w:sz w:val="20"/>
          <w:szCs w:val="16"/>
        </w:rPr>
        <w:t xml:space="preserve"> {</w:t>
      </w:r>
      <w:r w:rsidR="00AF475E" w:rsidRPr="00AF475E">
        <w:rPr>
          <w:rFonts w:ascii="Arial" w:hAnsi="Arial" w:cs="Arial"/>
          <w:i/>
          <w:iCs/>
          <w:sz w:val="20"/>
          <w:szCs w:val="16"/>
        </w:rPr>
        <w:t>R v Boland</w:t>
      </w:r>
      <w:r w:rsidR="00AF475E" w:rsidRPr="00EA745D">
        <w:rPr>
          <w:rFonts w:ascii="Arial" w:hAnsi="Arial" w:cs="Arial"/>
          <w:sz w:val="20"/>
          <w:szCs w:val="16"/>
        </w:rPr>
        <w:t xml:space="preserve"> (2007) 17 VR 300, 303-4 [15]–[16]</w:t>
      </w:r>
      <w:r w:rsidR="00AF475E">
        <w:rPr>
          <w:rFonts w:ascii="Arial" w:hAnsi="Arial" w:cs="Arial"/>
          <w:sz w:val="20"/>
          <w:szCs w:val="16"/>
        </w:rPr>
        <w:t>}</w:t>
      </w:r>
      <w:r w:rsidRPr="00EA745D">
        <w:rPr>
          <w:rFonts w:ascii="Arial" w:hAnsi="Arial" w:cs="Arial"/>
          <w:sz w:val="20"/>
          <w:szCs w:val="16"/>
        </w:rPr>
        <w:t>; where the legislature has set an applicable maximum penalty of 25 years’ imprisonment and where the respondent could claim no mitigation on account of remorse or a plea of guilty, it seems to us that a sentence of three years’ imprisonment for this rape entirely fails to reflect the objective seriousness of the offending and the consequent need for general deterrence and denunciation.</w:t>
      </w:r>
    </w:p>
    <w:p w14:paraId="52D36C7A" w14:textId="7B499238"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w:t>
      </w:r>
      <w:r w:rsidRPr="00EA745D">
        <w:rPr>
          <w:rFonts w:ascii="Arial" w:hAnsi="Arial" w:cs="Arial"/>
          <w:sz w:val="20"/>
          <w:szCs w:val="16"/>
        </w:rPr>
        <w:t>47</w:t>
      </w:r>
      <w:r>
        <w:rPr>
          <w:rFonts w:ascii="Arial" w:hAnsi="Arial" w:cs="Arial"/>
          <w:sz w:val="20"/>
          <w:szCs w:val="16"/>
        </w:rPr>
        <w:t>]</w:t>
      </w:r>
      <w:r w:rsidRPr="00EA745D">
        <w:rPr>
          <w:rFonts w:ascii="Arial" w:hAnsi="Arial" w:cs="Arial"/>
          <w:sz w:val="20"/>
          <w:szCs w:val="16"/>
        </w:rPr>
        <w:t xml:space="preserve"> The rape in this case came at the tail-end of what must already have been a terrifying ordeal for the complainant. The complainant was bundled against her will, at night, into a van and driven away from her home by three men. Along the way she was assaulted. She was taken, ultimately, to a place of relative seclusion. There she was raped by the respondent, over a not insignificant period of time, and also made to suffer the indignity of being told that she might at least sound like she were enjoying herself. The other two men stood by the van while this was happening. The complainant was 17. She was, in fact, in Year 11.</w:t>
      </w:r>
    </w:p>
    <w:p w14:paraId="08BEF5C8" w14:textId="6B5D958E" w:rsidR="00EA745D" w:rsidRPr="00EA745D" w:rsidRDefault="00EA745D" w:rsidP="00EA745D">
      <w:pPr>
        <w:pStyle w:val="Heading2"/>
        <w:tabs>
          <w:tab w:val="left" w:pos="567"/>
        </w:tabs>
        <w:spacing w:before="60" w:line="240" w:lineRule="auto"/>
        <w:ind w:left="567" w:right="567"/>
        <w:rPr>
          <w:rFonts w:ascii="Arial" w:hAnsi="Arial" w:cs="Arial"/>
          <w:bCs/>
          <w:color w:val="000000"/>
          <w:sz w:val="16"/>
          <w:szCs w:val="16"/>
          <w:lang w:val="en-US"/>
        </w:rPr>
      </w:pPr>
      <w:r>
        <w:rPr>
          <w:rFonts w:ascii="Arial" w:hAnsi="Arial" w:cs="Arial"/>
          <w:sz w:val="20"/>
          <w:szCs w:val="16"/>
        </w:rPr>
        <w:t>[</w:t>
      </w:r>
      <w:r w:rsidRPr="00EA745D">
        <w:rPr>
          <w:rFonts w:ascii="Arial" w:hAnsi="Arial" w:cs="Arial"/>
          <w:sz w:val="20"/>
          <w:szCs w:val="16"/>
        </w:rPr>
        <w:t>48</w:t>
      </w:r>
      <w:r>
        <w:rPr>
          <w:rFonts w:ascii="Arial" w:hAnsi="Arial" w:cs="Arial"/>
          <w:sz w:val="20"/>
          <w:szCs w:val="16"/>
        </w:rPr>
        <w:t>]</w:t>
      </w:r>
      <w:r w:rsidRPr="00EA745D">
        <w:rPr>
          <w:rFonts w:ascii="Arial" w:hAnsi="Arial" w:cs="Arial"/>
          <w:sz w:val="20"/>
          <w:szCs w:val="16"/>
        </w:rPr>
        <w:t xml:space="preserve"> In our view the sentence of three years’ imprisonment imposed on the respondent for the offence of rape was wholly outside the range of sentences reasonably open to be imposed in this case and thus must be seen as manifestly inadequate. Because the rape sentence was correlative with the total effective sentence, the total effective sentence is also manifestly inadequate. The appeal must therefore be allowed and the respondent re-sentenced.</w:t>
      </w:r>
      <w:r>
        <w:rPr>
          <w:rFonts w:ascii="Arial" w:hAnsi="Arial" w:cs="Arial"/>
          <w:sz w:val="20"/>
          <w:szCs w:val="16"/>
        </w:rPr>
        <w:t>”</w:t>
      </w:r>
    </w:p>
    <w:p w14:paraId="7314E115" w14:textId="77777777" w:rsidR="00EA745D" w:rsidRDefault="00EA745D" w:rsidP="002002C3">
      <w:pPr>
        <w:pStyle w:val="Heading2"/>
        <w:tabs>
          <w:tab w:val="left" w:pos="567"/>
        </w:tabs>
        <w:spacing w:line="240" w:lineRule="auto"/>
        <w:ind w:left="567" w:hanging="567"/>
        <w:rPr>
          <w:rFonts w:ascii="Arial" w:hAnsi="Arial" w:cs="Arial"/>
          <w:bCs/>
          <w:color w:val="000000"/>
          <w:sz w:val="20"/>
          <w:lang w:val="en-US"/>
        </w:rPr>
      </w:pPr>
    </w:p>
    <w:p w14:paraId="573D1941" w14:textId="46E58E3C" w:rsidR="00291090" w:rsidRDefault="00291090" w:rsidP="00291090">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lastRenderedPageBreak/>
        <w:t xml:space="preserve">In </w:t>
      </w:r>
      <w:r w:rsidRPr="00291090">
        <w:rPr>
          <w:rFonts w:ascii="Arial" w:hAnsi="Arial" w:cs="Arial"/>
          <w:bCs/>
          <w:i/>
          <w:iCs/>
          <w:color w:val="000000"/>
          <w:sz w:val="20"/>
          <w:lang w:val="en-US"/>
        </w:rPr>
        <w:t>Stanford v The King</w:t>
      </w:r>
      <w:r>
        <w:rPr>
          <w:rFonts w:ascii="Arial" w:hAnsi="Arial" w:cs="Arial"/>
          <w:bCs/>
          <w:color w:val="000000"/>
          <w:sz w:val="20"/>
          <w:lang w:val="en-US"/>
        </w:rPr>
        <w:t xml:space="preserve"> [2024] VSCA 35 a County Court jury had found the applicant guilty of </w:t>
      </w:r>
      <w:r w:rsidR="00207CC2">
        <w:rPr>
          <w:rFonts w:ascii="Arial" w:hAnsi="Arial" w:cs="Arial"/>
          <w:bCs/>
          <w:color w:val="000000"/>
          <w:sz w:val="20"/>
          <w:lang w:val="en-US"/>
        </w:rPr>
        <w:t>3 of 4 charges of rape, 1</w:t>
      </w:r>
      <w:r>
        <w:rPr>
          <w:rFonts w:ascii="Arial" w:hAnsi="Arial" w:cs="Arial"/>
          <w:bCs/>
          <w:color w:val="000000"/>
          <w:sz w:val="20"/>
          <w:lang w:val="en-US"/>
        </w:rPr>
        <w:t xml:space="preserve"> of 3 charges </w:t>
      </w:r>
      <w:r w:rsidR="00207CC2">
        <w:rPr>
          <w:rFonts w:ascii="Arial" w:hAnsi="Arial" w:cs="Arial"/>
          <w:bCs/>
          <w:color w:val="000000"/>
          <w:sz w:val="20"/>
          <w:lang w:val="en-US"/>
        </w:rPr>
        <w:t>of making a threat to kill, a charge of false imprisonment and a charge of indecent assault</w:t>
      </w:r>
      <w:r w:rsidR="00574752">
        <w:rPr>
          <w:rFonts w:ascii="Arial" w:hAnsi="Arial" w:cs="Arial"/>
          <w:bCs/>
          <w:color w:val="000000"/>
          <w:sz w:val="20"/>
          <w:lang w:val="en-US"/>
        </w:rPr>
        <w:t xml:space="preserve">.  </w:t>
      </w:r>
      <w:r w:rsidR="00574752" w:rsidRPr="00574752">
        <w:rPr>
          <w:rFonts w:ascii="Arial" w:hAnsi="Arial" w:cs="Arial"/>
          <w:bCs/>
          <w:color w:val="000000"/>
          <w:sz w:val="20"/>
          <w:lang w:val="en-US"/>
        </w:rPr>
        <w:t xml:space="preserve">The </w:t>
      </w:r>
      <w:r w:rsidR="00574752" w:rsidRPr="00574752">
        <w:rPr>
          <w:rFonts w:ascii="Arial" w:hAnsi="Arial" w:cs="Arial"/>
          <w:sz w:val="20"/>
        </w:rPr>
        <w:t xml:space="preserve">complainant in relation to all of the charged offences was the applicant’s then domestic partner.  </w:t>
      </w:r>
      <w:r w:rsidR="00574752">
        <w:rPr>
          <w:rFonts w:ascii="Arial" w:hAnsi="Arial" w:cs="Arial"/>
          <w:sz w:val="20"/>
        </w:rPr>
        <w:t>T</w:t>
      </w:r>
      <w:r w:rsidRPr="00574752">
        <w:rPr>
          <w:rFonts w:ascii="Arial" w:hAnsi="Arial" w:cs="Arial"/>
          <w:bCs/>
          <w:color w:val="000000"/>
          <w:sz w:val="20"/>
          <w:lang w:val="en-US"/>
        </w:rPr>
        <w:t>he applicant had been sentenced to TES IMP</w:t>
      </w:r>
      <w:r w:rsidR="00574752">
        <w:rPr>
          <w:rFonts w:ascii="Arial" w:hAnsi="Arial" w:cs="Arial"/>
          <w:bCs/>
          <w:color w:val="000000"/>
          <w:sz w:val="20"/>
          <w:lang w:val="en-US"/>
        </w:rPr>
        <w:t>19y/13y made up as follows:</w:t>
      </w:r>
    </w:p>
    <w:p w14:paraId="6630D4AC" w14:textId="1637BEBC" w:rsidR="00F36239" w:rsidRPr="00F36239" w:rsidRDefault="00F36239" w:rsidP="002002C3">
      <w:pPr>
        <w:pStyle w:val="Heading2"/>
        <w:tabs>
          <w:tab w:val="left" w:pos="567"/>
        </w:tabs>
        <w:spacing w:line="240" w:lineRule="auto"/>
        <w:ind w:left="567" w:hanging="567"/>
        <w:rPr>
          <w:rFonts w:ascii="Arial" w:hAnsi="Arial" w:cs="Arial"/>
          <w:b/>
          <w:color w:val="000000"/>
          <w:sz w:val="20"/>
          <w:lang w:val="en-US"/>
        </w:rPr>
      </w:pPr>
      <w:r w:rsidRPr="00F36239">
        <w:rPr>
          <w:rFonts w:ascii="Arial" w:hAnsi="Arial" w:cs="Arial"/>
          <w:b/>
          <w:color w:val="000000"/>
          <w:sz w:val="20"/>
          <w:lang w:val="en-US"/>
        </w:rPr>
        <w:t>CHARGE/OFFENCE</w:t>
      </w:r>
      <w:r w:rsidRPr="00F36239">
        <w:rPr>
          <w:rFonts w:ascii="Arial" w:hAnsi="Arial" w:cs="Arial"/>
          <w:b/>
          <w:color w:val="000000"/>
          <w:sz w:val="20"/>
          <w:lang w:val="en-US"/>
        </w:rPr>
        <w:tab/>
      </w:r>
      <w:r w:rsidRPr="00F36239">
        <w:rPr>
          <w:rFonts w:ascii="Arial" w:hAnsi="Arial" w:cs="Arial"/>
          <w:b/>
          <w:color w:val="000000"/>
          <w:sz w:val="20"/>
          <w:lang w:val="en-US"/>
        </w:rPr>
        <w:tab/>
        <w:t>ORIGINAL SENTENCE</w:t>
      </w:r>
      <w:r w:rsidRPr="00F36239">
        <w:rPr>
          <w:rFonts w:ascii="Arial" w:hAnsi="Arial" w:cs="Arial"/>
          <w:b/>
          <w:color w:val="000000"/>
          <w:sz w:val="20"/>
          <w:lang w:val="en-US"/>
        </w:rPr>
        <w:tab/>
      </w:r>
      <w:r w:rsidRPr="00F36239">
        <w:rPr>
          <w:rFonts w:ascii="Arial" w:hAnsi="Arial" w:cs="Arial"/>
          <w:b/>
          <w:color w:val="000000"/>
          <w:sz w:val="20"/>
          <w:lang w:val="en-US"/>
        </w:rPr>
        <w:tab/>
        <w:t>SUBSTITUTED SENTENCE</w:t>
      </w:r>
    </w:p>
    <w:p w14:paraId="0E1690B9" w14:textId="73DA7847" w:rsidR="00291090"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12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12y Base</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10y Base</w:t>
      </w:r>
    </w:p>
    <w:p w14:paraId="35C32565" w14:textId="353D56A4"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13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10y Cumulation 2y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10y Cumulation 2y</w:t>
      </w:r>
    </w:p>
    <w:p w14:paraId="4441F1E1" w14:textId="4D8F904A"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9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8y   Cumulation 4y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w:t>
      </w:r>
      <w:r w:rsidR="00D07CDA">
        <w:rPr>
          <w:rFonts w:ascii="Arial" w:hAnsi="Arial" w:cs="Arial"/>
          <w:bCs/>
          <w:color w:val="000000"/>
          <w:sz w:val="20"/>
          <w:lang w:val="en-US"/>
        </w:rPr>
        <w:t>-------</w:t>
      </w:r>
    </w:p>
    <w:p w14:paraId="3F85AD1B" w14:textId="6999C11B"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Charge 7</w:t>
      </w:r>
      <w:r w:rsidR="00F36239">
        <w:rPr>
          <w:rFonts w:ascii="Arial" w:hAnsi="Arial" w:cs="Arial"/>
          <w:bCs/>
          <w:color w:val="000000"/>
          <w:sz w:val="20"/>
          <w:lang w:val="en-US"/>
        </w:rPr>
        <w:t xml:space="preserve">  </w:t>
      </w:r>
      <w:r>
        <w:rPr>
          <w:rFonts w:ascii="Arial" w:hAnsi="Arial" w:cs="Arial"/>
          <w:bCs/>
          <w:color w:val="000000"/>
          <w:sz w:val="20"/>
          <w:lang w:val="en-US"/>
        </w:rPr>
        <w:t xml:space="preserve"> – Threat to kill</w:t>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2y   Cumulation 1y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2y   Cumulation 1y</w:t>
      </w:r>
    </w:p>
    <w:p w14:paraId="0ABC25A7" w14:textId="110C4485"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Charge 11 – Indecent assault</w:t>
      </w:r>
      <w:r>
        <w:rPr>
          <w:rFonts w:ascii="Arial" w:hAnsi="Arial" w:cs="Arial"/>
          <w:bCs/>
          <w:color w:val="000000"/>
          <w:sz w:val="20"/>
          <w:lang w:val="en-US"/>
        </w:rPr>
        <w:tab/>
      </w:r>
      <w:r w:rsidR="00F36239">
        <w:rPr>
          <w:rFonts w:ascii="Arial" w:hAnsi="Arial" w:cs="Arial"/>
          <w:bCs/>
          <w:color w:val="000000"/>
          <w:sz w:val="20"/>
          <w:lang w:val="en-US"/>
        </w:rPr>
        <w:t xml:space="preserve"> </w:t>
      </w:r>
      <w:r w:rsidR="00D07CDA">
        <w:rPr>
          <w:rFonts w:ascii="Arial" w:hAnsi="Arial" w:cs="Arial"/>
          <w:bCs/>
          <w:color w:val="000000"/>
          <w:sz w:val="20"/>
          <w:lang w:val="en-US"/>
        </w:rPr>
        <w:t xml:space="preserve">   </w:t>
      </w:r>
      <w:r w:rsidR="00F36239">
        <w:rPr>
          <w:rFonts w:ascii="Arial" w:hAnsi="Arial" w:cs="Arial"/>
          <w:bCs/>
          <w:color w:val="000000"/>
          <w:sz w:val="20"/>
          <w:lang w:val="en-US"/>
        </w:rPr>
        <w:t>2</w:t>
      </w:r>
      <w:r>
        <w:rPr>
          <w:rFonts w:ascii="Arial" w:hAnsi="Arial" w:cs="Arial"/>
          <w:bCs/>
          <w:color w:val="000000"/>
          <w:sz w:val="20"/>
          <w:lang w:val="en-US"/>
        </w:rPr>
        <w:t xml:space="preserve">y </w:t>
      </w:r>
      <w:r w:rsidR="00F36239">
        <w:rPr>
          <w:rFonts w:ascii="Arial" w:hAnsi="Arial" w:cs="Arial"/>
          <w:bCs/>
          <w:color w:val="000000"/>
          <w:sz w:val="20"/>
          <w:lang w:val="en-US"/>
        </w:rPr>
        <w:t xml:space="preserve">  </w:t>
      </w:r>
      <w:r>
        <w:rPr>
          <w:rFonts w:ascii="Arial" w:hAnsi="Arial" w:cs="Arial"/>
          <w:bCs/>
          <w:color w:val="000000"/>
          <w:sz w:val="20"/>
          <w:lang w:val="en-US"/>
        </w:rPr>
        <w:t>Concurrent</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2y   Concurrent</w:t>
      </w:r>
    </w:p>
    <w:p w14:paraId="00ACBB87" w14:textId="1CA214FF" w:rsidR="00574752" w:rsidRDefault="00F36239"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10 – False imprisonment </w:t>
      </w:r>
      <w:r w:rsidR="00D07CDA">
        <w:rPr>
          <w:rFonts w:ascii="Arial" w:hAnsi="Arial" w:cs="Arial"/>
          <w:bCs/>
          <w:color w:val="000000"/>
          <w:sz w:val="20"/>
          <w:lang w:val="en-US"/>
        </w:rPr>
        <w:t xml:space="preserve">   </w:t>
      </w:r>
      <w:r>
        <w:rPr>
          <w:rFonts w:ascii="Arial" w:hAnsi="Arial" w:cs="Arial"/>
          <w:bCs/>
          <w:color w:val="000000"/>
          <w:sz w:val="20"/>
          <w:lang w:val="en-US"/>
        </w:rPr>
        <w:t>2y   Concurrent</w:t>
      </w:r>
      <w:r>
        <w:rPr>
          <w:rFonts w:ascii="Arial" w:hAnsi="Arial" w:cs="Arial"/>
          <w:bCs/>
          <w:color w:val="000000"/>
          <w:sz w:val="20"/>
          <w:lang w:val="en-US"/>
        </w:rPr>
        <w:tab/>
      </w:r>
      <w:r>
        <w:rPr>
          <w:rFonts w:ascii="Arial" w:hAnsi="Arial" w:cs="Arial"/>
          <w:bCs/>
          <w:color w:val="000000"/>
          <w:sz w:val="20"/>
          <w:lang w:val="en-US"/>
        </w:rPr>
        <w:tab/>
      </w:r>
      <w:r>
        <w:rPr>
          <w:rFonts w:ascii="Arial" w:hAnsi="Arial" w:cs="Arial"/>
          <w:bCs/>
          <w:color w:val="000000"/>
          <w:sz w:val="20"/>
          <w:lang w:val="en-US"/>
        </w:rPr>
        <w:tab/>
        <w:t>2y   Concurrent</w:t>
      </w:r>
    </w:p>
    <w:p w14:paraId="6A5E250C" w14:textId="535337F5" w:rsidR="00291090" w:rsidRDefault="00F36239" w:rsidP="00F36239">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The respondent conceded that the verdict on charge 9 was unreasonable or could not be supported having regard to the evidence.  </w:t>
      </w:r>
      <w:r w:rsidR="00705CE9">
        <w:rPr>
          <w:rFonts w:ascii="Arial" w:hAnsi="Arial" w:cs="Arial"/>
          <w:bCs/>
          <w:color w:val="000000"/>
          <w:sz w:val="20"/>
          <w:lang w:val="en-US"/>
        </w:rPr>
        <w:t>T</w:t>
      </w:r>
      <w:r>
        <w:rPr>
          <w:rFonts w:ascii="Arial" w:hAnsi="Arial" w:cs="Arial"/>
          <w:bCs/>
          <w:color w:val="000000"/>
          <w:sz w:val="20"/>
          <w:lang w:val="en-US"/>
        </w:rPr>
        <w:t xml:space="preserve">he Court of Appeal </w:t>
      </w:r>
      <w:r w:rsidR="00705CE9">
        <w:rPr>
          <w:rFonts w:ascii="Arial" w:hAnsi="Arial" w:cs="Arial"/>
          <w:bCs/>
          <w:color w:val="000000"/>
          <w:sz w:val="20"/>
          <w:lang w:val="en-US"/>
        </w:rPr>
        <w:t xml:space="preserve">duly </w:t>
      </w:r>
      <w:r>
        <w:rPr>
          <w:rFonts w:ascii="Arial" w:hAnsi="Arial" w:cs="Arial"/>
          <w:bCs/>
          <w:color w:val="000000"/>
          <w:sz w:val="20"/>
          <w:lang w:val="en-US"/>
        </w:rPr>
        <w:t>resentenced the applicant to TES IMP13y/9y6m made up as shown above.</w:t>
      </w:r>
      <w:r w:rsidR="00705CE9">
        <w:rPr>
          <w:rFonts w:ascii="Arial" w:hAnsi="Arial" w:cs="Arial"/>
          <w:bCs/>
          <w:color w:val="000000"/>
          <w:sz w:val="20"/>
          <w:lang w:val="en-US"/>
        </w:rPr>
        <w:t xml:space="preserve">  </w:t>
      </w:r>
      <w:r w:rsidR="00014907">
        <w:rPr>
          <w:rFonts w:ascii="Arial" w:hAnsi="Arial" w:cs="Arial"/>
          <w:bCs/>
          <w:color w:val="000000"/>
          <w:sz w:val="20"/>
          <w:lang w:val="en-US"/>
        </w:rPr>
        <w:t>At [75]</w:t>
      </w:r>
      <w:r w:rsidR="004431DD">
        <w:rPr>
          <w:rFonts w:ascii="Arial" w:hAnsi="Arial" w:cs="Arial"/>
          <w:bCs/>
          <w:color w:val="000000"/>
          <w:sz w:val="20"/>
          <w:lang w:val="en-US"/>
        </w:rPr>
        <w:t xml:space="preserve"> </w:t>
      </w:r>
      <w:r w:rsidR="00014907">
        <w:rPr>
          <w:rFonts w:ascii="Arial" w:hAnsi="Arial" w:cs="Arial"/>
          <w:bCs/>
          <w:color w:val="000000"/>
          <w:sz w:val="20"/>
          <w:lang w:val="en-US"/>
        </w:rPr>
        <w:t xml:space="preserve">Boyce, Whelan &amp; T Forrest JJA listed in footnote 40 a number of </w:t>
      </w:r>
      <w:r w:rsidR="00D07CDA">
        <w:rPr>
          <w:rFonts w:ascii="Arial" w:hAnsi="Arial" w:cs="Arial"/>
          <w:bCs/>
          <w:color w:val="000000"/>
          <w:sz w:val="20"/>
          <w:lang w:val="en-US"/>
        </w:rPr>
        <w:t xml:space="preserve">recent </w:t>
      </w:r>
      <w:r w:rsidR="00014907">
        <w:rPr>
          <w:rFonts w:ascii="Arial" w:hAnsi="Arial" w:cs="Arial"/>
          <w:bCs/>
          <w:color w:val="000000"/>
          <w:sz w:val="20"/>
          <w:lang w:val="en-US"/>
        </w:rPr>
        <w:t>cases “involving offences of rape within an existing relationship</w:t>
      </w:r>
      <w:r w:rsidR="00D07CDA">
        <w:rPr>
          <w:rFonts w:ascii="Arial" w:hAnsi="Arial" w:cs="Arial"/>
          <w:bCs/>
          <w:color w:val="000000"/>
          <w:sz w:val="20"/>
          <w:lang w:val="en-US"/>
        </w:rPr>
        <w:t>, some of [which] involved degrading and humiliating conduct similar to that which occurred here”</w:t>
      </w:r>
      <w:r w:rsidR="004431DD">
        <w:rPr>
          <w:rFonts w:ascii="Arial" w:hAnsi="Arial" w:cs="Arial"/>
          <w:bCs/>
          <w:color w:val="000000"/>
          <w:sz w:val="20"/>
          <w:lang w:val="en-US"/>
        </w:rPr>
        <w:t xml:space="preserve"> and at [76] in footnotes 41-45 discussed some </w:t>
      </w:r>
      <w:r w:rsidR="001F2C81">
        <w:rPr>
          <w:rFonts w:ascii="Arial" w:hAnsi="Arial" w:cs="Arial"/>
          <w:bCs/>
          <w:color w:val="000000"/>
          <w:sz w:val="20"/>
          <w:lang w:val="en-US"/>
        </w:rPr>
        <w:t>“</w:t>
      </w:r>
      <w:r w:rsidR="004431DD">
        <w:rPr>
          <w:rFonts w:ascii="Arial" w:hAnsi="Arial" w:cs="Arial"/>
          <w:bCs/>
          <w:color w:val="000000"/>
          <w:sz w:val="20"/>
          <w:lang w:val="en-US"/>
        </w:rPr>
        <w:t>relevant individual sentences for rape after a plea of not guilty</w:t>
      </w:r>
      <w:r w:rsidR="001F2C81">
        <w:rPr>
          <w:rFonts w:ascii="Arial" w:hAnsi="Arial" w:cs="Arial"/>
          <w:bCs/>
          <w:color w:val="000000"/>
          <w:sz w:val="20"/>
          <w:lang w:val="en-US"/>
        </w:rPr>
        <w:t>”</w:t>
      </w:r>
      <w:r w:rsidR="004431DD">
        <w:rPr>
          <w:rFonts w:ascii="Arial" w:hAnsi="Arial" w:cs="Arial"/>
          <w:bCs/>
          <w:color w:val="000000"/>
          <w:sz w:val="20"/>
          <w:lang w:val="en-US"/>
        </w:rPr>
        <w:t xml:space="preserve">.  </w:t>
      </w:r>
      <w:r w:rsidR="00D07CDA">
        <w:rPr>
          <w:rFonts w:ascii="Arial" w:hAnsi="Arial" w:cs="Arial"/>
          <w:bCs/>
          <w:color w:val="000000"/>
          <w:sz w:val="20"/>
          <w:lang w:val="en-US"/>
        </w:rPr>
        <w:t>At</w:t>
      </w:r>
      <w:r w:rsidR="004431DD">
        <w:rPr>
          <w:rFonts w:ascii="Arial" w:hAnsi="Arial" w:cs="Arial"/>
          <w:bCs/>
          <w:color w:val="000000"/>
          <w:sz w:val="20"/>
          <w:lang w:val="en-US"/>
        </w:rPr>
        <w:t> </w:t>
      </w:r>
      <w:r w:rsidR="0036467F">
        <w:rPr>
          <w:rFonts w:ascii="Arial" w:hAnsi="Arial" w:cs="Arial"/>
          <w:bCs/>
          <w:color w:val="000000"/>
          <w:sz w:val="20"/>
          <w:lang w:val="en-US"/>
        </w:rPr>
        <w:t>[77]-</w:t>
      </w:r>
      <w:r w:rsidR="00D07CDA">
        <w:rPr>
          <w:rFonts w:ascii="Arial" w:hAnsi="Arial" w:cs="Arial"/>
          <w:bCs/>
          <w:color w:val="000000"/>
          <w:sz w:val="20"/>
          <w:lang w:val="en-US"/>
        </w:rPr>
        <w:t>[78] their Honours said:</w:t>
      </w:r>
    </w:p>
    <w:p w14:paraId="40BE98F1" w14:textId="710D1BE0" w:rsidR="0036467F" w:rsidRDefault="0036467F" w:rsidP="00326981">
      <w:pPr>
        <w:pStyle w:val="Heading2"/>
        <w:widowControl/>
        <w:tabs>
          <w:tab w:val="left" w:pos="567"/>
        </w:tabs>
        <w:spacing w:before="60" w:line="240" w:lineRule="auto"/>
        <w:ind w:left="567" w:right="567"/>
        <w:rPr>
          <w:rFonts w:ascii="Arial" w:hAnsi="Arial" w:cs="Arial"/>
          <w:sz w:val="20"/>
          <w:szCs w:val="16"/>
        </w:rPr>
      </w:pPr>
      <w:r>
        <w:rPr>
          <w:rFonts w:ascii="Arial" w:hAnsi="Arial" w:cs="Arial"/>
          <w:sz w:val="20"/>
          <w:szCs w:val="16"/>
        </w:rPr>
        <w:t>[77] “</w:t>
      </w:r>
      <w:r w:rsidRPr="0036467F">
        <w:rPr>
          <w:rFonts w:ascii="Arial" w:hAnsi="Arial" w:cs="Arial"/>
          <w:sz w:val="20"/>
        </w:rPr>
        <w:t>Comparable cases may illustrate the possible range of sentences but they cannot define it</w:t>
      </w:r>
      <w:r>
        <w:rPr>
          <w:rFonts w:ascii="Arial" w:hAnsi="Arial" w:cs="Arial"/>
          <w:sz w:val="20"/>
        </w:rPr>
        <w:t xml:space="preserve">: </w:t>
      </w:r>
      <w:r w:rsidRPr="0036467F">
        <w:rPr>
          <w:rFonts w:ascii="Arial" w:hAnsi="Arial" w:cs="Arial"/>
          <w:i/>
          <w:iCs/>
          <w:sz w:val="20"/>
        </w:rPr>
        <w:t>DPP v OJA</w:t>
      </w:r>
      <w:r w:rsidRPr="0036467F">
        <w:rPr>
          <w:rFonts w:ascii="Arial" w:hAnsi="Arial" w:cs="Arial"/>
          <w:sz w:val="20"/>
        </w:rPr>
        <w:t xml:space="preserve"> (2007) 172 A Crim R 181, 196 [30]–[31]; [2007] VSCA 129; </w:t>
      </w:r>
      <w:r w:rsidRPr="0036467F">
        <w:rPr>
          <w:rFonts w:ascii="Arial" w:hAnsi="Arial" w:cs="Arial"/>
          <w:i/>
          <w:iCs/>
          <w:sz w:val="20"/>
        </w:rPr>
        <w:t>DPP v Dalgliesh (a pseudonym)</w:t>
      </w:r>
      <w:r w:rsidRPr="0036467F">
        <w:rPr>
          <w:rFonts w:ascii="Arial" w:hAnsi="Arial" w:cs="Arial"/>
          <w:sz w:val="20"/>
        </w:rPr>
        <w:t xml:space="preserve"> (2017) 262 CLR 428, 445 [50]–[52]</w:t>
      </w:r>
      <w:r>
        <w:rPr>
          <w:rFonts w:ascii="Arial" w:hAnsi="Arial" w:cs="Arial"/>
          <w:sz w:val="20"/>
        </w:rPr>
        <w:t xml:space="preserve"> &amp;</w:t>
      </w:r>
      <w:r w:rsidRPr="0036467F">
        <w:rPr>
          <w:rFonts w:ascii="Arial" w:hAnsi="Arial" w:cs="Arial"/>
          <w:sz w:val="20"/>
        </w:rPr>
        <w:t xml:space="preserve"> 453–4 [82]–[83]; [2017] HCA 41.</w:t>
      </w:r>
      <w:r>
        <w:rPr>
          <w:rFonts w:ascii="Arial" w:hAnsi="Arial" w:cs="Arial"/>
          <w:sz w:val="20"/>
        </w:rPr>
        <w:t xml:space="preserve">  </w:t>
      </w:r>
      <w:r w:rsidRPr="0036467F">
        <w:rPr>
          <w:rFonts w:ascii="Arial" w:hAnsi="Arial" w:cs="Arial"/>
          <w:sz w:val="20"/>
        </w:rPr>
        <w:t>In 2019, this Court observed that sentences for rape have increased somewhat in recent years, which accords with and respects community expectations</w:t>
      </w:r>
      <w:r>
        <w:rPr>
          <w:rFonts w:ascii="Arial" w:hAnsi="Arial" w:cs="Arial"/>
          <w:sz w:val="20"/>
        </w:rPr>
        <w:t xml:space="preserve">: </w:t>
      </w:r>
      <w:r w:rsidRPr="0036467F">
        <w:rPr>
          <w:rFonts w:ascii="Arial" w:hAnsi="Arial" w:cs="Arial"/>
          <w:i/>
          <w:iCs/>
          <w:sz w:val="20"/>
        </w:rPr>
        <w:t>DPP v Lian</w:t>
      </w:r>
      <w:r w:rsidRPr="0036467F">
        <w:rPr>
          <w:rFonts w:ascii="Arial" w:hAnsi="Arial" w:cs="Arial"/>
          <w:sz w:val="20"/>
        </w:rPr>
        <w:t xml:space="preserve"> [2019] VSCA 75, [60]</w:t>
      </w:r>
      <w:r>
        <w:rPr>
          <w:rFonts w:ascii="Arial" w:hAnsi="Arial" w:cs="Arial"/>
          <w:sz w:val="20"/>
        </w:rPr>
        <w:t>.</w:t>
      </w:r>
      <w:r w:rsidRPr="0036467F">
        <w:rPr>
          <w:rFonts w:ascii="Arial" w:hAnsi="Arial" w:cs="Arial"/>
          <w:sz w:val="20"/>
        </w:rPr>
        <w:t xml:space="preserve"> </w:t>
      </w:r>
      <w:r>
        <w:rPr>
          <w:rFonts w:ascii="Arial" w:hAnsi="Arial" w:cs="Arial"/>
          <w:sz w:val="20"/>
        </w:rPr>
        <w:t xml:space="preserve"> </w:t>
      </w:r>
      <w:r w:rsidRPr="0036467F">
        <w:rPr>
          <w:rFonts w:ascii="Arial" w:hAnsi="Arial" w:cs="Arial"/>
          <w:sz w:val="20"/>
        </w:rPr>
        <w:t>When sentencing men who violently offend against female domestic partners, specific and general deterrence are very important factors</w:t>
      </w:r>
      <w:r>
        <w:rPr>
          <w:rFonts w:ascii="Arial" w:hAnsi="Arial" w:cs="Arial"/>
          <w:sz w:val="20"/>
        </w:rPr>
        <w:t xml:space="preserve">: </w:t>
      </w:r>
      <w:r w:rsidRPr="0036467F">
        <w:rPr>
          <w:rFonts w:ascii="Arial" w:hAnsi="Arial" w:cs="Arial"/>
          <w:i/>
          <w:iCs/>
          <w:sz w:val="20"/>
        </w:rPr>
        <w:t>Pasinis v The Queen</w:t>
      </w:r>
      <w:r w:rsidRPr="0036467F">
        <w:rPr>
          <w:rFonts w:ascii="Arial" w:hAnsi="Arial" w:cs="Arial"/>
          <w:sz w:val="20"/>
        </w:rPr>
        <w:t xml:space="preserve"> [2014] VSCA 97, [53], quoted in </w:t>
      </w:r>
      <w:r w:rsidRPr="0036467F">
        <w:rPr>
          <w:rFonts w:ascii="Arial" w:hAnsi="Arial" w:cs="Arial"/>
          <w:i/>
          <w:iCs/>
          <w:sz w:val="20"/>
        </w:rPr>
        <w:t>Forbes</w:t>
      </w:r>
      <w:r w:rsidRPr="0036467F">
        <w:rPr>
          <w:rFonts w:ascii="Arial" w:hAnsi="Arial" w:cs="Arial"/>
          <w:sz w:val="20"/>
        </w:rPr>
        <w:t xml:space="preserve"> [2018] VSCA 341, [42]. See also </w:t>
      </w:r>
      <w:r w:rsidRPr="0036467F">
        <w:rPr>
          <w:rFonts w:ascii="Arial" w:hAnsi="Arial" w:cs="Arial"/>
          <w:i/>
          <w:iCs/>
          <w:sz w:val="20"/>
        </w:rPr>
        <w:t>Filiz v The Queen</w:t>
      </w:r>
      <w:r w:rsidRPr="0036467F">
        <w:rPr>
          <w:rFonts w:ascii="Arial" w:hAnsi="Arial" w:cs="Arial"/>
          <w:sz w:val="20"/>
        </w:rPr>
        <w:t xml:space="preserve"> [2014] VSCA 212, [21]</w:t>
      </w:r>
      <w:r>
        <w:rPr>
          <w:rFonts w:ascii="Arial" w:hAnsi="Arial" w:cs="Arial"/>
          <w:sz w:val="20"/>
        </w:rPr>
        <w:t>.”</w:t>
      </w:r>
    </w:p>
    <w:p w14:paraId="5179ACF7" w14:textId="7F718314" w:rsidR="00D07CDA" w:rsidRDefault="0036467F" w:rsidP="00D07CDA">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 xml:space="preserve">[78] </w:t>
      </w:r>
      <w:r w:rsidR="00D07CDA">
        <w:rPr>
          <w:rFonts w:ascii="Arial" w:hAnsi="Arial" w:cs="Arial"/>
          <w:sz w:val="20"/>
          <w:szCs w:val="16"/>
        </w:rPr>
        <w:t>Of the two rape offences here, the matters which seem to us to be significant are:</w:t>
      </w:r>
    </w:p>
    <w:p w14:paraId="00782288" w14:textId="47019462" w:rsidR="00F36239" w:rsidRP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importance of specific and general deterrence in this context;</w:t>
      </w:r>
    </w:p>
    <w:p w14:paraId="6190F2BD" w14:textId="2B90BF91" w:rsidR="00D07CDA" w:rsidRP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absence of remorse, the poor prospects of rehabilitation, and the lack of insight, as particularly demonstrated by the subsequent offending concerning the complainant;</w:t>
      </w:r>
    </w:p>
    <w:p w14:paraId="5AEE4176" w14:textId="5F83C731" w:rsidR="00D07CDA" w:rsidRP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appellant’s criminal history, recognising that most of that offending is old;</w:t>
      </w:r>
    </w:p>
    <w:p w14:paraId="2A48E086" w14:textId="7A24C7E6" w:rsidR="00D07CDA" w:rsidRP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delay between the offending and the charges, and some positive changes made by the appellant in that period;</w:t>
      </w:r>
      <w:r>
        <w:rPr>
          <w:rFonts w:ascii="Arial" w:hAnsi="Arial" w:cs="Arial"/>
          <w:sz w:val="20"/>
        </w:rPr>
        <w:t xml:space="preserve"> and</w:t>
      </w:r>
    </w:p>
    <w:p w14:paraId="74D57BDA" w14:textId="4BE36059" w:rsid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seriousness of the appellant’s conduct, involving penetration with objects, injury to the complainant requiring hospitalisation, pleas and distress which were unheeded, and humiliating and degrading treatment.</w:t>
      </w:r>
      <w:r>
        <w:rPr>
          <w:rFonts w:ascii="Arial" w:hAnsi="Arial" w:cs="Arial"/>
          <w:sz w:val="20"/>
        </w:rPr>
        <w:t>”</w:t>
      </w:r>
    </w:p>
    <w:p w14:paraId="3029F631" w14:textId="77777777" w:rsidR="0036467F" w:rsidRDefault="0036467F" w:rsidP="00D97844">
      <w:pPr>
        <w:spacing w:before="20" w:after="20"/>
        <w:jc w:val="both"/>
        <w:rPr>
          <w:rFonts w:ascii="Arial" w:hAnsi="Arial" w:cs="Arial"/>
          <w:bCs/>
          <w:color w:val="000000"/>
          <w:sz w:val="20"/>
          <w:szCs w:val="20"/>
        </w:rPr>
      </w:pPr>
    </w:p>
    <w:p w14:paraId="517330B3" w14:textId="34023A39" w:rsidR="009048B5" w:rsidRDefault="009048B5" w:rsidP="009048B5">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000401F1" w:rsidRPr="000401F1">
        <w:rPr>
          <w:rFonts w:ascii="Arial" w:hAnsi="Arial" w:cs="Arial"/>
          <w:bCs/>
          <w:i/>
          <w:iCs/>
          <w:color w:val="000000"/>
          <w:sz w:val="20"/>
          <w:szCs w:val="20"/>
        </w:rPr>
        <w:t>Hu v The King</w:t>
      </w:r>
      <w:r w:rsidR="000401F1">
        <w:rPr>
          <w:rFonts w:ascii="Arial" w:hAnsi="Arial" w:cs="Arial"/>
          <w:bCs/>
          <w:color w:val="000000"/>
          <w:sz w:val="20"/>
          <w:szCs w:val="20"/>
        </w:rPr>
        <w:t xml:space="preserve"> [2025] VSCA 60 </w:t>
      </w:r>
      <w:r w:rsidR="004D1A9B">
        <w:rPr>
          <w:rFonts w:ascii="Arial" w:hAnsi="Arial" w:cs="Arial"/>
          <w:bCs/>
          <w:color w:val="000000"/>
          <w:sz w:val="20"/>
          <w:szCs w:val="20"/>
        </w:rPr>
        <w:t>– described by the Court of Appeal at [2] as “</w:t>
      </w:r>
      <w:r w:rsidR="004D1A9B" w:rsidRPr="004D1A9B">
        <w:rPr>
          <w:rFonts w:ascii="Arial" w:hAnsi="Arial" w:cs="Arial"/>
          <w:bCs/>
          <w:color w:val="000000"/>
          <w:sz w:val="20"/>
          <w:szCs w:val="20"/>
        </w:rPr>
        <w:t>one of the most serious cases of multiple sexual assaults ever seen in this state</w:t>
      </w:r>
      <w:r w:rsidR="004D1A9B">
        <w:rPr>
          <w:rFonts w:ascii="Arial" w:hAnsi="Arial" w:cs="Arial"/>
          <w:bCs/>
          <w:color w:val="000000"/>
          <w:sz w:val="20"/>
          <w:szCs w:val="20"/>
        </w:rPr>
        <w:t>” –</w:t>
      </w:r>
      <w:r w:rsidR="00D65D26">
        <w:rPr>
          <w:rFonts w:ascii="Arial" w:hAnsi="Arial" w:cs="Arial"/>
          <w:bCs/>
          <w:color w:val="000000"/>
          <w:sz w:val="20"/>
          <w:szCs w:val="20"/>
        </w:rPr>
        <w:t xml:space="preserve"> </w:t>
      </w:r>
      <w:r w:rsidR="004D1A9B" w:rsidRPr="004D1A9B">
        <w:rPr>
          <w:rFonts w:ascii="Arial" w:hAnsi="Arial" w:cs="Arial"/>
          <w:bCs/>
          <w:color w:val="000000"/>
          <w:sz w:val="20"/>
          <w:szCs w:val="20"/>
        </w:rPr>
        <w:t xml:space="preserve">the </w:t>
      </w:r>
      <w:r>
        <w:rPr>
          <w:rFonts w:ascii="Arial" w:hAnsi="Arial" w:cs="Arial"/>
          <w:bCs/>
          <w:color w:val="000000"/>
          <w:sz w:val="20"/>
          <w:szCs w:val="20"/>
        </w:rPr>
        <w:t xml:space="preserve">40 year old </w:t>
      </w:r>
      <w:r w:rsidR="004D1A9B" w:rsidRPr="004D1A9B">
        <w:rPr>
          <w:rFonts w:ascii="Arial" w:hAnsi="Arial" w:cs="Arial"/>
          <w:bCs/>
          <w:color w:val="000000"/>
          <w:sz w:val="20"/>
          <w:szCs w:val="20"/>
        </w:rPr>
        <w:t>applicant</w:t>
      </w:r>
      <w:r w:rsidR="004D1A9B">
        <w:rPr>
          <w:rFonts w:ascii="Arial" w:hAnsi="Arial" w:cs="Arial"/>
          <w:bCs/>
          <w:color w:val="000000"/>
          <w:sz w:val="20"/>
          <w:szCs w:val="20"/>
        </w:rPr>
        <w:t xml:space="preserve"> </w:t>
      </w:r>
      <w:r>
        <w:rPr>
          <w:rFonts w:ascii="Arial" w:hAnsi="Arial" w:cs="Arial"/>
          <w:bCs/>
          <w:color w:val="000000"/>
          <w:sz w:val="20"/>
          <w:szCs w:val="20"/>
        </w:rPr>
        <w:t xml:space="preserve">had </w:t>
      </w:r>
      <w:r w:rsidR="004D1A9B">
        <w:rPr>
          <w:rFonts w:ascii="Arial" w:hAnsi="Arial" w:cs="Arial"/>
          <w:bCs/>
          <w:color w:val="000000"/>
          <w:sz w:val="20"/>
          <w:szCs w:val="20"/>
        </w:rPr>
        <w:t>plead</w:t>
      </w:r>
      <w:r>
        <w:rPr>
          <w:rFonts w:ascii="Arial" w:hAnsi="Arial" w:cs="Arial"/>
          <w:bCs/>
          <w:color w:val="000000"/>
          <w:sz w:val="20"/>
          <w:szCs w:val="20"/>
        </w:rPr>
        <w:t>ed</w:t>
      </w:r>
      <w:r w:rsidR="004D1A9B">
        <w:rPr>
          <w:rFonts w:ascii="Arial" w:hAnsi="Arial" w:cs="Arial"/>
          <w:bCs/>
          <w:color w:val="000000"/>
          <w:sz w:val="20"/>
          <w:szCs w:val="20"/>
        </w:rPr>
        <w:t xml:space="preserve"> guilty to 16 charges </w:t>
      </w:r>
      <w:r w:rsidR="00D65D26">
        <w:rPr>
          <w:rFonts w:ascii="Arial" w:hAnsi="Arial" w:cs="Arial"/>
          <w:bCs/>
          <w:color w:val="000000"/>
          <w:sz w:val="20"/>
          <w:szCs w:val="20"/>
        </w:rPr>
        <w:t xml:space="preserve">(some of which were ‘rolled up’) </w:t>
      </w:r>
      <w:r w:rsidR="004D1A9B">
        <w:rPr>
          <w:rFonts w:ascii="Arial" w:hAnsi="Arial" w:cs="Arial"/>
          <w:bCs/>
          <w:color w:val="000000"/>
          <w:sz w:val="20"/>
          <w:szCs w:val="20"/>
        </w:rPr>
        <w:t>of</w:t>
      </w:r>
      <w:r w:rsidR="00D65D26">
        <w:rPr>
          <w:rFonts w:ascii="Arial" w:hAnsi="Arial" w:cs="Arial"/>
          <w:bCs/>
          <w:color w:val="000000"/>
          <w:sz w:val="20"/>
          <w:szCs w:val="20"/>
        </w:rPr>
        <w:t xml:space="preserve"> </w:t>
      </w:r>
      <w:r w:rsidR="004D1A9B">
        <w:rPr>
          <w:rFonts w:ascii="Arial" w:hAnsi="Arial" w:cs="Arial"/>
          <w:bCs/>
          <w:color w:val="000000"/>
          <w:sz w:val="20"/>
          <w:szCs w:val="20"/>
        </w:rPr>
        <w:t xml:space="preserve">rape, sexual assault, intentionally causing injury and recklessly causing serious injury </w:t>
      </w:r>
      <w:r w:rsidR="00D65D26">
        <w:rPr>
          <w:rFonts w:ascii="Arial" w:hAnsi="Arial" w:cs="Arial"/>
          <w:bCs/>
          <w:color w:val="000000"/>
          <w:sz w:val="20"/>
          <w:szCs w:val="20"/>
        </w:rPr>
        <w:t xml:space="preserve">in which the complainants were his </w:t>
      </w:r>
      <w:r w:rsidR="004D1A9B">
        <w:rPr>
          <w:rFonts w:ascii="Arial" w:hAnsi="Arial" w:cs="Arial"/>
          <w:bCs/>
          <w:color w:val="000000"/>
          <w:sz w:val="20"/>
          <w:szCs w:val="20"/>
        </w:rPr>
        <w:t>partner and 6</w:t>
      </w:r>
      <w:r w:rsidR="00D65D26">
        <w:rPr>
          <w:rFonts w:ascii="Arial" w:hAnsi="Arial" w:cs="Arial"/>
          <w:bCs/>
          <w:color w:val="000000"/>
          <w:sz w:val="20"/>
          <w:szCs w:val="20"/>
        </w:rPr>
        <w:t> </w:t>
      </w:r>
      <w:r w:rsidR="004D1A9B">
        <w:rPr>
          <w:rFonts w:ascii="Arial" w:hAnsi="Arial" w:cs="Arial"/>
          <w:bCs/>
          <w:color w:val="000000"/>
          <w:sz w:val="20"/>
          <w:szCs w:val="20"/>
        </w:rPr>
        <w:t xml:space="preserve">other women. In each case the applicant had drugged the complainant, rendering her unconscious. The applicant was </w:t>
      </w:r>
      <w:r w:rsidRPr="004D1A9B">
        <w:rPr>
          <w:rFonts w:ascii="Arial" w:hAnsi="Arial" w:cs="Arial"/>
          <w:bCs/>
          <w:color w:val="000000"/>
          <w:sz w:val="20"/>
          <w:szCs w:val="20"/>
        </w:rPr>
        <w:t>diagnosed with a somnophilic disorder</w:t>
      </w:r>
      <w:r>
        <w:rPr>
          <w:rFonts w:ascii="Arial" w:hAnsi="Arial" w:cs="Arial"/>
          <w:bCs/>
          <w:color w:val="000000"/>
          <w:sz w:val="20"/>
          <w:szCs w:val="20"/>
        </w:rPr>
        <w:t xml:space="preserve"> </w:t>
      </w:r>
      <w:r w:rsidR="00D65D26">
        <w:rPr>
          <w:rFonts w:ascii="Arial" w:hAnsi="Arial" w:cs="Arial"/>
          <w:bCs/>
          <w:color w:val="000000"/>
          <w:sz w:val="20"/>
          <w:szCs w:val="20"/>
        </w:rPr>
        <w:t>but</w:t>
      </w:r>
      <w:r>
        <w:rPr>
          <w:rFonts w:ascii="Arial" w:hAnsi="Arial" w:cs="Arial"/>
          <w:bCs/>
          <w:color w:val="000000"/>
          <w:sz w:val="20"/>
          <w:szCs w:val="20"/>
        </w:rPr>
        <w:t xml:space="preserve"> conceded that the</w:t>
      </w:r>
      <w:r w:rsidRPr="004D1A9B">
        <w:rPr>
          <w:rFonts w:ascii="Arial" w:hAnsi="Arial" w:cs="Arial"/>
          <w:bCs/>
          <w:color w:val="000000"/>
          <w:sz w:val="20"/>
          <w:szCs w:val="20"/>
        </w:rPr>
        <w:t xml:space="preserve"> disorder did not reduce his moral culpability</w:t>
      </w:r>
      <w:r>
        <w:rPr>
          <w:rFonts w:ascii="Arial" w:hAnsi="Arial" w:cs="Arial"/>
          <w:bCs/>
          <w:color w:val="000000"/>
          <w:sz w:val="20"/>
          <w:szCs w:val="20"/>
        </w:rPr>
        <w:t>. He had been sentenced to TES IMP29y/22y. In refusing leave to appeal against the sentence Walker, Boyce &amp; Kaye JJA held:</w:t>
      </w:r>
    </w:p>
    <w:p w14:paraId="2A330505" w14:textId="14730EBC" w:rsidR="009048B5" w:rsidRPr="009048B5" w:rsidRDefault="009048B5" w:rsidP="009048B5">
      <w:pPr>
        <w:pStyle w:val="Heading2"/>
        <w:numPr>
          <w:ilvl w:val="0"/>
          <w:numId w:val="130"/>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lang w:val="en-US"/>
        </w:rPr>
        <w:t xml:space="preserve">The judge had not </w:t>
      </w:r>
      <w:r w:rsidRPr="004D1A9B">
        <w:rPr>
          <w:rFonts w:ascii="Arial" w:hAnsi="Arial" w:cs="Arial"/>
          <w:bCs/>
          <w:color w:val="000000"/>
          <w:sz w:val="20"/>
        </w:rPr>
        <w:t>failed to moderate need for general deterrence due to applicant’s somnophilic disorder</w:t>
      </w:r>
      <w:r>
        <w:rPr>
          <w:rFonts w:ascii="Arial" w:hAnsi="Arial" w:cs="Arial"/>
          <w:bCs/>
          <w:color w:val="000000"/>
          <w:sz w:val="20"/>
        </w:rPr>
        <w:t xml:space="preserve"> and did not </w:t>
      </w:r>
      <w:r w:rsidRPr="004D1A9B">
        <w:rPr>
          <w:rFonts w:ascii="Arial" w:hAnsi="Arial" w:cs="Arial"/>
          <w:bCs/>
          <w:color w:val="000000"/>
          <w:sz w:val="20"/>
        </w:rPr>
        <w:t xml:space="preserve">err in requiring </w:t>
      </w:r>
      <w:r>
        <w:rPr>
          <w:rFonts w:ascii="Arial" w:hAnsi="Arial" w:cs="Arial"/>
          <w:bCs/>
          <w:color w:val="000000"/>
          <w:sz w:val="20"/>
        </w:rPr>
        <w:t xml:space="preserve">a </w:t>
      </w:r>
      <w:r w:rsidRPr="004D1A9B">
        <w:rPr>
          <w:rFonts w:ascii="Arial" w:hAnsi="Arial" w:cs="Arial"/>
          <w:bCs/>
          <w:color w:val="000000"/>
          <w:sz w:val="20"/>
        </w:rPr>
        <w:t xml:space="preserve">‘realistic connection’ or ‘causal link’ between </w:t>
      </w:r>
      <w:r>
        <w:rPr>
          <w:rFonts w:ascii="Arial" w:hAnsi="Arial" w:cs="Arial"/>
          <w:bCs/>
          <w:color w:val="000000"/>
          <w:sz w:val="20"/>
        </w:rPr>
        <w:t xml:space="preserve">the </w:t>
      </w:r>
      <w:r w:rsidRPr="004D1A9B">
        <w:rPr>
          <w:rFonts w:ascii="Arial" w:hAnsi="Arial" w:cs="Arial"/>
          <w:bCs/>
          <w:color w:val="000000"/>
          <w:sz w:val="20"/>
        </w:rPr>
        <w:t xml:space="preserve">disorder and </w:t>
      </w:r>
      <w:r>
        <w:rPr>
          <w:rFonts w:ascii="Arial" w:hAnsi="Arial" w:cs="Arial"/>
          <w:bCs/>
          <w:color w:val="000000"/>
          <w:sz w:val="20"/>
        </w:rPr>
        <w:t xml:space="preserve">the </w:t>
      </w:r>
      <w:r w:rsidRPr="004D1A9B">
        <w:rPr>
          <w:rFonts w:ascii="Arial" w:hAnsi="Arial" w:cs="Arial"/>
          <w:bCs/>
          <w:color w:val="000000"/>
          <w:sz w:val="20"/>
        </w:rPr>
        <w:t>offending</w:t>
      </w:r>
      <w:r>
        <w:rPr>
          <w:rFonts w:ascii="Arial" w:hAnsi="Arial" w:cs="Arial"/>
          <w:bCs/>
          <w:color w:val="000000"/>
          <w:sz w:val="20"/>
        </w:rPr>
        <w:t>.</w:t>
      </w:r>
    </w:p>
    <w:p w14:paraId="7B119260" w14:textId="3B9C401B" w:rsidR="009048B5" w:rsidRPr="009048B5" w:rsidRDefault="009048B5" w:rsidP="009048B5">
      <w:pPr>
        <w:pStyle w:val="Heading2"/>
        <w:numPr>
          <w:ilvl w:val="0"/>
          <w:numId w:val="130"/>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lang w:val="en-US"/>
        </w:rPr>
        <w:t xml:space="preserve">The </w:t>
      </w:r>
      <w:r>
        <w:rPr>
          <w:rFonts w:ascii="Arial" w:hAnsi="Arial" w:cs="Arial"/>
          <w:bCs/>
          <w:color w:val="000000"/>
          <w:sz w:val="20"/>
        </w:rPr>
        <w:t>j</w:t>
      </w:r>
      <w:r w:rsidRPr="004D1A9B">
        <w:rPr>
          <w:rFonts w:ascii="Arial" w:hAnsi="Arial" w:cs="Arial"/>
          <w:bCs/>
          <w:color w:val="000000"/>
          <w:sz w:val="20"/>
        </w:rPr>
        <w:t xml:space="preserve">udge </w:t>
      </w:r>
      <w:r>
        <w:rPr>
          <w:rFonts w:ascii="Arial" w:hAnsi="Arial" w:cs="Arial"/>
          <w:bCs/>
          <w:color w:val="000000"/>
          <w:sz w:val="20"/>
        </w:rPr>
        <w:t xml:space="preserve">was </w:t>
      </w:r>
      <w:r w:rsidRPr="004D1A9B">
        <w:rPr>
          <w:rFonts w:ascii="Arial" w:hAnsi="Arial" w:cs="Arial"/>
          <w:bCs/>
          <w:color w:val="000000"/>
          <w:sz w:val="20"/>
        </w:rPr>
        <w:t>correct to conclude that no moderation of general deterrence was appropriate</w:t>
      </w:r>
      <w:r>
        <w:rPr>
          <w:rFonts w:ascii="Arial" w:hAnsi="Arial" w:cs="Arial"/>
          <w:bCs/>
          <w:color w:val="000000"/>
          <w:sz w:val="20"/>
        </w:rPr>
        <w:t>.</w:t>
      </w:r>
    </w:p>
    <w:p w14:paraId="5C0419AA" w14:textId="5FE2EC2B" w:rsidR="009048B5" w:rsidRPr="00D07CDA" w:rsidRDefault="009048B5" w:rsidP="009048B5">
      <w:pPr>
        <w:pStyle w:val="Heading2"/>
        <w:numPr>
          <w:ilvl w:val="0"/>
          <w:numId w:val="130"/>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rPr>
        <w:t>Given the nature and extent of the offending and the importance of general deterrence, denunciation and community protection</w:t>
      </w:r>
      <w:r w:rsidR="003706EC">
        <w:rPr>
          <w:rFonts w:ascii="Arial" w:hAnsi="Arial" w:cs="Arial"/>
          <w:bCs/>
          <w:color w:val="000000"/>
          <w:sz w:val="20"/>
        </w:rPr>
        <w:t>,</w:t>
      </w:r>
      <w:r>
        <w:rPr>
          <w:rFonts w:ascii="Arial" w:hAnsi="Arial" w:cs="Arial"/>
          <w:bCs/>
          <w:color w:val="000000"/>
          <w:sz w:val="20"/>
        </w:rPr>
        <w:t xml:space="preserve"> the TES and NPP were not manifestly excessive.</w:t>
      </w:r>
    </w:p>
    <w:p w14:paraId="29BE254C" w14:textId="77777777" w:rsidR="009048B5" w:rsidRDefault="009048B5" w:rsidP="009048B5">
      <w:pPr>
        <w:spacing w:before="20" w:after="20"/>
        <w:jc w:val="both"/>
        <w:rPr>
          <w:rFonts w:ascii="Arial" w:hAnsi="Arial" w:cs="Arial"/>
          <w:bCs/>
          <w:color w:val="000000"/>
          <w:sz w:val="20"/>
          <w:szCs w:val="20"/>
        </w:rPr>
      </w:pPr>
    </w:p>
    <w:p w14:paraId="3B836835" w14:textId="5DC814BF" w:rsidR="00326981" w:rsidRDefault="00326981" w:rsidP="00326981">
      <w:pPr>
        <w:jc w:val="both"/>
        <w:rPr>
          <w:rFonts w:ascii="Arial" w:hAnsi="Arial" w:cs="Arial"/>
          <w:bCs/>
          <w:color w:val="000000"/>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the nexus which sometimes occurs between childhood deprivation and protection of the community was also commented on by the Court of Appeal in refusing leave to appeal against a TES IMP20y4m/17y on multiple charges including 2 counts of rape imposed on a 30 year old offender who had previously been sentenced to IMP5y/3y for a similar rape.  At [34] Priest &amp; T Forrest JJA, citing </w:t>
      </w:r>
      <w:r w:rsidRPr="00326981">
        <w:rPr>
          <w:rFonts w:ascii="Arial" w:hAnsi="Arial" w:cs="Arial"/>
          <w:i/>
          <w:iCs/>
          <w:sz w:val="20"/>
          <w:szCs w:val="20"/>
        </w:rPr>
        <w:t>Bugmy v The Queen</w:t>
      </w:r>
      <w:r>
        <w:rPr>
          <w:rFonts w:ascii="Arial" w:hAnsi="Arial" w:cs="Arial"/>
          <w:sz w:val="20"/>
          <w:szCs w:val="20"/>
        </w:rPr>
        <w:t>, noted t</w:t>
      </w:r>
      <w:r w:rsidRPr="00554AD0">
        <w:rPr>
          <w:rFonts w:ascii="Arial" w:hAnsi="Arial" w:cs="Arial"/>
          <w:sz w:val="20"/>
          <w:szCs w:val="20"/>
        </w:rPr>
        <w:t xml:space="preserve">hat </w:t>
      </w:r>
      <w:r w:rsidR="00BC24C7">
        <w:rPr>
          <w:rFonts w:ascii="Arial" w:hAnsi="Arial" w:cs="Arial"/>
          <w:sz w:val="20"/>
          <w:szCs w:val="20"/>
        </w:rPr>
        <w:t>“</w:t>
      </w:r>
      <w:r w:rsidRPr="00554AD0">
        <w:rPr>
          <w:rFonts w:ascii="Arial" w:hAnsi="Arial" w:cs="Arial"/>
          <w:sz w:val="20"/>
          <w:szCs w:val="20"/>
        </w:rPr>
        <w:t>an inability to control violent responses to frustration, borne of exposure to violence and substance abuse, may increase the importance of community protection as a feature in sentencing</w:t>
      </w:r>
      <w:r>
        <w:rPr>
          <w:rFonts w:ascii="Arial" w:hAnsi="Arial" w:cs="Arial"/>
          <w:sz w:val="20"/>
          <w:szCs w:val="20"/>
        </w:rPr>
        <w:t>”.</w:t>
      </w:r>
    </w:p>
    <w:p w14:paraId="5F304051" w14:textId="77777777" w:rsidR="00326981" w:rsidRDefault="00326981" w:rsidP="00D97844">
      <w:pPr>
        <w:spacing w:before="20" w:after="20"/>
        <w:jc w:val="both"/>
        <w:rPr>
          <w:rFonts w:ascii="Arial" w:hAnsi="Arial" w:cs="Arial"/>
          <w:bCs/>
          <w:color w:val="000000"/>
          <w:sz w:val="20"/>
          <w:szCs w:val="20"/>
        </w:rPr>
      </w:pPr>
    </w:p>
    <w:p w14:paraId="741BF5A0" w14:textId="0747B7E6" w:rsidR="00A0117D" w:rsidRDefault="0033619A" w:rsidP="00B10B1F">
      <w:pPr>
        <w:spacing w:before="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R v Balassis</w:t>
      </w:r>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Werry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DPP v Elfata</w:t>
      </w:r>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DPP v Za Lian &amp; Hlawnceu</w:t>
      </w:r>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 xml:space="preserve">Landale (a </w:t>
      </w:r>
      <w:r w:rsidR="00D86458" w:rsidRPr="00C927DF">
        <w:rPr>
          <w:rFonts w:ascii="Arial" w:hAnsi="Arial" w:cs="Arial"/>
          <w:i/>
          <w:iCs/>
          <w:color w:val="000000"/>
          <w:sz w:val="20"/>
          <w:szCs w:val="20"/>
        </w:rPr>
        <w:t>pseudonym) v The Queen</w:t>
      </w:r>
      <w:r w:rsidR="00D86458" w:rsidRPr="00C927DF">
        <w:rPr>
          <w:rFonts w:ascii="Arial" w:hAnsi="Arial" w:cs="Arial"/>
          <w:color w:val="000000"/>
          <w:sz w:val="20"/>
          <w:szCs w:val="20"/>
        </w:rPr>
        <w:t xml:space="preserve"> [2022] VSCA 121</w:t>
      </w:r>
      <w:r w:rsidR="00C53E2B" w:rsidRPr="00C927DF">
        <w:rPr>
          <w:rFonts w:ascii="Arial" w:hAnsi="Arial" w:cs="Arial"/>
          <w:color w:val="000000"/>
          <w:sz w:val="20"/>
          <w:szCs w:val="20"/>
        </w:rPr>
        <w:t xml:space="preserve">; </w:t>
      </w:r>
      <w:r w:rsidR="00C53E2B" w:rsidRPr="00C927DF">
        <w:rPr>
          <w:rFonts w:ascii="Arial" w:hAnsi="Arial" w:cs="Arial"/>
          <w:i/>
          <w:iCs/>
          <w:color w:val="000000"/>
          <w:sz w:val="20"/>
          <w:szCs w:val="20"/>
        </w:rPr>
        <w:t>Babar v the Queen</w:t>
      </w:r>
      <w:r w:rsidR="00C53E2B" w:rsidRPr="00C927DF">
        <w:rPr>
          <w:rFonts w:ascii="Arial" w:hAnsi="Arial" w:cs="Arial"/>
          <w:color w:val="000000"/>
          <w:sz w:val="20"/>
          <w:szCs w:val="20"/>
        </w:rPr>
        <w:t xml:space="preserve"> [2022] VSCA 122</w:t>
      </w:r>
      <w:r w:rsidR="003568F3" w:rsidRPr="00C927DF">
        <w:rPr>
          <w:rFonts w:ascii="Arial" w:hAnsi="Arial" w:cs="Arial"/>
          <w:color w:val="000000"/>
          <w:sz w:val="20"/>
          <w:szCs w:val="20"/>
        </w:rPr>
        <w:t xml:space="preserve">; </w:t>
      </w:r>
      <w:r w:rsidR="003568F3" w:rsidRPr="00C927DF">
        <w:rPr>
          <w:rFonts w:ascii="Arial" w:hAnsi="Arial" w:cs="Arial"/>
          <w:i/>
          <w:iCs/>
          <w:color w:val="000000"/>
          <w:sz w:val="20"/>
          <w:szCs w:val="20"/>
        </w:rPr>
        <w:t>Stafford v The King</w:t>
      </w:r>
      <w:r w:rsidR="003568F3" w:rsidRPr="00C927DF">
        <w:rPr>
          <w:rFonts w:ascii="Arial" w:hAnsi="Arial" w:cs="Arial"/>
          <w:color w:val="000000"/>
          <w:sz w:val="20"/>
          <w:szCs w:val="20"/>
        </w:rPr>
        <w:t xml:space="preserve"> [2022] VSCA 229</w:t>
      </w:r>
      <w:r w:rsidR="00527177" w:rsidRPr="00C927DF">
        <w:rPr>
          <w:rFonts w:ascii="Arial" w:hAnsi="Arial" w:cs="Arial"/>
          <w:color w:val="000000"/>
          <w:sz w:val="20"/>
          <w:szCs w:val="20"/>
        </w:rPr>
        <w:t xml:space="preserve">; </w:t>
      </w:r>
      <w:r w:rsidR="00527177" w:rsidRPr="00C927DF">
        <w:rPr>
          <w:rFonts w:ascii="Arial" w:hAnsi="Arial" w:cs="Arial"/>
          <w:i/>
          <w:iCs/>
          <w:color w:val="000000"/>
          <w:sz w:val="20"/>
          <w:szCs w:val="20"/>
        </w:rPr>
        <w:t>Avalos (a pseudonym) v The King</w:t>
      </w:r>
      <w:r w:rsidR="00527177" w:rsidRPr="00C927DF">
        <w:rPr>
          <w:rFonts w:ascii="Arial" w:hAnsi="Arial" w:cs="Arial"/>
          <w:color w:val="000000"/>
          <w:sz w:val="20"/>
          <w:szCs w:val="20"/>
        </w:rPr>
        <w:t xml:space="preserve"> [2023] VSCA 117</w:t>
      </w:r>
      <w:r w:rsidR="00FA6EDE" w:rsidRPr="00C927DF">
        <w:rPr>
          <w:rFonts w:ascii="Arial" w:hAnsi="Arial" w:cs="Arial"/>
          <w:color w:val="000000"/>
          <w:sz w:val="20"/>
          <w:szCs w:val="20"/>
        </w:rPr>
        <w:t xml:space="preserve"> esp. at [10]-[14]</w:t>
      </w:r>
      <w:r w:rsidR="00EE36F8" w:rsidRPr="00C927DF">
        <w:rPr>
          <w:rFonts w:ascii="Arial" w:hAnsi="Arial" w:cs="Arial"/>
          <w:color w:val="000000"/>
          <w:sz w:val="20"/>
          <w:szCs w:val="20"/>
        </w:rPr>
        <w:t xml:space="preserve">; </w:t>
      </w:r>
      <w:r w:rsidR="00EE36F8" w:rsidRPr="00C927DF">
        <w:rPr>
          <w:rFonts w:ascii="Arial" w:hAnsi="Arial" w:cs="Arial"/>
          <w:i/>
          <w:iCs/>
          <w:color w:val="000000"/>
          <w:sz w:val="20"/>
          <w:szCs w:val="20"/>
        </w:rPr>
        <w:t>DPP v Holland</w:t>
      </w:r>
      <w:r w:rsidR="00EE36F8" w:rsidRPr="00C927DF">
        <w:rPr>
          <w:rFonts w:ascii="Arial" w:hAnsi="Arial" w:cs="Arial"/>
          <w:color w:val="000000"/>
          <w:sz w:val="20"/>
          <w:szCs w:val="20"/>
        </w:rPr>
        <w:t xml:space="preserve"> [2023] VSC 510</w:t>
      </w:r>
      <w:r w:rsidR="009D6E19" w:rsidRPr="00C927DF">
        <w:rPr>
          <w:rFonts w:ascii="Arial" w:hAnsi="Arial" w:cs="Arial"/>
          <w:color w:val="000000"/>
          <w:sz w:val="20"/>
          <w:szCs w:val="20"/>
        </w:rPr>
        <w:t xml:space="preserve">; </w:t>
      </w:r>
      <w:r w:rsidR="009D6E19" w:rsidRPr="00C927DF">
        <w:rPr>
          <w:rFonts w:ascii="Arial" w:hAnsi="Arial" w:cs="Arial"/>
          <w:i/>
          <w:iCs/>
          <w:color w:val="000000"/>
          <w:sz w:val="20"/>
          <w:szCs w:val="20"/>
        </w:rPr>
        <w:t>Watkins (a pseudonym) v The King</w:t>
      </w:r>
      <w:r w:rsidR="009D6E19" w:rsidRPr="00C927DF">
        <w:rPr>
          <w:rFonts w:ascii="Arial" w:hAnsi="Arial" w:cs="Arial"/>
          <w:color w:val="000000"/>
          <w:sz w:val="20"/>
          <w:szCs w:val="20"/>
        </w:rPr>
        <w:t xml:space="preserve"> [2023] VSCA 203 esp. at [31]-[75]</w:t>
      </w:r>
      <w:r w:rsidR="00977C47" w:rsidRPr="00C927DF">
        <w:rPr>
          <w:rFonts w:ascii="Arial" w:hAnsi="Arial" w:cs="Arial"/>
          <w:color w:val="000000"/>
          <w:sz w:val="20"/>
          <w:szCs w:val="20"/>
        </w:rPr>
        <w:t xml:space="preserve">; </w:t>
      </w:r>
      <w:r w:rsidR="00977C47" w:rsidRPr="00C927DF">
        <w:rPr>
          <w:rFonts w:ascii="Arial" w:hAnsi="Arial" w:cs="Arial"/>
          <w:i/>
          <w:iCs/>
          <w:sz w:val="20"/>
          <w:szCs w:val="20"/>
        </w:rPr>
        <w:t>DPP v Merryful; DPP v Bloomfield</w:t>
      </w:r>
      <w:r w:rsidR="00977C47" w:rsidRPr="00C927DF">
        <w:rPr>
          <w:rFonts w:ascii="Arial" w:hAnsi="Arial" w:cs="Arial"/>
          <w:sz w:val="20"/>
          <w:szCs w:val="20"/>
        </w:rPr>
        <w:t xml:space="preserve"> [2023] VSC 244</w:t>
      </w:r>
      <w:r w:rsidR="007F3C5F" w:rsidRPr="00C927DF">
        <w:rPr>
          <w:rFonts w:ascii="Arial" w:hAnsi="Arial" w:cs="Arial"/>
          <w:sz w:val="20"/>
          <w:szCs w:val="20"/>
        </w:rPr>
        <w:t xml:space="preserve">; </w:t>
      </w:r>
      <w:r w:rsidR="007F3C5F" w:rsidRPr="00C927DF">
        <w:rPr>
          <w:rFonts w:ascii="Arial" w:hAnsi="Arial" w:cs="Arial"/>
          <w:i/>
          <w:iCs/>
          <w:sz w:val="20"/>
          <w:szCs w:val="20"/>
        </w:rPr>
        <w:t>Basile v The King</w:t>
      </w:r>
      <w:r w:rsidR="007F3C5F" w:rsidRPr="00C927DF">
        <w:rPr>
          <w:rFonts w:ascii="Arial" w:hAnsi="Arial" w:cs="Arial"/>
          <w:sz w:val="20"/>
          <w:szCs w:val="20"/>
        </w:rPr>
        <w:t xml:space="preserve"> [2023] VSCA 308</w:t>
      </w:r>
      <w:r w:rsidR="00D71D8D" w:rsidRPr="00C927DF">
        <w:rPr>
          <w:rFonts w:ascii="Arial" w:hAnsi="Arial" w:cs="Arial"/>
          <w:sz w:val="20"/>
          <w:szCs w:val="20"/>
        </w:rPr>
        <w:t xml:space="preserve">; </w:t>
      </w:r>
      <w:r w:rsidR="00D71D8D" w:rsidRPr="00C927DF">
        <w:rPr>
          <w:rFonts w:ascii="Arial" w:hAnsi="Arial" w:cs="Arial"/>
          <w:i/>
          <w:iCs/>
          <w:sz w:val="20"/>
          <w:szCs w:val="20"/>
        </w:rPr>
        <w:t>De Haas v The King</w:t>
      </w:r>
      <w:r w:rsidR="00D71D8D" w:rsidRPr="00C927DF">
        <w:rPr>
          <w:rFonts w:ascii="Arial" w:hAnsi="Arial" w:cs="Arial"/>
          <w:sz w:val="20"/>
          <w:szCs w:val="20"/>
        </w:rPr>
        <w:t xml:space="preserve"> [2024] VSCA 141</w:t>
      </w:r>
      <w:r w:rsidR="00831A53" w:rsidRPr="00C927DF">
        <w:rPr>
          <w:rFonts w:ascii="Arial" w:hAnsi="Arial" w:cs="Arial"/>
          <w:sz w:val="20"/>
          <w:szCs w:val="20"/>
        </w:rPr>
        <w:t xml:space="preserve">; </w:t>
      </w:r>
      <w:r w:rsidR="00831A53" w:rsidRPr="00C927DF">
        <w:rPr>
          <w:rFonts w:ascii="Arial" w:hAnsi="Arial" w:cs="Arial"/>
          <w:i/>
          <w:iCs/>
          <w:sz w:val="20"/>
          <w:szCs w:val="20"/>
        </w:rPr>
        <w:t>DPP v Ierardo</w:t>
      </w:r>
      <w:r w:rsidR="00831A53" w:rsidRPr="00C927DF">
        <w:rPr>
          <w:rFonts w:ascii="Arial" w:hAnsi="Arial" w:cs="Arial"/>
          <w:sz w:val="20"/>
          <w:szCs w:val="20"/>
        </w:rPr>
        <w:t xml:space="preserve"> [2024] VSCA 181 esp. at [113]-[115]</w:t>
      </w:r>
      <w:r w:rsidR="00C927DF" w:rsidRPr="00C927DF">
        <w:rPr>
          <w:rFonts w:ascii="Arial" w:hAnsi="Arial" w:cs="Arial"/>
          <w:sz w:val="20"/>
          <w:szCs w:val="20"/>
        </w:rPr>
        <w:t xml:space="preserve">; </w:t>
      </w:r>
      <w:r w:rsidR="00C927DF" w:rsidRPr="00C927DF">
        <w:rPr>
          <w:rFonts w:ascii="Arial" w:hAnsi="Arial" w:cs="Arial"/>
          <w:i/>
          <w:iCs/>
          <w:sz w:val="20"/>
          <w:szCs w:val="20"/>
        </w:rPr>
        <w:t>Butcher v The King</w:t>
      </w:r>
      <w:r w:rsidR="00C927DF" w:rsidRPr="00C927DF">
        <w:rPr>
          <w:rFonts w:ascii="Arial" w:hAnsi="Arial" w:cs="Arial"/>
          <w:sz w:val="20"/>
          <w:szCs w:val="20"/>
        </w:rPr>
        <w:t xml:space="preserve"> [2024] VSCA 322</w:t>
      </w:r>
      <w:r w:rsidR="00343918">
        <w:rPr>
          <w:rFonts w:ascii="Arial" w:hAnsi="Arial" w:cs="Arial"/>
          <w:sz w:val="20"/>
          <w:szCs w:val="20"/>
        </w:rPr>
        <w:t xml:space="preserve">; </w:t>
      </w:r>
      <w:r w:rsidR="00343918" w:rsidRPr="00343918">
        <w:rPr>
          <w:rFonts w:ascii="Arial" w:hAnsi="Arial" w:cs="Arial"/>
          <w:i/>
          <w:iCs/>
          <w:sz w:val="20"/>
          <w:szCs w:val="20"/>
        </w:rPr>
        <w:t>Vassallo v The King</w:t>
      </w:r>
      <w:r w:rsidR="00343918">
        <w:rPr>
          <w:rFonts w:ascii="Arial" w:hAnsi="Arial" w:cs="Arial"/>
          <w:sz w:val="20"/>
          <w:szCs w:val="20"/>
        </w:rPr>
        <w:t xml:space="preserve"> [2025] VSCA 7</w:t>
      </w:r>
      <w:r w:rsidR="002F45B3">
        <w:rPr>
          <w:rFonts w:ascii="Arial" w:hAnsi="Arial" w:cs="Arial"/>
          <w:sz w:val="20"/>
          <w:szCs w:val="20"/>
        </w:rPr>
        <w:t xml:space="preserve">; </w:t>
      </w:r>
      <w:r w:rsidR="002F45B3" w:rsidRPr="002F45B3">
        <w:rPr>
          <w:rFonts w:ascii="Arial" w:hAnsi="Arial" w:cs="Arial"/>
          <w:i/>
          <w:iCs/>
          <w:sz w:val="20"/>
          <w:szCs w:val="20"/>
        </w:rPr>
        <w:t>Ortisi v The King</w:t>
      </w:r>
      <w:r w:rsidR="002F45B3">
        <w:rPr>
          <w:rFonts w:ascii="Arial" w:hAnsi="Arial" w:cs="Arial"/>
          <w:sz w:val="20"/>
          <w:szCs w:val="20"/>
        </w:rPr>
        <w:t xml:space="preserve"> [2025] VSCA 42</w:t>
      </w:r>
      <w:r w:rsidR="001072E0">
        <w:rPr>
          <w:rFonts w:ascii="Arial" w:hAnsi="Arial" w:cs="Arial"/>
          <w:sz w:val="20"/>
          <w:szCs w:val="20"/>
        </w:rPr>
        <w:t xml:space="preserve">; </w:t>
      </w:r>
      <w:r w:rsidR="001072E0" w:rsidRPr="001072E0">
        <w:rPr>
          <w:rFonts w:ascii="Arial" w:hAnsi="Arial" w:cs="Arial"/>
          <w:i/>
          <w:iCs/>
          <w:sz w:val="20"/>
          <w:szCs w:val="20"/>
        </w:rPr>
        <w:t xml:space="preserve">Barton (a pseudonym) v The King </w:t>
      </w:r>
      <w:r w:rsidR="001072E0">
        <w:rPr>
          <w:rFonts w:ascii="Arial" w:hAnsi="Arial" w:cs="Arial"/>
          <w:sz w:val="20"/>
          <w:szCs w:val="20"/>
        </w:rPr>
        <w:t>[2025] VSCA 74</w:t>
      </w:r>
      <w:r w:rsidR="00B10B1F">
        <w:rPr>
          <w:rFonts w:ascii="Arial" w:hAnsi="Arial" w:cs="Arial"/>
          <w:sz w:val="20"/>
          <w:szCs w:val="20"/>
        </w:rPr>
        <w:t xml:space="preserve">; </w:t>
      </w:r>
      <w:proofErr w:type="spellStart"/>
      <w:r w:rsidR="00B10B1F" w:rsidRPr="00B10B1F">
        <w:rPr>
          <w:rFonts w:ascii="Arial" w:hAnsi="Arial" w:cs="Arial"/>
          <w:i/>
          <w:iCs/>
          <w:sz w:val="20"/>
          <w:szCs w:val="20"/>
        </w:rPr>
        <w:t>Malbeal</w:t>
      </w:r>
      <w:proofErr w:type="spellEnd"/>
      <w:r w:rsidR="00B10B1F" w:rsidRPr="00B10B1F">
        <w:rPr>
          <w:rFonts w:ascii="Arial" w:hAnsi="Arial" w:cs="Arial"/>
          <w:i/>
          <w:iCs/>
          <w:sz w:val="20"/>
          <w:szCs w:val="20"/>
        </w:rPr>
        <w:t xml:space="preserve"> v The King</w:t>
      </w:r>
      <w:r w:rsidR="00B10B1F">
        <w:rPr>
          <w:rFonts w:ascii="Arial" w:hAnsi="Arial" w:cs="Arial"/>
          <w:sz w:val="20"/>
          <w:szCs w:val="20"/>
        </w:rPr>
        <w:t xml:space="preserve"> [2025] VSCA 71</w:t>
      </w:r>
      <w:r w:rsidR="00326981" w:rsidRPr="00C927DF">
        <w:rPr>
          <w:rFonts w:ascii="Arial" w:hAnsi="Arial" w:cs="Arial"/>
          <w:color w:val="000000"/>
          <w:sz w:val="20"/>
          <w:szCs w:val="20"/>
        </w:rPr>
        <w:t>.</w:t>
      </w:r>
    </w:p>
    <w:p w14:paraId="386E43EA" w14:textId="77777777" w:rsidR="00B10B1F" w:rsidRPr="00223F8B" w:rsidRDefault="00B10B1F" w:rsidP="00B10B1F">
      <w:pPr>
        <w:jc w:val="both"/>
        <w:rPr>
          <w:rFonts w:ascii="Arial" w:hAnsi="Arial" w:cs="Arial"/>
          <w:color w:val="000000"/>
          <w:sz w:val="20"/>
          <w:szCs w:val="20"/>
        </w:rPr>
      </w:pPr>
    </w:p>
    <w:p w14:paraId="0BA12C7A" w14:textId="77777777" w:rsidR="00A57DB9" w:rsidRPr="001C6E0E" w:rsidRDefault="00A57DB9" w:rsidP="00B811B6">
      <w:pPr>
        <w:pStyle w:val="Heading2"/>
        <w:keepNext/>
        <w:keepLines/>
        <w:widowControl/>
        <w:tabs>
          <w:tab w:val="left" w:pos="567"/>
        </w:tabs>
        <w:spacing w:after="120" w:line="240" w:lineRule="auto"/>
        <w:ind w:left="567" w:hanging="567"/>
        <w:rPr>
          <w:rFonts w:ascii="Arial" w:hAnsi="Arial" w:cs="Arial"/>
          <w:bCs/>
          <w:color w:val="000000"/>
          <w:sz w:val="20"/>
        </w:rPr>
      </w:pPr>
      <w:bookmarkStart w:id="718" w:name="_11.2.28.2__"/>
      <w:bookmarkEnd w:id="718"/>
      <w:r>
        <w:rPr>
          <w:rFonts w:ascii="Arial" w:hAnsi="Arial" w:cs="Arial"/>
          <w:b/>
          <w:bCs/>
          <w:color w:val="000000"/>
          <w:sz w:val="20"/>
        </w:rPr>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3DD9764C" w14:textId="1C533148" w:rsidR="00170185" w:rsidRDefault="00170185" w:rsidP="00170185">
      <w:pPr>
        <w:pStyle w:val="Heading2"/>
        <w:widowControl/>
        <w:tabs>
          <w:tab w:val="left" w:pos="567"/>
        </w:tabs>
        <w:spacing w:line="240" w:lineRule="auto"/>
        <w:rPr>
          <w:rFonts w:ascii="Arial" w:hAnsi="Arial" w:cs="Arial"/>
          <w:bCs/>
          <w:color w:val="000000"/>
          <w:sz w:val="20"/>
          <w:lang w:val="en-US"/>
        </w:rPr>
      </w:pPr>
      <w:r w:rsidRPr="00170185">
        <w:rPr>
          <w:rFonts w:ascii="Arial" w:hAnsi="Arial" w:cs="Arial"/>
          <w:bCs/>
          <w:color w:val="000000"/>
          <w:sz w:val="20"/>
          <w:lang w:val="en-US"/>
        </w:rPr>
        <w:t xml:space="preserve">In </w:t>
      </w:r>
      <w:r w:rsidRPr="00170185">
        <w:rPr>
          <w:rFonts w:ascii="Arial" w:hAnsi="Arial" w:cs="Arial"/>
          <w:bCs/>
          <w:i/>
          <w:iCs/>
          <w:color w:val="000000"/>
          <w:sz w:val="20"/>
          <w:lang w:val="en-US"/>
        </w:rPr>
        <w:t>Andrews v The King</w:t>
      </w:r>
      <w:r w:rsidRPr="00170185">
        <w:rPr>
          <w:rFonts w:ascii="Arial" w:hAnsi="Arial" w:cs="Arial"/>
          <w:bCs/>
          <w:color w:val="000000"/>
          <w:sz w:val="20"/>
          <w:lang w:val="en-US"/>
        </w:rPr>
        <w:t xml:space="preserve"> [2025] VSCA 26 the </w:t>
      </w:r>
      <w:r>
        <w:rPr>
          <w:rFonts w:ascii="Arial" w:hAnsi="Arial" w:cs="Arial"/>
          <w:bCs/>
          <w:color w:val="000000"/>
          <w:sz w:val="20"/>
          <w:lang w:val="en-US"/>
        </w:rPr>
        <w:t xml:space="preserve">43 year old applicant had pleaded guilty to assault with intent to commit a criminal offence, threat to inflict serious injury, sexual assault and threat to commit a sexual offence and had been sentenced to TES IP7y/5y. </w:t>
      </w:r>
      <w:r w:rsidR="0013582B">
        <w:rPr>
          <w:rFonts w:ascii="Arial" w:hAnsi="Arial" w:cs="Arial"/>
          <w:bCs/>
          <w:color w:val="000000"/>
          <w:sz w:val="20"/>
          <w:lang w:val="en-US"/>
        </w:rPr>
        <w:t xml:space="preserve">The victim, who was unknown to the applicant, was vulnerable and was walking </w:t>
      </w:r>
      <w:r w:rsidR="0013582B" w:rsidRPr="0013582B">
        <w:rPr>
          <w:rFonts w:ascii="Arial" w:hAnsi="Arial" w:cs="Arial"/>
          <w:bCs/>
          <w:color w:val="000000"/>
          <w:sz w:val="20"/>
          <w:lang w:val="en-AU"/>
        </w:rPr>
        <w:t>alone in the early hours of the morning with few people in the vicinity</w:t>
      </w:r>
      <w:r w:rsidR="0013582B">
        <w:rPr>
          <w:rFonts w:ascii="Arial" w:hAnsi="Arial" w:cs="Arial"/>
          <w:bCs/>
          <w:color w:val="000000"/>
          <w:sz w:val="20"/>
          <w:lang w:val="en-AU"/>
        </w:rPr>
        <w:t xml:space="preserve">. </w:t>
      </w:r>
      <w:r>
        <w:rPr>
          <w:rFonts w:ascii="Arial" w:hAnsi="Arial" w:cs="Arial"/>
          <w:bCs/>
          <w:color w:val="000000"/>
          <w:sz w:val="20"/>
          <w:lang w:val="en-US"/>
        </w:rPr>
        <w:t>In refusing leave to appeal against this sentence Kaye &amp; T Forrest JJA said at [58] &amp; [64]:</w:t>
      </w:r>
    </w:p>
    <w:p w14:paraId="5B2C1560" w14:textId="4C47FA19" w:rsidR="00170185" w:rsidRDefault="00170185" w:rsidP="00170185">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[58] “</w:t>
      </w:r>
      <w:r w:rsidRPr="00170185">
        <w:rPr>
          <w:rFonts w:ascii="Arial" w:hAnsi="Arial" w:cs="Arial"/>
          <w:bCs/>
          <w:color w:val="000000"/>
          <w:sz w:val="20"/>
        </w:rPr>
        <w:t>This was dreadful offending that demanded condign punishment. There was a level of premeditation by the applicant; his offending was not spontaneous. It involved an outrageous and vicious attack upon a vulnerable, isolated young woman. True it is that there were some mitigating factors, all ably recognised by counsel and all considered by the sentencing judge. That said, the applicant had no remorse, nor any relevant psychiatric or psychological impairment that might mitigate his subjective culpability for the offending.</w:t>
      </w:r>
    </w:p>
    <w:p w14:paraId="74B75316" w14:textId="14DA3851" w:rsidR="00170185" w:rsidRPr="00170185" w:rsidRDefault="00170185" w:rsidP="00170185">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 xml:space="preserve">[64] </w:t>
      </w:r>
      <w:r w:rsidRPr="00170185">
        <w:rPr>
          <w:rFonts w:ascii="Arial" w:hAnsi="Arial" w:cs="Arial"/>
          <w:bCs/>
          <w:color w:val="000000"/>
          <w:sz w:val="20"/>
        </w:rPr>
        <w:t xml:space="preserve">Every member of our community has an unconditional right to free and safe passage in public spaces. They are entitled to travel confidently and fearlessly in any circumstance at any time. It is a matter of singular regret that this right has become no more than an aspiration. It is the court’s duty to punish severely those who encroach upon that </w:t>
      </w:r>
      <w:r w:rsidRPr="00170185">
        <w:rPr>
          <w:rFonts w:ascii="Arial" w:hAnsi="Arial" w:cs="Arial"/>
          <w:bCs/>
          <w:color w:val="000000"/>
          <w:sz w:val="20"/>
        </w:rPr>
        <w:lastRenderedPageBreak/>
        <w:t>unconditional right. We have a duty to protect insofar as we can, the members of our community (principally female) from predatory sexual attacks of the kind that was perpetrated in this case.</w:t>
      </w:r>
      <w:r>
        <w:rPr>
          <w:rFonts w:ascii="Arial" w:hAnsi="Arial" w:cs="Arial"/>
          <w:bCs/>
          <w:color w:val="000000"/>
          <w:sz w:val="20"/>
        </w:rPr>
        <w:t>”</w:t>
      </w:r>
    </w:p>
    <w:p w14:paraId="2F381A95" w14:textId="77777777" w:rsidR="00170185" w:rsidRPr="002002C3" w:rsidRDefault="00170185"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77777777"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 v The Queen</w:t>
      </w:r>
      <w:r>
        <w:rPr>
          <w:rFonts w:ascii="Arial" w:hAnsi="Arial" w:cs="Arial"/>
          <w:bCs/>
          <w:color w:val="000000"/>
          <w:sz w:val="20"/>
          <w:lang w:val="en-US"/>
        </w:rPr>
        <w:t xml:space="preserve"> [2020] VSCA 48, esp. at [33]-[37].</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719" w:name="_11.2.29_Sentencing_for"/>
      <w:bookmarkEnd w:id="719"/>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4DA8D09C" w14:textId="17E83EA3" w:rsidR="005C6EC8" w:rsidRDefault="005C6EC8">
      <w:pPr>
        <w:rPr>
          <w:rFonts w:ascii="Arial" w:hAnsi="Arial" w:cs="Arial"/>
          <w:b/>
          <w:bCs/>
          <w:color w:val="000000"/>
          <w:kern w:val="28"/>
          <w:sz w:val="20"/>
          <w:szCs w:val="20"/>
          <w:lang w:val="en-GB"/>
        </w:rPr>
      </w:pPr>
      <w:bookmarkStart w:id="720" w:name="_11.2.30_Sentencing_for"/>
      <w:bookmarkEnd w:id="720"/>
    </w:p>
    <w:p w14:paraId="72137CD4" w14:textId="3D47DB85" w:rsidR="00103F02" w:rsidRPr="001C6E0E" w:rsidRDefault="00103F02" w:rsidP="008228E2">
      <w:pPr>
        <w:pStyle w:val="Heading2"/>
        <w:keepNext/>
        <w:keepLines/>
        <w:widowControl/>
        <w:tabs>
          <w:tab w:val="left" w:pos="567"/>
        </w:tabs>
        <w:spacing w:line="240" w:lineRule="auto"/>
        <w:ind w:left="567" w:hanging="567"/>
        <w:rPr>
          <w:rFonts w:ascii="Arial" w:hAnsi="Arial" w:cs="Arial"/>
          <w:bCs/>
          <w:color w:val="000000"/>
          <w:sz w:val="20"/>
          <w:lang w:val="en-US"/>
        </w:rPr>
      </w:pPr>
      <w:r w:rsidRPr="001C6E0E">
        <w:rPr>
          <w:rFonts w:ascii="Arial" w:hAnsi="Arial" w:cs="Arial"/>
          <w:b/>
          <w:bCs/>
          <w:color w:val="000000"/>
          <w:sz w:val="20"/>
        </w:rPr>
        <w:t>11.2.30</w:t>
      </w:r>
      <w:r w:rsidRPr="001C6E0E">
        <w:rPr>
          <w:rFonts w:ascii="Arial" w:hAnsi="Arial" w:cs="Arial"/>
          <w:b/>
          <w:bCs/>
          <w:color w:val="000000"/>
          <w:sz w:val="20"/>
        </w:rPr>
        <w:tab/>
        <w:t>Sentencing for attempting to pervert the course of justice</w:t>
      </w:r>
      <w:r w:rsidR="000720E6">
        <w:rPr>
          <w:rFonts w:ascii="Arial" w:hAnsi="Arial" w:cs="Arial"/>
          <w:b/>
          <w:bCs/>
          <w:color w:val="000000"/>
          <w:sz w:val="20"/>
        </w:rPr>
        <w:t xml:space="preserve"> / perjury</w:t>
      </w:r>
    </w:p>
    <w:p w14:paraId="43470210" w14:textId="77777777" w:rsidR="00BE5F5A" w:rsidRPr="001C6E0E" w:rsidRDefault="00BE5F5A" w:rsidP="00BE5F5A">
      <w:pPr>
        <w:jc w:val="both"/>
        <w:rPr>
          <w:rFonts w:ascii="Arial" w:hAnsi="Arial" w:cs="Arial"/>
          <w:color w:val="000000"/>
          <w:sz w:val="20"/>
          <w:szCs w:val="20"/>
        </w:rPr>
      </w:pPr>
    </w:p>
    <w:p w14:paraId="2836C464" w14:textId="3238DBB2" w:rsidR="00AA7A59" w:rsidRDefault="00AA7A59" w:rsidP="00BE5F5A">
      <w:pPr>
        <w:jc w:val="both"/>
        <w:rPr>
          <w:rFonts w:ascii="Arial" w:hAnsi="Arial" w:cs="Arial"/>
          <w:bCs/>
          <w:color w:val="000000"/>
          <w:sz w:val="20"/>
          <w:lang w:val="en-US"/>
        </w:rPr>
      </w:pPr>
      <w:r w:rsidRPr="00AD22D9">
        <w:rPr>
          <w:rFonts w:ascii="Arial" w:hAnsi="Arial" w:cs="Arial"/>
          <w:b/>
          <w:color w:val="FFFFFF"/>
          <w:sz w:val="22"/>
          <w:shd w:val="clear" w:color="auto" w:fill="000000"/>
        </w:rPr>
        <w:t>A</w:t>
      </w:r>
      <w:r w:rsidR="00BE5F5A">
        <w:rPr>
          <w:rFonts w:ascii="Arial" w:hAnsi="Arial" w:cs="Arial"/>
          <w:b/>
          <w:color w:val="000000"/>
          <w:sz w:val="22"/>
        </w:rPr>
        <w:t xml:space="preserve">  </w:t>
      </w:r>
      <w:r>
        <w:rPr>
          <w:rFonts w:ascii="Arial" w:hAnsi="Arial" w:cs="Arial"/>
          <w:b/>
          <w:bCs/>
          <w:color w:val="FFFFFF" w:themeColor="background1"/>
          <w:sz w:val="20"/>
          <w:shd w:val="clear" w:color="auto" w:fill="000000" w:themeFill="text1"/>
        </w:rPr>
        <w:t>ATTEMPTING TO PERVERT THE COURSE OF JUSTICE</w:t>
      </w:r>
    </w:p>
    <w:p w14:paraId="70A8B3D8" w14:textId="5818E946"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Tognolini</w:t>
      </w:r>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(Cth)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Josefski</w:t>
            </w:r>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 and Flett</w:t>
            </w:r>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2½ years’ imp</w:t>
            </w:r>
            <w:r w:rsidR="007A6B9E">
              <w:rPr>
                <w:rFonts w:ascii="Arial" w:hAnsi="Arial" w:cs="Arial"/>
                <w:color w:val="000000"/>
                <w:sz w:val="20"/>
                <w:szCs w:val="20"/>
              </w:rPr>
              <w:t>’</w:t>
            </w:r>
            <w:r w:rsidRPr="00E109FF">
              <w:rPr>
                <w:rFonts w:ascii="Arial" w:hAnsi="Arial" w:cs="Arial"/>
                <w:color w:val="000000"/>
                <w:sz w:val="20"/>
                <w:szCs w:val="20"/>
              </w:rPr>
              <w:t>ment</w:t>
            </w:r>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Dunmall</w:t>
            </w:r>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Matheas</w:t>
            </w:r>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lastRenderedPageBreak/>
              <w:t>R v Zaydan &amp; Ors</w:t>
            </w:r>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Buscema</w:t>
      </w:r>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r w:rsidR="00C84E42" w:rsidRPr="00CA1495">
        <w:rPr>
          <w:rFonts w:ascii="Arial" w:hAnsi="Arial" w:cs="Arial"/>
          <w:i/>
          <w:color w:val="000000"/>
          <w:sz w:val="20"/>
          <w:szCs w:val="20"/>
        </w:rPr>
        <w:t>Zotos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DPP v Ceylan</w:t>
      </w:r>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4DFC4CE2" w14:textId="0D770772" w:rsidR="00CF73D7" w:rsidRDefault="00AE114A" w:rsidP="00AC0011">
      <w:pPr>
        <w:jc w:val="both"/>
        <w:rPr>
          <w:rFonts w:ascii="Arial" w:hAnsi="Arial" w:cs="Arial"/>
          <w:color w:val="000000"/>
          <w:sz w:val="20"/>
        </w:rPr>
      </w:pPr>
      <w:r>
        <w:rPr>
          <w:rFonts w:ascii="Arial" w:hAnsi="Arial" w:cs="Arial"/>
          <w:color w:val="000000"/>
          <w:sz w:val="20"/>
        </w:rPr>
        <w:t xml:space="preserve">In </w:t>
      </w:r>
      <w:r w:rsidRPr="00AE114A">
        <w:rPr>
          <w:rFonts w:ascii="Arial" w:hAnsi="Arial" w:cs="Arial"/>
          <w:i/>
          <w:iCs/>
          <w:color w:val="000000"/>
          <w:sz w:val="20"/>
        </w:rPr>
        <w:t>Qayyum v The King</w:t>
      </w:r>
      <w:r>
        <w:rPr>
          <w:rFonts w:ascii="Arial" w:hAnsi="Arial" w:cs="Arial"/>
          <w:color w:val="000000"/>
          <w:sz w:val="20"/>
        </w:rPr>
        <w:t xml:space="preserve"> [2025] VSCA 14 the appellant who had been </w:t>
      </w:r>
      <w:r w:rsidRPr="00AE114A">
        <w:rPr>
          <w:rFonts w:ascii="Arial" w:hAnsi="Arial" w:cs="Arial"/>
          <w:color w:val="000000"/>
          <w:sz w:val="20"/>
        </w:rPr>
        <w:t xml:space="preserve">charged with family violence offences </w:t>
      </w:r>
      <w:r>
        <w:rPr>
          <w:rFonts w:ascii="Arial" w:hAnsi="Arial" w:cs="Arial"/>
          <w:color w:val="000000"/>
          <w:sz w:val="20"/>
        </w:rPr>
        <w:t xml:space="preserve">had </w:t>
      </w:r>
      <w:r w:rsidRPr="00AE114A">
        <w:rPr>
          <w:rFonts w:ascii="Arial" w:hAnsi="Arial" w:cs="Arial"/>
          <w:color w:val="000000"/>
          <w:sz w:val="20"/>
        </w:rPr>
        <w:t>made telephone calls from prison instructing his brother to pressure his wife’s friend into making a statement in his favour and omitting any reference to him having arguments with his wife or beating her</w:t>
      </w:r>
      <w:r>
        <w:rPr>
          <w:rFonts w:ascii="Arial" w:hAnsi="Arial" w:cs="Arial"/>
          <w:color w:val="000000"/>
          <w:sz w:val="20"/>
        </w:rPr>
        <w:t>. The Court of Appeal dismissed his appeal against a sentence of IMP2y/1y on a charge of attempting to pervert the course of justice.  At [96] Emerton P &amp; J Forrest JA said</w:t>
      </w:r>
      <w:r w:rsidR="00CF73D7">
        <w:rPr>
          <w:rFonts w:ascii="Arial" w:hAnsi="Arial" w:cs="Arial"/>
          <w:color w:val="000000"/>
          <w:sz w:val="20"/>
        </w:rPr>
        <w:t>:</w:t>
      </w:r>
    </w:p>
    <w:p w14:paraId="79626140" w14:textId="5F724071" w:rsidR="00CF73D7" w:rsidRDefault="00CF73D7" w:rsidP="00CF73D7">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F73D7">
        <w:rPr>
          <w:rFonts w:ascii="Arial" w:hAnsi="Arial" w:cs="Arial"/>
          <w:color w:val="000000"/>
          <w:sz w:val="20"/>
        </w:rPr>
        <w:t>This Court has on a number of occasions stated, as a matter of principle, that an attempt to pervert the course of justice in a family violence context ‘is always a grave matter’</w:t>
      </w:r>
      <w:r>
        <w:rPr>
          <w:rFonts w:ascii="Arial" w:hAnsi="Arial" w:cs="Arial"/>
          <w:color w:val="000000"/>
          <w:sz w:val="20"/>
        </w:rPr>
        <w:t xml:space="preserve">: </w:t>
      </w:r>
      <w:r w:rsidRPr="00CF73D7">
        <w:rPr>
          <w:rFonts w:ascii="Arial" w:hAnsi="Arial" w:cs="Arial"/>
          <w:i/>
          <w:iCs/>
          <w:color w:val="000000"/>
          <w:sz w:val="20"/>
        </w:rPr>
        <w:t>Shiryar</w:t>
      </w:r>
      <w:r w:rsidRPr="00CF73D7">
        <w:rPr>
          <w:rFonts w:ascii="Arial" w:hAnsi="Arial" w:cs="Arial"/>
          <w:color w:val="000000"/>
          <w:sz w:val="20"/>
        </w:rPr>
        <w:t xml:space="preserve"> [2022] VSCA 96, [38]</w:t>
      </w:r>
      <w:r>
        <w:rPr>
          <w:rFonts w:ascii="Arial" w:hAnsi="Arial" w:cs="Arial"/>
          <w:color w:val="000000"/>
          <w:sz w:val="20"/>
        </w:rPr>
        <w:t>; s</w:t>
      </w:r>
      <w:r w:rsidRPr="00CF73D7">
        <w:rPr>
          <w:rFonts w:ascii="Arial" w:hAnsi="Arial" w:cs="Arial"/>
          <w:color w:val="000000"/>
          <w:sz w:val="20"/>
        </w:rPr>
        <w:t xml:space="preserve">ee also </w:t>
      </w:r>
      <w:r w:rsidRPr="00CF73D7">
        <w:rPr>
          <w:rFonts w:ascii="Arial" w:hAnsi="Arial" w:cs="Arial"/>
          <w:i/>
          <w:iCs/>
          <w:color w:val="000000"/>
          <w:sz w:val="20"/>
        </w:rPr>
        <w:t>Carter v The Queen</w:t>
      </w:r>
      <w:r w:rsidRPr="00CF73D7">
        <w:rPr>
          <w:rFonts w:ascii="Arial" w:hAnsi="Arial" w:cs="Arial"/>
          <w:color w:val="000000"/>
          <w:sz w:val="20"/>
        </w:rPr>
        <w:t xml:space="preserve"> [2020] VSCA 156, [70]. In</w:t>
      </w:r>
      <w:r>
        <w:rPr>
          <w:rFonts w:ascii="Arial" w:hAnsi="Arial" w:cs="Arial"/>
          <w:color w:val="000000"/>
          <w:sz w:val="20"/>
        </w:rPr>
        <w:t> </w:t>
      </w:r>
      <w:r w:rsidRPr="00CF73D7">
        <w:rPr>
          <w:rFonts w:ascii="Arial" w:hAnsi="Arial" w:cs="Arial"/>
          <w:i/>
          <w:iCs/>
          <w:color w:val="000000"/>
          <w:sz w:val="20"/>
        </w:rPr>
        <w:t>Baker (a pseudonym) v The Queen</w:t>
      </w:r>
      <w:r>
        <w:rPr>
          <w:rFonts w:ascii="Arial" w:hAnsi="Arial" w:cs="Arial"/>
          <w:color w:val="000000"/>
          <w:sz w:val="20"/>
        </w:rPr>
        <w:t xml:space="preserve"> [2021] VSCA 158, [37] </w:t>
      </w:r>
      <w:r w:rsidRPr="00CF73D7">
        <w:rPr>
          <w:rFonts w:ascii="Arial" w:hAnsi="Arial" w:cs="Arial"/>
          <w:color w:val="000000"/>
          <w:sz w:val="20"/>
        </w:rPr>
        <w:t>this Court said as follows:</w:t>
      </w:r>
    </w:p>
    <w:p w14:paraId="29FB61AC" w14:textId="41DEA412" w:rsidR="00CF73D7" w:rsidRPr="00CF73D7" w:rsidRDefault="00CF73D7" w:rsidP="00CF73D7">
      <w:pPr>
        <w:pStyle w:val="Normal-Indent"/>
        <w:widowControl/>
        <w:spacing w:before="60" w:line="240" w:lineRule="auto"/>
        <w:ind w:left="1021" w:right="1021"/>
        <w:rPr>
          <w:rFonts w:ascii="Arial" w:hAnsi="Arial" w:cs="Arial"/>
          <w:color w:val="000000"/>
          <w:sz w:val="18"/>
          <w:szCs w:val="18"/>
        </w:rPr>
      </w:pPr>
      <w:r w:rsidRPr="00CF73D7">
        <w:rPr>
          <w:rFonts w:ascii="Arial" w:hAnsi="Arial" w:cs="Arial"/>
          <w:color w:val="000000"/>
          <w:sz w:val="18"/>
          <w:szCs w:val="18"/>
        </w:rPr>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r w:rsidR="00AE114A">
        <w:rPr>
          <w:rFonts w:ascii="Arial" w:hAnsi="Arial" w:cs="Arial"/>
          <w:color w:val="000000"/>
          <w:sz w:val="18"/>
          <w:szCs w:val="18"/>
        </w:rPr>
        <w:t>”</w:t>
      </w:r>
    </w:p>
    <w:p w14:paraId="1BBB2AEB" w14:textId="40F90780" w:rsidR="00CF73D7" w:rsidRDefault="00CF73D7" w:rsidP="00AC0011">
      <w:pPr>
        <w:jc w:val="both"/>
        <w:rPr>
          <w:rFonts w:ascii="Arial" w:hAnsi="Arial" w:cs="Arial"/>
          <w:color w:val="000000"/>
          <w:sz w:val="20"/>
        </w:rPr>
      </w:pPr>
    </w:p>
    <w:p w14:paraId="0E70DEEB" w14:textId="0AB29668" w:rsidR="006954F3" w:rsidRDefault="00054803" w:rsidP="00AC0011">
      <w:pPr>
        <w:jc w:val="both"/>
        <w:rPr>
          <w:rFonts w:ascii="Arial" w:hAnsi="Arial" w:cs="Arial"/>
          <w:sz w:val="20"/>
        </w:rPr>
      </w:pPr>
      <w:r w:rsidRPr="00CA1495">
        <w:rPr>
          <w:rFonts w:ascii="Arial" w:hAnsi="Arial" w:cs="Arial"/>
          <w:color w:val="000000"/>
          <w:sz w:val="20"/>
          <w:szCs w:val="20"/>
        </w:rPr>
        <w:t xml:space="preserve">See also </w:t>
      </w:r>
      <w:r w:rsidRPr="00CA1495">
        <w:rPr>
          <w:rFonts w:ascii="Arial" w:hAnsi="Arial" w:cs="Arial"/>
          <w:i/>
          <w:caps/>
          <w:color w:val="000000"/>
          <w:sz w:val="20"/>
          <w:szCs w:val="20"/>
        </w:rPr>
        <w:t xml:space="preserve">DPP </w:t>
      </w:r>
      <w:r w:rsidRPr="00CA1495">
        <w:rPr>
          <w:rFonts w:ascii="Arial" w:hAnsi="Arial" w:cs="Arial"/>
          <w:i/>
          <w:color w:val="000000"/>
          <w:sz w:val="20"/>
          <w:szCs w:val="20"/>
        </w:rPr>
        <w:t>v</w:t>
      </w:r>
      <w:r w:rsidRPr="00CA1495">
        <w:rPr>
          <w:rFonts w:ascii="Arial" w:hAnsi="Arial" w:cs="Arial"/>
          <w:i/>
          <w:caps/>
          <w:color w:val="000000"/>
          <w:sz w:val="20"/>
          <w:szCs w:val="20"/>
        </w:rPr>
        <w:t xml:space="preserve"> T</w:t>
      </w:r>
      <w:r w:rsidRPr="00CA1495">
        <w:rPr>
          <w:rFonts w:ascii="Arial" w:hAnsi="Arial" w:cs="Arial"/>
          <w:i/>
          <w:color w:val="000000"/>
          <w:sz w:val="20"/>
          <w:szCs w:val="20"/>
        </w:rPr>
        <w:t xml:space="preserve">hymiopoulos </w:t>
      </w:r>
      <w:r w:rsidRPr="00CA1495">
        <w:rPr>
          <w:rFonts w:ascii="Arial" w:hAnsi="Arial" w:cs="Arial"/>
          <w:color w:val="000000"/>
          <w:sz w:val="20"/>
          <w:szCs w:val="20"/>
        </w:rPr>
        <w:t>[2012] VSCA 22</w:t>
      </w:r>
      <w:r w:rsidR="003C75D6" w:rsidRPr="00CA1495">
        <w:rPr>
          <w:rFonts w:ascii="Arial" w:hAnsi="Arial" w:cs="Arial"/>
          <w:color w:val="000000"/>
          <w:sz w:val="20"/>
          <w:szCs w:val="20"/>
        </w:rPr>
        <w:t>0</w:t>
      </w:r>
      <w:r w:rsidR="008E5EAF" w:rsidRPr="00CA1495">
        <w:rPr>
          <w:rFonts w:ascii="Arial" w:hAnsi="Arial" w:cs="Arial"/>
          <w:i/>
          <w:color w:val="000000"/>
          <w:sz w:val="20"/>
          <w:szCs w:val="20"/>
        </w:rPr>
        <w:t>; R v Pantazis &amp; Ors</w:t>
      </w:r>
      <w:r w:rsidR="00204847" w:rsidRPr="00CA1495">
        <w:rPr>
          <w:rFonts w:ascii="Arial" w:hAnsi="Arial" w:cs="Arial"/>
          <w:color w:val="000000"/>
          <w:sz w:val="20"/>
          <w:szCs w:val="20"/>
        </w:rPr>
        <w:t xml:space="preserve"> [2012] VSCA 160;</w:t>
      </w:r>
      <w:r w:rsidR="00C52B91">
        <w:rPr>
          <w:rFonts w:ascii="Arial" w:hAnsi="Arial" w:cs="Arial"/>
          <w:color w:val="000000"/>
          <w:sz w:val="20"/>
          <w:szCs w:val="20"/>
        </w:rPr>
        <w:t xml:space="preserve"> </w:t>
      </w:r>
      <w:r w:rsidR="00C52B91" w:rsidRPr="00C52B91">
        <w:rPr>
          <w:rFonts w:ascii="Arial" w:hAnsi="Arial" w:cs="Arial"/>
          <w:i/>
          <w:iCs/>
          <w:color w:val="000000"/>
          <w:sz w:val="20"/>
          <w:szCs w:val="20"/>
        </w:rPr>
        <w:t>Mercer (a pseudonym) v The Queen</w:t>
      </w:r>
      <w:r w:rsidR="00C52B91">
        <w:rPr>
          <w:rFonts w:ascii="Arial" w:hAnsi="Arial" w:cs="Arial"/>
          <w:color w:val="000000"/>
          <w:sz w:val="20"/>
          <w:szCs w:val="20"/>
        </w:rPr>
        <w:t xml:space="preserve"> [2021] VSCA 132</w:t>
      </w:r>
      <w:r w:rsidR="00425C35">
        <w:rPr>
          <w:rFonts w:ascii="Arial" w:hAnsi="Arial" w:cs="Arial"/>
          <w:color w:val="000000"/>
          <w:sz w:val="20"/>
          <w:szCs w:val="20"/>
        </w:rPr>
        <w:t xml:space="preserve">; </w:t>
      </w:r>
      <w:r w:rsidR="00425C35" w:rsidRPr="00425C35">
        <w:rPr>
          <w:rFonts w:ascii="Arial" w:hAnsi="Arial" w:cs="Arial"/>
          <w:i/>
          <w:iCs/>
          <w:color w:val="000000"/>
          <w:sz w:val="20"/>
          <w:szCs w:val="20"/>
        </w:rPr>
        <w:t>Johnie Baker (a pseudonym) v The Queen</w:t>
      </w:r>
      <w:r w:rsidR="00425C35">
        <w:rPr>
          <w:rFonts w:ascii="Arial" w:hAnsi="Arial" w:cs="Arial"/>
          <w:color w:val="000000"/>
          <w:sz w:val="20"/>
          <w:szCs w:val="20"/>
        </w:rPr>
        <w:t xml:space="preserve"> [2021] VSCA 158</w:t>
      </w:r>
      <w:r w:rsidR="00331C68">
        <w:rPr>
          <w:rFonts w:ascii="Arial" w:hAnsi="Arial" w:cs="Arial"/>
          <w:color w:val="000000"/>
          <w:sz w:val="20"/>
          <w:szCs w:val="20"/>
        </w:rPr>
        <w:t xml:space="preserve">; </w:t>
      </w:r>
      <w:r w:rsidR="00331C68" w:rsidRPr="00331C68">
        <w:rPr>
          <w:rFonts w:ascii="Arial" w:hAnsi="Arial" w:cs="Arial"/>
          <w:i/>
          <w:iCs/>
          <w:color w:val="000000"/>
          <w:sz w:val="20"/>
          <w:szCs w:val="20"/>
        </w:rPr>
        <w:t>Dieni v The Queen</w:t>
      </w:r>
      <w:r w:rsidR="00331C68">
        <w:rPr>
          <w:rFonts w:ascii="Arial" w:hAnsi="Arial" w:cs="Arial"/>
          <w:color w:val="000000"/>
          <w:sz w:val="20"/>
          <w:szCs w:val="20"/>
        </w:rPr>
        <w:t xml:space="preserve"> [2022] VSCA 16</w:t>
      </w:r>
      <w:r w:rsidR="004E31BA">
        <w:rPr>
          <w:rFonts w:ascii="Arial" w:hAnsi="Arial" w:cs="Arial"/>
          <w:color w:val="000000"/>
          <w:sz w:val="20"/>
          <w:szCs w:val="20"/>
        </w:rPr>
        <w:t xml:space="preserve">; </w:t>
      </w:r>
      <w:r w:rsidR="004E31BA" w:rsidRPr="004E31BA">
        <w:rPr>
          <w:rFonts w:ascii="Arial" w:hAnsi="Arial" w:cs="Arial"/>
          <w:i/>
          <w:iCs/>
          <w:color w:val="000000"/>
          <w:sz w:val="20"/>
          <w:szCs w:val="20"/>
        </w:rPr>
        <w:t>Shiryar v The Queen</w:t>
      </w:r>
      <w:r w:rsidR="004E31BA">
        <w:rPr>
          <w:rFonts w:ascii="Arial" w:hAnsi="Arial" w:cs="Arial"/>
          <w:color w:val="000000"/>
          <w:sz w:val="20"/>
          <w:szCs w:val="20"/>
        </w:rPr>
        <w:t xml:space="preserve"> [2022] VSCA 96</w:t>
      </w:r>
      <w:r w:rsidR="002A0ACC">
        <w:rPr>
          <w:rFonts w:ascii="Arial" w:hAnsi="Arial" w:cs="Arial"/>
          <w:color w:val="000000"/>
          <w:sz w:val="20"/>
          <w:szCs w:val="20"/>
        </w:rPr>
        <w:t xml:space="preserve">; </w:t>
      </w:r>
      <w:r w:rsidR="002A0ACC" w:rsidRPr="00DF060F">
        <w:rPr>
          <w:rFonts w:ascii="Arial" w:hAnsi="Arial" w:cs="Arial"/>
          <w:i/>
          <w:iCs/>
          <w:color w:val="000000"/>
          <w:sz w:val="20"/>
          <w:szCs w:val="20"/>
        </w:rPr>
        <w:t>Wasif v The Queen</w:t>
      </w:r>
      <w:r w:rsidR="002A0ACC">
        <w:rPr>
          <w:rFonts w:ascii="Arial" w:hAnsi="Arial" w:cs="Arial"/>
          <w:color w:val="000000"/>
          <w:sz w:val="20"/>
          <w:szCs w:val="20"/>
        </w:rPr>
        <w:t xml:space="preserve"> [2022] VSCA 182 at [63] &amp; [66]</w:t>
      </w:r>
      <w:r w:rsidR="00E044C9">
        <w:rPr>
          <w:rFonts w:ascii="Arial" w:hAnsi="Arial" w:cs="Arial"/>
          <w:color w:val="000000"/>
          <w:sz w:val="20"/>
          <w:szCs w:val="20"/>
        </w:rPr>
        <w:t xml:space="preserve">; </w:t>
      </w:r>
      <w:r w:rsidR="00E044C9" w:rsidRPr="00E044C9">
        <w:rPr>
          <w:rFonts w:ascii="Arial" w:hAnsi="Arial" w:cs="Arial"/>
          <w:i/>
          <w:iCs/>
          <w:color w:val="000000"/>
          <w:sz w:val="20"/>
          <w:szCs w:val="20"/>
        </w:rPr>
        <w:t>DPP v Rowson</w:t>
      </w:r>
      <w:r w:rsidR="00E044C9">
        <w:rPr>
          <w:rFonts w:ascii="Arial" w:hAnsi="Arial" w:cs="Arial"/>
          <w:color w:val="000000"/>
          <w:sz w:val="20"/>
          <w:szCs w:val="20"/>
        </w:rPr>
        <w:t xml:space="preserve"> [2022] VSC 510</w:t>
      </w:r>
      <w:r w:rsidR="008B0E99">
        <w:rPr>
          <w:rFonts w:ascii="Arial" w:hAnsi="Arial" w:cs="Arial"/>
          <w:color w:val="000000"/>
          <w:sz w:val="20"/>
          <w:szCs w:val="20"/>
        </w:rPr>
        <w:t xml:space="preserve">; </w:t>
      </w:r>
      <w:r w:rsidR="008B0E99" w:rsidRPr="008B0E99">
        <w:rPr>
          <w:rFonts w:ascii="Arial" w:hAnsi="Arial" w:cs="Arial"/>
          <w:i/>
          <w:iCs/>
          <w:color w:val="000000"/>
          <w:sz w:val="20"/>
          <w:szCs w:val="20"/>
        </w:rPr>
        <w:t>Bamblett v The King</w:t>
      </w:r>
      <w:r w:rsidR="008B0E99">
        <w:rPr>
          <w:rFonts w:ascii="Arial" w:hAnsi="Arial" w:cs="Arial"/>
          <w:color w:val="000000"/>
          <w:sz w:val="20"/>
          <w:szCs w:val="20"/>
        </w:rPr>
        <w:t xml:space="preserve"> [2023] VSCA </w:t>
      </w:r>
      <w:r w:rsidR="008B0E99">
        <w:rPr>
          <w:rFonts w:ascii="Arial" w:hAnsi="Arial" w:cs="Arial"/>
          <w:color w:val="000000"/>
          <w:sz w:val="20"/>
          <w:szCs w:val="20"/>
        </w:rPr>
        <w:lastRenderedPageBreak/>
        <w:t>184</w:t>
      </w:r>
      <w:r w:rsidR="00F93B78">
        <w:rPr>
          <w:rFonts w:ascii="Arial" w:hAnsi="Arial" w:cs="Arial"/>
          <w:color w:val="000000"/>
          <w:sz w:val="20"/>
          <w:szCs w:val="20"/>
        </w:rPr>
        <w:t xml:space="preserve">; </w:t>
      </w:r>
      <w:r w:rsidR="00F93B78" w:rsidRPr="00F93B78">
        <w:rPr>
          <w:rFonts w:ascii="Arial" w:hAnsi="Arial" w:cs="Arial"/>
          <w:i/>
          <w:iCs/>
          <w:color w:val="000000"/>
          <w:sz w:val="20"/>
          <w:szCs w:val="20"/>
        </w:rPr>
        <w:t>Colleen Treloar v The King</w:t>
      </w:r>
      <w:r w:rsidR="00F93B78">
        <w:rPr>
          <w:rFonts w:ascii="Arial" w:hAnsi="Arial" w:cs="Arial"/>
          <w:color w:val="000000"/>
          <w:sz w:val="20"/>
          <w:szCs w:val="20"/>
        </w:rPr>
        <w:t xml:space="preserve"> [2023] VSCA 214</w:t>
      </w:r>
      <w:r w:rsidR="004A2E76">
        <w:rPr>
          <w:rFonts w:ascii="Arial" w:hAnsi="Arial" w:cs="Arial"/>
          <w:color w:val="000000"/>
          <w:sz w:val="20"/>
          <w:szCs w:val="20"/>
        </w:rPr>
        <w:t xml:space="preserve">; </w:t>
      </w:r>
      <w:r w:rsidR="004A2E76" w:rsidRPr="008B14AE">
        <w:rPr>
          <w:rFonts w:ascii="Arial" w:hAnsi="Arial" w:cs="Arial"/>
          <w:i/>
          <w:iCs/>
          <w:sz w:val="20"/>
        </w:rPr>
        <w:t>Dragovic v The King</w:t>
      </w:r>
      <w:r w:rsidR="004A2E76">
        <w:rPr>
          <w:rFonts w:ascii="Arial" w:hAnsi="Arial" w:cs="Arial"/>
          <w:sz w:val="20"/>
        </w:rPr>
        <w:t xml:space="preserve"> [2024] VSCA 95 at [35]-[36]</w:t>
      </w:r>
      <w:r w:rsidR="006954F3">
        <w:rPr>
          <w:rFonts w:ascii="Arial" w:hAnsi="Arial" w:cs="Arial"/>
          <w:sz w:val="20"/>
        </w:rPr>
        <w:t xml:space="preserve">; </w:t>
      </w:r>
      <w:r w:rsidR="006954F3" w:rsidRPr="006954F3">
        <w:rPr>
          <w:rFonts w:ascii="Arial" w:hAnsi="Arial" w:cs="Arial"/>
          <w:i/>
          <w:iCs/>
          <w:sz w:val="20"/>
        </w:rPr>
        <w:t>O’Neal v The King</w:t>
      </w:r>
      <w:r w:rsidR="006954F3">
        <w:rPr>
          <w:rFonts w:ascii="Arial" w:hAnsi="Arial" w:cs="Arial"/>
          <w:sz w:val="20"/>
        </w:rPr>
        <w:t xml:space="preserve"> [2024] VSCA 129</w:t>
      </w:r>
      <w:r w:rsidR="004A2F6D">
        <w:rPr>
          <w:rFonts w:ascii="Arial" w:hAnsi="Arial" w:cs="Arial"/>
          <w:sz w:val="20"/>
        </w:rPr>
        <w:t xml:space="preserve">; </w:t>
      </w:r>
      <w:r w:rsidR="004A2F6D" w:rsidRPr="004A2F6D">
        <w:rPr>
          <w:rFonts w:ascii="Arial" w:hAnsi="Arial" w:cs="Arial"/>
          <w:i/>
          <w:iCs/>
          <w:sz w:val="20"/>
        </w:rPr>
        <w:t>Fusca v The King</w:t>
      </w:r>
      <w:r w:rsidR="004A2F6D">
        <w:rPr>
          <w:rFonts w:ascii="Arial" w:hAnsi="Arial" w:cs="Arial"/>
          <w:sz w:val="20"/>
        </w:rPr>
        <w:t xml:space="preserve"> [2024] VSCA 297 at [42]-[57].</w:t>
      </w:r>
    </w:p>
    <w:p w14:paraId="633E8CD4" w14:textId="77777777" w:rsidR="006954F3" w:rsidRDefault="006954F3" w:rsidP="00AC0011">
      <w:pPr>
        <w:jc w:val="both"/>
        <w:rPr>
          <w:rFonts w:ascii="Arial" w:hAnsi="Arial" w:cs="Arial"/>
          <w:sz w:val="20"/>
        </w:rPr>
      </w:pPr>
    </w:p>
    <w:p w14:paraId="1599D14E" w14:textId="1E84903A" w:rsidR="00AA7A59" w:rsidRDefault="00AA7A59" w:rsidP="00AC0011">
      <w:pPr>
        <w:jc w:val="both"/>
        <w:rPr>
          <w:rFonts w:ascii="Arial" w:hAnsi="Arial" w:cs="Arial"/>
          <w:sz w:val="20"/>
        </w:rPr>
      </w:pPr>
      <w:r>
        <w:rPr>
          <w:rFonts w:ascii="Arial" w:hAnsi="Arial" w:cs="Arial"/>
          <w:b/>
          <w:color w:val="FFFFFF"/>
          <w:sz w:val="22"/>
          <w:shd w:val="clear" w:color="auto" w:fill="000000"/>
        </w:rPr>
        <w:t>B</w:t>
      </w:r>
      <w:r w:rsidR="00BE5F5A">
        <w:rPr>
          <w:rFonts w:ascii="Arial" w:hAnsi="Arial" w:cs="Arial"/>
          <w:b/>
          <w:color w:val="000000"/>
          <w:sz w:val="22"/>
        </w:rPr>
        <w:t xml:space="preserve">  </w:t>
      </w:r>
      <w:r>
        <w:rPr>
          <w:rFonts w:ascii="Arial" w:hAnsi="Arial" w:cs="Arial"/>
          <w:b/>
          <w:bCs/>
          <w:color w:val="FFFFFF" w:themeColor="background1"/>
          <w:sz w:val="20"/>
          <w:shd w:val="clear" w:color="auto" w:fill="000000" w:themeFill="text1"/>
        </w:rPr>
        <w:t>PERJURY</w:t>
      </w:r>
    </w:p>
    <w:p w14:paraId="51D1D502" w14:textId="2B11DCDB" w:rsidR="00AA7A59" w:rsidRDefault="00AA7A59" w:rsidP="00AA7A59">
      <w:pPr>
        <w:pStyle w:val="Heading2"/>
        <w:widowControl/>
        <w:tabs>
          <w:tab w:val="left" w:pos="567"/>
        </w:tabs>
        <w:spacing w:before="120" w:line="240" w:lineRule="auto"/>
        <w:rPr>
          <w:rFonts w:ascii="Arial" w:hAnsi="Arial" w:cs="Arial"/>
          <w:color w:val="000000"/>
          <w:sz w:val="20"/>
        </w:rPr>
      </w:pPr>
      <w:r>
        <w:rPr>
          <w:rFonts w:ascii="Arial" w:hAnsi="Arial" w:cs="Arial"/>
          <w:color w:val="000000"/>
          <w:sz w:val="20"/>
        </w:rPr>
        <w:t xml:space="preserve">In </w:t>
      </w:r>
      <w:r w:rsidRPr="006E5554">
        <w:rPr>
          <w:rFonts w:ascii="Arial" w:hAnsi="Arial" w:cs="Arial"/>
          <w:i/>
          <w:iCs/>
          <w:color w:val="000000"/>
          <w:sz w:val="20"/>
        </w:rPr>
        <w:t>Harre v The King</w:t>
      </w:r>
      <w:r>
        <w:rPr>
          <w:rFonts w:ascii="Arial" w:hAnsi="Arial" w:cs="Arial"/>
          <w:color w:val="000000"/>
          <w:sz w:val="20"/>
        </w:rPr>
        <w:t xml:space="preserve"> [2024] VSCA 278 the applicant, then aged 42</w:t>
      </w:r>
      <w:r w:rsidR="0003757F">
        <w:rPr>
          <w:rFonts w:ascii="Arial" w:hAnsi="Arial" w:cs="Arial"/>
          <w:color w:val="000000"/>
          <w:sz w:val="20"/>
        </w:rPr>
        <w:t xml:space="preserve"> and for whom there were some </w:t>
      </w:r>
      <w:r w:rsidR="0003757F" w:rsidRPr="0003757F">
        <w:rPr>
          <w:rFonts w:ascii="Arial" w:hAnsi="Arial" w:cs="Arial"/>
          <w:i/>
          <w:iCs/>
          <w:color w:val="000000"/>
          <w:sz w:val="20"/>
        </w:rPr>
        <w:t>Verdins</w:t>
      </w:r>
      <w:r w:rsidR="0003757F">
        <w:rPr>
          <w:rFonts w:ascii="Arial" w:hAnsi="Arial" w:cs="Arial"/>
          <w:color w:val="000000"/>
          <w:sz w:val="20"/>
        </w:rPr>
        <w:t xml:space="preserve"> considerations</w:t>
      </w:r>
      <w:r>
        <w:rPr>
          <w:rFonts w:ascii="Arial" w:hAnsi="Arial" w:cs="Arial"/>
          <w:color w:val="000000"/>
          <w:sz w:val="20"/>
        </w:rP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w:t>
      </w:r>
      <w:r w:rsidRPr="006E5554">
        <w:rPr>
          <w:rFonts w:ascii="Arial" w:hAnsi="Arial" w:cs="Arial"/>
          <w:color w:val="000000"/>
          <w:sz w:val="20"/>
          <w:lang w:val="en-AU"/>
        </w:rPr>
        <w:t>application for a personal safety intervention order against EW</w:t>
      </w:r>
      <w:r>
        <w:rPr>
          <w:rFonts w:ascii="Arial" w:hAnsi="Arial" w:cs="Arial"/>
          <w:color w:val="000000"/>
          <w:sz w:val="20"/>
          <w:lang w:val="en-AU"/>
        </w:rPr>
        <w:t>.  He had been sentenced to IMP3y on each of the charges of stalking of which 18m was cumulative and IMP2y on the charge of perjury of which 12m was cumulative, resulting in TES IMP5y6m/3y6m.  The Court of Appeal refused leave to appeal, Priest &amp; Beach JJA saying at [83]</w:t>
      </w:r>
      <w:r w:rsidR="0003757F">
        <w:rPr>
          <w:rFonts w:ascii="Arial" w:hAnsi="Arial" w:cs="Arial"/>
          <w:color w:val="000000"/>
          <w:sz w:val="20"/>
          <w:lang w:val="en-AU"/>
        </w:rPr>
        <w:t>-[84]</w:t>
      </w:r>
      <w:r>
        <w:rPr>
          <w:rFonts w:ascii="Arial" w:hAnsi="Arial" w:cs="Arial"/>
          <w:color w:val="000000"/>
          <w:sz w:val="20"/>
          <w:lang w:val="en-AU"/>
        </w:rPr>
        <w:t>:</w:t>
      </w:r>
    </w:p>
    <w:p w14:paraId="79E58876" w14:textId="7A0FFFA6" w:rsidR="00AA7A59" w:rsidRDefault="00AA7A59" w:rsidP="00AA7A59">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[83] “</w:t>
      </w:r>
      <w:r w:rsidR="0003757F" w:rsidRPr="00AA7A59">
        <w:rPr>
          <w:rFonts w:ascii="Arial" w:hAnsi="Arial" w:cs="Arial"/>
          <w:sz w:val="20"/>
        </w:rPr>
        <w:t xml:space="preserve">As to the perjury charge, rather than being manifestly excessive, if anything we regard the individual sentence of two years’ imprisonment imposed to be lenient. The applicant’s perjury was used to obtain an intervention order against an entirely innocent victim. General deterrence and denunciation were prominent features which had to be reflected in the sentence. Perjury such as the applicant’s strikes at the heart of the administration of justice. In that regard, we express our complete agreement with the observations of Vincent JA (with whom Winneke P and Charles JA agreed) in </w:t>
      </w:r>
      <w:r w:rsidR="0003757F" w:rsidRPr="0003757F">
        <w:rPr>
          <w:rFonts w:ascii="Arial" w:hAnsi="Arial" w:cs="Arial"/>
          <w:i/>
          <w:iCs/>
          <w:sz w:val="20"/>
        </w:rPr>
        <w:t>R v Schroen</w:t>
      </w:r>
      <w:r w:rsidR="0003757F">
        <w:rPr>
          <w:rFonts w:ascii="Arial" w:hAnsi="Arial" w:cs="Arial"/>
          <w:sz w:val="20"/>
        </w:rPr>
        <w:t xml:space="preserve"> [2001] VSCA 126, [14]</w:t>
      </w:r>
      <w:r w:rsidR="0003757F" w:rsidRPr="00AA7A59">
        <w:rPr>
          <w:rFonts w:ascii="Arial" w:hAnsi="Arial" w:cs="Arial"/>
          <w:sz w:val="20"/>
        </w:rPr>
        <w:t>:</w:t>
      </w:r>
    </w:p>
    <w:p w14:paraId="3DB42928" w14:textId="48A169E0" w:rsidR="00AA7A59" w:rsidRDefault="0003757F" w:rsidP="0003757F">
      <w:pPr>
        <w:spacing w:before="60"/>
        <w:ind w:left="907" w:right="907"/>
        <w:jc w:val="both"/>
        <w:rPr>
          <w:rFonts w:ascii="Arial" w:hAnsi="Arial" w:cs="Arial"/>
          <w:sz w:val="20"/>
        </w:rPr>
      </w:pPr>
      <w:r w:rsidRPr="0003757F">
        <w:rPr>
          <w:rFonts w:ascii="Arial" w:hAnsi="Arial" w:cs="Arial"/>
          <w:sz w:val="18"/>
          <w:szCs w:val="22"/>
        </w:rPr>
        <w:t xml:space="preserve">It is apparent that the integrity of the operation of the system of courts upon which, it must be remembered, our community depends for the proper determination of matters of fact in both civil and criminal proceedings, may be seriously compromised and the achievement of the ends of justice thwarted by the deliberate making of false statements on oath. It is not always easy or even possible to establish that perjury has been committed. Sometimes, unfortunately, the lie may not be exposed and the injustice which has been occasioned remain unrectified. Not only can this have a serious effect upon those with a direct interest in the outcome of the particular matter, but it may also engender a reduction of confidence in the community in the reliability of court decisions generally. For these and a number of other good reasons, the crime of perjury, particularly when committed in a curial setting, is regarded very seriously indeed. The sentencing judge correctly indicated that the principle of general deterrence will, in consequence, normally possess a high degree of significance as a sentencing consideration. As Charles JA pointed out in </w:t>
      </w:r>
      <w:r w:rsidRPr="0003757F">
        <w:rPr>
          <w:rFonts w:ascii="Arial" w:hAnsi="Arial" w:cs="Arial"/>
          <w:i/>
          <w:iCs/>
          <w:sz w:val="18"/>
          <w:szCs w:val="22"/>
        </w:rPr>
        <w:t>R v Patniyot and Dailakis</w:t>
      </w:r>
      <w:r>
        <w:rPr>
          <w:rFonts w:ascii="Arial" w:hAnsi="Arial" w:cs="Arial"/>
          <w:sz w:val="18"/>
          <w:szCs w:val="22"/>
        </w:rPr>
        <w:t xml:space="preserve"> [2000] VSCA 55, [54]</w:t>
      </w:r>
      <w:r w:rsidRPr="0003757F">
        <w:rPr>
          <w:rFonts w:ascii="Arial" w:hAnsi="Arial" w:cs="Arial"/>
          <w:sz w:val="18"/>
          <w:szCs w:val="22"/>
        </w:rPr>
        <w:t>, this offence can strike at the very foundation of the legal process and it would be a wholly exceptional case where the giving of false evidence on oath would not warrant an immediate custodial sentence.</w:t>
      </w:r>
    </w:p>
    <w:p w14:paraId="5EB44DD3" w14:textId="3E3AD6CE" w:rsidR="0003757F" w:rsidRDefault="0003757F" w:rsidP="0003757F">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 xml:space="preserve">[84] </w:t>
      </w:r>
      <w:r w:rsidRPr="00AA7A59">
        <w:rPr>
          <w:rFonts w:ascii="Arial" w:hAnsi="Arial" w:cs="Arial"/>
          <w:sz w:val="20"/>
        </w:rPr>
        <w:t xml:space="preserve">We also consider cumulation of 12 months’ of the sentence for perjury upon the sentences for stalking </w:t>
      </w:r>
      <w:r>
        <w:rPr>
          <w:rFonts w:ascii="Arial" w:hAnsi="Arial" w:cs="Arial"/>
          <w:sz w:val="20"/>
        </w:rPr>
        <w:t xml:space="preserve">[as to which see </w:t>
      </w:r>
      <w:r w:rsidRPr="00BE5F5A">
        <w:rPr>
          <w:rFonts w:ascii="Arial" w:hAnsi="Arial" w:cs="Arial"/>
          <w:b/>
          <w:bCs/>
          <w:sz w:val="20"/>
          <w:shd w:val="clear" w:color="auto" w:fill="C5E0B3" w:themeFill="accent6" w:themeFillTint="66"/>
        </w:rPr>
        <w:t>section 11.2.37</w:t>
      </w:r>
      <w:r>
        <w:rPr>
          <w:rFonts w:ascii="Arial" w:hAnsi="Arial" w:cs="Arial"/>
          <w:sz w:val="20"/>
        </w:rPr>
        <w:t xml:space="preserve"> below] </w:t>
      </w:r>
      <w:r w:rsidRPr="00AA7A59">
        <w:rPr>
          <w:rFonts w:ascii="Arial" w:hAnsi="Arial" w:cs="Arial"/>
          <w:sz w:val="20"/>
        </w:rPr>
        <w:t>to be unremarkable. It</w:t>
      </w:r>
      <w:r>
        <w:rPr>
          <w:rFonts w:ascii="Arial" w:hAnsi="Arial" w:cs="Arial"/>
          <w:sz w:val="20"/>
        </w:rPr>
        <w:t> </w:t>
      </w:r>
      <w:r w:rsidRPr="00AA7A59">
        <w:rPr>
          <w:rFonts w:ascii="Arial" w:hAnsi="Arial" w:cs="Arial"/>
          <w:sz w:val="20"/>
        </w:rPr>
        <w:t>properly reflected the distinct criminality constituted by the applicant’s deliberately false evidence.</w:t>
      </w:r>
      <w:r>
        <w:rPr>
          <w:rFonts w:ascii="Arial" w:hAnsi="Arial" w:cs="Arial"/>
          <w:sz w:val="20"/>
        </w:rPr>
        <w:t>”</w:t>
      </w:r>
    </w:p>
    <w:p w14:paraId="47F6601B" w14:textId="644C714D" w:rsidR="00AA7A59" w:rsidRDefault="00AA7A59" w:rsidP="00AC0011">
      <w:pPr>
        <w:jc w:val="both"/>
        <w:rPr>
          <w:rFonts w:ascii="Arial" w:hAnsi="Arial" w:cs="Arial"/>
          <w:sz w:val="20"/>
        </w:rPr>
      </w:pPr>
    </w:p>
    <w:p w14:paraId="7798830F" w14:textId="6B908786" w:rsidR="004D765D" w:rsidRPr="00D45887" w:rsidRDefault="004D765D" w:rsidP="00C84E42">
      <w:pPr>
        <w:pStyle w:val="Heading2"/>
        <w:keepNext/>
        <w:keepLines/>
        <w:widowControl/>
        <w:tabs>
          <w:tab w:val="left" w:pos="567"/>
        </w:tabs>
        <w:spacing w:line="240" w:lineRule="auto"/>
        <w:ind w:left="567" w:hanging="567"/>
        <w:rPr>
          <w:rFonts w:ascii="Arial" w:hAnsi="Arial" w:cs="Arial"/>
          <w:bCs/>
          <w:color w:val="000000"/>
          <w:sz w:val="20"/>
          <w:lang w:val="en-US"/>
        </w:rPr>
      </w:pPr>
      <w:bookmarkStart w:id="721" w:name="_11.2.31_Sentencing_for"/>
      <w:bookmarkEnd w:id="721"/>
      <w:r w:rsidRPr="00D45887">
        <w:rPr>
          <w:rFonts w:ascii="Arial" w:hAnsi="Arial" w:cs="Arial"/>
          <w:b/>
          <w:bCs/>
          <w:color w:val="000000"/>
          <w:sz w:val="20"/>
        </w:rPr>
        <w:t>11.2.31</w:t>
      </w:r>
      <w:r w:rsidRPr="00D45887">
        <w:rPr>
          <w:rFonts w:ascii="Arial" w:hAnsi="Arial" w:cs="Arial"/>
          <w:b/>
          <w:bCs/>
          <w:color w:val="000000"/>
          <w:sz w:val="20"/>
        </w:rPr>
        <w:tab/>
        <w:t>Sentencing for property damage</w:t>
      </w:r>
      <w:r w:rsidR="008E4872">
        <w:rPr>
          <w:rFonts w:ascii="Arial" w:hAnsi="Arial" w:cs="Arial"/>
          <w:b/>
          <w:bCs/>
          <w:color w:val="000000"/>
          <w:sz w:val="20"/>
        </w:rPr>
        <w:t xml:space="preserve"> / arson / arson with intent to endanger life</w:t>
      </w:r>
    </w:p>
    <w:p w14:paraId="30E8D0A9" w14:textId="77777777" w:rsidR="00E36AE8" w:rsidRPr="001C6E0E" w:rsidRDefault="00C77736" w:rsidP="00C84E42">
      <w:pPr>
        <w:keepNext/>
        <w:keepLines/>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harnassed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Kiefel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tyre, which physically alters the tyre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By contrast, unless the attachment of a wheel clamp to the tyre causes some physical alteration to the tyre it has not damaged the tyre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DPP v Eade</w:t>
      </w:r>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Mr Eade &amp; Mr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next door dairy where they gained entry by smashing a window with a metal pole.  </w:t>
      </w:r>
      <w:r w:rsidR="00B953C4" w:rsidRPr="00D45887">
        <w:rPr>
          <w:rFonts w:ascii="Arial" w:hAnsi="Arial" w:cs="Arial"/>
          <w:bCs/>
          <w:color w:val="000000"/>
          <w:sz w:val="20"/>
          <w:lang w:val="en-US"/>
        </w:rPr>
        <w:t xml:space="preserve">Subsequently the fire </w:t>
      </w:r>
      <w:r w:rsidR="00B953C4" w:rsidRPr="00D45887">
        <w:rPr>
          <w:rFonts w:ascii="Arial" w:hAnsi="Arial" w:cs="Arial"/>
          <w:bCs/>
          <w:color w:val="000000"/>
          <w:sz w:val="20"/>
          <w:lang w:val="en-US"/>
        </w:rPr>
        <w:lastRenderedPageBreak/>
        <w:t xml:space="preserve">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Lasry AJA </w:t>
      </w:r>
      <w:r w:rsidR="00EB5B65" w:rsidRPr="00D45887">
        <w:rPr>
          <w:rFonts w:ascii="Arial" w:hAnsi="Arial" w:cs="Arial"/>
          <w:bCs/>
          <w:color w:val="000000"/>
          <w:sz w:val="20"/>
          <w:lang w:val="en-US"/>
        </w:rPr>
        <w:t>analysed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750296">
      <w:pPr>
        <w:spacing w:before="60"/>
        <w:ind w:left="1134" w:right="1134"/>
        <w:jc w:val="both"/>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1E489218" w:rsidR="004D765D" w:rsidRDefault="004D765D" w:rsidP="00EB5B65">
      <w:pPr>
        <w:pStyle w:val="Heading2"/>
        <w:tabs>
          <w:tab w:val="left" w:pos="567"/>
        </w:tabs>
        <w:spacing w:line="240" w:lineRule="auto"/>
        <w:rPr>
          <w:rFonts w:ascii="Arial" w:hAnsi="Arial" w:cs="Arial"/>
          <w:bCs/>
          <w:color w:val="000000"/>
          <w:sz w:val="20"/>
          <w:lang w:val="en-US"/>
        </w:rPr>
      </w:pPr>
    </w:p>
    <w:p w14:paraId="3E37B3FE" w14:textId="199FB0A6" w:rsidR="008E4872" w:rsidRDefault="008E4872" w:rsidP="00170185">
      <w:pPr>
        <w:pStyle w:val="Heading2"/>
        <w:widowControl/>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8E4872">
        <w:rPr>
          <w:rFonts w:ascii="Arial" w:hAnsi="Arial" w:cs="Arial"/>
          <w:bCs/>
          <w:i/>
          <w:iCs/>
          <w:color w:val="000000"/>
          <w:sz w:val="20"/>
          <w:lang w:val="en-US"/>
        </w:rPr>
        <w:t>Liddell v The King</w:t>
      </w:r>
      <w:r>
        <w:rPr>
          <w:rFonts w:ascii="Arial" w:hAnsi="Arial" w:cs="Arial"/>
          <w:bCs/>
          <w:color w:val="000000"/>
          <w:sz w:val="20"/>
          <w:lang w:val="en-US"/>
        </w:rPr>
        <w:t xml:space="preserve"> [2024] VSCA 18 the appellant had pleaded guilty to one charge of arson with intent to endanger life and two charges of intentionally causing injury and had been sentenced to TES IMP9y6m/6y6m.  The base sentence for arson with intent to endanger life was IMP8y.  In a premeditate</w:t>
      </w:r>
      <w:r w:rsidR="006F4402">
        <w:rPr>
          <w:rFonts w:ascii="Arial" w:hAnsi="Arial" w:cs="Arial"/>
          <w:bCs/>
          <w:color w:val="000000"/>
          <w:sz w:val="20"/>
          <w:lang w:val="en-US"/>
        </w:rPr>
        <w:t>d</w:t>
      </w:r>
      <w:r>
        <w:rPr>
          <w:rFonts w:ascii="Arial" w:hAnsi="Arial" w:cs="Arial"/>
          <w:bCs/>
          <w:color w:val="000000"/>
          <w:sz w:val="20"/>
          <w:lang w:val="en-US"/>
        </w:rPr>
        <w:t xml:space="preserve"> attack </w:t>
      </w:r>
      <w:r w:rsidR="00B74755">
        <w:rPr>
          <w:rFonts w:ascii="Arial" w:hAnsi="Arial" w:cs="Arial"/>
          <w:bCs/>
          <w:color w:val="000000"/>
          <w:sz w:val="20"/>
          <w:lang w:val="en-US"/>
        </w:rPr>
        <w:t xml:space="preserve">calculated to maximise the danger to the liver of three of his former co-tenants, </w:t>
      </w:r>
      <w:r>
        <w:rPr>
          <w:rFonts w:ascii="Arial" w:hAnsi="Arial" w:cs="Arial"/>
          <w:bCs/>
          <w:color w:val="000000"/>
          <w:sz w:val="20"/>
          <w:lang w:val="en-US"/>
        </w:rPr>
        <w:t xml:space="preserve">the appellant had </w:t>
      </w:r>
      <w:r w:rsidR="006F4402">
        <w:rPr>
          <w:rFonts w:ascii="Arial" w:hAnsi="Arial" w:cs="Arial"/>
          <w:bCs/>
          <w:color w:val="000000"/>
          <w:sz w:val="20"/>
          <w:lang w:val="en-US"/>
        </w:rPr>
        <w:t>lit a fire in an occupied house in the early hours of the morning using an accelerant</w:t>
      </w:r>
      <w:r w:rsidR="00750296">
        <w:rPr>
          <w:rFonts w:ascii="Arial" w:hAnsi="Arial" w:cs="Arial"/>
          <w:bCs/>
          <w:color w:val="000000"/>
          <w:sz w:val="20"/>
          <w:lang w:val="en-US"/>
        </w:rPr>
        <w:t xml:space="preserve"> on the staircase</w:t>
      </w:r>
      <w:r w:rsidR="006F4402">
        <w:rPr>
          <w:rFonts w:ascii="Arial" w:hAnsi="Arial" w:cs="Arial"/>
          <w:bCs/>
          <w:color w:val="000000"/>
          <w:sz w:val="20"/>
          <w:lang w:val="en-US"/>
        </w:rPr>
        <w:t>.  In dismissing the appeal the Court of Appeal noted that the offending was at the upper end of seriousness and that the appellant had poor prospects of rehabilitation and high moral culpability.  At [43], [53] &amp; [58] McLeish &amp; Walker JJA said:</w:t>
      </w:r>
    </w:p>
    <w:p w14:paraId="5DBE887A" w14:textId="1AF31146" w:rsidR="006F4402" w:rsidRDefault="006F4402" w:rsidP="006F4402">
      <w:pPr>
        <w:pStyle w:val="Normal-Indent"/>
        <w:spacing w:before="60" w:line="240" w:lineRule="auto"/>
        <w:ind w:left="567" w:right="567"/>
        <w:rPr>
          <w:rFonts w:ascii="Arial" w:hAnsi="Arial" w:cs="Arial"/>
          <w:sz w:val="20"/>
          <w:szCs w:val="16"/>
        </w:rPr>
      </w:pPr>
      <w:r>
        <w:rPr>
          <w:rFonts w:ascii="Arial" w:hAnsi="Arial" w:cs="Arial"/>
          <w:color w:val="000000"/>
          <w:sz w:val="20"/>
        </w:rPr>
        <w:t>[43] “</w:t>
      </w:r>
      <w:r w:rsidRPr="006F4402">
        <w:rPr>
          <w:rFonts w:ascii="Arial" w:hAnsi="Arial" w:cs="Arial"/>
          <w:sz w:val="20"/>
          <w:szCs w:val="16"/>
        </w:rPr>
        <w:t>The seven cases of arson with intent to endanger life to which the parties referred on the appeal reveal a disparate array of sentences, offending and personal characteristics of the offenders</w:t>
      </w:r>
      <w:r>
        <w:rPr>
          <w:rFonts w:ascii="Arial" w:hAnsi="Arial" w:cs="Arial"/>
          <w:sz w:val="20"/>
          <w:szCs w:val="16"/>
        </w:rPr>
        <w:t xml:space="preserve">: </w:t>
      </w:r>
      <w:r w:rsidRPr="006F4402">
        <w:rPr>
          <w:rFonts w:ascii="Arial" w:hAnsi="Arial" w:cs="Arial"/>
          <w:i/>
          <w:iCs/>
          <w:sz w:val="20"/>
          <w:szCs w:val="16"/>
        </w:rPr>
        <w:t>DPP v Wang</w:t>
      </w:r>
      <w:r w:rsidRPr="006F4402">
        <w:rPr>
          <w:rFonts w:ascii="Arial" w:hAnsi="Arial" w:cs="Arial"/>
          <w:sz w:val="20"/>
          <w:szCs w:val="16"/>
        </w:rPr>
        <w:t xml:space="preserve"> [2021] VCC 1570; </w:t>
      </w:r>
      <w:r w:rsidRPr="006F4402">
        <w:rPr>
          <w:rFonts w:ascii="Arial" w:hAnsi="Arial" w:cs="Arial"/>
          <w:i/>
          <w:iCs/>
          <w:sz w:val="20"/>
          <w:szCs w:val="16"/>
        </w:rPr>
        <w:t>Islam</w:t>
      </w:r>
      <w:r w:rsidRPr="006F4402">
        <w:rPr>
          <w:rFonts w:ascii="Arial" w:hAnsi="Arial" w:cs="Arial"/>
          <w:sz w:val="20"/>
          <w:szCs w:val="16"/>
        </w:rPr>
        <w:t xml:space="preserve"> [2019] VCC 217; </w:t>
      </w:r>
      <w:r w:rsidRPr="006F4402">
        <w:rPr>
          <w:rFonts w:ascii="Arial" w:hAnsi="Arial" w:cs="Arial"/>
          <w:i/>
          <w:iCs/>
          <w:sz w:val="20"/>
          <w:szCs w:val="16"/>
        </w:rPr>
        <w:t>Maher</w:t>
      </w:r>
      <w:r w:rsidRPr="006F4402">
        <w:rPr>
          <w:rFonts w:ascii="Arial" w:hAnsi="Arial" w:cs="Arial"/>
          <w:sz w:val="20"/>
          <w:szCs w:val="16"/>
        </w:rPr>
        <w:t xml:space="preserve"> [2011] VSCA 136; </w:t>
      </w:r>
      <w:r w:rsidRPr="006F4402">
        <w:rPr>
          <w:rFonts w:ascii="Arial" w:hAnsi="Arial" w:cs="Arial"/>
          <w:i/>
          <w:iCs/>
          <w:sz w:val="20"/>
          <w:szCs w:val="16"/>
        </w:rPr>
        <w:t>BBA v The Queen</w:t>
      </w:r>
      <w:r w:rsidRPr="006F4402">
        <w:rPr>
          <w:rFonts w:ascii="Arial" w:hAnsi="Arial" w:cs="Arial"/>
          <w:sz w:val="20"/>
          <w:szCs w:val="16"/>
        </w:rPr>
        <w:t xml:space="preserve"> [2010] VSCA 174; </w:t>
      </w:r>
      <w:r w:rsidRPr="006F4402">
        <w:rPr>
          <w:rFonts w:ascii="Arial" w:hAnsi="Arial" w:cs="Arial"/>
          <w:i/>
          <w:iCs/>
          <w:sz w:val="20"/>
          <w:szCs w:val="16"/>
        </w:rPr>
        <w:t>DPP v Roberts</w:t>
      </w:r>
      <w:r w:rsidRPr="006F4402">
        <w:rPr>
          <w:rFonts w:ascii="Arial" w:hAnsi="Arial" w:cs="Arial"/>
          <w:sz w:val="20"/>
          <w:szCs w:val="16"/>
        </w:rPr>
        <w:t xml:space="preserve"> [2006] VSC 122; </w:t>
      </w:r>
      <w:r w:rsidRPr="006F4402">
        <w:rPr>
          <w:rFonts w:ascii="Arial" w:hAnsi="Arial" w:cs="Arial"/>
          <w:i/>
          <w:iCs/>
          <w:sz w:val="20"/>
          <w:szCs w:val="16"/>
        </w:rPr>
        <w:t>DPP v Hayman</w:t>
      </w:r>
      <w:r w:rsidRPr="006F4402">
        <w:rPr>
          <w:rFonts w:ascii="Arial" w:hAnsi="Arial" w:cs="Arial"/>
          <w:sz w:val="20"/>
          <w:szCs w:val="16"/>
        </w:rPr>
        <w:t xml:space="preserve"> [2003] VSC 295; </w:t>
      </w:r>
      <w:r w:rsidRPr="006F4402">
        <w:rPr>
          <w:rFonts w:ascii="Arial" w:hAnsi="Arial" w:cs="Arial"/>
          <w:i/>
          <w:iCs/>
          <w:sz w:val="20"/>
          <w:szCs w:val="16"/>
        </w:rPr>
        <w:t>R v Matheas</w:t>
      </w:r>
      <w:r w:rsidRPr="006F4402">
        <w:rPr>
          <w:rFonts w:ascii="Arial" w:hAnsi="Arial" w:cs="Arial"/>
          <w:sz w:val="20"/>
          <w:szCs w:val="16"/>
        </w:rPr>
        <w:t xml:space="preserve"> [2003] VSC 221.</w:t>
      </w:r>
      <w:r>
        <w:rPr>
          <w:rFonts w:ascii="Arial" w:hAnsi="Arial" w:cs="Arial"/>
          <w:sz w:val="20"/>
          <w:szCs w:val="16"/>
        </w:rPr>
        <w:t xml:space="preserve"> </w:t>
      </w:r>
      <w:r w:rsidRPr="006F4402">
        <w:rPr>
          <w:rFonts w:ascii="Arial" w:hAnsi="Arial" w:cs="Arial"/>
          <w:sz w:val="20"/>
          <w:szCs w:val="16"/>
        </w:rPr>
        <w:t xml:space="preserve"> The cases range over approximately 20 years, with only two in the last decade. Several involved suspended prison sentences and community based orders, but four were cases of imprisonment alone, for periods of between four and eight years for each charge of arson.</w:t>
      </w:r>
      <w:r>
        <w:rPr>
          <w:rFonts w:ascii="Arial" w:hAnsi="Arial" w:cs="Arial"/>
          <w:sz w:val="20"/>
          <w:szCs w:val="16"/>
        </w:rPr>
        <w:t>”</w:t>
      </w:r>
    </w:p>
    <w:p w14:paraId="3376ED09" w14:textId="7ACF5E17" w:rsidR="006F4402" w:rsidRDefault="006F4402" w:rsidP="006F4402">
      <w:pPr>
        <w:pStyle w:val="Normal-Indent"/>
        <w:spacing w:before="60" w:line="240" w:lineRule="auto"/>
        <w:ind w:left="567" w:right="567"/>
        <w:rPr>
          <w:rFonts w:ascii="Arial" w:hAnsi="Arial" w:cs="Arial"/>
          <w:sz w:val="20"/>
          <w:szCs w:val="16"/>
        </w:rPr>
      </w:pPr>
      <w:r>
        <w:rPr>
          <w:rFonts w:ascii="Arial" w:hAnsi="Arial" w:cs="Arial"/>
          <w:sz w:val="20"/>
          <w:szCs w:val="16"/>
        </w:rPr>
        <w:t>[53] “Arson is a very dangerous crime and fire can be notoriously indiscrimate and devastating in its impact.  This makes arson with intent to endanger life an especially serious offence, even though it carries the same maximum penalty as arson itself.  There is a general need to deter offending of this kind, and the present appellant has shown himself to be a person from whom the community needs particular protection.”</w:t>
      </w:r>
    </w:p>
    <w:p w14:paraId="726ABDAC" w14:textId="05C31B3D" w:rsidR="006F4402" w:rsidRPr="00D45887" w:rsidRDefault="006F4402" w:rsidP="006F4402">
      <w:pPr>
        <w:pStyle w:val="Normal-Indent"/>
        <w:spacing w:before="60" w:line="240" w:lineRule="auto"/>
        <w:ind w:left="567" w:right="567"/>
        <w:rPr>
          <w:rFonts w:ascii="Arial" w:hAnsi="Arial" w:cs="Arial"/>
          <w:color w:val="000000"/>
          <w:sz w:val="20"/>
        </w:rPr>
      </w:pPr>
      <w:r>
        <w:rPr>
          <w:rFonts w:ascii="Arial" w:hAnsi="Arial" w:cs="Arial"/>
          <w:sz w:val="20"/>
          <w:szCs w:val="16"/>
        </w:rPr>
        <w:t>[58] “</w:t>
      </w:r>
      <w:r w:rsidR="00750296">
        <w:rPr>
          <w:rFonts w:ascii="Arial" w:hAnsi="Arial" w:cs="Arial"/>
          <w:sz w:val="20"/>
          <w:szCs w:val="16"/>
        </w:rPr>
        <w:t xml:space="preserve">It is not necessary, of course, to be able to rationalise all these sentences so that they are consistent with each other.  But when we take account of them, along with the features of this case which we have mentioned and those to which the sentencing judge </w:t>
      </w:r>
      <w:r w:rsidR="00750296">
        <w:rPr>
          <w:rFonts w:ascii="Arial" w:hAnsi="Arial" w:cs="Arial"/>
          <w:sz w:val="20"/>
          <w:szCs w:val="16"/>
        </w:rPr>
        <w:lastRenderedPageBreak/>
        <w:t>drew attention, we conclude that the sentence for this instance of arson with intent to edanger life, toward the upper end of the range of seriousness, was well within the range of sentences open to the judge.”</w:t>
      </w:r>
    </w:p>
    <w:p w14:paraId="46168667" w14:textId="77777777" w:rsidR="006F4402" w:rsidRDefault="006F4402" w:rsidP="00EB5B65">
      <w:pPr>
        <w:pStyle w:val="Heading2"/>
        <w:tabs>
          <w:tab w:val="left" w:pos="567"/>
        </w:tabs>
        <w:spacing w:line="240" w:lineRule="auto"/>
        <w:rPr>
          <w:rFonts w:ascii="Arial" w:hAnsi="Arial" w:cs="Arial"/>
          <w:bCs/>
          <w:color w:val="000000"/>
          <w:sz w:val="20"/>
          <w:lang w:val="en-US"/>
        </w:rPr>
      </w:pPr>
    </w:p>
    <w:p w14:paraId="23AA0380" w14:textId="1D7B4E44" w:rsidR="00E36AE8" w:rsidRPr="001C6E0E" w:rsidRDefault="00990A2F" w:rsidP="00E36AE8">
      <w:pPr>
        <w:jc w:val="both"/>
        <w:rPr>
          <w:rFonts w:ascii="Arial" w:hAnsi="Arial" w:cs="Arial"/>
          <w:color w:val="000000"/>
          <w:sz w:val="20"/>
          <w:szCs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6D3E7B" w:rsidRPr="006D3E7B">
        <w:rPr>
          <w:rFonts w:ascii="Arial" w:hAnsi="Arial" w:cs="Arial"/>
          <w:bCs/>
          <w:i/>
          <w:iCs/>
          <w:color w:val="000000"/>
          <w:sz w:val="20"/>
          <w:lang w:val="en-US"/>
        </w:rPr>
        <w:t>Beevers v The Queen</w:t>
      </w:r>
      <w:r w:rsidR="006D3E7B">
        <w:rPr>
          <w:rFonts w:ascii="Arial" w:hAnsi="Arial" w:cs="Arial"/>
          <w:bCs/>
          <w:color w:val="000000"/>
          <w:sz w:val="20"/>
          <w:lang w:val="en-US"/>
        </w:rPr>
        <w:t xml:space="preserve"> [2016] VSCA 271; </w:t>
      </w:r>
      <w:r w:rsidR="006D3E7B" w:rsidRPr="006D3E7B">
        <w:rPr>
          <w:rFonts w:ascii="Arial" w:hAnsi="Arial" w:cs="Arial"/>
          <w:bCs/>
          <w:i/>
          <w:iCs/>
          <w:color w:val="000000"/>
          <w:sz w:val="20"/>
          <w:lang w:val="en-US"/>
        </w:rPr>
        <w:t>McPadden v The Queen</w:t>
      </w:r>
      <w:r w:rsidR="006D3E7B">
        <w:rPr>
          <w:rFonts w:ascii="Arial" w:hAnsi="Arial" w:cs="Arial"/>
          <w:bCs/>
          <w:color w:val="000000"/>
          <w:sz w:val="20"/>
          <w:lang w:val="en-US"/>
        </w:rPr>
        <w:t xml:space="preserve"> [2018] VSCA 57;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Andrew Nolch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D23956">
        <w:rPr>
          <w:rFonts w:ascii="Arial" w:hAnsi="Arial" w:cs="Arial"/>
          <w:bCs/>
          <w:color w:val="000000"/>
          <w:sz w:val="20"/>
          <w:lang w:val="en-US"/>
        </w:rPr>
        <w:t xml:space="preserve">; </w:t>
      </w:r>
      <w:r w:rsidR="00D23956" w:rsidRPr="00D23956">
        <w:rPr>
          <w:rFonts w:ascii="Arial" w:hAnsi="Arial" w:cs="Arial"/>
          <w:bCs/>
          <w:i/>
          <w:iCs/>
          <w:color w:val="000000"/>
          <w:sz w:val="20"/>
          <w:lang w:val="en-US"/>
        </w:rPr>
        <w:t>Biricik v The Queen</w:t>
      </w:r>
      <w:r w:rsidR="00D23956">
        <w:rPr>
          <w:rFonts w:ascii="Arial" w:hAnsi="Arial" w:cs="Arial"/>
          <w:bCs/>
          <w:color w:val="000000"/>
          <w:sz w:val="20"/>
          <w:lang w:val="en-US"/>
        </w:rPr>
        <w:t xml:space="preserve"> [2023] VSCA 47 at [38]-[41]</w:t>
      </w:r>
      <w:r w:rsidR="008F4B16">
        <w:rPr>
          <w:rFonts w:ascii="Arial" w:hAnsi="Arial" w:cs="Arial"/>
          <w:bCs/>
          <w:color w:val="000000"/>
          <w:sz w:val="20"/>
          <w:lang w:val="en-US"/>
        </w:rPr>
        <w:t xml:space="preserve">; </w:t>
      </w:r>
      <w:r w:rsidR="008F4B16" w:rsidRPr="00930EDD">
        <w:rPr>
          <w:rFonts w:ascii="Arial" w:hAnsi="Arial" w:cs="Arial"/>
          <w:i/>
          <w:iCs/>
          <w:color w:val="000000"/>
          <w:sz w:val="20"/>
        </w:rPr>
        <w:t>Khoshaba v The King</w:t>
      </w:r>
      <w:r w:rsidR="008F4B16">
        <w:rPr>
          <w:rFonts w:ascii="Arial" w:hAnsi="Arial" w:cs="Arial"/>
          <w:color w:val="000000"/>
          <w:sz w:val="20"/>
        </w:rPr>
        <w:t xml:space="preserve"> [2023] VSCA 65 at [31]-[32]</w:t>
      </w:r>
      <w:r w:rsidR="00443824">
        <w:rPr>
          <w:rFonts w:ascii="Arial" w:hAnsi="Arial" w:cs="Arial"/>
          <w:color w:val="000000"/>
          <w:sz w:val="20"/>
        </w:rPr>
        <w:t xml:space="preserve">; </w:t>
      </w:r>
      <w:r w:rsidR="00443824" w:rsidRPr="00443824">
        <w:rPr>
          <w:rFonts w:ascii="Arial" w:hAnsi="Arial" w:cs="Arial"/>
          <w:i/>
          <w:iCs/>
          <w:color w:val="000000"/>
          <w:sz w:val="20"/>
        </w:rPr>
        <w:t>Whitten v The King</w:t>
      </w:r>
      <w:r w:rsidR="00443824">
        <w:rPr>
          <w:rFonts w:ascii="Arial" w:hAnsi="Arial" w:cs="Arial"/>
          <w:color w:val="000000"/>
          <w:sz w:val="20"/>
        </w:rPr>
        <w:t xml:space="preserve"> [2023] VSCA 181</w:t>
      </w:r>
      <w:r w:rsidR="008F4B16" w:rsidRPr="00543D8C">
        <w:rPr>
          <w:rFonts w:ascii="Arial" w:hAnsi="Arial" w:cs="Arial"/>
          <w:color w:val="000000"/>
          <w:sz w:val="20"/>
        </w:rPr>
        <w:t>.</w:t>
      </w:r>
    </w:p>
    <w:p w14:paraId="4C54F860" w14:textId="77777777" w:rsidR="00990A2F" w:rsidRDefault="00990A2F" w:rsidP="00EB5B65">
      <w:pPr>
        <w:pStyle w:val="Heading2"/>
        <w:tabs>
          <w:tab w:val="left" w:pos="567"/>
        </w:tabs>
        <w:spacing w:line="240" w:lineRule="auto"/>
        <w:rPr>
          <w:rFonts w:ascii="Arial" w:hAnsi="Arial" w:cs="Arial"/>
          <w:bCs/>
          <w:color w:val="000000"/>
          <w:sz w:val="20"/>
          <w:lang w:val="en-US"/>
        </w:rPr>
      </w:pPr>
    </w:p>
    <w:p w14:paraId="72C96186" w14:textId="77777777" w:rsidR="0030456A" w:rsidRPr="00D45887" w:rsidRDefault="0030456A" w:rsidP="00BD3B9C">
      <w:pPr>
        <w:pStyle w:val="Heading2"/>
        <w:keepNext/>
        <w:keepLines/>
        <w:tabs>
          <w:tab w:val="left" w:pos="567"/>
        </w:tabs>
        <w:spacing w:line="240" w:lineRule="auto"/>
        <w:ind w:left="567" w:hanging="567"/>
        <w:rPr>
          <w:rFonts w:ascii="Arial" w:hAnsi="Arial" w:cs="Arial"/>
          <w:bCs/>
          <w:color w:val="000000"/>
          <w:sz w:val="20"/>
          <w:lang w:val="en-US"/>
        </w:rPr>
      </w:pPr>
      <w:bookmarkStart w:id="722" w:name="_11.2.32_Sentencing_for"/>
      <w:bookmarkEnd w:id="722"/>
      <w:r w:rsidRPr="00D45887">
        <w:rPr>
          <w:rFonts w:ascii="Arial" w:hAnsi="Arial" w:cs="Arial"/>
          <w:b/>
          <w:bCs/>
          <w:color w:val="000000"/>
          <w:sz w:val="20"/>
        </w:rPr>
        <w:t>11.2.3</w:t>
      </w:r>
      <w:r>
        <w:rPr>
          <w:rFonts w:ascii="Arial" w:hAnsi="Arial" w:cs="Arial"/>
          <w:b/>
          <w:bCs/>
          <w:color w:val="000000"/>
          <w:sz w:val="20"/>
        </w:rPr>
        <w:t>2</w:t>
      </w:r>
      <w:r w:rsidRPr="00D45887">
        <w:rPr>
          <w:rFonts w:ascii="Arial" w:hAnsi="Arial" w:cs="Arial"/>
          <w:b/>
          <w:bCs/>
          <w:color w:val="000000"/>
          <w:sz w:val="20"/>
        </w:rPr>
        <w:tab/>
        <w:t xml:space="preserve">Sentencing for </w:t>
      </w:r>
      <w:r>
        <w:rPr>
          <w:rFonts w:ascii="Arial" w:hAnsi="Arial" w:cs="Arial"/>
          <w:b/>
          <w:bCs/>
          <w:color w:val="000000"/>
          <w:sz w:val="20"/>
        </w:rPr>
        <w:t>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R v Vinaccia</w:t>
      </w:r>
      <w:r w:rsidRPr="00E36AE8">
        <w:rPr>
          <w:rFonts w:ascii="Arial" w:hAnsi="Arial" w:cs="Arial"/>
          <w:sz w:val="20"/>
          <w:szCs w:val="20"/>
          <w:lang w:val="en-US"/>
        </w:rPr>
        <w:t xml:space="preserve"> [2019] VSC 683 the 22 year old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behaviour towards the deceased.  There was a delay of 3y9m between offence and sentence and the acccused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month-old child has lost his life at the hands of an adult entrusted with his care.  The law has a special duty to 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general deterrence, just punishment and denunciation are important considerations in this case of child homicide.  The community should understand that behaviour of the type engaged in by Mr Vinaccia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3A585BA6" w14:textId="37386E96"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R v Kesic</w:t>
      </w:r>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DPP v Arney</w:t>
      </w:r>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Pr>
          <w:rFonts w:ascii="Arial" w:hAnsi="Arial" w:cs="Arial"/>
          <w:sz w:val="20"/>
          <w:szCs w:val="20"/>
          <w:lang w:val="en-US"/>
        </w:rPr>
        <w:t xml:space="preserve">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D45887" w:rsidRDefault="00494922" w:rsidP="00494922">
      <w:pPr>
        <w:pStyle w:val="Heading2"/>
        <w:keepNext/>
        <w:keepLines/>
        <w:tabs>
          <w:tab w:val="left" w:pos="567"/>
        </w:tabs>
        <w:spacing w:line="240" w:lineRule="auto"/>
        <w:ind w:left="567" w:hanging="567"/>
        <w:rPr>
          <w:rFonts w:ascii="Arial" w:hAnsi="Arial" w:cs="Arial"/>
          <w:bCs/>
          <w:color w:val="000000"/>
          <w:sz w:val="20"/>
          <w:lang w:val="en-US"/>
        </w:rPr>
      </w:pPr>
      <w:bookmarkStart w:id="723" w:name="_11.2.33_Sentencing_for"/>
      <w:bookmarkEnd w:id="723"/>
      <w:r w:rsidRPr="00D45887">
        <w:rPr>
          <w:rFonts w:ascii="Arial" w:hAnsi="Arial" w:cs="Arial"/>
          <w:b/>
          <w:bCs/>
          <w:color w:val="000000"/>
          <w:sz w:val="20"/>
        </w:rPr>
        <w:lastRenderedPageBreak/>
        <w:t>11.2.3</w:t>
      </w:r>
      <w:r>
        <w:rPr>
          <w:rFonts w:ascii="Arial" w:hAnsi="Arial" w:cs="Arial"/>
          <w:b/>
          <w:bCs/>
          <w:color w:val="000000"/>
          <w:sz w:val="20"/>
        </w:rPr>
        <w:t>3</w:t>
      </w:r>
      <w:r w:rsidRPr="00D45887">
        <w:rPr>
          <w:rFonts w:ascii="Arial" w:hAnsi="Arial" w:cs="Arial"/>
          <w:b/>
          <w:bCs/>
          <w:color w:val="000000"/>
          <w:sz w:val="20"/>
        </w:rPr>
        <w:tab/>
        <w:t xml:space="preserve">Sentencing for </w:t>
      </w:r>
      <w:r>
        <w:rPr>
          <w:rFonts w:ascii="Arial" w:hAnsi="Arial" w:cs="Arial"/>
          <w:b/>
          <w:bCs/>
          <w:color w:val="000000"/>
          <w:sz w:val="20"/>
        </w:rPr>
        <w:t>terrorism offence</w:t>
      </w:r>
    </w:p>
    <w:p w14:paraId="7A3652DD" w14:textId="28F00C18" w:rsidR="00494922" w:rsidRDefault="00494922" w:rsidP="00494922">
      <w:pPr>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R v Shoma</w:t>
      </w:r>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r w:rsidRPr="00E72EBE">
        <w:rPr>
          <w:rFonts w:ascii="Arial" w:hAnsi="Arial" w:cs="Arial"/>
          <w:i/>
          <w:iCs/>
          <w:color w:val="000000"/>
          <w:sz w:val="20"/>
          <w:szCs w:val="20"/>
        </w:rPr>
        <w:t>Guden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R v Shoma</w:t>
      </w:r>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R v Mohamed, Chaarani &amp; Moukhaiber</w:t>
      </w:r>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Fawkner by fire, after earlier unsuccessful attempts by two of them.  The crimes were carried out to advance the ideology of Islamic State and to intimidate Shia Muslims.  There was no acceptable evidence of de-radicalisation.  Mohamed &amp; Chaarani were sentenced to IMP22y/17y, Moukhaiber to IMP16y/12y.  At [1] Tinney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r w:rsidRPr="00874A5F">
        <w:rPr>
          <w:rFonts w:ascii="Arial" w:hAnsi="Arial" w:cs="Arial"/>
          <w:bCs/>
          <w:color w:val="000000"/>
          <w:sz w:val="20"/>
          <w:lang w:val="en-US"/>
        </w:rPr>
        <w:t>otivated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06216100" w:rsidR="00BB3484" w:rsidRDefault="00BB3484" w:rsidP="00170185">
      <w:pPr>
        <w:pStyle w:val="Heading2"/>
        <w:widowControl/>
        <w:tabs>
          <w:tab w:val="left" w:pos="567"/>
        </w:tabs>
        <w:spacing w:line="240" w:lineRule="auto"/>
        <w:rPr>
          <w:rFonts w:ascii="Arial" w:hAnsi="Arial" w:cs="Arial"/>
          <w:bCs/>
          <w:color w:val="000000"/>
          <w:sz w:val="20"/>
          <w:lang w:val="en-US"/>
        </w:rPr>
      </w:pPr>
      <w:r w:rsidRPr="00127BB9">
        <w:rPr>
          <w:rFonts w:ascii="Arial" w:hAnsi="Arial" w:cs="Arial"/>
          <w:bCs/>
          <w:color w:val="000000"/>
          <w:sz w:val="20"/>
          <w:lang w:val="en-US"/>
        </w:rPr>
        <w:t xml:space="preserve">Several months later </w:t>
      </w:r>
      <w:r w:rsidR="00127BB9">
        <w:rPr>
          <w:rFonts w:ascii="Arial" w:hAnsi="Arial" w:cs="Arial"/>
          <w:bCs/>
          <w:color w:val="000000"/>
          <w:sz w:val="20"/>
          <w:lang w:val="en-US"/>
        </w:rPr>
        <w:t xml:space="preserve">in a separate trial </w:t>
      </w:r>
      <w:r w:rsidRPr="00127BB9">
        <w:rPr>
          <w:rFonts w:ascii="Arial" w:hAnsi="Arial" w:cs="Arial"/>
          <w:bCs/>
          <w:color w:val="000000"/>
          <w:sz w:val="20"/>
          <w:lang w:val="en-US"/>
        </w:rPr>
        <w:t xml:space="preserve">the offender </w:t>
      </w:r>
      <w:r w:rsidRPr="00127BB9">
        <w:rPr>
          <w:rFonts w:ascii="Arial" w:hAnsi="Arial" w:cs="Arial"/>
          <w:bCs/>
          <w:i/>
          <w:iCs/>
          <w:color w:val="000000"/>
          <w:sz w:val="20"/>
          <w:lang w:val="en-US"/>
        </w:rPr>
        <w:t>Mohamed</w:t>
      </w:r>
      <w:r w:rsidRPr="00127BB9">
        <w:rPr>
          <w:rFonts w:ascii="Arial" w:hAnsi="Arial" w:cs="Arial"/>
          <w:bCs/>
          <w:color w:val="000000"/>
          <w:sz w:val="20"/>
          <w:lang w:val="en-US"/>
        </w:rPr>
        <w:t xml:space="preserve"> </w:t>
      </w:r>
      <w:r w:rsidRPr="00127BB9">
        <w:rPr>
          <w:rFonts w:ascii="Arial" w:hAnsi="Arial" w:cs="Arial"/>
          <w:sz w:val="20"/>
        </w:rPr>
        <w:t>was found guilty by a jury of one charge of conspiring to do acts in preparation for, or planning, a terrorist act.</w:t>
      </w:r>
      <w:r w:rsidR="00127BB9">
        <w:rPr>
          <w:rFonts w:ascii="Arial" w:hAnsi="Arial" w:cs="Arial"/>
          <w:sz w:val="20"/>
        </w:rPr>
        <w:t xml:space="preserve">  He was subsequently sentenced by Beale J </w:t>
      </w:r>
      <w:r>
        <w:rPr>
          <w:rFonts w:ascii="Arial" w:hAnsi="Arial" w:cs="Arial"/>
          <w:bCs/>
          <w:color w:val="000000"/>
          <w:sz w:val="20"/>
          <w:lang w:val="en-US"/>
        </w:rPr>
        <w:t xml:space="preserve">to IMP26y </w:t>
      </w:r>
      <w:r w:rsidR="00127BB9">
        <w:rPr>
          <w:rFonts w:ascii="Arial" w:hAnsi="Arial" w:cs="Arial"/>
          <w:bCs/>
          <w:color w:val="000000"/>
          <w:sz w:val="20"/>
          <w:lang w:val="en-US"/>
        </w:rPr>
        <w:t xml:space="preserve">of which 16y was to be served cumulatively on the 22y sentence imposed by Tinney J, resulting in a TES IMP38y/28y6m: see [2019] VSC 775.  </w:t>
      </w:r>
      <w:r w:rsidR="00162208">
        <w:rPr>
          <w:rFonts w:ascii="Arial" w:hAnsi="Arial" w:cs="Arial"/>
          <w:bCs/>
          <w:color w:val="000000"/>
          <w:sz w:val="20"/>
          <w:lang w:val="en-US"/>
        </w:rPr>
        <w:t xml:space="preserve">Ultimately he did not pursue an appeal against either </w:t>
      </w:r>
      <w:r w:rsidR="00127BB9">
        <w:rPr>
          <w:rFonts w:ascii="Arial" w:hAnsi="Arial" w:cs="Arial"/>
          <w:bCs/>
          <w:color w:val="000000"/>
          <w:sz w:val="20"/>
          <w:lang w:val="en-US"/>
        </w:rPr>
        <w:t xml:space="preserve">of the individual sentences but </w:t>
      </w:r>
      <w:r w:rsidR="00D833F4">
        <w:rPr>
          <w:rFonts w:ascii="Arial" w:hAnsi="Arial" w:cs="Arial"/>
          <w:bCs/>
          <w:color w:val="000000"/>
          <w:sz w:val="20"/>
          <w:lang w:val="en-US"/>
        </w:rPr>
        <w:t xml:space="preserve">appealed the order for cumulation made by Beale J.  In </w:t>
      </w:r>
      <w:r w:rsidR="00D833F4" w:rsidRPr="00B92B67">
        <w:rPr>
          <w:rFonts w:ascii="Arial" w:hAnsi="Arial" w:cs="Arial"/>
          <w:bCs/>
          <w:i/>
          <w:iCs/>
          <w:color w:val="000000"/>
          <w:sz w:val="20"/>
          <w:lang w:val="en-US"/>
        </w:rPr>
        <w:t>Ahmed Mohamed v The Queen</w:t>
      </w:r>
      <w:r w:rsidR="00D833F4">
        <w:rPr>
          <w:rFonts w:ascii="Arial" w:hAnsi="Arial" w:cs="Arial"/>
          <w:bCs/>
          <w:color w:val="000000"/>
          <w:sz w:val="20"/>
          <w:lang w:val="en-US"/>
        </w:rPr>
        <w:t xml:space="preserve"> [2022] VSCA 136 the Court of Appeal (Maxwell P, Emerton &amp; Sifris JJA) allowed the appeal and substituted a TES IMP32y/24y.</w:t>
      </w:r>
      <w:r w:rsidR="00162208">
        <w:rPr>
          <w:rFonts w:ascii="Arial" w:hAnsi="Arial" w:cs="Arial"/>
          <w:bCs/>
          <w:color w:val="000000"/>
          <w:sz w:val="20"/>
          <w:lang w:val="en-US"/>
        </w:rPr>
        <w:t xml:space="preserve">  Subsequently, in light of the judgment </w:t>
      </w:r>
      <w:r w:rsidR="008468A0">
        <w:rPr>
          <w:rFonts w:ascii="Arial" w:hAnsi="Arial" w:cs="Arial"/>
          <w:bCs/>
          <w:color w:val="000000"/>
          <w:sz w:val="20"/>
          <w:lang w:val="en-US"/>
        </w:rPr>
        <w:t xml:space="preserve">of </w:t>
      </w:r>
      <w:r w:rsidR="00162208">
        <w:rPr>
          <w:rFonts w:ascii="Arial" w:hAnsi="Arial" w:cs="Arial"/>
          <w:bCs/>
          <w:color w:val="000000"/>
          <w:sz w:val="20"/>
          <w:lang w:val="en-US"/>
        </w:rPr>
        <w:t xml:space="preserve">the NSW </w:t>
      </w:r>
      <w:r w:rsidR="008468A0">
        <w:rPr>
          <w:rFonts w:ascii="Arial" w:hAnsi="Arial" w:cs="Arial"/>
          <w:bCs/>
          <w:color w:val="000000"/>
          <w:sz w:val="20"/>
          <w:lang w:val="en-US"/>
        </w:rPr>
        <w:t xml:space="preserve">Court of Criminal Appeal </w:t>
      </w:r>
      <w:r w:rsidR="00162208">
        <w:rPr>
          <w:rFonts w:ascii="Arial" w:hAnsi="Arial" w:cs="Arial"/>
          <w:bCs/>
          <w:color w:val="000000"/>
          <w:sz w:val="20"/>
          <w:lang w:val="en-US"/>
        </w:rPr>
        <w:t xml:space="preserve">in </w:t>
      </w:r>
      <w:r w:rsidR="00162208" w:rsidRPr="00541E23">
        <w:rPr>
          <w:rFonts w:ascii="Arial" w:hAnsi="Arial" w:cs="Arial"/>
          <w:bCs/>
          <w:i/>
          <w:iCs/>
          <w:color w:val="000000"/>
          <w:sz w:val="20"/>
          <w:lang w:val="en-US"/>
        </w:rPr>
        <w:t>Totaan v The Queen</w:t>
      </w:r>
      <w:r w:rsidR="00162208">
        <w:rPr>
          <w:rFonts w:ascii="Arial" w:hAnsi="Arial" w:cs="Arial"/>
          <w:bCs/>
          <w:color w:val="000000"/>
          <w:sz w:val="20"/>
          <w:lang w:val="en-US"/>
        </w:rPr>
        <w:t xml:space="preserve"> </w:t>
      </w:r>
      <w:r w:rsidR="008468A0" w:rsidRPr="008468A0">
        <w:rPr>
          <w:rFonts w:ascii="Arial" w:hAnsi="Arial" w:cs="Arial"/>
          <w:sz w:val="20"/>
        </w:rPr>
        <w:t>[2022] NSWCCA 75</w:t>
      </w:r>
      <w:r w:rsidR="008468A0">
        <w:rPr>
          <w:rFonts w:ascii="Arial" w:hAnsi="Arial" w:cs="Arial"/>
          <w:sz w:val="20"/>
        </w:rPr>
        <w:t xml:space="preserve"> </w:t>
      </w:r>
      <w:r w:rsidR="00162208">
        <w:rPr>
          <w:rFonts w:ascii="Arial" w:hAnsi="Arial" w:cs="Arial"/>
          <w:bCs/>
          <w:color w:val="000000"/>
          <w:sz w:val="20"/>
          <w:lang w:val="en-US"/>
        </w:rPr>
        <w:t xml:space="preserve">requiring family hardship to be considered, he sought in </w:t>
      </w:r>
      <w:r w:rsidR="00162208"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 [No 2]</w:t>
      </w:r>
      <w:r w:rsidR="00162208">
        <w:rPr>
          <w:rFonts w:ascii="Arial" w:hAnsi="Arial" w:cs="Arial"/>
          <w:bCs/>
          <w:i/>
          <w:iCs/>
          <w:color w:val="000000"/>
          <w:sz w:val="20"/>
          <w:lang w:val="en-US"/>
        </w:rPr>
        <w:t xml:space="preserve"> </w:t>
      </w:r>
      <w:r w:rsidR="00162208">
        <w:rPr>
          <w:rFonts w:ascii="Arial" w:hAnsi="Arial" w:cs="Arial"/>
          <w:bCs/>
          <w:color w:val="000000"/>
          <w:sz w:val="20"/>
          <w:lang w:val="en-US"/>
        </w:rPr>
        <w:t>[2022] VSCA 1</w:t>
      </w:r>
      <w:r w:rsidR="008468A0">
        <w:rPr>
          <w:rFonts w:ascii="Arial" w:hAnsi="Arial" w:cs="Arial"/>
          <w:bCs/>
          <w:color w:val="000000"/>
          <w:sz w:val="20"/>
          <w:lang w:val="en-US"/>
        </w:rPr>
        <w:t>77</w:t>
      </w:r>
      <w:r w:rsidR="00162208">
        <w:rPr>
          <w:rFonts w:ascii="Arial" w:hAnsi="Arial" w:cs="Arial"/>
          <w:bCs/>
          <w:color w:val="000000"/>
          <w:sz w:val="20"/>
          <w:lang w:val="en-US"/>
        </w:rPr>
        <w:t xml:space="preserve"> to re-instate the abandoned appeal against the 22y sentence imposed by Tinney J.  </w:t>
      </w:r>
      <w:r w:rsidR="00541E23">
        <w:rPr>
          <w:rFonts w:ascii="Arial" w:hAnsi="Arial" w:cs="Arial"/>
          <w:bCs/>
          <w:color w:val="000000"/>
          <w:sz w:val="20"/>
          <w:lang w:val="en-US"/>
        </w:rPr>
        <w:t>In</w:t>
      </w:r>
      <w:r w:rsidR="008468A0">
        <w:rPr>
          <w:rFonts w:ascii="Arial" w:hAnsi="Arial" w:cs="Arial"/>
          <w:bCs/>
          <w:color w:val="000000"/>
          <w:sz w:val="20"/>
          <w:lang w:val="en-US"/>
        </w:rPr>
        <w:t> </w:t>
      </w:r>
      <w:r w:rsidR="00541E23">
        <w:rPr>
          <w:rFonts w:ascii="Arial" w:hAnsi="Arial" w:cs="Arial"/>
          <w:bCs/>
          <w:color w:val="000000"/>
          <w:sz w:val="20"/>
          <w:lang w:val="en-US"/>
        </w:rPr>
        <w:t>refusing leave to appeal, the Court of Appeal (Emerton P, Niall &amp; T Forrest JJA) said at [30]-[31]:</w:t>
      </w:r>
    </w:p>
    <w:p w14:paraId="048B5196" w14:textId="1C9A00F9" w:rsidR="00541E23" w:rsidRDefault="00541E23" w:rsidP="00541E23">
      <w:pPr>
        <w:pStyle w:val="Normal-Indent"/>
        <w:widowControl/>
        <w:spacing w:before="60" w:line="240" w:lineRule="auto"/>
        <w:ind w:left="567" w:right="567"/>
        <w:rPr>
          <w:rFonts w:ascii="Arial" w:hAnsi="Arial" w:cs="Arial"/>
          <w:sz w:val="20"/>
          <w:szCs w:val="16"/>
        </w:rPr>
      </w:pPr>
      <w:r>
        <w:rPr>
          <w:rFonts w:ascii="Arial" w:hAnsi="Arial" w:cs="Arial"/>
          <w:color w:val="000000"/>
          <w:sz w:val="20"/>
        </w:rPr>
        <w:t>[30] “…</w:t>
      </w:r>
      <w:r w:rsidRPr="00162208">
        <w:rPr>
          <w:rFonts w:ascii="Arial" w:hAnsi="Arial" w:cs="Arial"/>
          <w:sz w:val="20"/>
          <w:szCs w:val="16"/>
        </w:rPr>
        <w:t xml:space="preserve">we are strongly of the view that whilst the first sentence failed to take into account a mildly relevant fact to sentencing, the total effective sentence of 32 years imprisonment with a non-parole period of 24 years is modest indeed for the overall criminality exhibited by the applicant. </w:t>
      </w:r>
    </w:p>
    <w:p w14:paraId="7162AD6C" w14:textId="5E7BA0A1" w:rsidR="00541E23" w:rsidRPr="00D45887" w:rsidRDefault="00541E23" w:rsidP="00541E23">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162208">
        <w:rPr>
          <w:rFonts w:ascii="Arial" w:hAnsi="Arial" w:cs="Arial"/>
          <w:sz w:val="20"/>
          <w:szCs w:val="16"/>
        </w:rPr>
        <w:t>31</w:t>
      </w:r>
      <w:r>
        <w:rPr>
          <w:rFonts w:ascii="Arial" w:hAnsi="Arial" w:cs="Arial"/>
          <w:sz w:val="20"/>
          <w:szCs w:val="16"/>
        </w:rPr>
        <w:t>]</w:t>
      </w:r>
      <w:r w:rsidRPr="00162208">
        <w:rPr>
          <w:rFonts w:ascii="Arial" w:hAnsi="Arial" w:cs="Arial"/>
          <w:sz w:val="20"/>
          <w:szCs w:val="16"/>
        </w:rPr>
        <w:t xml:space="preserve"> The approach proposed by the applicant is, in our view, quite artificial. The applicant has been convicted of three grave terrorism offences. These are offences that are inimical to the safety and good order of our community and which call for sentences that demonstrate to all prospective terrorists that their criminal actions will be met with severe penalties. The applicant succeeded in the first appeal because he was able to demonstrate that the total effective sentence, which incorporated both the first and second sentences, would be crushing upon him in all the circumstances. Those </w:t>
      </w:r>
      <w:r w:rsidRPr="00162208">
        <w:rPr>
          <w:rFonts w:ascii="Arial" w:hAnsi="Arial" w:cs="Arial"/>
          <w:sz w:val="20"/>
          <w:szCs w:val="16"/>
        </w:rPr>
        <w:lastRenderedPageBreak/>
        <w:t>circumstances included his positive steps towards deradicalisation, his prospects for rehabilitation, his age and prior history, and a modest allowance for non-exceptional family hardship. Had this appeal been heard with the first appeal no greater deduction would have been granted to the cumulation imposed. Further the Tinney J head sentence would not have been reduced in a way that required a different total effective sentence.</w:t>
      </w:r>
      <w:r>
        <w:rPr>
          <w:rFonts w:ascii="Arial" w:hAnsi="Arial" w:cs="Arial"/>
          <w:sz w:val="20"/>
          <w:szCs w:val="16"/>
        </w:rPr>
        <w:t>”</w:t>
      </w:r>
    </w:p>
    <w:p w14:paraId="7D69DA6C" w14:textId="31045752" w:rsidR="00EE1C79" w:rsidRDefault="00EE1C79" w:rsidP="00874A5F">
      <w:pPr>
        <w:pStyle w:val="Heading2"/>
        <w:tabs>
          <w:tab w:val="left" w:pos="567"/>
        </w:tabs>
        <w:spacing w:line="240" w:lineRule="auto"/>
        <w:rPr>
          <w:rFonts w:ascii="Arial" w:hAnsi="Arial" w:cs="Arial"/>
          <w:bCs/>
          <w:color w:val="000000"/>
          <w:sz w:val="20"/>
          <w:lang w:val="en-US"/>
        </w:rPr>
      </w:pPr>
    </w:p>
    <w:p w14:paraId="672808C1" w14:textId="77777777" w:rsidR="00F7798B" w:rsidRDefault="00F7798B" w:rsidP="00874A5F">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F7798B">
        <w:rPr>
          <w:rFonts w:ascii="Arial" w:hAnsi="Arial" w:cs="Arial"/>
          <w:bCs/>
          <w:i/>
          <w:iCs/>
          <w:color w:val="000000"/>
          <w:sz w:val="20"/>
          <w:lang w:val="en-US"/>
        </w:rPr>
        <w:t>Chaarani v The King</w:t>
      </w:r>
      <w:r>
        <w:rPr>
          <w:rFonts w:ascii="Arial" w:hAnsi="Arial" w:cs="Arial"/>
          <w:bCs/>
          <w:color w:val="000000"/>
          <w:sz w:val="20"/>
          <w:lang w:val="en-US"/>
        </w:rPr>
        <w:t xml:space="preserve"> [2023] VSCA 275 the Court of Appeal (Emerton P, Niall &amp; Kaye JJA), noting that–</w:t>
      </w:r>
    </w:p>
    <w:p w14:paraId="0E96A5FB" w14:textId="7723AC1C" w:rsidR="00F7798B" w:rsidRDefault="00F7798B">
      <w:pPr>
        <w:pStyle w:val="Heading2"/>
        <w:numPr>
          <w:ilvl w:val="0"/>
          <w:numId w:val="129"/>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lang w:val="en-US"/>
        </w:rPr>
        <w:t>family hardship had not been taken into account by the sentencing judges; and</w:t>
      </w:r>
    </w:p>
    <w:p w14:paraId="1F97A3AC" w14:textId="732EEB81" w:rsidR="00F7798B" w:rsidRDefault="00F7798B">
      <w:pPr>
        <w:pStyle w:val="Heading2"/>
        <w:numPr>
          <w:ilvl w:val="0"/>
          <w:numId w:val="129"/>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lang w:val="en-US"/>
        </w:rPr>
        <w:t>a co-offender’s sentence and non-parole period were reduced on appeal on the ground that the sentence was ‘crushing’–</w:t>
      </w:r>
    </w:p>
    <w:p w14:paraId="3B8E0042" w14:textId="6F907978" w:rsidR="00F7798B" w:rsidRDefault="00F7798B" w:rsidP="00874A5F">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allowed the appeal </w:t>
      </w:r>
      <w:r w:rsidR="00C94A88">
        <w:rPr>
          <w:rFonts w:ascii="Arial" w:hAnsi="Arial" w:cs="Arial"/>
          <w:bCs/>
          <w:color w:val="000000"/>
          <w:sz w:val="20"/>
          <w:lang w:val="en-US"/>
        </w:rPr>
        <w:t>by applying the principle</w:t>
      </w:r>
      <w:r w:rsidR="00C60F62">
        <w:rPr>
          <w:rFonts w:ascii="Arial" w:hAnsi="Arial" w:cs="Arial"/>
          <w:bCs/>
          <w:color w:val="000000"/>
          <w:sz w:val="20"/>
          <w:lang w:val="en-US"/>
        </w:rPr>
        <w:t xml:space="preserve"> of parity </w:t>
      </w:r>
      <w:r>
        <w:rPr>
          <w:rFonts w:ascii="Arial" w:hAnsi="Arial" w:cs="Arial"/>
          <w:bCs/>
          <w:color w:val="000000"/>
          <w:sz w:val="20"/>
          <w:lang w:val="en-US"/>
        </w:rPr>
        <w:t>and substituted a TES IMP32y/24y.</w:t>
      </w:r>
    </w:p>
    <w:p w14:paraId="1999085A" w14:textId="1EE21A32" w:rsidR="00F7798B" w:rsidRDefault="00F7798B" w:rsidP="00874A5F">
      <w:pPr>
        <w:pStyle w:val="Heading2"/>
        <w:tabs>
          <w:tab w:val="left" w:pos="567"/>
        </w:tabs>
        <w:spacing w:line="240" w:lineRule="auto"/>
        <w:rPr>
          <w:rFonts w:ascii="Arial" w:hAnsi="Arial" w:cs="Arial"/>
          <w:bCs/>
          <w:color w:val="000000"/>
          <w:sz w:val="20"/>
          <w:lang w:val="en-US"/>
        </w:rPr>
      </w:pPr>
    </w:p>
    <w:p w14:paraId="4EB0F6E6" w14:textId="77777777"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(Cth)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(Cth).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(2006) 199 FLR 364, 369 [31], where Whealy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lastRenderedPageBreak/>
        <w:t xml:space="preserve">In the course of its consideration of the appeal the Court of Appeal </w:t>
      </w:r>
      <w:r w:rsidR="00AA2594" w:rsidRPr="009D021F">
        <w:rPr>
          <w:rFonts w:ascii="Arial" w:hAnsi="Arial" w:cs="Arial"/>
          <w:sz w:val="20"/>
          <w:szCs w:val="20"/>
          <w:lang w:val="en-US"/>
        </w:rPr>
        <w:t>discussed and analysed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useful guidance when looked at comparatively in 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 xml:space="preserve">[2016] VSC 742 (Lasry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111A6596" w:rsidR="00AA2594"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r w:rsidR="007B1F87" w:rsidRPr="009D021F">
        <w:rPr>
          <w:rFonts w:ascii="Arial" w:hAnsi="Arial" w:cs="Arial"/>
          <w:bCs/>
          <w:i/>
          <w:iCs/>
          <w:color w:val="000000"/>
          <w:sz w:val="20"/>
          <w:szCs w:val="20"/>
          <w:lang w:val="en-US"/>
        </w:rPr>
        <w:t>Fattal</w:t>
      </w:r>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 xml:space="preserve">2011] VSC 681 (King J); [2013] VSCA 276 (Buchanan AP, Nettle and Tate JJA): 3 coffenders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namely for 6 people to enter Holdsworthy army barracks and shoot as many people as possible before being killed as martyrs: sentence of IMP18y/</w:t>
      </w:r>
      <w:r w:rsidR="00B74755">
        <w:rPr>
          <w:rFonts w:ascii="Arial" w:hAnsi="Arial" w:cs="Arial"/>
          <w:sz w:val="20"/>
          <w:szCs w:val="20"/>
        </w:rPr>
        <w:t>13</w:t>
      </w:r>
      <w:r w:rsidR="00ED3A5B" w:rsidRPr="009D021F">
        <w:rPr>
          <w:rFonts w:ascii="Arial" w:hAnsi="Arial" w:cs="Arial"/>
          <w:sz w:val="20"/>
          <w:szCs w:val="20"/>
        </w:rPr>
        <w:t>y</w:t>
      </w:r>
      <w:r w:rsidR="00B74755">
        <w:rPr>
          <w:rFonts w:ascii="Arial" w:hAnsi="Arial" w:cs="Arial"/>
          <w:sz w:val="20"/>
          <w:szCs w:val="20"/>
        </w:rPr>
        <w:t>6m</w:t>
      </w:r>
      <w:r w:rsidR="00ED3A5B" w:rsidRPr="009D021F">
        <w:rPr>
          <w:rFonts w:ascii="Arial" w:hAnsi="Arial" w:cs="Arial"/>
          <w:sz w:val="20"/>
          <w:szCs w:val="20"/>
        </w:rPr>
        <w:t xml:space="preserve"> upheld on appeal, the Court noting that in </w:t>
      </w:r>
      <w:r w:rsidR="00ED3A5B" w:rsidRPr="009D021F">
        <w:rPr>
          <w:rFonts w:ascii="Arial" w:hAnsi="Arial" w:cs="Arial"/>
          <w:i/>
          <w:iCs/>
          <w:sz w:val="20"/>
          <w:szCs w:val="20"/>
        </w:rPr>
        <w:t>R v Kruezi</w:t>
      </w:r>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citing </w:t>
      </w:r>
      <w:r w:rsidR="00ED3A5B" w:rsidRPr="009D021F">
        <w:rPr>
          <w:rFonts w:ascii="Arial" w:eastAsia="Book Antiqua" w:hAnsi="Arial" w:cs="Arial"/>
          <w:i/>
          <w:sz w:val="20"/>
          <w:szCs w:val="12"/>
        </w:rPr>
        <w:t xml:space="preserve">Elomar </w:t>
      </w:r>
      <w:r w:rsidR="00ED3A5B" w:rsidRPr="009D021F">
        <w:rPr>
          <w:rFonts w:ascii="Arial" w:hAnsi="Arial" w:cs="Arial"/>
          <w:sz w:val="20"/>
          <w:szCs w:val="12"/>
        </w:rPr>
        <w:t xml:space="preserve">(2010) 264 ALR 759, 775–6 [64] (Whealy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rsidP="001924B6">
      <w:pPr>
        <w:pStyle w:val="ListParagraph"/>
        <w:numPr>
          <w:ilvl w:val="0"/>
          <w:numId w:val="94"/>
        </w:numPr>
        <w:ind w:left="357" w:hanging="357"/>
        <w:jc w:val="both"/>
        <w:rPr>
          <w:rFonts w:ascii="Arial" w:hAnsi="Arial" w:cs="Arial"/>
          <w:sz w:val="20"/>
          <w:szCs w:val="16"/>
        </w:rPr>
      </w:pPr>
      <w:r w:rsidRPr="009D021F">
        <w:rPr>
          <w:rFonts w:ascii="Arial" w:hAnsi="Arial" w:cs="Arial"/>
          <w:sz w:val="20"/>
          <w:szCs w:val="16"/>
        </w:rPr>
        <w:t xml:space="preserve">at [95] </w:t>
      </w:r>
      <w:r w:rsidRPr="009D021F">
        <w:rPr>
          <w:rFonts w:ascii="Arial" w:hAnsi="Arial" w:cs="Arial"/>
          <w:i/>
          <w:iCs/>
          <w:sz w:val="20"/>
          <w:szCs w:val="16"/>
        </w:rPr>
        <w:t>Besim</w:t>
      </w:r>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77777777" w:rsidR="002519AD" w:rsidRPr="009D021F" w:rsidRDefault="008B6181" w:rsidP="001924B6">
      <w:pPr>
        <w:pStyle w:val="ListParagraph"/>
        <w:numPr>
          <w:ilvl w:val="0"/>
          <w:numId w:val="94"/>
        </w:numPr>
        <w:ind w:left="357" w:hanging="357"/>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 xml:space="preserve">[2016] VSC 742 (Lasry J); </w:t>
      </w:r>
      <w:r w:rsidR="002519AD" w:rsidRPr="009D021F">
        <w:rPr>
          <w:rFonts w:ascii="Arial" w:hAnsi="Arial" w:cs="Arial"/>
          <w:sz w:val="20"/>
          <w:szCs w:val="20"/>
        </w:rPr>
        <w:t>[2020]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p>
    <w:p w14:paraId="7C9B9BA5" w14:textId="274D7A24" w:rsidR="002519AD" w:rsidRPr="009D021F" w:rsidRDefault="002519AD"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rsidP="001924B6">
      <w:pPr>
        <w:pStyle w:val="ListParagraph"/>
        <w:numPr>
          <w:ilvl w:val="0"/>
          <w:numId w:val="94"/>
        </w:numPr>
        <w:ind w:left="357" w:hanging="357"/>
        <w:jc w:val="both"/>
        <w:rPr>
          <w:rFonts w:ascii="Arial" w:hAnsi="Arial" w:cs="Arial"/>
          <w:sz w:val="20"/>
          <w:szCs w:val="20"/>
        </w:rPr>
      </w:pPr>
      <w:r w:rsidRPr="009D021F">
        <w:rPr>
          <w:rFonts w:ascii="Arial" w:hAnsi="Arial" w:cs="Arial"/>
          <w:sz w:val="20"/>
          <w:szCs w:val="20"/>
        </w:rPr>
        <w:t xml:space="preserve">at [98]: </w:t>
      </w:r>
      <w:r w:rsidRPr="009D021F">
        <w:rPr>
          <w:rFonts w:ascii="Arial" w:eastAsia="Book Antiqua" w:hAnsi="Arial" w:cs="Arial"/>
          <w:i/>
          <w:sz w:val="20"/>
          <w:szCs w:val="20"/>
        </w:rPr>
        <w:t xml:space="preserve">Baladjam </w:t>
      </w:r>
      <w:r w:rsidRPr="009D021F">
        <w:rPr>
          <w:rFonts w:ascii="Arial" w:hAnsi="Arial" w:cs="Arial"/>
          <w:sz w:val="20"/>
          <w:szCs w:val="20"/>
        </w:rPr>
        <w:t>(2018) 341 FLR 162, 172 (Bathurst CJ);</w:t>
      </w:r>
    </w:p>
    <w:p w14:paraId="6BA8BD16" w14:textId="77777777" w:rsidR="008B6181" w:rsidRPr="009D021F" w:rsidRDefault="008B6181"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r w:rsidR="00CE59EA" w:rsidRPr="009D021F">
        <w:rPr>
          <w:rFonts w:ascii="Arial" w:hAnsi="Arial" w:cs="Arial"/>
          <w:bCs/>
          <w:i/>
          <w:iCs/>
          <w:color w:val="000000"/>
          <w:sz w:val="20"/>
          <w:szCs w:val="20"/>
          <w:lang w:val="en-US"/>
        </w:rPr>
        <w:t>Elomar</w:t>
      </w:r>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(Whealy J); 5 co-offenders aged 20-39 intended at least to cause serious damage to property but envisioned the possibility of serious injury or death as a result of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BEFAD30" w14:textId="77777777" w:rsidR="00813752" w:rsidRDefault="00CE59EA" w:rsidP="00766866">
      <w:pPr>
        <w:pStyle w:val="Heading2"/>
        <w:widowControl/>
        <w:tabs>
          <w:tab w:val="left" w:pos="567"/>
        </w:tabs>
        <w:spacing w:line="240" w:lineRule="auto"/>
        <w:rPr>
          <w:rFonts w:ascii="Arial" w:hAnsi="Arial" w:cs="Arial"/>
          <w:bCs/>
          <w:color w:val="000000"/>
          <w:sz w:val="20"/>
          <w:lang w:val="en-US"/>
        </w:rPr>
      </w:pPr>
      <w:r>
        <w:rPr>
          <w:rFonts w:ascii="Arial" w:hAnsi="Arial" w:cs="Arial"/>
          <w:bCs/>
          <w:color w:val="000000"/>
          <w:sz w:val="20"/>
          <w:lang w:val="en-US"/>
        </w:rPr>
        <w:t>See also</w:t>
      </w:r>
      <w:r w:rsidR="00813752">
        <w:rPr>
          <w:rFonts w:ascii="Arial" w:hAnsi="Arial" w:cs="Arial"/>
          <w:bCs/>
          <w:color w:val="000000"/>
          <w:sz w:val="20"/>
          <w:lang w:val="en-US"/>
        </w:rPr>
        <w:t>:</w:t>
      </w:r>
    </w:p>
    <w:p w14:paraId="6C8D0A04" w14:textId="5D7771AD" w:rsidR="00813752" w:rsidRPr="00813752" w:rsidRDefault="00666237" w:rsidP="00813752">
      <w:pPr>
        <w:pStyle w:val="ListParagraph"/>
        <w:numPr>
          <w:ilvl w:val="0"/>
          <w:numId w:val="94"/>
        </w:numPr>
        <w:ind w:left="357" w:hanging="357"/>
        <w:jc w:val="both"/>
        <w:rPr>
          <w:rFonts w:ascii="Arial" w:hAnsi="Arial" w:cs="Arial"/>
          <w:sz w:val="20"/>
          <w:szCs w:val="20"/>
        </w:rPr>
      </w:pPr>
      <w:r w:rsidRPr="00666237">
        <w:rPr>
          <w:rFonts w:ascii="Arial" w:hAnsi="Arial" w:cs="Arial"/>
          <w:bCs/>
          <w:i/>
          <w:iCs/>
          <w:color w:val="000000"/>
          <w:sz w:val="20"/>
          <w:lang w:val="en-US"/>
        </w:rPr>
        <w:t>CDPP v Galea</w:t>
      </w:r>
      <w:r>
        <w:rPr>
          <w:rFonts w:ascii="Arial" w:hAnsi="Arial" w:cs="Arial"/>
          <w:bCs/>
          <w:color w:val="000000"/>
          <w:sz w:val="20"/>
          <w:lang w:val="en-US"/>
        </w:rPr>
        <w:t xml:space="preserve"> [2020] VSC 750 – acts in preparation for, or planning, a terrorist act and attempting to make a document likely to facilitate a terrorist act – </w:t>
      </w:r>
      <w:r w:rsidR="00813752">
        <w:rPr>
          <w:rFonts w:ascii="Arial" w:hAnsi="Arial" w:cs="Arial"/>
          <w:bCs/>
          <w:color w:val="000000"/>
          <w:sz w:val="20"/>
          <w:lang w:val="en-US"/>
        </w:rPr>
        <w:t xml:space="preserve">TES </w:t>
      </w:r>
      <w:r>
        <w:rPr>
          <w:rFonts w:ascii="Arial" w:hAnsi="Arial" w:cs="Arial"/>
          <w:bCs/>
          <w:color w:val="000000"/>
          <w:sz w:val="20"/>
          <w:lang w:val="en-US"/>
        </w:rPr>
        <w:t>IMP12y/9y</w:t>
      </w:r>
      <w:r w:rsidR="00813752">
        <w:rPr>
          <w:rFonts w:ascii="Arial" w:hAnsi="Arial" w:cs="Arial"/>
          <w:bCs/>
          <w:color w:val="000000"/>
          <w:sz w:val="20"/>
          <w:lang w:val="en-US"/>
        </w:rPr>
        <w:t>;</w:t>
      </w:r>
    </w:p>
    <w:p w14:paraId="768470FB" w14:textId="1ECD5570" w:rsidR="00CE59EA" w:rsidRPr="00813752" w:rsidRDefault="00813752" w:rsidP="00813752">
      <w:pPr>
        <w:pStyle w:val="ListParagraph"/>
        <w:numPr>
          <w:ilvl w:val="0"/>
          <w:numId w:val="94"/>
        </w:numPr>
        <w:ind w:left="357" w:hanging="357"/>
        <w:jc w:val="both"/>
        <w:rPr>
          <w:rFonts w:ascii="Arial" w:hAnsi="Arial" w:cs="Arial"/>
          <w:sz w:val="20"/>
          <w:szCs w:val="20"/>
        </w:rPr>
      </w:pPr>
      <w:r w:rsidRPr="00813752">
        <w:rPr>
          <w:rFonts w:ascii="Arial" w:hAnsi="Arial" w:cs="Arial"/>
          <w:bCs/>
          <w:i/>
          <w:iCs/>
          <w:color w:val="000000"/>
          <w:sz w:val="20"/>
          <w:lang w:val="en-US"/>
        </w:rPr>
        <w:t>DPP (Cth) v Sherani</w:t>
      </w:r>
      <w:r w:rsidRPr="00813752">
        <w:rPr>
          <w:rFonts w:ascii="Arial" w:hAnsi="Arial" w:cs="Arial"/>
          <w:bCs/>
          <w:color w:val="000000"/>
          <w:sz w:val="20"/>
          <w:lang w:val="en-US"/>
        </w:rPr>
        <w:t xml:space="preserve"> [2024] VSC 620 – </w:t>
      </w:r>
      <w:r>
        <w:rPr>
          <w:rFonts w:ascii="Arial" w:hAnsi="Arial" w:cs="Arial"/>
          <w:bCs/>
          <w:color w:val="000000"/>
          <w:sz w:val="20"/>
        </w:rPr>
        <w:t xml:space="preserve">18 year old offender radicalised on-line – </w:t>
      </w:r>
      <w:r>
        <w:rPr>
          <w:rFonts w:ascii="Arial" w:hAnsi="Arial" w:cs="Arial"/>
          <w:bCs/>
          <w:color w:val="000000"/>
          <w:sz w:val="20"/>
          <w:lang w:val="en-US"/>
        </w:rPr>
        <w:t xml:space="preserve">plea guilty to </w:t>
      </w:r>
      <w:r w:rsidRPr="00813752">
        <w:rPr>
          <w:rFonts w:ascii="Arial" w:hAnsi="Arial" w:cs="Arial"/>
          <w:bCs/>
          <w:color w:val="000000"/>
          <w:sz w:val="20"/>
          <w:lang w:val="en-US"/>
        </w:rPr>
        <w:t xml:space="preserve">charge of being a member of a terrorist organisation namely Islamic State and </w:t>
      </w:r>
      <w:r>
        <w:rPr>
          <w:rFonts w:ascii="Arial" w:hAnsi="Arial" w:cs="Arial"/>
          <w:bCs/>
          <w:color w:val="000000"/>
          <w:sz w:val="20"/>
          <w:lang w:val="en-US"/>
        </w:rPr>
        <w:t xml:space="preserve">found guilty of charge of </w:t>
      </w:r>
      <w:r w:rsidRPr="00813752">
        <w:rPr>
          <w:rFonts w:ascii="Arial" w:hAnsi="Arial" w:cs="Arial"/>
          <w:bCs/>
          <w:color w:val="000000"/>
          <w:sz w:val="20"/>
        </w:rPr>
        <w:t>doing acts in preparation for, or planning, a terrorist act</w:t>
      </w:r>
      <w:r>
        <w:rPr>
          <w:rFonts w:ascii="Arial" w:hAnsi="Arial" w:cs="Arial"/>
          <w:bCs/>
          <w:color w:val="000000"/>
          <w:sz w:val="20"/>
        </w:rPr>
        <w:t xml:space="preserve"> – limited acts in preparation and whole plan very short-lived and rapidly abandoned – TES IMP8y/6y.</w:t>
      </w:r>
    </w:p>
    <w:p w14:paraId="39DBAD22" w14:textId="77777777" w:rsidR="00813752" w:rsidRPr="00CE59EA" w:rsidRDefault="00813752" w:rsidP="00CE59EA">
      <w:pPr>
        <w:pStyle w:val="Heading2"/>
        <w:tabs>
          <w:tab w:val="left" w:pos="567"/>
        </w:tabs>
        <w:spacing w:line="240" w:lineRule="auto"/>
        <w:rPr>
          <w:rFonts w:ascii="Arial" w:hAnsi="Arial" w:cs="Arial"/>
          <w:bCs/>
          <w:color w:val="000000"/>
          <w:sz w:val="20"/>
          <w:lang w:val="en-US"/>
        </w:rPr>
      </w:pPr>
    </w:p>
    <w:p w14:paraId="6361CD54" w14:textId="43818C0D" w:rsidR="00E7356D" w:rsidRPr="00D45887" w:rsidRDefault="00E7356D" w:rsidP="009103F7">
      <w:pPr>
        <w:pStyle w:val="Heading2"/>
        <w:keepNext/>
        <w:keepLines/>
        <w:widowControl/>
        <w:tabs>
          <w:tab w:val="left" w:pos="567"/>
        </w:tabs>
        <w:spacing w:line="240" w:lineRule="auto"/>
        <w:ind w:left="567" w:hanging="567"/>
        <w:rPr>
          <w:rFonts w:ascii="Arial" w:hAnsi="Arial" w:cs="Arial"/>
          <w:bCs/>
          <w:color w:val="000000"/>
          <w:sz w:val="20"/>
          <w:lang w:val="en-US"/>
        </w:rPr>
      </w:pPr>
      <w:bookmarkStart w:id="724" w:name="_11.2.34_Sentencing_for"/>
      <w:bookmarkEnd w:id="724"/>
      <w:r w:rsidRPr="00D45887">
        <w:rPr>
          <w:rFonts w:ascii="Arial" w:hAnsi="Arial" w:cs="Arial"/>
          <w:b/>
          <w:bCs/>
          <w:color w:val="000000"/>
          <w:sz w:val="20"/>
        </w:rPr>
        <w:lastRenderedPageBreak/>
        <w:t>11.2.3</w:t>
      </w:r>
      <w:r>
        <w:rPr>
          <w:rFonts w:ascii="Arial" w:hAnsi="Arial" w:cs="Arial"/>
          <w:b/>
          <w:bCs/>
          <w:color w:val="000000"/>
          <w:sz w:val="20"/>
        </w:rPr>
        <w:t>4</w:t>
      </w:r>
      <w:r w:rsidRPr="00D45887">
        <w:rPr>
          <w:rFonts w:ascii="Arial" w:hAnsi="Arial" w:cs="Arial"/>
          <w:b/>
          <w:bCs/>
          <w:color w:val="000000"/>
          <w:sz w:val="20"/>
        </w:rPr>
        <w:tab/>
        <w:t xml:space="preserve">Sentencing for </w:t>
      </w:r>
      <w:r w:rsidR="001B57E0">
        <w:rPr>
          <w:rFonts w:ascii="Arial" w:hAnsi="Arial" w:cs="Arial"/>
          <w:b/>
          <w:bCs/>
          <w:color w:val="000000"/>
          <w:sz w:val="20"/>
        </w:rPr>
        <w:t xml:space="preserve">firearms offences: </w:t>
      </w:r>
      <w:r>
        <w:rPr>
          <w:rFonts w:ascii="Arial" w:hAnsi="Arial" w:cs="Arial"/>
          <w:b/>
          <w:bCs/>
          <w:color w:val="000000"/>
          <w:sz w:val="20"/>
        </w:rPr>
        <w:t>importation</w:t>
      </w:r>
      <w:r w:rsidR="00127335">
        <w:rPr>
          <w:rFonts w:ascii="Arial" w:hAnsi="Arial" w:cs="Arial"/>
          <w:b/>
          <w:bCs/>
          <w:color w:val="000000"/>
          <w:sz w:val="20"/>
        </w:rPr>
        <w:t xml:space="preserve">, </w:t>
      </w:r>
      <w:r w:rsidR="007112EE">
        <w:rPr>
          <w:rFonts w:ascii="Arial" w:hAnsi="Arial" w:cs="Arial"/>
          <w:b/>
          <w:bCs/>
          <w:color w:val="000000"/>
          <w:sz w:val="20"/>
        </w:rPr>
        <w:t xml:space="preserve">trafficking, </w:t>
      </w:r>
      <w:r w:rsidR="00876CF3">
        <w:rPr>
          <w:rFonts w:ascii="Arial" w:hAnsi="Arial" w:cs="Arial"/>
          <w:b/>
          <w:bCs/>
          <w:color w:val="000000"/>
          <w:sz w:val="20"/>
        </w:rPr>
        <w:t>possession</w:t>
      </w:r>
      <w:r w:rsidR="00127335">
        <w:rPr>
          <w:rFonts w:ascii="Arial" w:hAnsi="Arial" w:cs="Arial"/>
          <w:b/>
          <w:bCs/>
          <w:color w:val="000000"/>
          <w:sz w:val="20"/>
        </w:rPr>
        <w:t xml:space="preserve"> &amp; discharge</w:t>
      </w:r>
    </w:p>
    <w:p w14:paraId="3A0F06F4" w14:textId="77777777" w:rsidR="00E7356D" w:rsidRPr="001B57E0" w:rsidRDefault="00E7356D" w:rsidP="009103F7">
      <w:pPr>
        <w:pStyle w:val="Heading2"/>
        <w:keepNext/>
        <w:keepLines/>
        <w:widowControl/>
        <w:tabs>
          <w:tab w:val="left" w:pos="567"/>
        </w:tabs>
        <w:spacing w:line="240" w:lineRule="auto"/>
        <w:ind w:left="567" w:hanging="567"/>
        <w:rPr>
          <w:rFonts w:ascii="Arial" w:hAnsi="Arial" w:cs="Arial"/>
          <w:color w:val="000000"/>
          <w:sz w:val="20"/>
        </w:rPr>
      </w:pPr>
    </w:p>
    <w:p w14:paraId="19062C53" w14:textId="2F32A39F"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25" w:name="_A_IMPORTATION_OF"/>
      <w:bookmarkEnd w:id="725"/>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IMPORTATION OF FIREARMS</w:t>
      </w: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r w:rsidRPr="002A106A">
        <w:rPr>
          <w:rFonts w:ascii="Arial" w:hAnsi="Arial" w:cs="Arial"/>
          <w:i/>
          <w:iCs/>
          <w:color w:val="000000"/>
          <w:sz w:val="20"/>
        </w:rPr>
        <w:t>Postiglione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r w:rsidR="00D40F30">
        <w:rPr>
          <w:rFonts w:ascii="Arial" w:hAnsi="Arial" w:cs="Arial"/>
          <w:color w:val="000000"/>
          <w:sz w:val="20"/>
        </w:rPr>
        <w:t>”</w:t>
      </w:r>
    </w:p>
    <w:p w14:paraId="2F3CA2F4" w14:textId="77777777" w:rsidR="00127335" w:rsidRPr="001B57E0" w:rsidRDefault="00127335" w:rsidP="00127335">
      <w:pPr>
        <w:pStyle w:val="Heading2"/>
        <w:tabs>
          <w:tab w:val="left" w:pos="567"/>
        </w:tabs>
        <w:spacing w:line="240" w:lineRule="auto"/>
        <w:ind w:left="567" w:hanging="567"/>
        <w:rPr>
          <w:rFonts w:ascii="Arial" w:hAnsi="Arial" w:cs="Arial"/>
          <w:color w:val="000000"/>
          <w:sz w:val="20"/>
        </w:rPr>
      </w:pPr>
    </w:p>
    <w:p w14:paraId="44442935" w14:textId="636D4F61"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26" w:name="_B_TRAFFICKING_IN"/>
      <w:bookmarkEnd w:id="726"/>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 xml:space="preserve">TRAFFICKING IN / POSSESSION OF </w:t>
      </w:r>
      <w:r w:rsidR="007112EE">
        <w:rPr>
          <w:rFonts w:ascii="Arial" w:hAnsi="Arial" w:cs="Arial"/>
          <w:b/>
          <w:bCs/>
          <w:color w:val="FFFFFF" w:themeColor="background1"/>
          <w:sz w:val="20"/>
          <w:shd w:val="clear" w:color="auto" w:fill="000000" w:themeFill="text1"/>
        </w:rPr>
        <w:t xml:space="preserve">/ DISCHARGE OF </w:t>
      </w:r>
      <w:r>
        <w:rPr>
          <w:rFonts w:ascii="Arial" w:hAnsi="Arial" w:cs="Arial"/>
          <w:b/>
          <w:bCs/>
          <w:color w:val="FFFFFF" w:themeColor="background1"/>
          <w:sz w:val="20"/>
          <w:shd w:val="clear" w:color="auto" w:fill="000000" w:themeFill="text1"/>
        </w:rPr>
        <w:t>FIREARMS</w:t>
      </w:r>
    </w:p>
    <w:p w14:paraId="63D27710" w14:textId="77777777" w:rsidR="00127335" w:rsidRDefault="007B053D" w:rsidP="00127335">
      <w:pPr>
        <w:jc w:val="both"/>
        <w:rPr>
          <w:rFonts w:ascii="Arial" w:hAnsi="Arial" w:cs="Arial"/>
          <w:color w:val="000000"/>
          <w:sz w:val="20"/>
          <w:szCs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traffickable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they were “firearms of great lethality”: see </w:t>
      </w:r>
      <w:r w:rsidR="00502539" w:rsidRPr="00502539">
        <w:rPr>
          <w:rFonts w:ascii="Arial" w:eastAsia="Book Antiqua" w:hAnsi="Arial" w:cs="Arial"/>
          <w:i/>
          <w:sz w:val="20"/>
        </w:rPr>
        <w:t>DPP (Cth)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[6], [17], [92] (Maxwell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DPP v Kumas</w:t>
      </w:r>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180BB7B" w:rsidR="00FF235A" w:rsidRDefault="00FF235A" w:rsidP="00A105CE">
      <w:pPr>
        <w:pStyle w:val="Heading2"/>
        <w:tabs>
          <w:tab w:val="left" w:pos="567"/>
        </w:tabs>
        <w:spacing w:line="240" w:lineRule="auto"/>
        <w:rPr>
          <w:rFonts w:ascii="Arial" w:hAnsi="Arial" w:cs="Arial"/>
          <w:bCs/>
          <w:color w:val="000000"/>
          <w:sz w:val="20"/>
          <w:lang w:val="en-US"/>
        </w:rPr>
      </w:pPr>
    </w:p>
    <w:p w14:paraId="3ABFFDB1" w14:textId="77777777" w:rsidR="00127335" w:rsidRDefault="00E03FA9" w:rsidP="00127335">
      <w:pPr>
        <w:jc w:val="both"/>
        <w:rPr>
          <w:rFonts w:ascii="Arial" w:hAnsi="Arial" w:cs="Arial"/>
          <w:color w:val="000000"/>
          <w:sz w:val="20"/>
          <w:szCs w:val="20"/>
        </w:rPr>
      </w:pPr>
      <w:r>
        <w:rPr>
          <w:rFonts w:ascii="Arial" w:hAnsi="Arial" w:cs="Arial"/>
          <w:bCs/>
          <w:color w:val="000000"/>
          <w:sz w:val="20"/>
          <w:lang w:val="en-US"/>
        </w:rPr>
        <w:t xml:space="preserve">In </w:t>
      </w:r>
      <w:r w:rsidRPr="005D46C5">
        <w:rPr>
          <w:rFonts w:ascii="Arial" w:hAnsi="Arial" w:cs="Arial"/>
          <w:bCs/>
          <w:i/>
          <w:iCs/>
          <w:color w:val="000000"/>
          <w:sz w:val="20"/>
          <w:lang w:val="en-US"/>
        </w:rPr>
        <w:t>Tony Nguyen v The King</w:t>
      </w:r>
      <w:r>
        <w:rPr>
          <w:rFonts w:ascii="Arial" w:hAnsi="Arial" w:cs="Arial"/>
          <w:bCs/>
          <w:color w:val="000000"/>
          <w:sz w:val="20"/>
          <w:lang w:val="en-US"/>
        </w:rPr>
        <w:t xml:space="preserve"> [2023] VSCA </w:t>
      </w:r>
      <w:r w:rsidR="005D46C5">
        <w:rPr>
          <w:rFonts w:ascii="Arial" w:hAnsi="Arial" w:cs="Arial"/>
          <w:bCs/>
          <w:color w:val="000000"/>
          <w:sz w:val="20"/>
          <w:lang w:val="en-US"/>
        </w:rPr>
        <w:t xml:space="preserve">217, in </w:t>
      </w:r>
      <w:r>
        <w:rPr>
          <w:rFonts w:ascii="Arial" w:hAnsi="Arial" w:cs="Arial"/>
          <w:bCs/>
          <w:color w:val="000000"/>
          <w:sz w:val="20"/>
          <w:lang w:val="en-US"/>
        </w:rPr>
        <w:t xml:space="preserve">refusing leave to appeal a TES4y10m/3y imposed on charges including 3 charges </w:t>
      </w:r>
      <w:r w:rsidR="005D46C5">
        <w:rPr>
          <w:rFonts w:ascii="Arial" w:hAnsi="Arial" w:cs="Arial"/>
          <w:bCs/>
          <w:color w:val="000000"/>
          <w:sz w:val="20"/>
          <w:lang w:val="en-US"/>
        </w:rPr>
        <w:t xml:space="preserve">– described by the Court of Appeal as “the most serious charges” – </w:t>
      </w:r>
      <w:r>
        <w:rPr>
          <w:rFonts w:ascii="Arial" w:hAnsi="Arial" w:cs="Arial"/>
          <w:bCs/>
          <w:color w:val="000000"/>
          <w:sz w:val="20"/>
          <w:lang w:val="en-US"/>
        </w:rPr>
        <w:t>of</w:t>
      </w:r>
      <w:r w:rsidR="005D46C5">
        <w:rPr>
          <w:rFonts w:ascii="Arial" w:hAnsi="Arial" w:cs="Arial"/>
          <w:bCs/>
          <w:color w:val="000000"/>
          <w:sz w:val="20"/>
          <w:lang w:val="en-US"/>
        </w:rPr>
        <w:t xml:space="preserve"> </w:t>
      </w:r>
      <w:r>
        <w:rPr>
          <w:rFonts w:ascii="Arial" w:hAnsi="Arial" w:cs="Arial"/>
          <w:bCs/>
          <w:color w:val="000000"/>
          <w:sz w:val="20"/>
          <w:lang w:val="en-US"/>
        </w:rPr>
        <w:t xml:space="preserve">being a prohibiting person possessing a firearm and several drug trafficking charges, the Court of Appeal </w:t>
      </w:r>
      <w:r w:rsidR="005D46C5">
        <w:rPr>
          <w:rFonts w:ascii="Arial" w:hAnsi="Arial" w:cs="Arial"/>
          <w:bCs/>
          <w:color w:val="000000"/>
          <w:sz w:val="20"/>
          <w:lang w:val="en-US"/>
        </w:rPr>
        <w:t>(Walker &amp; Macaulay JJA) quoted at [16] certain remarks made by the sentencing judge:</w:t>
      </w:r>
    </w:p>
    <w:p w14:paraId="1204E5BC" w14:textId="77777777" w:rsidR="00E03FA9" w:rsidRDefault="00E03FA9" w:rsidP="00E03FA9">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E03FA9">
        <w:rPr>
          <w:rFonts w:ascii="Arial" w:hAnsi="Arial" w:cs="Arial"/>
          <w:sz w:val="20"/>
          <w:szCs w:val="16"/>
        </w:rPr>
        <w:t>Mr Nguyen, your crimes are very serious. You had a treacherous combination of drugs, firearm and cash at your home and your girlfriend's apartment. You should not have been in possession of any firearm. You had two of them, both lethal weapons, loaded and accessible for your use. They were part of the stock in trade of your drug trafficking activity. It elevates the seriousness of your possession of them. You had methylamphetamine and 1,4-Butanediol in trafficable quantities for sale. You also held substantial quantities of cash associated with your illicit trade.</w:t>
      </w:r>
      <w:r>
        <w:rPr>
          <w:rFonts w:ascii="Arial" w:hAnsi="Arial" w:cs="Arial"/>
          <w:sz w:val="20"/>
          <w:szCs w:val="16"/>
        </w:rPr>
        <w:t>”</w:t>
      </w:r>
    </w:p>
    <w:p w14:paraId="09CB3646" w14:textId="738B2E20" w:rsidR="00E03FA9" w:rsidRDefault="00E03FA9" w:rsidP="00A105CE">
      <w:pPr>
        <w:pStyle w:val="Heading2"/>
        <w:tabs>
          <w:tab w:val="left" w:pos="567"/>
        </w:tabs>
        <w:spacing w:line="240" w:lineRule="auto"/>
        <w:rPr>
          <w:rFonts w:ascii="Arial" w:hAnsi="Arial" w:cs="Arial"/>
          <w:bCs/>
          <w:color w:val="000000"/>
          <w:sz w:val="20"/>
          <w:lang w:val="en-US"/>
        </w:rPr>
      </w:pPr>
    </w:p>
    <w:p w14:paraId="0F474445" w14:textId="77777777" w:rsidR="00244EB1" w:rsidRDefault="007112EE" w:rsidP="00244EB1">
      <w:pPr>
        <w:jc w:val="both"/>
        <w:rPr>
          <w:rFonts w:ascii="Arial" w:hAnsi="Arial" w:cs="Arial"/>
          <w:color w:val="000000"/>
          <w:sz w:val="20"/>
          <w:szCs w:val="20"/>
        </w:rPr>
      </w:pPr>
      <w:r>
        <w:rPr>
          <w:rFonts w:ascii="Arial" w:hAnsi="Arial" w:cs="Arial"/>
          <w:bCs/>
          <w:color w:val="000000"/>
          <w:sz w:val="20"/>
          <w:lang w:val="en-US"/>
        </w:rPr>
        <w:t xml:space="preserve">In </w:t>
      </w:r>
      <w:r w:rsidRPr="007112EE">
        <w:rPr>
          <w:rFonts w:ascii="Arial" w:hAnsi="Arial" w:cs="Arial"/>
          <w:bCs/>
          <w:i/>
          <w:iCs/>
          <w:color w:val="000000"/>
          <w:sz w:val="20"/>
          <w:lang w:val="en-US"/>
        </w:rPr>
        <w:t>Haddara v The Queen</w:t>
      </w:r>
      <w:r>
        <w:rPr>
          <w:rFonts w:ascii="Arial" w:hAnsi="Arial" w:cs="Arial"/>
          <w:bCs/>
          <w:color w:val="000000"/>
          <w:sz w:val="20"/>
          <w:lang w:val="en-US"/>
        </w:rPr>
        <w:t xml:space="preserve"> [2023] VSCA 250 the applicant had been sentenced to IMP5y6m on a plea of guilty to discharging a firearm at premises contrary to s.131A </w:t>
      </w:r>
      <w:r w:rsidRPr="007112EE">
        <w:rPr>
          <w:rFonts w:ascii="Arial" w:hAnsi="Arial" w:cs="Arial"/>
          <w:bCs/>
          <w:i/>
          <w:iCs/>
          <w:color w:val="000000"/>
          <w:sz w:val="20"/>
          <w:lang w:val="en-US"/>
        </w:rPr>
        <w:t>Firearms Act 19</w:t>
      </w:r>
      <w:r>
        <w:rPr>
          <w:rFonts w:ascii="Arial" w:hAnsi="Arial" w:cs="Arial"/>
          <w:bCs/>
          <w:i/>
          <w:iCs/>
          <w:color w:val="000000"/>
          <w:sz w:val="20"/>
          <w:lang w:val="en-US"/>
        </w:rPr>
        <w:t>96</w:t>
      </w:r>
      <w:r>
        <w:rPr>
          <w:rFonts w:ascii="Arial" w:hAnsi="Arial" w:cs="Arial"/>
          <w:bCs/>
          <w:color w:val="000000"/>
          <w:sz w:val="20"/>
          <w:lang w:val="en-US"/>
        </w:rPr>
        <w:t>, a provision which Taylor JA described at [</w:t>
      </w:r>
      <w:r w:rsidR="00BB14F1">
        <w:rPr>
          <w:rFonts w:ascii="Arial" w:hAnsi="Arial" w:cs="Arial"/>
          <w:bCs/>
          <w:color w:val="000000"/>
          <w:sz w:val="20"/>
          <w:lang w:val="en-US"/>
        </w:rPr>
        <w:t>23</w:t>
      </w:r>
      <w:r>
        <w:rPr>
          <w:rFonts w:ascii="Arial" w:hAnsi="Arial" w:cs="Arial"/>
          <w:bCs/>
          <w:color w:val="000000"/>
          <w:sz w:val="20"/>
          <w:lang w:val="en-US"/>
        </w:rPr>
        <w:t xml:space="preserve">] as </w:t>
      </w:r>
      <w:r w:rsidR="00BB14F1">
        <w:rPr>
          <w:rFonts w:ascii="Arial" w:hAnsi="Arial" w:cs="Arial"/>
          <w:bCs/>
          <w:color w:val="000000"/>
          <w:sz w:val="20"/>
          <w:lang w:val="en-US"/>
        </w:rPr>
        <w:t>“</w:t>
      </w:r>
      <w:r w:rsidR="00BB14F1" w:rsidRPr="00BB14F1">
        <w:rPr>
          <w:rFonts w:ascii="Arial" w:hAnsi="Arial" w:cs="Arial"/>
          <w:sz w:val="20"/>
          <w:szCs w:val="16"/>
        </w:rPr>
        <w:t>inserted in 2018 in response to an increase in ‘drive-by’ shootings</w:t>
      </w:r>
      <w:r w:rsidR="00BB14F1">
        <w:rPr>
          <w:rFonts w:ascii="Arial" w:hAnsi="Arial" w:cs="Arial"/>
          <w:sz w:val="20"/>
          <w:szCs w:val="16"/>
        </w:rPr>
        <w:t>”</w:t>
      </w:r>
      <w:r w:rsidR="00BB14F1" w:rsidRPr="00BB14F1">
        <w:rPr>
          <w:rFonts w:ascii="Arial" w:hAnsi="Arial" w:cs="Arial"/>
          <w:sz w:val="20"/>
          <w:szCs w:val="16"/>
        </w:rPr>
        <w:t>.</w:t>
      </w:r>
      <w:r w:rsidR="00837596">
        <w:rPr>
          <w:rFonts w:ascii="Arial" w:hAnsi="Arial" w:cs="Arial"/>
          <w:sz w:val="20"/>
          <w:szCs w:val="16"/>
        </w:rPr>
        <w:t xml:space="preserve">  The core of the applicant’s submissions was that when a survey is undertaken of other cases involving offending against s.131A, it is reasonably arguable that the sentence of IMP5y6m was manifestly excessive.  In her detailed judgment refusing leave to appeal, Taylor JA reviewed the cases of </w:t>
      </w:r>
      <w:r w:rsidR="00837596" w:rsidRPr="00837596">
        <w:rPr>
          <w:rFonts w:ascii="Arial" w:hAnsi="Arial" w:cs="Arial"/>
          <w:i/>
          <w:iCs/>
          <w:sz w:val="20"/>
          <w:szCs w:val="16"/>
        </w:rPr>
        <w:t>Bruce v The Queen</w:t>
      </w:r>
      <w:r w:rsidR="00837596" w:rsidRPr="00837596">
        <w:rPr>
          <w:rFonts w:ascii="Arial" w:hAnsi="Arial" w:cs="Arial"/>
          <w:sz w:val="20"/>
          <w:szCs w:val="16"/>
        </w:rPr>
        <w:t xml:space="preserve"> [2022] VSCA 100; </w:t>
      </w:r>
      <w:r w:rsidR="00837596" w:rsidRPr="00837596">
        <w:rPr>
          <w:rFonts w:ascii="Arial" w:hAnsi="Arial" w:cs="Arial"/>
          <w:i/>
          <w:iCs/>
          <w:sz w:val="20"/>
          <w:szCs w:val="16"/>
        </w:rPr>
        <w:t>Atkinson v The Queen</w:t>
      </w:r>
      <w:r w:rsidR="00837596" w:rsidRPr="00837596">
        <w:rPr>
          <w:rFonts w:ascii="Arial" w:hAnsi="Arial" w:cs="Arial"/>
          <w:sz w:val="20"/>
          <w:szCs w:val="16"/>
        </w:rPr>
        <w:t xml:space="preserve"> [2021] VSCA 127</w:t>
      </w:r>
      <w:r w:rsidR="00837596">
        <w:rPr>
          <w:rFonts w:ascii="Arial" w:hAnsi="Arial" w:cs="Arial"/>
          <w:sz w:val="20"/>
          <w:szCs w:val="16"/>
        </w:rPr>
        <w:t xml:space="preserve">; </w:t>
      </w:r>
      <w:r w:rsidR="00837596" w:rsidRPr="00837596">
        <w:rPr>
          <w:rFonts w:ascii="Arial" w:hAnsi="Arial" w:cs="Arial"/>
          <w:i/>
          <w:iCs/>
          <w:sz w:val="20"/>
          <w:szCs w:val="16"/>
        </w:rPr>
        <w:t>DPP v Khan</w:t>
      </w:r>
      <w:r w:rsidR="00837596" w:rsidRPr="00837596">
        <w:rPr>
          <w:rFonts w:ascii="Arial" w:hAnsi="Arial" w:cs="Arial"/>
          <w:sz w:val="20"/>
          <w:szCs w:val="16"/>
        </w:rPr>
        <w:t xml:space="preserve"> [2022] VCC 2221; </w:t>
      </w:r>
      <w:r w:rsidR="00837596" w:rsidRPr="00837596">
        <w:rPr>
          <w:rFonts w:ascii="Arial" w:hAnsi="Arial" w:cs="Arial"/>
          <w:i/>
          <w:iCs/>
          <w:sz w:val="20"/>
          <w:szCs w:val="16"/>
        </w:rPr>
        <w:t>DPP v Whyte</w:t>
      </w:r>
      <w:r w:rsidR="00837596" w:rsidRPr="00837596">
        <w:rPr>
          <w:rFonts w:ascii="Arial" w:hAnsi="Arial" w:cs="Arial"/>
          <w:sz w:val="20"/>
          <w:szCs w:val="16"/>
        </w:rPr>
        <w:t xml:space="preserve"> [2018] VCC 1465; </w:t>
      </w:r>
      <w:r w:rsidR="00837596" w:rsidRPr="00837596">
        <w:rPr>
          <w:rFonts w:ascii="Arial" w:hAnsi="Arial" w:cs="Arial"/>
          <w:i/>
          <w:iCs/>
          <w:sz w:val="20"/>
          <w:szCs w:val="16"/>
        </w:rPr>
        <w:t>DPP v Taylor</w:t>
      </w:r>
      <w:r w:rsidR="00837596" w:rsidRPr="00837596">
        <w:rPr>
          <w:rFonts w:ascii="Arial" w:hAnsi="Arial" w:cs="Arial"/>
          <w:sz w:val="20"/>
          <w:szCs w:val="16"/>
        </w:rPr>
        <w:t xml:space="preserve"> [2019] VCC 2220; </w:t>
      </w:r>
      <w:r w:rsidR="00837596" w:rsidRPr="00837596">
        <w:rPr>
          <w:rFonts w:ascii="Arial" w:hAnsi="Arial" w:cs="Arial"/>
          <w:i/>
          <w:iCs/>
          <w:sz w:val="20"/>
          <w:szCs w:val="16"/>
        </w:rPr>
        <w:t>DPP v Doodt</w:t>
      </w:r>
      <w:r w:rsidR="00837596" w:rsidRPr="00837596">
        <w:rPr>
          <w:rFonts w:ascii="Arial" w:hAnsi="Arial" w:cs="Arial"/>
          <w:sz w:val="20"/>
          <w:szCs w:val="16"/>
        </w:rPr>
        <w:t xml:space="preserve"> [2021] VCC 1584</w:t>
      </w:r>
      <w:r w:rsidR="00837596">
        <w:rPr>
          <w:rFonts w:ascii="Arial" w:hAnsi="Arial" w:cs="Arial"/>
          <w:sz w:val="20"/>
          <w:szCs w:val="16"/>
        </w:rPr>
        <w:t>;</w:t>
      </w:r>
      <w:r w:rsidR="00837596" w:rsidRPr="00837596">
        <w:rPr>
          <w:rFonts w:ascii="Arial" w:hAnsi="Arial" w:cs="Arial"/>
          <w:sz w:val="20"/>
          <w:szCs w:val="16"/>
        </w:rPr>
        <w:t xml:space="preserve"> </w:t>
      </w:r>
      <w:r w:rsidR="00837596" w:rsidRPr="00837596">
        <w:rPr>
          <w:rFonts w:ascii="Arial" w:hAnsi="Arial" w:cs="Arial"/>
          <w:i/>
          <w:iCs/>
          <w:sz w:val="20"/>
          <w:szCs w:val="16"/>
        </w:rPr>
        <w:t>DPP v Smiljanic</w:t>
      </w:r>
      <w:r w:rsidR="00837596" w:rsidRPr="00837596">
        <w:rPr>
          <w:rFonts w:ascii="Arial" w:hAnsi="Arial" w:cs="Arial"/>
          <w:sz w:val="20"/>
          <w:szCs w:val="16"/>
        </w:rPr>
        <w:t xml:space="preserve"> [2020] VCC 495</w:t>
      </w:r>
      <w:r w:rsidR="00837596">
        <w:rPr>
          <w:rFonts w:ascii="Arial" w:hAnsi="Arial" w:cs="Arial"/>
          <w:sz w:val="20"/>
          <w:szCs w:val="16"/>
        </w:rPr>
        <w:t xml:space="preserve">; </w:t>
      </w:r>
      <w:r w:rsidR="00837596" w:rsidRPr="00837596">
        <w:rPr>
          <w:rFonts w:ascii="Arial" w:hAnsi="Arial" w:cs="Arial"/>
          <w:i/>
          <w:iCs/>
          <w:sz w:val="20"/>
          <w:szCs w:val="16"/>
        </w:rPr>
        <w:t>DPP v Henderson</w:t>
      </w:r>
      <w:r w:rsidR="00837596">
        <w:rPr>
          <w:rFonts w:ascii="Arial" w:hAnsi="Arial" w:cs="Arial"/>
          <w:sz w:val="20"/>
          <w:szCs w:val="16"/>
        </w:rPr>
        <w:t xml:space="preserve"> [2021] VCC 652 and </w:t>
      </w:r>
      <w:r w:rsidR="00837596" w:rsidRPr="00837596">
        <w:rPr>
          <w:rFonts w:ascii="Arial" w:hAnsi="Arial" w:cs="Arial"/>
          <w:i/>
          <w:iCs/>
          <w:sz w:val="20"/>
          <w:szCs w:val="16"/>
        </w:rPr>
        <w:t>DPP v Chircop</w:t>
      </w:r>
      <w:r w:rsidR="00837596">
        <w:rPr>
          <w:rFonts w:ascii="Arial" w:hAnsi="Arial" w:cs="Arial"/>
          <w:sz w:val="20"/>
          <w:szCs w:val="16"/>
        </w:rPr>
        <w:t xml:space="preserve"> [2022] VCC 1902, concluding at [46]-[47] &amp; [51]</w:t>
      </w:r>
      <w:r w:rsidR="00837596" w:rsidRPr="00837596">
        <w:rPr>
          <w:rFonts w:ascii="Arial" w:hAnsi="Arial" w:cs="Arial"/>
          <w:sz w:val="20"/>
          <w:szCs w:val="16"/>
        </w:rPr>
        <w:t>.</w:t>
      </w:r>
    </w:p>
    <w:p w14:paraId="124FE921" w14:textId="7659C719" w:rsidR="00837596" w:rsidRDefault="00837596" w:rsidP="00837596">
      <w:pPr>
        <w:pStyle w:val="Normal-Indent"/>
        <w:widowControl/>
        <w:spacing w:before="60" w:line="240" w:lineRule="auto"/>
        <w:ind w:left="567" w:right="567"/>
        <w:rPr>
          <w:rFonts w:ascii="Arial" w:hAnsi="Arial" w:cs="Arial"/>
          <w:sz w:val="20"/>
          <w:szCs w:val="16"/>
        </w:rPr>
      </w:pPr>
      <w:r>
        <w:rPr>
          <w:rFonts w:ascii="Arial" w:hAnsi="Arial" w:cs="Arial"/>
          <w:color w:val="000000"/>
          <w:sz w:val="20"/>
        </w:rPr>
        <w:lastRenderedPageBreak/>
        <w:t>[46] “</w:t>
      </w:r>
      <w:r w:rsidRPr="00837596">
        <w:rPr>
          <w:rFonts w:ascii="Arial" w:hAnsi="Arial" w:cs="Arial"/>
          <w:sz w:val="20"/>
          <w:szCs w:val="16"/>
        </w:rPr>
        <w:t>The applicant was, with unknown others, in a stolen car that approached the target premises without headlights in the early hours of the morning. The applicant knew that Mr</w:t>
      </w:r>
      <w:r>
        <w:rPr>
          <w:rFonts w:ascii="Arial" w:hAnsi="Arial" w:cs="Arial"/>
          <w:sz w:val="20"/>
          <w:szCs w:val="16"/>
        </w:rPr>
        <w:t> </w:t>
      </w:r>
      <w:r w:rsidRPr="00837596">
        <w:rPr>
          <w:rFonts w:ascii="Arial" w:hAnsi="Arial" w:cs="Arial"/>
          <w:sz w:val="20"/>
          <w:szCs w:val="16"/>
        </w:rPr>
        <w:t>Mansour, a man with whom he had a grievance, and at least one other person, was present in the house. He was sentenced on the basis that he was complicit in the shooting. Two shots were fired directly at the front window of the house with a relatively flat trajectory. Some pellets made it two rooms deep into the dwelling.</w:t>
      </w:r>
    </w:p>
    <w:p w14:paraId="58375FB1" w14:textId="606A42ED" w:rsidR="00837596" w:rsidRDefault="00837596" w:rsidP="000D5818">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837596">
        <w:rPr>
          <w:rFonts w:ascii="Arial" w:hAnsi="Arial" w:cs="Arial"/>
          <w:sz w:val="20"/>
          <w:szCs w:val="16"/>
        </w:rPr>
        <w:t>47</w:t>
      </w:r>
      <w:r>
        <w:rPr>
          <w:rFonts w:ascii="Arial" w:hAnsi="Arial" w:cs="Arial"/>
          <w:sz w:val="20"/>
          <w:szCs w:val="16"/>
        </w:rPr>
        <w:t>]</w:t>
      </w:r>
      <w:r w:rsidRPr="00837596">
        <w:rPr>
          <w:rFonts w:ascii="Arial" w:hAnsi="Arial" w:cs="Arial"/>
          <w:sz w:val="20"/>
          <w:szCs w:val="16"/>
        </w:rPr>
        <w:t xml:space="preserve"> Beyond those objective matters, there were factors relevant to the applicant that were absent in </w:t>
      </w:r>
      <w:r w:rsidRPr="00837596">
        <w:rPr>
          <w:rFonts w:ascii="Arial" w:hAnsi="Arial" w:cs="Arial"/>
          <w:i/>
          <w:iCs/>
          <w:sz w:val="20"/>
          <w:szCs w:val="16"/>
        </w:rPr>
        <w:t>Atkinson</w:t>
      </w:r>
      <w:r w:rsidRPr="00837596">
        <w:rPr>
          <w:rFonts w:ascii="Arial" w:hAnsi="Arial" w:cs="Arial"/>
          <w:sz w:val="20"/>
          <w:szCs w:val="16"/>
        </w:rPr>
        <w:t xml:space="preserve">, </w:t>
      </w:r>
      <w:r w:rsidRPr="00837596">
        <w:rPr>
          <w:rFonts w:ascii="Arial" w:hAnsi="Arial" w:cs="Arial"/>
          <w:i/>
          <w:iCs/>
          <w:sz w:val="20"/>
          <w:szCs w:val="16"/>
        </w:rPr>
        <w:t>Diab</w:t>
      </w:r>
      <w:r w:rsidRPr="00837596">
        <w:rPr>
          <w:rFonts w:ascii="Arial" w:hAnsi="Arial" w:cs="Arial"/>
          <w:sz w:val="20"/>
          <w:szCs w:val="16"/>
        </w:rPr>
        <w:t xml:space="preserve">, </w:t>
      </w:r>
      <w:r w:rsidRPr="00837596">
        <w:rPr>
          <w:rFonts w:ascii="Arial" w:hAnsi="Arial" w:cs="Arial"/>
          <w:i/>
          <w:iCs/>
          <w:sz w:val="20"/>
          <w:szCs w:val="16"/>
        </w:rPr>
        <w:t>Chircop</w:t>
      </w:r>
      <w:r w:rsidRPr="00837596">
        <w:rPr>
          <w:rFonts w:ascii="Arial" w:hAnsi="Arial" w:cs="Arial"/>
          <w:sz w:val="20"/>
          <w:szCs w:val="16"/>
        </w:rPr>
        <w:t xml:space="preserve">, </w:t>
      </w:r>
      <w:r w:rsidRPr="00837596">
        <w:rPr>
          <w:rFonts w:ascii="Arial" w:hAnsi="Arial" w:cs="Arial"/>
          <w:i/>
          <w:iCs/>
          <w:sz w:val="20"/>
          <w:szCs w:val="16"/>
        </w:rPr>
        <w:t>Doodt</w:t>
      </w:r>
      <w:r w:rsidRPr="00837596">
        <w:rPr>
          <w:rFonts w:ascii="Arial" w:hAnsi="Arial" w:cs="Arial"/>
          <w:sz w:val="20"/>
          <w:szCs w:val="16"/>
        </w:rPr>
        <w:t xml:space="preserve"> and </w:t>
      </w:r>
      <w:r w:rsidRPr="00837596">
        <w:rPr>
          <w:rFonts w:ascii="Arial" w:hAnsi="Arial" w:cs="Arial"/>
          <w:i/>
          <w:iCs/>
          <w:sz w:val="20"/>
          <w:szCs w:val="16"/>
        </w:rPr>
        <w:t>Henderson</w:t>
      </w:r>
      <w:r w:rsidRPr="00837596">
        <w:rPr>
          <w:rFonts w:ascii="Arial" w:hAnsi="Arial" w:cs="Arial"/>
          <w:sz w:val="20"/>
          <w:szCs w:val="16"/>
        </w:rPr>
        <w:t xml:space="preserve">. In only one of those cases — </w:t>
      </w:r>
      <w:r w:rsidRPr="00837596">
        <w:rPr>
          <w:rFonts w:ascii="Arial" w:hAnsi="Arial" w:cs="Arial"/>
          <w:i/>
          <w:iCs/>
          <w:sz w:val="20"/>
          <w:szCs w:val="16"/>
        </w:rPr>
        <w:t>Doodt</w:t>
      </w:r>
      <w:r w:rsidRPr="00837596">
        <w:rPr>
          <w:rFonts w:ascii="Arial" w:hAnsi="Arial" w:cs="Arial"/>
          <w:sz w:val="20"/>
          <w:szCs w:val="16"/>
        </w:rPr>
        <w:t xml:space="preserve"> — was the offender subject to a CCO at the time. Unlike the applicant, Doodt had a limited and irrelevant criminal history and realistic prospects of rehabilitation.</w:t>
      </w:r>
      <w:r w:rsidR="000D5818">
        <w:rPr>
          <w:rFonts w:ascii="Arial" w:hAnsi="Arial" w:cs="Arial"/>
          <w:sz w:val="20"/>
          <w:szCs w:val="16"/>
        </w:rPr>
        <w:t xml:space="preserve">  </w:t>
      </w:r>
      <w:r w:rsidR="000D5818" w:rsidRPr="000D5818">
        <w:rPr>
          <w:rFonts w:ascii="Arial" w:hAnsi="Arial" w:cs="Arial"/>
          <w:sz w:val="20"/>
          <w:szCs w:val="16"/>
        </w:rPr>
        <w:t xml:space="preserve">On the other hand, the offender in </w:t>
      </w:r>
      <w:r w:rsidR="000D5818" w:rsidRPr="000D5818">
        <w:rPr>
          <w:rFonts w:ascii="Arial" w:hAnsi="Arial" w:cs="Arial"/>
          <w:i/>
          <w:iCs/>
          <w:sz w:val="20"/>
          <w:szCs w:val="16"/>
        </w:rPr>
        <w:t>Smiljanic</w:t>
      </w:r>
      <w:r w:rsidR="000D5818" w:rsidRPr="000D5818">
        <w:rPr>
          <w:rFonts w:ascii="Arial" w:hAnsi="Arial" w:cs="Arial"/>
          <w:sz w:val="20"/>
          <w:szCs w:val="16"/>
        </w:rPr>
        <w:t>, who received a term of 5 years and 3</w:t>
      </w:r>
      <w:r w:rsidR="000D5818">
        <w:rPr>
          <w:rFonts w:ascii="Arial" w:hAnsi="Arial" w:cs="Arial"/>
          <w:sz w:val="20"/>
          <w:szCs w:val="16"/>
        </w:rPr>
        <w:t> </w:t>
      </w:r>
      <w:r w:rsidR="000D5818" w:rsidRPr="000D5818">
        <w:rPr>
          <w:rFonts w:ascii="Arial" w:hAnsi="Arial" w:cs="Arial"/>
          <w:sz w:val="20"/>
          <w:szCs w:val="16"/>
        </w:rPr>
        <w:t>months’ imprisonment, was on parole at the time of the offending. Like the applicant, it could not be determined if he or his co-offender had been the shooter. And, like the applicant, he had recently served a term of imprisonment for weapons offences</w:t>
      </w:r>
      <w:r w:rsidR="000D5818">
        <w:rPr>
          <w:rFonts w:ascii="Arial" w:hAnsi="Arial" w:cs="Arial"/>
          <w:sz w:val="20"/>
          <w:szCs w:val="16"/>
        </w:rPr>
        <w:t>…</w:t>
      </w:r>
    </w:p>
    <w:p w14:paraId="6796771B" w14:textId="1122CD4D" w:rsidR="000D5818" w:rsidRPr="000D5818" w:rsidRDefault="000D5818" w:rsidP="000D5818">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[51] </w:t>
      </w:r>
      <w:r w:rsidRPr="000D5818">
        <w:rPr>
          <w:rFonts w:ascii="Arial" w:hAnsi="Arial" w:cs="Arial"/>
          <w:sz w:val="20"/>
          <w:szCs w:val="16"/>
        </w:rPr>
        <w:t>I am not persuaded that it is reasonably arguable that the sentence of 5 years and 6</w:t>
      </w:r>
      <w:r w:rsidR="00266440">
        <w:rPr>
          <w:rFonts w:ascii="Arial" w:hAnsi="Arial" w:cs="Arial"/>
          <w:sz w:val="20"/>
          <w:szCs w:val="16"/>
        </w:rPr>
        <w:t> </w:t>
      </w:r>
      <w:r w:rsidRPr="000D5818">
        <w:rPr>
          <w:rFonts w:ascii="Arial" w:hAnsi="Arial" w:cs="Arial"/>
          <w:sz w:val="20"/>
          <w:szCs w:val="16"/>
        </w:rPr>
        <w:t>months’ imprisonment imposed with respect to charge 3 was wholly outside the range of options available to the judge</w:t>
      </w:r>
      <w:r>
        <w:rPr>
          <w:rFonts w:ascii="Arial" w:hAnsi="Arial" w:cs="Arial"/>
          <w:sz w:val="20"/>
          <w:szCs w:val="16"/>
        </w:rPr>
        <w:t>”.</w:t>
      </w:r>
    </w:p>
    <w:p w14:paraId="7A25F518" w14:textId="3E31D9BA" w:rsidR="00837596" w:rsidRDefault="00EA5B5D" w:rsidP="00EA5B5D">
      <w:pPr>
        <w:pStyle w:val="Heading2"/>
        <w:tabs>
          <w:tab w:val="left" w:pos="567"/>
        </w:tabs>
        <w:spacing w:before="120" w:line="240" w:lineRule="auto"/>
        <w:rPr>
          <w:rFonts w:ascii="Arial" w:hAnsi="Arial" w:cs="Arial"/>
          <w:bCs/>
          <w:color w:val="000000"/>
          <w:sz w:val="20"/>
          <w:lang w:val="en-US"/>
        </w:rPr>
      </w:pPr>
      <w:r>
        <w:rPr>
          <w:rFonts w:ascii="Arial" w:hAnsi="Arial" w:cs="Arial"/>
          <w:bCs/>
          <w:color w:val="000000"/>
          <w:sz w:val="20"/>
          <w:lang w:val="en-US"/>
        </w:rPr>
        <w:t>The Court of Appeal subsequently affirmed the refusal by Taylor JA to grant leave to appeal. In </w:t>
      </w:r>
      <w:r w:rsidRPr="00EA5B5D">
        <w:rPr>
          <w:rFonts w:ascii="Arial" w:hAnsi="Arial" w:cs="Arial"/>
          <w:bCs/>
          <w:i/>
          <w:iCs/>
          <w:color w:val="000000"/>
          <w:sz w:val="20"/>
          <w:lang w:val="en-US"/>
        </w:rPr>
        <w:t>Haddara v The King</w:t>
      </w:r>
      <w:r>
        <w:rPr>
          <w:rFonts w:ascii="Arial" w:hAnsi="Arial" w:cs="Arial"/>
          <w:bCs/>
          <w:color w:val="000000"/>
          <w:sz w:val="20"/>
          <w:lang w:val="en-US"/>
        </w:rPr>
        <w:t xml:space="preserve"> [2024] VSCA 269 Macaulay &amp; Kaye JJA said at [35] &amp; [38]-[41]:</w:t>
      </w:r>
    </w:p>
    <w:p w14:paraId="6670046E" w14:textId="197A7862" w:rsidR="00EA5B5D" w:rsidRDefault="00EA5B5D" w:rsidP="00EA5B5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[35] “With respect to current sentencing practices for this offence, it is difficult to improve upon the analysis of Taylor JA in her Refusal Reasons...</w:t>
      </w:r>
    </w:p>
    <w:p w14:paraId="5D087BD7" w14:textId="0810591A"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 xml:space="preserve">[38] </w:t>
      </w:r>
      <w:r w:rsidRPr="00EA5B5D">
        <w:rPr>
          <w:rFonts w:ascii="Arial" w:hAnsi="Arial" w:cs="Arial"/>
          <w:bCs/>
          <w:color w:val="000000"/>
          <w:sz w:val="20"/>
        </w:rPr>
        <w:t xml:space="preserve">We agree with the statement made in </w:t>
      </w:r>
      <w:r w:rsidRPr="00EA5B5D">
        <w:rPr>
          <w:rFonts w:ascii="Arial" w:hAnsi="Arial" w:cs="Arial"/>
          <w:bCs/>
          <w:i/>
          <w:iCs/>
          <w:color w:val="000000"/>
          <w:sz w:val="20"/>
        </w:rPr>
        <w:t>Atkinson</w:t>
      </w:r>
      <w:r w:rsidRPr="00EA5B5D">
        <w:rPr>
          <w:rFonts w:ascii="Arial" w:hAnsi="Arial" w:cs="Arial"/>
          <w:bCs/>
          <w:color w:val="000000"/>
          <w:sz w:val="20"/>
        </w:rPr>
        <w:t xml:space="preserve"> </w:t>
      </w:r>
      <w:r>
        <w:rPr>
          <w:rFonts w:ascii="Arial" w:hAnsi="Arial" w:cs="Arial"/>
          <w:bCs/>
          <w:color w:val="000000"/>
          <w:sz w:val="20"/>
        </w:rPr>
        <w:t xml:space="preserve">[2021] VSCA 127, [39] </w:t>
      </w:r>
      <w:r w:rsidRPr="00EA5B5D">
        <w:rPr>
          <w:rFonts w:ascii="Arial" w:hAnsi="Arial" w:cs="Arial"/>
          <w:bCs/>
          <w:color w:val="000000"/>
          <w:sz w:val="20"/>
        </w:rPr>
        <w:t>that it is ‘an inherently serious offence to discharge a firearm into premises or vehicles with a reckless disregard for the safety of others’. Whether to settle a grievance, serve as a warning, vent anger, or as a sheer act of bravado, recourse to firearms to shoot at vehicles or premises cannot be tolerated in a civilised society. Doing so exhibits a mindset of lawlessness that is dangerous and frightening to the community generally. As well, it is likely to beget reprisal and escalating violence.</w:t>
      </w:r>
    </w:p>
    <w:p w14:paraId="40E05625" w14:textId="74D0354C"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[39] </w:t>
      </w:r>
      <w:r w:rsidRPr="00EA5B5D">
        <w:rPr>
          <w:rFonts w:ascii="Arial" w:hAnsi="Arial" w:cs="Arial"/>
          <w:bCs/>
          <w:color w:val="000000"/>
          <w:sz w:val="20"/>
        </w:rPr>
        <w:t>Parliament evidently perceived that such shootings were increasing and needed to be met with stern deterrence. Courts would not be heeding Parliament’s intention, or respecting the legitimate expectation of members of the community to feel safe within their homes, if they did not give strong prominence to the sentencing purposes of general deterrence, denunciation and just punishment when sentencing those who choose to use firearms in this way.</w:t>
      </w:r>
    </w:p>
    <w:p w14:paraId="0BEA0A96" w14:textId="73401ABD"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[40] </w:t>
      </w:r>
      <w:r w:rsidRPr="00EA5B5D">
        <w:rPr>
          <w:rFonts w:ascii="Arial" w:hAnsi="Arial" w:cs="Arial"/>
          <w:bCs/>
          <w:color w:val="000000"/>
          <w:sz w:val="20"/>
        </w:rPr>
        <w:t>In short, it is important that sentences, in cases such as this, be sufficient to constitute a clear message that any person, who is minded to engage in the form of dangerous conduct committed by the applicant, will, on apprehension, lose his or her right to be at liberty in society for a substantial period of time. The advantage they seek to obtain, acting unlawfully, will, so far as the sentencing system can justly achieve, be met with a corresponding disadvantage by way of penalty. Further, it is necessary that the sentence imposed, in such cases, unequivocally denounce the kind of conduct engaged in by the applicant as being entirely alien to the basic principle of a peaceful, law abiding community.</w:t>
      </w:r>
    </w:p>
    <w:p w14:paraId="51114D8C" w14:textId="3420B2CF"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[41] </w:t>
      </w:r>
      <w:r w:rsidRPr="00EA5B5D">
        <w:rPr>
          <w:rFonts w:ascii="Arial" w:hAnsi="Arial" w:cs="Arial"/>
          <w:bCs/>
          <w:color w:val="000000"/>
          <w:sz w:val="20"/>
        </w:rPr>
        <w:t>In the applicant’s case there must be added the purpose of specific deterrence, given his lengthy criminal history and the fact that, at the time of offending, he was a person prohibited from possessing a firearm and was subject to the conditions of a community corrections order.</w:t>
      </w:r>
      <w:r>
        <w:rPr>
          <w:rFonts w:ascii="Arial" w:hAnsi="Arial" w:cs="Arial"/>
          <w:bCs/>
          <w:color w:val="000000"/>
          <w:sz w:val="20"/>
        </w:rPr>
        <w:t>”</w:t>
      </w:r>
    </w:p>
    <w:p w14:paraId="5C7790C4" w14:textId="77777777" w:rsidR="00EA5B5D" w:rsidRPr="000D5818" w:rsidRDefault="00EA5B5D" w:rsidP="00EA5B5D">
      <w:pPr>
        <w:pStyle w:val="Normal-Indent"/>
        <w:widowControl/>
        <w:spacing w:line="240" w:lineRule="auto"/>
        <w:ind w:left="0" w:right="567"/>
        <w:rPr>
          <w:rFonts w:ascii="Arial" w:hAnsi="Arial" w:cs="Arial"/>
          <w:color w:val="000000"/>
          <w:sz w:val="20"/>
        </w:rPr>
      </w:pPr>
    </w:p>
    <w:p w14:paraId="778BCA11" w14:textId="40D46C64" w:rsidR="00244EB1" w:rsidRDefault="00C359FF" w:rsidP="00244EB1">
      <w:pPr>
        <w:jc w:val="both"/>
        <w:rPr>
          <w:rFonts w:ascii="Arial" w:hAnsi="Arial" w:cs="Arial"/>
          <w:color w:val="000000"/>
          <w:sz w:val="20"/>
          <w:szCs w:val="20"/>
        </w:rPr>
      </w:pPr>
      <w:r>
        <w:rPr>
          <w:rFonts w:ascii="Arial" w:hAnsi="Arial" w:cs="Arial"/>
          <w:bCs/>
          <w:color w:val="000000"/>
          <w:sz w:val="20"/>
          <w:lang w:val="en-US"/>
        </w:rPr>
        <w:t xml:space="preserve">See also </w:t>
      </w:r>
      <w:r w:rsidR="00737787" w:rsidRPr="00737787">
        <w:rPr>
          <w:rFonts w:ascii="Arial" w:hAnsi="Arial" w:cs="Arial"/>
          <w:bCs/>
          <w:i/>
          <w:iCs/>
          <w:color w:val="000000"/>
          <w:sz w:val="20"/>
          <w:lang w:val="en-US"/>
        </w:rPr>
        <w:t>Powell v The Queen</w:t>
      </w:r>
      <w:r w:rsidR="00737787">
        <w:rPr>
          <w:rFonts w:ascii="Arial" w:hAnsi="Arial" w:cs="Arial"/>
          <w:bCs/>
          <w:color w:val="000000"/>
          <w:sz w:val="20"/>
          <w:lang w:val="en-US"/>
        </w:rPr>
        <w:t xml:space="preserve"> [2015] VSCA 93; </w:t>
      </w:r>
      <w:r w:rsidRPr="00C359FF">
        <w:rPr>
          <w:rFonts w:ascii="Arial" w:hAnsi="Arial" w:cs="Arial"/>
          <w:bCs/>
          <w:i/>
          <w:iCs/>
          <w:color w:val="000000"/>
          <w:sz w:val="20"/>
          <w:lang w:val="en-US"/>
        </w:rPr>
        <w:t>Berichon v The Queen</w:t>
      </w:r>
      <w:r>
        <w:rPr>
          <w:rFonts w:ascii="Arial" w:hAnsi="Arial" w:cs="Arial"/>
          <w:bCs/>
          <w:color w:val="000000"/>
          <w:sz w:val="20"/>
          <w:lang w:val="en-US"/>
        </w:rPr>
        <w:t xml:space="preserve"> (2013) 40 VR 490 at [26]; </w:t>
      </w:r>
      <w:r w:rsidRPr="00C359FF">
        <w:rPr>
          <w:rFonts w:ascii="Arial" w:hAnsi="Arial" w:cs="Arial"/>
          <w:i/>
          <w:iCs/>
          <w:sz w:val="20"/>
          <w:szCs w:val="16"/>
        </w:rPr>
        <w:t>DPP</w:t>
      </w:r>
      <w:r w:rsidR="00737787">
        <w:rPr>
          <w:rFonts w:ascii="Arial" w:hAnsi="Arial" w:cs="Arial"/>
          <w:i/>
          <w:iCs/>
          <w:sz w:val="20"/>
          <w:szCs w:val="16"/>
        </w:rPr>
        <w:t> </w:t>
      </w:r>
      <w:r w:rsidRPr="00C359FF">
        <w:rPr>
          <w:rFonts w:ascii="Arial" w:hAnsi="Arial" w:cs="Arial"/>
          <w:i/>
          <w:iCs/>
          <w:sz w:val="20"/>
          <w:szCs w:val="16"/>
        </w:rPr>
        <w:t>v Basic</w:t>
      </w:r>
      <w:r w:rsidRPr="00C359FF">
        <w:rPr>
          <w:rFonts w:ascii="Arial" w:hAnsi="Arial" w:cs="Arial"/>
          <w:sz w:val="20"/>
          <w:szCs w:val="16"/>
        </w:rPr>
        <w:t xml:space="preserve"> [2017] VSCA 376</w:t>
      </w:r>
      <w:r>
        <w:rPr>
          <w:rFonts w:ascii="Arial" w:hAnsi="Arial" w:cs="Arial"/>
          <w:sz w:val="20"/>
          <w:szCs w:val="16"/>
        </w:rPr>
        <w:t xml:space="preserve"> at</w:t>
      </w:r>
      <w:r w:rsidRPr="00C359FF">
        <w:rPr>
          <w:rFonts w:ascii="Arial" w:hAnsi="Arial" w:cs="Arial"/>
          <w:sz w:val="20"/>
          <w:szCs w:val="16"/>
        </w:rPr>
        <w:t xml:space="preserve"> [81]; </w:t>
      </w:r>
      <w:r w:rsidRPr="00C359FF">
        <w:rPr>
          <w:rFonts w:ascii="Arial" w:hAnsi="Arial" w:cs="Arial"/>
          <w:i/>
          <w:iCs/>
          <w:sz w:val="20"/>
          <w:szCs w:val="16"/>
        </w:rPr>
        <w:t>Kelly v The Queen</w:t>
      </w:r>
      <w:r w:rsidRPr="00C359FF">
        <w:rPr>
          <w:rFonts w:ascii="Arial" w:hAnsi="Arial" w:cs="Arial"/>
          <w:sz w:val="20"/>
          <w:szCs w:val="16"/>
        </w:rPr>
        <w:t xml:space="preserve"> [2020] VSCA 171</w:t>
      </w:r>
      <w:r w:rsidR="00737787">
        <w:rPr>
          <w:rFonts w:ascii="Arial" w:hAnsi="Arial" w:cs="Arial"/>
          <w:sz w:val="20"/>
          <w:szCs w:val="16"/>
        </w:rPr>
        <w:t xml:space="preserve"> at</w:t>
      </w:r>
      <w:r w:rsidRPr="00C359FF">
        <w:rPr>
          <w:rFonts w:ascii="Arial" w:hAnsi="Arial" w:cs="Arial"/>
          <w:sz w:val="20"/>
          <w:szCs w:val="16"/>
        </w:rPr>
        <w:t xml:space="preserve"> [44]; </w:t>
      </w:r>
      <w:r w:rsidRPr="00737787">
        <w:rPr>
          <w:rFonts w:ascii="Arial" w:hAnsi="Arial" w:cs="Arial"/>
          <w:i/>
          <w:iCs/>
          <w:sz w:val="20"/>
          <w:szCs w:val="16"/>
        </w:rPr>
        <w:t>Begg v The Queen</w:t>
      </w:r>
      <w:r w:rsidRPr="00C359FF">
        <w:rPr>
          <w:rFonts w:ascii="Arial" w:hAnsi="Arial" w:cs="Arial"/>
          <w:sz w:val="20"/>
          <w:szCs w:val="16"/>
        </w:rPr>
        <w:t xml:space="preserve"> [2020] VSCA 183</w:t>
      </w:r>
      <w:r w:rsidR="00737787">
        <w:rPr>
          <w:rFonts w:ascii="Arial" w:hAnsi="Arial" w:cs="Arial"/>
          <w:sz w:val="20"/>
          <w:szCs w:val="16"/>
        </w:rPr>
        <w:t xml:space="preserve"> at</w:t>
      </w:r>
      <w:r w:rsidRPr="00C359FF">
        <w:rPr>
          <w:rFonts w:ascii="Arial" w:hAnsi="Arial" w:cs="Arial"/>
          <w:sz w:val="20"/>
          <w:szCs w:val="16"/>
        </w:rPr>
        <w:t xml:space="preserve"> [82]</w:t>
      </w:r>
      <w:r w:rsidR="00737787">
        <w:rPr>
          <w:rFonts w:ascii="Arial" w:hAnsi="Arial" w:cs="Arial"/>
          <w:sz w:val="20"/>
          <w:szCs w:val="16"/>
        </w:rPr>
        <w:t xml:space="preserve">; </w:t>
      </w:r>
      <w:r w:rsidRPr="00C359FF">
        <w:rPr>
          <w:rFonts w:ascii="Arial" w:hAnsi="Arial" w:cs="Arial"/>
          <w:bCs/>
          <w:i/>
          <w:iCs/>
          <w:color w:val="000000"/>
          <w:sz w:val="20"/>
          <w:lang w:val="en-US"/>
        </w:rPr>
        <w:t>Sultan v The King</w:t>
      </w:r>
      <w:r>
        <w:rPr>
          <w:rFonts w:ascii="Arial" w:hAnsi="Arial" w:cs="Arial"/>
          <w:bCs/>
          <w:color w:val="000000"/>
          <w:sz w:val="20"/>
          <w:lang w:val="en-US"/>
        </w:rPr>
        <w:t xml:space="preserve"> [2022] VSCA 205 at [37]</w:t>
      </w:r>
      <w:r>
        <w:rPr>
          <w:rFonts w:ascii="Arial" w:hAnsi="Arial" w:cs="Arial"/>
          <w:bCs/>
          <w:color w:val="000000"/>
          <w:sz w:val="20"/>
          <w:lang w:val="en-US"/>
        </w:rPr>
        <w:noBreakHyphen/>
        <w:t>[55]</w:t>
      </w:r>
      <w:r w:rsidR="004F58A8">
        <w:rPr>
          <w:rFonts w:ascii="Arial" w:hAnsi="Arial" w:cs="Arial"/>
          <w:bCs/>
          <w:color w:val="000000"/>
          <w:sz w:val="20"/>
          <w:lang w:val="en-US"/>
        </w:rPr>
        <w:t xml:space="preserve">; </w:t>
      </w:r>
      <w:r w:rsidR="004F58A8" w:rsidRPr="004F58A8">
        <w:rPr>
          <w:rFonts w:ascii="Arial" w:hAnsi="Arial" w:cs="Arial"/>
          <w:i/>
          <w:iCs/>
          <w:color w:val="000000"/>
          <w:sz w:val="20"/>
        </w:rPr>
        <w:t>Hurst v The King</w:t>
      </w:r>
      <w:r w:rsidR="004F58A8">
        <w:rPr>
          <w:rFonts w:ascii="Arial" w:hAnsi="Arial" w:cs="Arial"/>
          <w:color w:val="000000"/>
          <w:sz w:val="20"/>
        </w:rPr>
        <w:t xml:space="preserve"> [2023] VSCA 286 at [82]-[98]</w:t>
      </w:r>
      <w:r w:rsidR="00650BA7">
        <w:rPr>
          <w:rFonts w:ascii="Arial" w:hAnsi="Arial" w:cs="Arial"/>
          <w:color w:val="000000"/>
          <w:sz w:val="20"/>
        </w:rPr>
        <w:t xml:space="preserve">; </w:t>
      </w:r>
      <w:r w:rsidR="00EA5B5D">
        <w:rPr>
          <w:rFonts w:ascii="Arial" w:hAnsi="Arial" w:cs="Arial"/>
          <w:color w:val="000000"/>
          <w:sz w:val="20"/>
        </w:rPr>
        <w:t>.</w:t>
      </w:r>
      <w:r w:rsidR="00650BA7" w:rsidRPr="00650BA7">
        <w:rPr>
          <w:rFonts w:ascii="Arial" w:hAnsi="Arial" w:cs="Arial"/>
          <w:i/>
          <w:iCs/>
          <w:color w:val="000000"/>
          <w:sz w:val="20"/>
        </w:rPr>
        <w:t>Alessawi v The King; Snowball v The King</w:t>
      </w:r>
      <w:r w:rsidR="00650BA7">
        <w:rPr>
          <w:rFonts w:ascii="Arial" w:hAnsi="Arial" w:cs="Arial"/>
          <w:color w:val="000000"/>
          <w:sz w:val="20"/>
        </w:rPr>
        <w:t xml:space="preserve"> [2025] VSCA 23 at [75]-[77]</w:t>
      </w:r>
      <w:r w:rsidR="00862DCD">
        <w:rPr>
          <w:rFonts w:ascii="Arial" w:hAnsi="Arial" w:cs="Arial"/>
          <w:color w:val="000000"/>
          <w:sz w:val="20"/>
        </w:rPr>
        <w:t xml:space="preserve">; </w:t>
      </w:r>
      <w:proofErr w:type="spellStart"/>
      <w:r w:rsidR="00862DCD" w:rsidRPr="00A312D1">
        <w:rPr>
          <w:rFonts w:ascii="Arial" w:hAnsi="Arial" w:cs="Arial"/>
          <w:i/>
          <w:iCs/>
          <w:color w:val="000000"/>
          <w:sz w:val="20"/>
        </w:rPr>
        <w:t>Malovski</w:t>
      </w:r>
      <w:proofErr w:type="spellEnd"/>
      <w:r w:rsidR="00862DCD" w:rsidRPr="00A312D1">
        <w:rPr>
          <w:rFonts w:ascii="Arial" w:hAnsi="Arial" w:cs="Arial"/>
          <w:i/>
          <w:iCs/>
          <w:color w:val="000000"/>
          <w:sz w:val="20"/>
        </w:rPr>
        <w:t xml:space="preserve"> v The King</w:t>
      </w:r>
      <w:r w:rsidR="00862DCD">
        <w:rPr>
          <w:rFonts w:ascii="Arial" w:hAnsi="Arial" w:cs="Arial"/>
          <w:color w:val="000000"/>
          <w:sz w:val="20"/>
        </w:rPr>
        <w:t xml:space="preserve"> [2025] VSCA 72</w:t>
      </w:r>
      <w:r w:rsidR="00650BA7">
        <w:rPr>
          <w:rFonts w:ascii="Arial" w:hAnsi="Arial" w:cs="Arial"/>
          <w:color w:val="000000"/>
          <w:sz w:val="20"/>
        </w:rPr>
        <w:t>.</w:t>
      </w:r>
    </w:p>
    <w:p w14:paraId="766B8463" w14:textId="16EC5609" w:rsidR="00244EB1" w:rsidRPr="001B57E0" w:rsidRDefault="00244EB1" w:rsidP="00244EB1">
      <w:pPr>
        <w:pStyle w:val="Heading2"/>
        <w:tabs>
          <w:tab w:val="left" w:pos="567"/>
        </w:tabs>
        <w:spacing w:line="240" w:lineRule="auto"/>
        <w:ind w:left="567" w:hanging="567"/>
        <w:rPr>
          <w:rFonts w:ascii="Arial" w:hAnsi="Arial" w:cs="Arial"/>
          <w:color w:val="000000"/>
          <w:sz w:val="20"/>
        </w:rPr>
      </w:pPr>
    </w:p>
    <w:p w14:paraId="55DF68C7" w14:textId="72FD1E52" w:rsidR="00244EB1" w:rsidRPr="001C6E0E" w:rsidRDefault="00244EB1" w:rsidP="00244EB1">
      <w:pPr>
        <w:pStyle w:val="Heading3"/>
        <w:keepNext/>
        <w:keepLines/>
        <w:widowControl/>
        <w:spacing w:after="120" w:line="240" w:lineRule="auto"/>
        <w:ind w:left="284" w:hanging="284"/>
        <w:rPr>
          <w:rFonts w:ascii="Arial" w:hAnsi="Arial" w:cs="Arial"/>
          <w:b/>
          <w:bCs/>
          <w:color w:val="000000"/>
          <w:sz w:val="20"/>
        </w:rPr>
      </w:pPr>
      <w:bookmarkStart w:id="727" w:name="_C_IN_CONJUNCTION"/>
      <w:bookmarkEnd w:id="727"/>
      <w:r>
        <w:rPr>
          <w:rFonts w:ascii="Arial" w:hAnsi="Arial" w:cs="Arial"/>
          <w:b/>
          <w:color w:val="FFFFFF"/>
          <w:sz w:val="22"/>
          <w:shd w:val="clear" w:color="auto" w:fill="000000"/>
        </w:rPr>
        <w:t>C</w:t>
      </w:r>
      <w:r>
        <w:rPr>
          <w:rFonts w:ascii="Arial" w:hAnsi="Arial" w:cs="Arial"/>
          <w:b/>
          <w:color w:val="000000"/>
          <w:sz w:val="22"/>
        </w:rPr>
        <w:tab/>
      </w:r>
      <w:r>
        <w:rPr>
          <w:rFonts w:ascii="Arial" w:hAnsi="Arial" w:cs="Arial"/>
          <w:b/>
          <w:bCs/>
          <w:color w:val="FFFFFF" w:themeColor="background1"/>
          <w:sz w:val="20"/>
          <w:shd w:val="clear" w:color="auto" w:fill="000000" w:themeFill="text1"/>
        </w:rPr>
        <w:t>IN CONJUNCTION WITH DRUG OFFENCE</w:t>
      </w:r>
    </w:p>
    <w:p w14:paraId="652E735F" w14:textId="1315FC6F" w:rsidR="00EA76E9" w:rsidRDefault="00244EB1" w:rsidP="00244EB1">
      <w:pPr>
        <w:jc w:val="both"/>
        <w:rPr>
          <w:rFonts w:ascii="Arial" w:hAnsi="Arial" w:cs="Arial"/>
          <w:color w:val="000000"/>
          <w:sz w:val="20"/>
        </w:rPr>
      </w:pPr>
      <w:r w:rsidRPr="001B57E0">
        <w:rPr>
          <w:rFonts w:ascii="Arial" w:hAnsi="Arial" w:cs="Arial"/>
          <w:color w:val="000000"/>
          <w:sz w:val="20"/>
        </w:rPr>
        <w:t xml:space="preserve">In </w:t>
      </w:r>
      <w:r w:rsidR="00EA76E9">
        <w:rPr>
          <w:rFonts w:ascii="Arial" w:hAnsi="Arial" w:cs="Arial"/>
          <w:i/>
          <w:iCs/>
          <w:color w:val="000000"/>
          <w:sz w:val="20"/>
        </w:rPr>
        <w:t xml:space="preserve">Young v The King </w:t>
      </w:r>
      <w:r w:rsidR="00EA76E9" w:rsidRPr="00EA76E9">
        <w:rPr>
          <w:rFonts w:ascii="Arial" w:hAnsi="Arial" w:cs="Arial"/>
          <w:color w:val="000000"/>
          <w:sz w:val="20"/>
        </w:rPr>
        <w:t>[2024] VSC</w:t>
      </w:r>
      <w:r w:rsidR="00364A7B">
        <w:rPr>
          <w:rFonts w:ascii="Arial" w:hAnsi="Arial" w:cs="Arial"/>
          <w:color w:val="000000"/>
          <w:sz w:val="20"/>
        </w:rPr>
        <w:t>A</w:t>
      </w:r>
      <w:r w:rsidR="00EA76E9" w:rsidRPr="00EA76E9">
        <w:rPr>
          <w:rFonts w:ascii="Arial" w:hAnsi="Arial" w:cs="Arial"/>
          <w:color w:val="000000"/>
          <w:sz w:val="20"/>
        </w:rPr>
        <w:t xml:space="preserve"> 179 the </w:t>
      </w:r>
      <w:r w:rsidR="00EA76E9">
        <w:rPr>
          <w:rFonts w:ascii="Arial" w:hAnsi="Arial" w:cs="Arial"/>
          <w:color w:val="000000"/>
          <w:sz w:val="20"/>
        </w:rPr>
        <w:t xml:space="preserve">appellant had pleaded guilty and been sentenced to a TES IMP3y9m/2y4m on charges including prohibited person in possession of a firearm and trafficking in methylamphetamine.  The head sentence was made up of IMP2y9m on the firearms charge and </w:t>
      </w:r>
      <w:r w:rsidR="00EA76E9">
        <w:rPr>
          <w:rFonts w:ascii="Arial" w:hAnsi="Arial" w:cs="Arial"/>
          <w:color w:val="000000"/>
          <w:sz w:val="20"/>
        </w:rPr>
        <w:lastRenderedPageBreak/>
        <w:t xml:space="preserve">IMP2y </w:t>
      </w:r>
      <w:r w:rsidR="0011725C">
        <w:rPr>
          <w:rFonts w:ascii="Arial" w:hAnsi="Arial" w:cs="Arial"/>
          <w:color w:val="000000"/>
          <w:sz w:val="20"/>
        </w:rPr>
        <w:t xml:space="preserve">(of which 1y was cumulative) </w:t>
      </w:r>
      <w:r w:rsidR="00EA76E9">
        <w:rPr>
          <w:rFonts w:ascii="Arial" w:hAnsi="Arial" w:cs="Arial"/>
          <w:color w:val="000000"/>
          <w:sz w:val="20"/>
        </w:rPr>
        <w:t>on the trafficking charge.  The Court of Appeal refused an application for extension of time, holding that–</w:t>
      </w:r>
    </w:p>
    <w:p w14:paraId="66A346B6" w14:textId="66497163" w:rsidR="00EA76E9" w:rsidRPr="00EA76E9" w:rsidRDefault="00EA76E9">
      <w:pPr>
        <w:pStyle w:val="ListParagraph"/>
        <w:numPr>
          <w:ilvl w:val="0"/>
          <w:numId w:val="132"/>
        </w:numPr>
        <w:ind w:left="357" w:hanging="357"/>
        <w:jc w:val="both"/>
        <w:rPr>
          <w:rFonts w:ascii="Arial" w:hAnsi="Arial" w:cs="Arial"/>
          <w:color w:val="000000"/>
          <w:sz w:val="20"/>
          <w:szCs w:val="20"/>
        </w:rPr>
      </w:pPr>
      <w:r>
        <w:rPr>
          <w:rFonts w:ascii="Arial" w:hAnsi="Arial" w:cs="Arial"/>
          <w:color w:val="000000"/>
          <w:sz w:val="20"/>
          <w:szCs w:val="20"/>
        </w:rPr>
        <w:t>the sentencing judge did not err by finding that the possession of the firearm was ‘incidental’ to the criminal purpose of trafficking methamphetamine; and</w:t>
      </w:r>
    </w:p>
    <w:p w14:paraId="6D795DDD" w14:textId="5B6F657F" w:rsidR="00244EB1" w:rsidRPr="00EA76E9" w:rsidRDefault="00EA76E9">
      <w:pPr>
        <w:pStyle w:val="ListParagraph"/>
        <w:numPr>
          <w:ilvl w:val="0"/>
          <w:numId w:val="132"/>
        </w:numPr>
        <w:ind w:left="357" w:hanging="357"/>
        <w:jc w:val="both"/>
        <w:rPr>
          <w:rFonts w:ascii="Arial" w:hAnsi="Arial" w:cs="Arial"/>
          <w:color w:val="000000"/>
          <w:sz w:val="20"/>
          <w:szCs w:val="20"/>
        </w:rPr>
      </w:pPr>
      <w:r w:rsidRPr="00EA76E9">
        <w:rPr>
          <w:rFonts w:ascii="Arial" w:hAnsi="Arial" w:cs="Arial"/>
          <w:color w:val="000000"/>
          <w:sz w:val="20"/>
        </w:rPr>
        <w:t xml:space="preserve">the individual sentence on the firearm charge </w:t>
      </w:r>
      <w:r>
        <w:rPr>
          <w:rFonts w:ascii="Arial" w:hAnsi="Arial" w:cs="Arial"/>
          <w:color w:val="000000"/>
          <w:sz w:val="20"/>
        </w:rPr>
        <w:t>and the order for cumulation on the drug charge were not manifestly excessive.</w:t>
      </w:r>
    </w:p>
    <w:p w14:paraId="381E1DD7" w14:textId="0E0BC9FF" w:rsidR="00244EB1" w:rsidRDefault="00922FC0" w:rsidP="00922FC0">
      <w:pPr>
        <w:pStyle w:val="Heading2"/>
        <w:tabs>
          <w:tab w:val="left" w:pos="567"/>
        </w:tabs>
        <w:spacing w:before="60" w:line="240" w:lineRule="auto"/>
        <w:rPr>
          <w:rFonts w:ascii="Arial" w:hAnsi="Arial" w:cs="Arial"/>
          <w:bCs/>
          <w:color w:val="000000"/>
          <w:sz w:val="20"/>
          <w:lang w:val="en-US"/>
        </w:rPr>
      </w:pPr>
      <w:r>
        <w:rPr>
          <w:rFonts w:ascii="Arial" w:hAnsi="Arial" w:cs="Arial"/>
          <w:bCs/>
          <w:color w:val="000000"/>
          <w:sz w:val="20"/>
          <w:lang w:val="en-US"/>
        </w:rPr>
        <w:t>At [22]-[24] &amp; [29] Priest &amp; Niall JJA said:</w:t>
      </w:r>
    </w:p>
    <w:p w14:paraId="792CD411" w14:textId="378C73E1" w:rsidR="00EA76E9"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US"/>
        </w:rPr>
        <w:t>[22] “</w:t>
      </w:r>
      <w:r w:rsidRPr="00922FC0">
        <w:rPr>
          <w:rFonts w:ascii="Arial" w:hAnsi="Arial" w:cs="Arial"/>
          <w:bCs/>
          <w:color w:val="000000"/>
          <w:sz w:val="20"/>
          <w:lang w:val="en-AU"/>
        </w:rPr>
        <w:t>In our view, the offence of being a prohibited person in possession of a firearm is one where general deterrence assumes a deal of importance. It is impossible to ignore the ubiquity of illegal firearms in the community and the very great harm that they cause.</w:t>
      </w:r>
    </w:p>
    <w:p w14:paraId="7CFAF761" w14:textId="062F9B27" w:rsidR="00922FC0"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 xml:space="preserve">[23] </w:t>
      </w:r>
      <w:r w:rsidRPr="00922FC0">
        <w:rPr>
          <w:rFonts w:ascii="Arial" w:hAnsi="Arial" w:cs="Arial"/>
          <w:bCs/>
          <w:color w:val="000000"/>
          <w:sz w:val="20"/>
          <w:lang w:val="en-AU"/>
        </w:rPr>
        <w:t>Moreover, the applicant is no stranger to illegal firearms. The applicant was the ringleader of the kidnapping offence for which he was imprisoned in 2015. In the course of the kidnapping, the victim was taken at gunpoint. And significantly, the kidnapping itself appears to have been motivated by a dispute that the applicant and others had with a small-time drug dealer relating to firearms. The applicant had paid the drug dealer $13,000 for two semi-automatic pistols which he failed to deliver, the applicant suspecting he had simply stolen the money.</w:t>
      </w:r>
    </w:p>
    <w:p w14:paraId="09D3AB0A" w14:textId="12CF41A3" w:rsidR="00922FC0"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 xml:space="preserve">[24] </w:t>
      </w:r>
      <w:r w:rsidRPr="00922FC0">
        <w:rPr>
          <w:rFonts w:ascii="Arial" w:hAnsi="Arial" w:cs="Arial"/>
          <w:bCs/>
          <w:color w:val="000000"/>
          <w:sz w:val="20"/>
          <w:lang w:val="en-AU"/>
        </w:rPr>
        <w:t>There are many cases where the possession of a firearm in close connection with quantities of drugs and drug paraphernalia permitted the inference that the firearm was an accoutrement of the crime of drug trafficking. Dealing illicit drugs at street level is, as Gleeson CJ observed, a ‘dangerous activity’, permitting the inference that possessing firearms would be appropriate to the business of a street level drug dealer</w:t>
      </w:r>
      <w:r>
        <w:rPr>
          <w:rFonts w:ascii="Arial" w:hAnsi="Arial" w:cs="Arial"/>
          <w:bCs/>
          <w:color w:val="000000"/>
          <w:sz w:val="20"/>
          <w:lang w:val="en-AU"/>
        </w:rPr>
        <w:t xml:space="preserve">: </w:t>
      </w:r>
      <w:r w:rsidRPr="00922FC0">
        <w:rPr>
          <w:rFonts w:ascii="Arial" w:hAnsi="Arial" w:cs="Arial"/>
          <w:bCs/>
          <w:i/>
          <w:iCs/>
          <w:color w:val="000000"/>
          <w:sz w:val="20"/>
          <w:lang w:val="en-AU"/>
        </w:rPr>
        <w:t>R v Sultana</w:t>
      </w:r>
      <w:r>
        <w:rPr>
          <w:rFonts w:ascii="Arial" w:hAnsi="Arial" w:cs="Arial"/>
          <w:bCs/>
          <w:color w:val="000000"/>
          <w:sz w:val="20"/>
          <w:lang w:val="en-AU"/>
        </w:rPr>
        <w:t xml:space="preserve"> (1994) 74 A Crim R 27, 29-30.</w:t>
      </w:r>
      <w:r w:rsidRPr="00922FC0">
        <w:rPr>
          <w:rFonts w:ascii="Arial" w:hAnsi="Arial" w:cs="Arial"/>
          <w:bCs/>
          <w:color w:val="000000"/>
          <w:sz w:val="20"/>
          <w:lang w:val="en-AU"/>
        </w:rPr>
        <w:t xml:space="preserve"> As was the case in </w:t>
      </w:r>
      <w:r w:rsidRPr="00922FC0">
        <w:rPr>
          <w:rFonts w:ascii="Arial" w:hAnsi="Arial" w:cs="Arial"/>
          <w:bCs/>
          <w:i/>
          <w:iCs/>
          <w:color w:val="000000"/>
          <w:sz w:val="20"/>
          <w:lang w:val="en-AU"/>
        </w:rPr>
        <w:t>Acciarito v The Queen</w:t>
      </w:r>
      <w:r>
        <w:rPr>
          <w:rFonts w:ascii="Arial" w:hAnsi="Arial" w:cs="Arial"/>
          <w:bCs/>
          <w:color w:val="000000"/>
          <w:sz w:val="20"/>
          <w:lang w:val="en-AU"/>
        </w:rPr>
        <w:t xml:space="preserve"> [2019] VSCA 264 [52]</w:t>
      </w:r>
      <w:r w:rsidRPr="00922FC0">
        <w:rPr>
          <w:rFonts w:ascii="Arial" w:hAnsi="Arial" w:cs="Arial"/>
          <w:bCs/>
          <w:color w:val="000000"/>
          <w:sz w:val="20"/>
          <w:lang w:val="en-AU"/>
        </w:rPr>
        <w:t xml:space="preserve">, we consider that the circumstances of the present case ‘support a conclusion that the judge was correct to sentence the applicant for a more serious instance of the firearm offence because it was associated, albeit incidentally, with the commission of other criminal offending’, so much fitting what Redlich JA described in </w:t>
      </w:r>
      <w:r w:rsidRPr="00922FC0">
        <w:rPr>
          <w:rFonts w:ascii="Arial" w:hAnsi="Arial" w:cs="Arial"/>
          <w:bCs/>
          <w:i/>
          <w:iCs/>
          <w:color w:val="000000"/>
          <w:sz w:val="20"/>
          <w:lang w:val="en-AU"/>
        </w:rPr>
        <w:t>Berichon v The Queen</w:t>
      </w:r>
      <w:r>
        <w:rPr>
          <w:rFonts w:ascii="Arial" w:hAnsi="Arial" w:cs="Arial"/>
          <w:bCs/>
          <w:color w:val="000000"/>
          <w:sz w:val="20"/>
          <w:lang w:val="en-AU"/>
        </w:rPr>
        <w:t xml:space="preserve"> (2013) 40 VR</w:t>
      </w:r>
      <w:r w:rsidRPr="00922FC0">
        <w:rPr>
          <w:rFonts w:ascii="Arial" w:hAnsi="Arial" w:cs="Arial"/>
          <w:bCs/>
          <w:color w:val="000000"/>
          <w:sz w:val="20"/>
          <w:lang w:val="en-AU"/>
        </w:rPr>
        <w:t xml:space="preserve"> </w:t>
      </w:r>
      <w:r>
        <w:rPr>
          <w:rFonts w:ascii="Arial" w:hAnsi="Arial" w:cs="Arial"/>
          <w:bCs/>
          <w:color w:val="000000"/>
          <w:sz w:val="20"/>
          <w:lang w:val="en-AU"/>
        </w:rPr>
        <w:t xml:space="preserve">490, 496 </w:t>
      </w:r>
      <w:r w:rsidRPr="00922FC0">
        <w:rPr>
          <w:rFonts w:ascii="Arial" w:hAnsi="Arial" w:cs="Arial"/>
          <w:bCs/>
          <w:color w:val="000000"/>
          <w:sz w:val="20"/>
          <w:lang w:val="en-AU"/>
        </w:rPr>
        <w:t>as the more serious form of the firearm offence.</w:t>
      </w:r>
    </w:p>
    <w:p w14:paraId="12D924DD" w14:textId="4573EB48" w:rsidR="00922FC0"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w:t>
      </w:r>
    </w:p>
    <w:p w14:paraId="64643A7E" w14:textId="64D8A88B" w:rsidR="00922FC0" w:rsidRDefault="00922FC0" w:rsidP="00922FC0">
      <w:pPr>
        <w:pStyle w:val="Heading2"/>
        <w:tabs>
          <w:tab w:val="left" w:pos="567"/>
        </w:tabs>
        <w:spacing w:before="60" w:line="240" w:lineRule="auto"/>
        <w:ind w:left="567" w:right="567"/>
        <w:rPr>
          <w:rFonts w:ascii="Arial" w:hAnsi="Arial" w:cs="Arial"/>
          <w:bCs/>
          <w:color w:val="000000"/>
          <w:sz w:val="20"/>
          <w:lang w:val="en-US"/>
        </w:rPr>
      </w:pPr>
      <w:r>
        <w:rPr>
          <w:rFonts w:ascii="Arial" w:hAnsi="Arial" w:cs="Arial"/>
          <w:bCs/>
          <w:color w:val="000000"/>
          <w:sz w:val="20"/>
          <w:lang w:val="en-AU"/>
        </w:rPr>
        <w:t>[29] As we have indicated, we agree with the judge that the ‘possession of firearms by prohibited persons is a serious offence that must attract stern consequences’.”</w:t>
      </w:r>
    </w:p>
    <w:p w14:paraId="47C86C97" w14:textId="77777777" w:rsidR="00577D19" w:rsidRPr="001B57E0" w:rsidRDefault="00577D19" w:rsidP="00577D19">
      <w:pPr>
        <w:pStyle w:val="Heading2"/>
        <w:tabs>
          <w:tab w:val="left" w:pos="567"/>
        </w:tabs>
        <w:spacing w:line="240" w:lineRule="auto"/>
        <w:ind w:left="567" w:hanging="567"/>
        <w:rPr>
          <w:rFonts w:ascii="Arial" w:hAnsi="Arial" w:cs="Arial"/>
          <w:color w:val="000000"/>
          <w:sz w:val="20"/>
        </w:rPr>
      </w:pPr>
    </w:p>
    <w:p w14:paraId="6EFAC334" w14:textId="6EAF5031" w:rsidR="00577D19" w:rsidRPr="001C6E0E" w:rsidRDefault="00577D19" w:rsidP="00577D19">
      <w:pPr>
        <w:pStyle w:val="Heading3"/>
        <w:keepNext/>
        <w:keepLines/>
        <w:widowControl/>
        <w:spacing w:after="120" w:line="240" w:lineRule="auto"/>
        <w:ind w:left="284" w:hanging="284"/>
        <w:rPr>
          <w:rFonts w:ascii="Arial" w:hAnsi="Arial" w:cs="Arial"/>
          <w:b/>
          <w:bCs/>
          <w:color w:val="000000"/>
          <w:sz w:val="20"/>
        </w:rPr>
      </w:pPr>
      <w:bookmarkStart w:id="728" w:name="_D_HOMICIDE_BY"/>
      <w:bookmarkEnd w:id="728"/>
      <w:r>
        <w:rPr>
          <w:rFonts w:ascii="Arial" w:hAnsi="Arial" w:cs="Arial"/>
          <w:b/>
          <w:color w:val="FFFFFF"/>
          <w:sz w:val="22"/>
          <w:shd w:val="clear" w:color="auto" w:fill="000000"/>
        </w:rPr>
        <w:t>D</w:t>
      </w:r>
      <w:r>
        <w:rPr>
          <w:rFonts w:ascii="Arial" w:hAnsi="Arial" w:cs="Arial"/>
          <w:b/>
          <w:color w:val="000000"/>
          <w:sz w:val="22"/>
        </w:rPr>
        <w:tab/>
      </w:r>
      <w:r>
        <w:rPr>
          <w:rFonts w:ascii="Arial" w:hAnsi="Arial" w:cs="Arial"/>
          <w:b/>
          <w:bCs/>
          <w:color w:val="FFFFFF" w:themeColor="background1"/>
          <w:sz w:val="20"/>
          <w:shd w:val="clear" w:color="auto" w:fill="000000" w:themeFill="text1"/>
        </w:rPr>
        <w:t>HOMICIDE BY FIREARM</w:t>
      </w:r>
    </w:p>
    <w:p w14:paraId="49298104" w14:textId="73A3F05A" w:rsidR="00577D19" w:rsidRDefault="00577D19" w:rsidP="00577D19">
      <w:pPr>
        <w:jc w:val="both"/>
        <w:rPr>
          <w:rFonts w:ascii="Arial" w:hAnsi="Arial" w:cs="Arial"/>
          <w:color w:val="000000"/>
          <w:sz w:val="20"/>
        </w:rPr>
      </w:pPr>
      <w:r w:rsidRPr="001B57E0">
        <w:rPr>
          <w:rFonts w:ascii="Arial" w:hAnsi="Arial" w:cs="Arial"/>
          <w:color w:val="000000"/>
          <w:sz w:val="20"/>
        </w:rPr>
        <w:t xml:space="preserve">In </w:t>
      </w:r>
      <w:r>
        <w:rPr>
          <w:rFonts w:ascii="Arial" w:hAnsi="Arial" w:cs="Arial"/>
          <w:i/>
          <w:iCs/>
          <w:color w:val="000000"/>
          <w:sz w:val="20"/>
        </w:rPr>
        <w:t xml:space="preserve">DPP v Bell </w:t>
      </w:r>
      <w:r w:rsidRPr="00EA76E9">
        <w:rPr>
          <w:rFonts w:ascii="Arial" w:hAnsi="Arial" w:cs="Arial"/>
          <w:color w:val="000000"/>
          <w:sz w:val="20"/>
        </w:rPr>
        <w:t xml:space="preserve">[2024] VSC </w:t>
      </w:r>
      <w:r>
        <w:rPr>
          <w:rFonts w:ascii="Arial" w:hAnsi="Arial" w:cs="Arial"/>
          <w:color w:val="000000"/>
          <w:sz w:val="20"/>
        </w:rPr>
        <w:t>576</w:t>
      </w:r>
      <w:r w:rsidRPr="00EA76E9">
        <w:rPr>
          <w:rFonts w:ascii="Arial" w:hAnsi="Arial" w:cs="Arial"/>
          <w:color w:val="000000"/>
          <w:sz w:val="20"/>
        </w:rPr>
        <w:t xml:space="preserve"> </w:t>
      </w:r>
      <w:r>
        <w:rPr>
          <w:rFonts w:ascii="Arial" w:hAnsi="Arial" w:cs="Arial"/>
          <w:color w:val="000000"/>
          <w:sz w:val="20"/>
        </w:rPr>
        <w:t xml:space="preserve">the </w:t>
      </w:r>
      <w:r w:rsidR="008D7346">
        <w:rPr>
          <w:rFonts w:ascii="Arial" w:hAnsi="Arial" w:cs="Arial"/>
          <w:color w:val="000000"/>
          <w:sz w:val="20"/>
        </w:rPr>
        <w:t xml:space="preserve">31 </w:t>
      </w:r>
      <w:r>
        <w:rPr>
          <w:rFonts w:ascii="Arial" w:hAnsi="Arial" w:cs="Arial"/>
          <w:color w:val="000000"/>
          <w:sz w:val="20"/>
        </w:rPr>
        <w:t xml:space="preserve">year old Aboriginal offender had pleaded guilty to a charge of homicide by firearm.  It was accepted by the prosecution that the offender did not possess the firearm at any time.  By </w:t>
      </w:r>
      <w:r w:rsidR="008D7346">
        <w:rPr>
          <w:rFonts w:ascii="Arial" w:hAnsi="Arial" w:cs="Arial"/>
          <w:color w:val="000000"/>
          <w:sz w:val="20"/>
        </w:rPr>
        <w:t>his</w:t>
      </w:r>
      <w:r>
        <w:rPr>
          <w:rFonts w:ascii="Arial" w:hAnsi="Arial" w:cs="Arial"/>
          <w:color w:val="000000"/>
          <w:sz w:val="20"/>
        </w:rPr>
        <w:t xml:space="preserve"> plea</w:t>
      </w:r>
      <w:r w:rsidR="004533A6">
        <w:rPr>
          <w:rFonts w:ascii="Arial" w:hAnsi="Arial" w:cs="Arial"/>
          <w:color w:val="000000"/>
          <w:sz w:val="20"/>
        </w:rPr>
        <w:t>, the offender accepted that he entered into an agreement, arrangement or understanding with a cooffender to confront and threaten the victim with a loaded firearm.</w:t>
      </w:r>
      <w:r w:rsidR="008D7346">
        <w:rPr>
          <w:rFonts w:ascii="Arial" w:hAnsi="Arial" w:cs="Arial"/>
          <w:color w:val="000000"/>
          <w:sz w:val="20"/>
        </w:rPr>
        <w:t xml:space="preserve">  The cooffender had pleaded guilty to manslaughter and had been sentenced to IMP9y6m/5y6m.  Noting that the standard sentence for homicide by firearm was IMP13y, Incerti J imposed a reduced sentence of IMP7y6m/4y6m</w:t>
      </w:r>
      <w:r w:rsidR="0015405E">
        <w:rPr>
          <w:rFonts w:ascii="Arial" w:hAnsi="Arial" w:cs="Arial"/>
          <w:color w:val="000000"/>
          <w:sz w:val="20"/>
        </w:rPr>
        <w:t xml:space="preserve"> applying at [59]-[65] parity principles and at [44]-[48] the principles in </w:t>
      </w:r>
      <w:r w:rsidR="0015405E" w:rsidRPr="008D7346">
        <w:rPr>
          <w:rFonts w:ascii="Arial" w:hAnsi="Arial" w:cs="Arial"/>
          <w:i/>
          <w:iCs/>
          <w:color w:val="000000"/>
          <w:sz w:val="20"/>
        </w:rPr>
        <w:t>Bugmy v The Queen</w:t>
      </w:r>
      <w:r w:rsidR="0015405E">
        <w:rPr>
          <w:rFonts w:ascii="Arial" w:hAnsi="Arial" w:cs="Arial"/>
          <w:color w:val="000000"/>
          <w:sz w:val="20"/>
        </w:rPr>
        <w:t xml:space="preserve"> (2013) 249 CLR 571 [</w:t>
      </w:r>
      <w:r w:rsidR="0015405E">
        <w:rPr>
          <w:rFonts w:ascii="Arial" w:hAnsi="Arial" w:cs="Arial"/>
          <w:color w:val="000000"/>
          <w:sz w:val="20"/>
          <w:szCs w:val="20"/>
          <w:lang w:eastAsia="en-AU"/>
        </w:rPr>
        <w:t xml:space="preserve">see </w:t>
      </w:r>
      <w:r w:rsidR="0015405E" w:rsidRPr="00E94F6B">
        <w:rPr>
          <w:rFonts w:ascii="Arial" w:hAnsi="Arial" w:cs="Arial"/>
          <w:b/>
          <w:bCs/>
          <w:color w:val="000000"/>
          <w:sz w:val="20"/>
          <w:szCs w:val="20"/>
          <w:shd w:val="clear" w:color="auto" w:fill="C5E0B3" w:themeFill="accent6" w:themeFillTint="66"/>
          <w:lang w:eastAsia="en-AU"/>
        </w:rPr>
        <w:t>section 11.2.</w:t>
      </w:r>
      <w:r w:rsidR="0015405E">
        <w:rPr>
          <w:rFonts w:ascii="Arial" w:hAnsi="Arial" w:cs="Arial"/>
          <w:b/>
          <w:bCs/>
          <w:color w:val="000000"/>
          <w:sz w:val="20"/>
          <w:szCs w:val="20"/>
          <w:shd w:val="clear" w:color="auto" w:fill="C5E0B3" w:themeFill="accent6" w:themeFillTint="66"/>
          <w:lang w:eastAsia="en-AU"/>
        </w:rPr>
        <w:t>12</w:t>
      </w:r>
      <w:r w:rsidR="0015405E">
        <w:rPr>
          <w:rFonts w:ascii="Arial" w:hAnsi="Arial" w:cs="Arial"/>
          <w:color w:val="000000"/>
          <w:sz w:val="20"/>
          <w:szCs w:val="20"/>
          <w:lang w:eastAsia="en-AU"/>
        </w:rPr>
        <w:t xml:space="preserve"> above] and because </w:t>
      </w:r>
      <w:r w:rsidR="008D7346">
        <w:rPr>
          <w:rFonts w:ascii="Arial" w:hAnsi="Arial" w:cs="Arial"/>
          <w:color w:val="000000"/>
          <w:sz w:val="20"/>
        </w:rPr>
        <w:t>the offender had entered an early guilty plea and had genuine remorse</w:t>
      </w:r>
      <w:r w:rsidR="006C0265">
        <w:rPr>
          <w:rFonts w:ascii="Arial" w:hAnsi="Arial" w:cs="Arial"/>
          <w:color w:val="000000"/>
          <w:sz w:val="20"/>
        </w:rPr>
        <w:t>.</w:t>
      </w:r>
    </w:p>
    <w:p w14:paraId="5A5F3036" w14:textId="77777777" w:rsidR="00577D19" w:rsidRDefault="00577D19" w:rsidP="00A105CE">
      <w:pPr>
        <w:pStyle w:val="Heading2"/>
        <w:tabs>
          <w:tab w:val="left" w:pos="567"/>
        </w:tabs>
        <w:spacing w:line="240" w:lineRule="auto"/>
        <w:rPr>
          <w:rFonts w:ascii="Arial" w:hAnsi="Arial" w:cs="Arial"/>
          <w:bCs/>
          <w:color w:val="000000"/>
          <w:sz w:val="20"/>
          <w:lang w:val="en-US"/>
        </w:rPr>
      </w:pPr>
    </w:p>
    <w:p w14:paraId="2170BDD2" w14:textId="109CDC32" w:rsidR="00A105CE" w:rsidRPr="00D45887" w:rsidRDefault="00A105CE" w:rsidP="00522C52">
      <w:pPr>
        <w:pStyle w:val="Heading2"/>
        <w:keepNext/>
        <w:keepLines/>
        <w:widowControl/>
        <w:tabs>
          <w:tab w:val="left" w:pos="567"/>
        </w:tabs>
        <w:spacing w:line="240" w:lineRule="auto"/>
        <w:ind w:left="567" w:hanging="567"/>
        <w:rPr>
          <w:rFonts w:ascii="Arial" w:hAnsi="Arial" w:cs="Arial"/>
          <w:bCs/>
          <w:color w:val="000000"/>
          <w:sz w:val="20"/>
          <w:lang w:val="en-US"/>
        </w:rPr>
      </w:pPr>
      <w:bookmarkStart w:id="729" w:name="_11.2.35_Sentencing_for"/>
      <w:bookmarkEnd w:id="729"/>
      <w:r w:rsidRPr="00D45887">
        <w:rPr>
          <w:rFonts w:ascii="Arial" w:hAnsi="Arial" w:cs="Arial"/>
          <w:b/>
          <w:bCs/>
          <w:color w:val="000000"/>
          <w:sz w:val="20"/>
        </w:rPr>
        <w:t>11.2.3</w:t>
      </w:r>
      <w:r>
        <w:rPr>
          <w:rFonts w:ascii="Arial" w:hAnsi="Arial" w:cs="Arial"/>
          <w:b/>
          <w:bCs/>
          <w:color w:val="000000"/>
          <w:sz w:val="20"/>
        </w:rPr>
        <w:t>5</w:t>
      </w:r>
      <w:r w:rsidRPr="00D45887">
        <w:rPr>
          <w:rFonts w:ascii="Arial" w:hAnsi="Arial" w:cs="Arial"/>
          <w:b/>
          <w:bCs/>
          <w:color w:val="000000"/>
          <w:sz w:val="20"/>
        </w:rPr>
        <w:tab/>
        <w:t xml:space="preserve">Sentencing for </w:t>
      </w:r>
      <w:r>
        <w:rPr>
          <w:rFonts w:ascii="Arial" w:hAnsi="Arial" w:cs="Arial"/>
          <w:b/>
          <w:bCs/>
          <w:color w:val="000000"/>
          <w:sz w:val="20"/>
        </w:rPr>
        <w:t>theft</w:t>
      </w:r>
      <w:r w:rsidR="006B7656">
        <w:rPr>
          <w:rFonts w:ascii="Arial" w:hAnsi="Arial" w:cs="Arial"/>
          <w:b/>
          <w:bCs/>
          <w:color w:val="000000"/>
          <w:sz w:val="20"/>
        </w:rPr>
        <w:t>, theft of firearms</w:t>
      </w:r>
      <w:r>
        <w:rPr>
          <w:rFonts w:ascii="Arial" w:hAnsi="Arial" w:cs="Arial"/>
          <w:b/>
          <w:bCs/>
          <w:color w:val="000000"/>
          <w:sz w:val="20"/>
        </w:rPr>
        <w:t xml:space="preserve"> and theft of motor vehicle</w:t>
      </w:r>
    </w:p>
    <w:p w14:paraId="7D2EEE29" w14:textId="63377684" w:rsidR="00A105CE" w:rsidRDefault="00A105CE" w:rsidP="00C359FF">
      <w:pPr>
        <w:pStyle w:val="Heading2"/>
        <w:keepNext/>
        <w:keepLines/>
        <w:widowControl/>
        <w:tabs>
          <w:tab w:val="left" w:pos="567"/>
        </w:tabs>
        <w:spacing w:line="240" w:lineRule="auto"/>
        <w:ind w:left="567" w:hanging="567"/>
        <w:rPr>
          <w:rFonts w:ascii="Arial" w:hAnsi="Arial" w:cs="Arial"/>
          <w:color w:val="000000"/>
          <w:sz w:val="20"/>
        </w:rPr>
      </w:pPr>
    </w:p>
    <w:p w14:paraId="77677162" w14:textId="77777777" w:rsidR="00244EB1" w:rsidRDefault="006B7656" w:rsidP="00244EB1">
      <w:pPr>
        <w:jc w:val="both"/>
        <w:rPr>
          <w:rFonts w:ascii="Arial" w:hAnsi="Arial" w:cs="Arial"/>
          <w:color w:val="000000"/>
          <w:sz w:val="20"/>
          <w:szCs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eg,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r w:rsidRPr="0037152B">
        <w:rPr>
          <w:rFonts w:ascii="Arial" w:hAnsi="Arial" w:cs="Arial"/>
          <w:i/>
          <w:sz w:val="20"/>
        </w:rPr>
        <w:t>Benkic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 xml:space="preserve">the theft of a firearm is a particularly serious species of the offence of theft. It thus carries a maximum penalty of </w:t>
      </w:r>
      <w:r w:rsidRPr="0037152B">
        <w:rPr>
          <w:rFonts w:ascii="Arial" w:hAnsi="Arial" w:cs="Arial"/>
          <w:sz w:val="20"/>
        </w:rPr>
        <w:lastRenderedPageBreak/>
        <w:t>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El Houli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237EDAC6" w14:textId="77777777" w:rsidR="008B14AE" w:rsidRDefault="008B14AE" w:rsidP="0092468E">
      <w:pPr>
        <w:pStyle w:val="Heading2"/>
        <w:tabs>
          <w:tab w:val="left" w:pos="567"/>
        </w:tabs>
        <w:spacing w:line="240" w:lineRule="auto"/>
        <w:rPr>
          <w:rFonts w:ascii="Arial" w:hAnsi="Arial" w:cs="Arial"/>
          <w:bCs/>
          <w:color w:val="000000"/>
          <w:sz w:val="20"/>
          <w:lang w:val="en-US"/>
        </w:rPr>
      </w:pPr>
    </w:p>
    <w:p w14:paraId="45EBEB72" w14:textId="1FEBC45E" w:rsidR="0092468E" w:rsidRPr="00D45887" w:rsidRDefault="0092468E" w:rsidP="000405D9">
      <w:pPr>
        <w:pStyle w:val="Heading2"/>
        <w:keepNext/>
        <w:keepLines/>
        <w:widowControl/>
        <w:numPr>
          <w:ilvl w:val="2"/>
          <w:numId w:val="31"/>
        </w:numPr>
        <w:tabs>
          <w:tab w:val="left" w:pos="567"/>
        </w:tabs>
        <w:spacing w:line="240" w:lineRule="auto"/>
        <w:ind w:left="720"/>
        <w:rPr>
          <w:rFonts w:ascii="Arial" w:hAnsi="Arial" w:cs="Arial"/>
          <w:bCs/>
          <w:color w:val="000000"/>
          <w:sz w:val="20"/>
          <w:lang w:val="en-US"/>
        </w:rPr>
      </w:pPr>
      <w:bookmarkStart w:id="730" w:name="_Sentencing_for_offences"/>
      <w:bookmarkEnd w:id="730"/>
      <w:r w:rsidRPr="00D45887">
        <w:rPr>
          <w:rFonts w:ascii="Arial" w:hAnsi="Arial" w:cs="Arial"/>
          <w:b/>
          <w:bCs/>
          <w:color w:val="000000"/>
          <w:sz w:val="20"/>
        </w:rPr>
        <w:t xml:space="preserve">Sentencing for </w:t>
      </w:r>
      <w:r>
        <w:rPr>
          <w:rFonts w:ascii="Arial" w:hAnsi="Arial" w:cs="Arial"/>
          <w:b/>
          <w:bCs/>
          <w:color w:val="000000"/>
          <w:sz w:val="20"/>
        </w:rPr>
        <w:t>offences involving family violence</w:t>
      </w:r>
    </w:p>
    <w:p w14:paraId="7FAC7632" w14:textId="7C1B11EA" w:rsidR="00BD3B9C" w:rsidRDefault="00BD3B9C" w:rsidP="00BB0242">
      <w:pPr>
        <w:pStyle w:val="Heading2"/>
        <w:widowControl/>
        <w:tabs>
          <w:tab w:val="left" w:pos="567"/>
        </w:tabs>
        <w:spacing w:line="240" w:lineRule="auto"/>
        <w:ind w:left="567" w:hanging="567"/>
        <w:rPr>
          <w:rFonts w:ascii="Arial" w:hAnsi="Arial" w:cs="Arial"/>
          <w:color w:val="000000"/>
          <w:sz w:val="20"/>
        </w:rPr>
      </w:pPr>
    </w:p>
    <w:p w14:paraId="358B4960" w14:textId="178E4752" w:rsidR="008B2935" w:rsidRDefault="008B2935" w:rsidP="00DC616C">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Pr="008B2935">
        <w:rPr>
          <w:rFonts w:ascii="Arial" w:hAnsi="Arial" w:cs="Arial"/>
          <w:i/>
          <w:iCs/>
          <w:color w:val="000000"/>
          <w:sz w:val="20"/>
        </w:rPr>
        <w:t>Rankine v The Queen</w:t>
      </w:r>
      <w:r>
        <w:rPr>
          <w:rFonts w:ascii="Arial" w:hAnsi="Arial" w:cs="Arial"/>
          <w:color w:val="000000"/>
          <w:sz w:val="20"/>
        </w:rPr>
        <w:t xml:space="preserve"> [2022] VSCA 27 </w:t>
      </w:r>
      <w:r w:rsidR="00DC616C">
        <w:rPr>
          <w:rFonts w:ascii="Arial" w:hAnsi="Arial" w:cs="Arial"/>
          <w:color w:val="000000"/>
          <w:sz w:val="20"/>
        </w:rPr>
        <w:t xml:space="preserve">the </w:t>
      </w:r>
      <w:r w:rsidR="00D40F30">
        <w:rPr>
          <w:rFonts w:ascii="Arial" w:hAnsi="Arial" w:cs="Arial"/>
          <w:color w:val="000000"/>
          <w:sz w:val="20"/>
        </w:rPr>
        <w:t xml:space="preserve">29 year old </w:t>
      </w:r>
      <w:r w:rsidR="00DC616C">
        <w:rPr>
          <w:rFonts w:ascii="Arial" w:hAnsi="Arial" w:cs="Arial"/>
          <w:color w:val="000000"/>
          <w:sz w:val="20"/>
        </w:rPr>
        <w:t>applicant had pleaded guilty and was convicted of 15 offences</w:t>
      </w:r>
      <w:r w:rsidR="00D40F30">
        <w:rPr>
          <w:rFonts w:ascii="Arial" w:hAnsi="Arial" w:cs="Arial"/>
          <w:color w:val="000000"/>
          <w:sz w:val="20"/>
        </w:rPr>
        <w:t>,</w:t>
      </w:r>
      <w:r w:rsidR="00DC616C">
        <w:rPr>
          <w:rFonts w:ascii="Arial" w:hAnsi="Arial" w:cs="Arial"/>
          <w:color w:val="000000"/>
          <w:sz w:val="20"/>
        </w:rPr>
        <w:t xml:space="preserve"> </w:t>
      </w:r>
      <w:r w:rsidR="00D40F30">
        <w:rPr>
          <w:rFonts w:ascii="Arial" w:hAnsi="Arial" w:cs="Arial"/>
          <w:color w:val="000000"/>
          <w:sz w:val="20"/>
        </w:rPr>
        <w:t>including</w:t>
      </w:r>
      <w:r w:rsidR="00DC616C">
        <w:rPr>
          <w:rFonts w:ascii="Arial" w:hAnsi="Arial" w:cs="Arial"/>
          <w:color w:val="000000"/>
          <w:sz w:val="20"/>
        </w:rPr>
        <w:t>:</w:t>
      </w:r>
    </w:p>
    <w:p w14:paraId="6C75B3F8" w14:textId="528887ED"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common assault of his former partner in which he grabbed her by the throat, pushed her against a concrete wall and headbutted her to the forehead;</w:t>
      </w:r>
    </w:p>
    <w:p w14:paraId="368B7F55" w14:textId="25BBFDB2"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 xml:space="preserve">4 x persistent contravention of a family violence intervention order [FVIO] </w:t>
      </w:r>
      <w:r w:rsidR="00FE5523">
        <w:rPr>
          <w:rFonts w:ascii="Arial" w:hAnsi="Arial" w:cs="Arial"/>
          <w:color w:val="000000"/>
          <w:sz w:val="20"/>
        </w:rPr>
        <w:t>which related to his former partner;</w:t>
      </w:r>
    </w:p>
    <w:p w14:paraId="38006CBB" w14:textId="3C40E1C4" w:rsidR="00FE5523" w:rsidRDefault="00FE5523"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trespass and contravention of a FVIO.</w:t>
      </w:r>
    </w:p>
    <w:p w14:paraId="4EB59A86" w14:textId="0D1C1046" w:rsidR="00FE5523" w:rsidRDefault="00FE5523" w:rsidP="00FE5523">
      <w:pPr>
        <w:pStyle w:val="Heading2"/>
        <w:widowControl/>
        <w:tabs>
          <w:tab w:val="left" w:pos="567"/>
        </w:tabs>
        <w:spacing w:line="240" w:lineRule="auto"/>
        <w:rPr>
          <w:rFonts w:ascii="Arial" w:hAnsi="Arial" w:cs="Arial"/>
          <w:sz w:val="20"/>
        </w:rPr>
      </w:pPr>
      <w:r>
        <w:rPr>
          <w:rFonts w:ascii="Arial" w:hAnsi="Arial" w:cs="Arial"/>
          <w:sz w:val="20"/>
        </w:rPr>
        <w:t xml:space="preserve">He was sentenced to TES IMP2y4m/14m of which on a charge of persistent contravention of an FVIO he was sentenced to IMP12m as a base sentence and on each of the other 3 charges of persistant contravention he was sentenced to IMP12m of which 4m was cumulative on the base sentence.  On the charge of common assault he was sentenced to IMP10m of which 4m was cumulative on the base sentence.  His ground of appeal was that the orders for cumulative on the persistent contravention offences and the resultant TES were manifestly excessive.  In </w:t>
      </w:r>
      <w:r w:rsidR="00561959">
        <w:rPr>
          <w:rFonts w:ascii="Arial" w:hAnsi="Arial" w:cs="Arial"/>
          <w:sz w:val="20"/>
        </w:rPr>
        <w:t>refusing leave to</w:t>
      </w:r>
      <w:r>
        <w:rPr>
          <w:rFonts w:ascii="Arial" w:hAnsi="Arial" w:cs="Arial"/>
          <w:sz w:val="20"/>
        </w:rPr>
        <w:t xml:space="preserve"> appeal T Forrest &amp; Walker JJA said:</w:t>
      </w:r>
    </w:p>
    <w:p w14:paraId="05DC96E0" w14:textId="33F5192C" w:rsidR="00D40F30" w:rsidRDefault="00561959" w:rsidP="00426D76">
      <w:pPr>
        <w:pStyle w:val="Normal-Indent"/>
        <w:widowControl/>
        <w:numPr>
          <w:ilvl w:val="0"/>
          <w:numId w:val="106"/>
        </w:numPr>
        <w:spacing w:before="60" w:line="240" w:lineRule="auto"/>
        <w:ind w:left="357" w:right="567" w:hanging="357"/>
        <w:rPr>
          <w:rFonts w:ascii="Arial" w:hAnsi="Arial" w:cs="Arial"/>
          <w:color w:val="000000"/>
          <w:sz w:val="20"/>
        </w:rPr>
      </w:pPr>
      <w:r>
        <w:rPr>
          <w:rFonts w:ascii="Arial" w:hAnsi="Arial" w:cs="Arial"/>
          <w:color w:val="000000"/>
          <w:sz w:val="20"/>
        </w:rPr>
        <w:t>at [27]: “His Honour recognised the serious nature of the persistent contravention offences, describing ‘a good deal’ of the offending as ‘aggressive, oppressive and intimidating’”;</w:t>
      </w:r>
    </w:p>
    <w:p w14:paraId="57B59798" w14:textId="5FDA4A94" w:rsidR="00FE5523" w:rsidRPr="00200E7B" w:rsidRDefault="00561959" w:rsidP="00426D76">
      <w:pPr>
        <w:pStyle w:val="Normal-Indent"/>
        <w:widowControl/>
        <w:numPr>
          <w:ilvl w:val="0"/>
          <w:numId w:val="106"/>
        </w:numPr>
        <w:spacing w:before="60" w:line="240" w:lineRule="auto"/>
        <w:ind w:left="357" w:right="567" w:hanging="357"/>
        <w:rPr>
          <w:rFonts w:ascii="Arial" w:hAnsi="Arial" w:cs="Arial"/>
          <w:sz w:val="22"/>
          <w:szCs w:val="28"/>
        </w:rPr>
      </w:pPr>
      <w:r>
        <w:rPr>
          <w:rFonts w:ascii="Arial" w:hAnsi="Arial" w:cs="Arial"/>
          <w:color w:val="000000"/>
          <w:sz w:val="20"/>
        </w:rPr>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432A0F50" w:rsidR="00FE5523" w:rsidRDefault="00FE5523" w:rsidP="00BB0242">
      <w:pPr>
        <w:pStyle w:val="Heading2"/>
        <w:widowControl/>
        <w:tabs>
          <w:tab w:val="left" w:pos="567"/>
        </w:tabs>
        <w:spacing w:line="240" w:lineRule="auto"/>
        <w:ind w:left="567" w:hanging="567"/>
        <w:rPr>
          <w:rFonts w:ascii="Arial" w:hAnsi="Arial" w:cs="Arial"/>
          <w:sz w:val="22"/>
          <w:szCs w:val="22"/>
        </w:rPr>
      </w:pPr>
    </w:p>
    <w:p w14:paraId="03861F75" w14:textId="3BE5F7F3" w:rsidR="00955C36" w:rsidRDefault="00955C36" w:rsidP="00955C36">
      <w:pPr>
        <w:jc w:val="both"/>
        <w:rPr>
          <w:rFonts w:ascii="Arial" w:hAnsi="Arial" w:cs="Arial"/>
          <w:color w:val="000000"/>
          <w:sz w:val="20"/>
          <w:szCs w:val="20"/>
        </w:rPr>
      </w:pPr>
      <w:r w:rsidRPr="00BE0642">
        <w:rPr>
          <w:rFonts w:ascii="Arial" w:hAnsi="Arial" w:cs="Arial"/>
          <w:color w:val="000000"/>
          <w:sz w:val="20"/>
          <w:szCs w:val="20"/>
        </w:rPr>
        <w:t>In</w:t>
      </w:r>
      <w:r>
        <w:rPr>
          <w:rFonts w:ascii="Arial" w:hAnsi="Arial" w:cs="Arial"/>
          <w:color w:val="000000"/>
          <w:sz w:val="20"/>
          <w:szCs w:val="20"/>
        </w:rPr>
        <w:t xml:space="preserve"> </w:t>
      </w:r>
      <w:r w:rsidRPr="00BE0642">
        <w:rPr>
          <w:rFonts w:ascii="Arial" w:hAnsi="Arial" w:cs="Arial"/>
          <w:i/>
          <w:iCs/>
          <w:color w:val="000000"/>
          <w:sz w:val="20"/>
          <w:szCs w:val="20"/>
        </w:rPr>
        <w:t>DPP v Reynolds (a pseudonym)</w:t>
      </w:r>
      <w:r w:rsidRPr="00BE0642">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BE0642">
        <w:rPr>
          <w:rFonts w:ascii="Arial" w:hAnsi="Arial" w:cs="Arial"/>
          <w:color w:val="000000"/>
          <w:sz w:val="20"/>
          <w:szCs w:val="20"/>
        </w:rPr>
        <w:t>[2022] VSCA 263</w:t>
      </w:r>
      <w:r>
        <w:rPr>
          <w:rFonts w:ascii="Arial" w:hAnsi="Arial" w:cs="Arial"/>
          <w:color w:val="000000"/>
          <w:sz w:val="20"/>
          <w:szCs w:val="20"/>
        </w:rPr>
        <w:t xml:space="preserve"> the respondent had been sentenced to a TES IMP 9m42d + CCO 970d on charges of intentionally causing injury and threat to kill x3 in which the victim was the respondent’s wife.  By a majority of 2:1 the Court of Appeal allowed the Director’s appeal and substituted a TES IMP3y3m/18m.  At [</w:t>
      </w:r>
      <w:r w:rsidR="00B4159C">
        <w:rPr>
          <w:rFonts w:ascii="Arial" w:hAnsi="Arial" w:cs="Arial"/>
          <w:color w:val="000000"/>
          <w:sz w:val="20"/>
          <w:szCs w:val="20"/>
        </w:rPr>
        <w:t>71</w:t>
      </w:r>
      <w:r>
        <w:rPr>
          <w:rFonts w:ascii="Arial" w:hAnsi="Arial" w:cs="Arial"/>
          <w:color w:val="000000"/>
          <w:sz w:val="20"/>
          <w:szCs w:val="20"/>
        </w:rPr>
        <w:t>]-[</w:t>
      </w:r>
      <w:r w:rsidR="00B4159C">
        <w:rPr>
          <w:rFonts w:ascii="Arial" w:hAnsi="Arial" w:cs="Arial"/>
          <w:color w:val="000000"/>
          <w:sz w:val="20"/>
          <w:szCs w:val="20"/>
        </w:rPr>
        <w:t>87</w:t>
      </w:r>
      <w:r>
        <w:rPr>
          <w:rFonts w:ascii="Arial" w:hAnsi="Arial" w:cs="Arial"/>
          <w:color w:val="000000"/>
          <w:sz w:val="20"/>
          <w:szCs w:val="20"/>
        </w:rPr>
        <w:t>] T Forrest JA &amp; Kidd AJA said:</w:t>
      </w:r>
    </w:p>
    <w:p w14:paraId="4B717D1B" w14:textId="77777777" w:rsidR="00955C36" w:rsidRPr="00955C36" w:rsidRDefault="00955C36" w:rsidP="00955C36">
      <w:pPr>
        <w:spacing w:before="60"/>
        <w:ind w:left="340" w:right="340"/>
        <w:jc w:val="both"/>
        <w:textAlignment w:val="baseline"/>
        <w:rPr>
          <w:rFonts w:ascii="Arial" w:hAnsi="Arial" w:cs="Arial"/>
          <w:i/>
          <w:iCs/>
          <w:sz w:val="20"/>
          <w:szCs w:val="20"/>
          <w:lang w:eastAsia="en-AU"/>
        </w:rPr>
      </w:pPr>
      <w:r w:rsidRPr="00955C36">
        <w:rPr>
          <w:rFonts w:ascii="Arial" w:hAnsi="Arial" w:cs="Arial"/>
          <w:i/>
          <w:iCs/>
          <w:sz w:val="20"/>
          <w:szCs w:val="20"/>
          <w:lang w:eastAsia="en-AU"/>
        </w:rPr>
        <w:t>Family Violence Sentencing Principles</w:t>
      </w:r>
    </w:p>
    <w:p w14:paraId="5BD95816" w14:textId="5CE5BD46" w:rsidR="00955C36" w:rsidRDefault="00955C36" w:rsidP="00955C36">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[71] </w:t>
      </w:r>
      <w:r w:rsidRPr="00955C36">
        <w:rPr>
          <w:rFonts w:ascii="Arial" w:hAnsi="Arial" w:cs="Arial"/>
          <w:sz w:val="20"/>
          <w:szCs w:val="20"/>
          <w:lang w:eastAsia="en-AU"/>
        </w:rPr>
        <w:t>“</w:t>
      </w:r>
      <w:r w:rsidRPr="00955C36">
        <w:rPr>
          <w:rFonts w:ascii="Arial" w:hAnsi="Arial" w:cs="Arial"/>
          <w:sz w:val="20"/>
          <w:szCs w:val="20"/>
        </w:rPr>
        <w:t>Regrettably, this is yet another example of appalling family violence which has come before the courts. Family violence is a blight on society, which this Court ‘has been at pains to denounce’:</w:t>
      </w:r>
      <w:r>
        <w:rPr>
          <w:rFonts w:ascii="Arial" w:hAnsi="Arial" w:cs="Arial"/>
          <w:sz w:val="20"/>
          <w:szCs w:val="20"/>
        </w:rPr>
        <w:t xml:space="preserve"> </w:t>
      </w:r>
      <w:r w:rsidR="002F203B" w:rsidRPr="002F203B">
        <w:rPr>
          <w:rFonts w:ascii="Arial" w:hAnsi="Arial" w:cs="Arial"/>
          <w:i/>
          <w:iCs/>
          <w:sz w:val="20"/>
          <w:szCs w:val="20"/>
        </w:rPr>
        <w:t>Edward-Hayes v The Queen</w:t>
      </w:r>
      <w:r w:rsidR="002F203B" w:rsidRPr="00955C36">
        <w:rPr>
          <w:rFonts w:ascii="Arial" w:hAnsi="Arial" w:cs="Arial"/>
          <w:sz w:val="20"/>
          <w:szCs w:val="20"/>
        </w:rPr>
        <w:t xml:space="preserve"> [2022] VSCA 76 [29] (McLeish JA), citing </w:t>
      </w:r>
      <w:r w:rsidR="002F203B" w:rsidRPr="002F203B">
        <w:rPr>
          <w:rFonts w:ascii="Arial" w:hAnsi="Arial" w:cs="Arial"/>
          <w:i/>
          <w:iCs/>
          <w:sz w:val="20"/>
          <w:szCs w:val="20"/>
        </w:rPr>
        <w:t>Pasinis v The Queen</w:t>
      </w:r>
      <w:r w:rsidR="002F203B" w:rsidRPr="00955C36">
        <w:rPr>
          <w:rFonts w:ascii="Arial" w:hAnsi="Arial" w:cs="Arial"/>
          <w:sz w:val="20"/>
          <w:szCs w:val="20"/>
        </w:rPr>
        <w:t xml:space="preserve"> [2014] VSCA 97 [57] (Neave and Kyrou JJA).</w:t>
      </w:r>
    </w:p>
    <w:p w14:paraId="3C1537AF" w14:textId="77777777" w:rsidR="00955C36" w:rsidRDefault="00955C36" w:rsidP="00955C36">
      <w:pPr>
        <w:spacing w:before="60"/>
        <w:ind w:left="340" w:right="340"/>
        <w:jc w:val="both"/>
        <w:textAlignment w:val="baseline"/>
        <w:rPr>
          <w:rFonts w:ascii="Arial" w:hAnsi="Arial" w:cs="Arial"/>
          <w:i/>
          <w:iCs/>
          <w:sz w:val="20"/>
          <w:szCs w:val="20"/>
        </w:rPr>
      </w:pPr>
      <w:r>
        <w:rPr>
          <w:rFonts w:ascii="Arial" w:hAnsi="Arial" w:cs="Arial"/>
          <w:sz w:val="20"/>
          <w:szCs w:val="20"/>
        </w:rPr>
        <w:t xml:space="preserve">[72] </w:t>
      </w:r>
      <w:r w:rsidRPr="00955C36">
        <w:rPr>
          <w:rFonts w:ascii="Arial" w:hAnsi="Arial" w:cs="Arial"/>
          <w:sz w:val="20"/>
          <w:szCs w:val="20"/>
        </w:rPr>
        <w:t>It is convenient to restate what this Court has said about family violence, and how this informs the sentencing process.</w:t>
      </w:r>
    </w:p>
    <w:p w14:paraId="09687899" w14:textId="73A50E2E" w:rsidR="00426D76" w:rsidRDefault="00955C36" w:rsidP="00955C36">
      <w:pPr>
        <w:spacing w:before="60"/>
        <w:ind w:left="340" w:right="340"/>
        <w:jc w:val="both"/>
        <w:textAlignment w:val="baseline"/>
        <w:rPr>
          <w:rFonts w:ascii="Arial" w:hAnsi="Arial" w:cs="Arial"/>
          <w:sz w:val="20"/>
          <w:szCs w:val="20"/>
        </w:rPr>
      </w:pPr>
      <w:r w:rsidRPr="00955C36">
        <w:rPr>
          <w:rFonts w:ascii="Arial" w:hAnsi="Arial" w:cs="Arial"/>
          <w:sz w:val="20"/>
          <w:szCs w:val="20"/>
        </w:rPr>
        <w:t xml:space="preserve">[73] This Court in </w:t>
      </w:r>
      <w:r w:rsidRPr="00955C36">
        <w:rPr>
          <w:rFonts w:ascii="Arial" w:hAnsi="Arial" w:cs="Arial"/>
          <w:i/>
          <w:iCs/>
          <w:sz w:val="20"/>
          <w:szCs w:val="20"/>
        </w:rPr>
        <w:t>Pasinis</w:t>
      </w:r>
      <w:r w:rsidRPr="00955C36">
        <w:rPr>
          <w:rFonts w:ascii="Arial" w:hAnsi="Arial" w:cs="Arial"/>
          <w:sz w:val="20"/>
          <w:szCs w:val="20"/>
        </w:rPr>
        <w:t xml:space="preserve"> </w:t>
      </w:r>
      <w:r w:rsidR="00426D76">
        <w:rPr>
          <w:rFonts w:ascii="Arial" w:hAnsi="Arial" w:cs="Arial"/>
          <w:sz w:val="20"/>
          <w:szCs w:val="20"/>
        </w:rPr>
        <w:t xml:space="preserve">at [57] </w:t>
      </w:r>
      <w:r w:rsidRPr="00955C36">
        <w:rPr>
          <w:rFonts w:ascii="Arial" w:hAnsi="Arial" w:cs="Arial"/>
          <w:sz w:val="20"/>
          <w:szCs w:val="20"/>
        </w:rPr>
        <w:t>held that the key to protecting victims of family violence:</w:t>
      </w:r>
    </w:p>
    <w:p w14:paraId="7E34B662" w14:textId="0E62EAA2"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20"/>
          <w:szCs w:val="24"/>
        </w:rPr>
        <w:t>…</w:t>
      </w:r>
      <w:r w:rsidRPr="00426D76">
        <w:rPr>
          <w:rFonts w:ascii="Arial" w:hAnsi="Arial" w:cs="Arial"/>
          <w:sz w:val="18"/>
          <w:szCs w:val="18"/>
        </w:rPr>
        <w:t>lies in deterring the violent conduct by sending an unequivocal message to would</w:t>
      </w:r>
      <w:r w:rsidRPr="00426D76">
        <w:rPr>
          <w:rFonts w:ascii="Arial" w:hAnsi="Arial" w:cs="Arial"/>
          <w:sz w:val="18"/>
          <w:szCs w:val="18"/>
        </w:rPr>
        <w:noBreakHyphen/>
        <w:t>be perpetrators of domestic violence that if they offend, they will be sentenced to a lengthy period of imprisonment so that they are no longer in a position to inflict harm.</w:t>
      </w:r>
    </w:p>
    <w:p w14:paraId="213EEE65" w14:textId="5C924BB4" w:rsidR="00955C36" w:rsidRPr="00955C36" w:rsidRDefault="00955C36" w:rsidP="00955C36">
      <w:pPr>
        <w:spacing w:before="60"/>
        <w:ind w:left="340" w:right="340"/>
        <w:jc w:val="both"/>
        <w:textAlignment w:val="baseline"/>
        <w:rPr>
          <w:rFonts w:ascii="Arial" w:hAnsi="Arial" w:cs="Arial"/>
          <w:sz w:val="20"/>
          <w:szCs w:val="20"/>
          <w:lang w:eastAsia="en-AU"/>
        </w:rPr>
      </w:pPr>
      <w:r>
        <w:rPr>
          <w:rFonts w:ascii="Arial" w:hAnsi="Arial" w:cs="Arial"/>
          <w:sz w:val="20"/>
          <w:szCs w:val="20"/>
        </w:rPr>
        <w:t xml:space="preserve">[74] </w:t>
      </w:r>
      <w:r w:rsidRPr="00955C36">
        <w:rPr>
          <w:rFonts w:ascii="Arial" w:hAnsi="Arial" w:cs="Arial"/>
          <w:sz w:val="20"/>
          <w:szCs w:val="20"/>
        </w:rPr>
        <w:t xml:space="preserve">Soon afterwards, and in a similar vein, this Court said in </w:t>
      </w:r>
      <w:r w:rsidRPr="00955C36">
        <w:rPr>
          <w:rFonts w:ascii="Arial" w:hAnsi="Arial" w:cs="Arial"/>
          <w:i/>
          <w:iCs/>
          <w:sz w:val="20"/>
          <w:szCs w:val="20"/>
        </w:rPr>
        <w:t>Mercer (a pseudonym) v The Queen</w:t>
      </w:r>
      <w:r w:rsidR="00426D76">
        <w:rPr>
          <w:rFonts w:ascii="Arial" w:hAnsi="Arial" w:cs="Arial"/>
          <w:sz w:val="20"/>
          <w:szCs w:val="20"/>
        </w:rPr>
        <w:t xml:space="preserve"> [2015] VSCA 257 [54] (Maxwell P and Beach JA):</w:t>
      </w:r>
    </w:p>
    <w:p w14:paraId="377D7059" w14:textId="28CB08A6"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18"/>
          <w:szCs w:val="18"/>
        </w:rPr>
        <w:lastRenderedPageBreak/>
        <w:t xml:space="preserve">This Court has said on many occasions that domestic violence will not be tolerated, and that general deterrence is a very important sentencing principle in the sentencing disposition which must be, and must be seen to be, condemned by the courts. To borrow from what this Court said recently in </w:t>
      </w:r>
      <w:r w:rsidRPr="00426D76">
        <w:rPr>
          <w:rFonts w:ascii="Arial" w:hAnsi="Arial" w:cs="Arial"/>
          <w:i/>
          <w:iCs/>
          <w:sz w:val="18"/>
          <w:szCs w:val="18"/>
        </w:rPr>
        <w:t>Filiz v The Queen</w:t>
      </w:r>
      <w:r w:rsidRPr="00426D76">
        <w:rPr>
          <w:rFonts w:ascii="Arial" w:hAnsi="Arial" w:cs="Arial"/>
          <w:sz w:val="18"/>
          <w:szCs w:val="18"/>
        </w:rPr>
        <w:t>, offending of this nature is too often perpetrated by men whose response to conflict with a partner is one of violent rage. Such a response is utterly unacceptable. This Court has made it clear, and will continue to make it plain, that offending of this kind will attract serious consequences.</w:t>
      </w:r>
    </w:p>
    <w:p w14:paraId="32914AD6" w14:textId="4D3C6C03"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[75] And again </w:t>
      </w:r>
      <w:r w:rsidRPr="00955C36">
        <w:rPr>
          <w:rFonts w:ascii="Arial" w:hAnsi="Arial" w:cs="Arial"/>
          <w:sz w:val="20"/>
          <w:szCs w:val="20"/>
        </w:rPr>
        <w:t xml:space="preserve">in </w:t>
      </w:r>
      <w:r w:rsidRPr="00426D76">
        <w:rPr>
          <w:rFonts w:ascii="Arial" w:hAnsi="Arial" w:cs="Arial"/>
          <w:i/>
          <w:iCs/>
          <w:sz w:val="20"/>
          <w:szCs w:val="20"/>
        </w:rPr>
        <w:t>Kalala v The Queen</w:t>
      </w:r>
      <w:r>
        <w:rPr>
          <w:rFonts w:ascii="Arial" w:hAnsi="Arial" w:cs="Arial"/>
          <w:sz w:val="20"/>
          <w:szCs w:val="20"/>
        </w:rPr>
        <w:t xml:space="preserve"> (2017) 269 A Crim R 1 at [59]:</w:t>
      </w:r>
    </w:p>
    <w:p w14:paraId="5F9B320D" w14:textId="2E878D23" w:rsidR="00426D76" w:rsidRPr="00426D76" w:rsidRDefault="00426D76" w:rsidP="00426D76">
      <w:pPr>
        <w:pStyle w:val="Normal-Indent"/>
        <w:widowControl/>
        <w:spacing w:before="60" w:line="240" w:lineRule="auto"/>
        <w:ind w:left="907" w:right="907"/>
        <w:rPr>
          <w:rFonts w:ascii="Arial" w:hAnsi="Arial" w:cs="Arial"/>
          <w:sz w:val="18"/>
          <w:szCs w:val="18"/>
        </w:rPr>
      </w:pPr>
      <w:r w:rsidRPr="00426D76">
        <w:rPr>
          <w:rFonts w:ascii="Arial" w:hAnsi="Arial" w:cs="Arial"/>
          <w:sz w:val="18"/>
          <w:szCs w:val="18"/>
        </w:rPr>
        <w:t xml:space="preserve">The trial courts of this State are imposing sentences for family violence offences with increasing frequency. This Court has repeatedly emphasised the need to condemn family violence, in line with community expectations. In </w:t>
      </w:r>
      <w:r w:rsidRPr="00426D76">
        <w:rPr>
          <w:rFonts w:ascii="Arial" w:hAnsi="Arial" w:cs="Arial"/>
          <w:i/>
          <w:iCs/>
          <w:sz w:val="18"/>
          <w:szCs w:val="18"/>
        </w:rPr>
        <w:t>Filiz v The Queen</w:t>
      </w:r>
      <w:r w:rsidRPr="00426D76">
        <w:rPr>
          <w:rFonts w:ascii="Arial" w:hAnsi="Arial" w:cs="Arial"/>
          <w:sz w:val="18"/>
          <w:szCs w:val="18"/>
        </w:rPr>
        <w:t>, the Court acknowledged the ‘shameful truth that family violence is a leading cause of illness, disability and death among Victorian women aged between 15 and 44.</w:t>
      </w:r>
    </w:p>
    <w:p w14:paraId="462A8B28" w14:textId="6E4CF9A6" w:rsidR="00426D76" w:rsidRPr="00955C36" w:rsidRDefault="00426D76" w:rsidP="00B4159C">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[76] </w:t>
      </w:r>
      <w:r w:rsidRPr="00955C36">
        <w:rPr>
          <w:rFonts w:ascii="Arial" w:hAnsi="Arial" w:cs="Arial"/>
          <w:sz w:val="20"/>
          <w:szCs w:val="20"/>
        </w:rPr>
        <w:t xml:space="preserve">More recently, in </w:t>
      </w:r>
      <w:r w:rsidRPr="00426D76">
        <w:rPr>
          <w:rFonts w:ascii="Arial" w:hAnsi="Arial" w:cs="Arial"/>
          <w:i/>
          <w:iCs/>
          <w:sz w:val="20"/>
          <w:szCs w:val="20"/>
        </w:rPr>
        <w:t>DPP v Evans</w:t>
      </w:r>
      <w:r w:rsidRPr="00955C36">
        <w:rPr>
          <w:rFonts w:ascii="Arial" w:hAnsi="Arial" w:cs="Arial"/>
          <w:sz w:val="20"/>
          <w:szCs w:val="20"/>
        </w:rPr>
        <w:t xml:space="preserve"> </w:t>
      </w:r>
      <w:r>
        <w:rPr>
          <w:rFonts w:ascii="Arial" w:hAnsi="Arial" w:cs="Arial"/>
          <w:sz w:val="20"/>
          <w:szCs w:val="20"/>
        </w:rPr>
        <w:t xml:space="preserve">[2019] VSCA 239 </w:t>
      </w:r>
      <w:r w:rsidRPr="00955C36">
        <w:rPr>
          <w:rFonts w:ascii="Arial" w:hAnsi="Arial" w:cs="Arial"/>
          <w:sz w:val="20"/>
          <w:szCs w:val="20"/>
        </w:rPr>
        <w:t xml:space="preserve">this Court </w:t>
      </w:r>
      <w:r>
        <w:rPr>
          <w:rFonts w:ascii="Arial" w:hAnsi="Arial" w:cs="Arial"/>
          <w:sz w:val="20"/>
          <w:szCs w:val="20"/>
        </w:rPr>
        <w:t xml:space="preserve">(Maxwell P, T Forrest and Weinberg JJA) </w:t>
      </w:r>
      <w:r w:rsidRPr="00955C36">
        <w:rPr>
          <w:rFonts w:ascii="Arial" w:hAnsi="Arial" w:cs="Arial"/>
          <w:sz w:val="20"/>
          <w:szCs w:val="20"/>
        </w:rPr>
        <w:t>stated</w:t>
      </w:r>
      <w:r>
        <w:rPr>
          <w:rFonts w:ascii="Arial" w:hAnsi="Arial" w:cs="Arial"/>
          <w:sz w:val="20"/>
          <w:szCs w:val="20"/>
        </w:rPr>
        <w:t xml:space="preserve"> at [84]</w:t>
      </w:r>
      <w:r w:rsidRPr="00955C36">
        <w:rPr>
          <w:rFonts w:ascii="Arial" w:hAnsi="Arial" w:cs="Arial"/>
          <w:sz w:val="20"/>
          <w:szCs w:val="20"/>
        </w:rPr>
        <w:t>:</w:t>
      </w:r>
    </w:p>
    <w:p w14:paraId="213E3AA1" w14:textId="635ACA83" w:rsidR="00426D76" w:rsidRPr="00200E7B" w:rsidRDefault="00426D76" w:rsidP="00426D76">
      <w:pPr>
        <w:pStyle w:val="Normal-Indent"/>
        <w:widowControl/>
        <w:spacing w:before="60" w:line="240" w:lineRule="auto"/>
        <w:ind w:left="907" w:right="907"/>
        <w:rPr>
          <w:rFonts w:ascii="Arial" w:hAnsi="Arial" w:cs="Arial"/>
          <w:sz w:val="22"/>
          <w:szCs w:val="28"/>
        </w:rPr>
      </w:pPr>
      <w:r w:rsidRPr="00426D76">
        <w:rPr>
          <w:rFonts w:ascii="Arial" w:hAnsi="Arial" w:cs="Arial"/>
          <w:sz w:val="18"/>
          <w:szCs w:val="18"/>
        </w:rPr>
        <w:t>Violence of this kind is alarmingly widespread, and extremely harmful. It is never justified. The sentences imposed must convey that message strongly.</w:t>
      </w:r>
    </w:p>
    <w:p w14:paraId="5B5232EB" w14:textId="19878F7E"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[77] </w:t>
      </w:r>
      <w:r w:rsidRPr="00955C36">
        <w:rPr>
          <w:rFonts w:ascii="Arial" w:hAnsi="Arial" w:cs="Arial"/>
          <w:sz w:val="20"/>
          <w:szCs w:val="20"/>
        </w:rPr>
        <w:t>As these authorities make plain, general deterrence, public denunciation, just punishment and community protection must be the prominent sentencing factors when sentencing for family violence offending.</w:t>
      </w:r>
    </w:p>
    <w:p w14:paraId="3099A1C8" w14:textId="5A951AA9" w:rsidR="00B4159C" w:rsidRPr="00955C36" w:rsidRDefault="00B4159C" w:rsidP="00B4159C">
      <w:pPr>
        <w:spacing w:before="60"/>
        <w:ind w:left="340" w:right="340"/>
        <w:jc w:val="both"/>
        <w:textAlignment w:val="baseline"/>
        <w:rPr>
          <w:rFonts w:ascii="Arial" w:hAnsi="Arial" w:cs="Arial"/>
          <w:i/>
          <w:iCs/>
          <w:sz w:val="20"/>
          <w:szCs w:val="20"/>
          <w:lang w:eastAsia="en-AU"/>
        </w:rPr>
      </w:pPr>
      <w:r>
        <w:rPr>
          <w:rFonts w:ascii="Arial" w:hAnsi="Arial" w:cs="Arial"/>
          <w:i/>
          <w:iCs/>
          <w:sz w:val="20"/>
          <w:szCs w:val="20"/>
          <w:lang w:eastAsia="en-AU"/>
        </w:rPr>
        <w:t>Objective gravity of this offending</w:t>
      </w:r>
    </w:p>
    <w:p w14:paraId="3CD9E77A" w14:textId="590985DB"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[78] </w:t>
      </w:r>
      <w:r w:rsidRPr="00955C36">
        <w:rPr>
          <w:rFonts w:ascii="Arial" w:hAnsi="Arial" w:cs="Arial"/>
          <w:sz w:val="20"/>
          <w:szCs w:val="20"/>
        </w:rPr>
        <w:t>As the learned sentencing judge recognised, ‘this was a violent, protracted and vicious assault’.</w:t>
      </w:r>
    </w:p>
    <w:p w14:paraId="5D611B31" w14:textId="6F0547EF"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[79] </w:t>
      </w:r>
      <w:r w:rsidRPr="00955C36">
        <w:rPr>
          <w:rFonts w:ascii="Arial" w:hAnsi="Arial" w:cs="Arial"/>
          <w:sz w:val="20"/>
          <w:szCs w:val="20"/>
        </w:rPr>
        <w:t>The catalogue of his violent acts makes for disturbing reading involving, as it did, multiple punches to the complainant’s face and her head, kicking her, banging her face into the dashboard of a vehicle, and dragging her by her hair.</w:t>
      </w:r>
    </w:p>
    <w:p w14:paraId="5368DE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[80] </w:t>
      </w:r>
      <w:r w:rsidRPr="00955C36">
        <w:rPr>
          <w:rFonts w:ascii="Arial" w:hAnsi="Arial" w:cs="Arial"/>
          <w:sz w:val="20"/>
          <w:szCs w:val="20"/>
        </w:rPr>
        <w:t>The assault involved two instances of choking to the point of a loss of consciousness, once by the respondent’s hands, and the second time with a belt. Choking another person into unconsciousness is a pernicious and dangerous form of violence. The risk which such conduct entails cannot be ignored when assessing its gravity. It is potentially life-threatening.</w:t>
      </w:r>
      <w:r>
        <w:rPr>
          <w:rFonts w:ascii="Arial" w:hAnsi="Arial" w:cs="Arial"/>
          <w:sz w:val="20"/>
          <w:szCs w:val="20"/>
        </w:rPr>
        <w:t xml:space="preserve">  </w:t>
      </w:r>
      <w:r w:rsidR="00955C36" w:rsidRPr="00955C36">
        <w:rPr>
          <w:rFonts w:ascii="Arial" w:hAnsi="Arial" w:cs="Arial"/>
          <w:sz w:val="20"/>
          <w:szCs w:val="20"/>
        </w:rPr>
        <w:t>Within the context of domestic or family violence, choking represents a chilling exploitation of physical power or dominance.</w:t>
      </w:r>
    </w:p>
    <w:p w14:paraId="423B047D"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81</w:t>
      </w:r>
      <w:r>
        <w:rPr>
          <w:rFonts w:ascii="Arial" w:hAnsi="Arial" w:cs="Arial"/>
          <w:sz w:val="20"/>
          <w:szCs w:val="20"/>
        </w:rPr>
        <w:t>]</w:t>
      </w:r>
      <w:r w:rsidR="00955C36" w:rsidRPr="00955C36">
        <w:rPr>
          <w:rFonts w:ascii="Arial" w:hAnsi="Arial" w:cs="Arial"/>
          <w:sz w:val="20"/>
          <w:szCs w:val="20"/>
        </w:rPr>
        <w:t xml:space="preserve"> The offending also involved an element of degradation, exemplified by the respondent dragging the complainant into the house and removing her clothing (leaving in her underwear) whilst he continued with his assault.</w:t>
      </w:r>
    </w:p>
    <w:p w14:paraId="1F54B891"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82</w:t>
      </w:r>
      <w:r>
        <w:rPr>
          <w:rFonts w:ascii="Arial" w:hAnsi="Arial" w:cs="Arial"/>
          <w:sz w:val="20"/>
          <w:szCs w:val="20"/>
        </w:rPr>
        <w:t>]</w:t>
      </w:r>
      <w:r w:rsidR="00955C36" w:rsidRPr="00955C36">
        <w:rPr>
          <w:rFonts w:ascii="Arial" w:hAnsi="Arial" w:cs="Arial"/>
          <w:sz w:val="20"/>
          <w:szCs w:val="20"/>
        </w:rPr>
        <w:t xml:space="preserve"> This violence lasted nearly 90 minutes and was perpetrated over multiple locations.</w:t>
      </w:r>
    </w:p>
    <w:p w14:paraId="3F5FF1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83</w:t>
      </w:r>
      <w:r>
        <w:rPr>
          <w:rFonts w:ascii="Arial" w:hAnsi="Arial" w:cs="Arial"/>
          <w:sz w:val="20"/>
          <w:szCs w:val="20"/>
        </w:rPr>
        <w:t>]</w:t>
      </w:r>
      <w:r w:rsidR="00955C36" w:rsidRPr="00955C36">
        <w:rPr>
          <w:rFonts w:ascii="Arial" w:hAnsi="Arial" w:cs="Arial"/>
          <w:sz w:val="20"/>
          <w:szCs w:val="20"/>
        </w:rPr>
        <w:t xml:space="preserve"> Consistent with multiple applications of blunt force trauma, the complainant suffered two facial fractures, altered vision, paraesthesia, dizziness, some temporary cognitive difficulties and extensive bruising to her chest, arms, neck, head, back and legs.</w:t>
      </w:r>
    </w:p>
    <w:p w14:paraId="71DD0DE6"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84</w:t>
      </w:r>
      <w:r>
        <w:rPr>
          <w:rFonts w:ascii="Arial" w:hAnsi="Arial" w:cs="Arial"/>
          <w:sz w:val="20"/>
          <w:szCs w:val="20"/>
        </w:rPr>
        <w:t>]</w:t>
      </w:r>
      <w:r w:rsidR="00955C36" w:rsidRPr="00955C36">
        <w:rPr>
          <w:rFonts w:ascii="Arial" w:hAnsi="Arial" w:cs="Arial"/>
          <w:sz w:val="20"/>
          <w:szCs w:val="20"/>
        </w:rPr>
        <w:t xml:space="preserve"> Blunt force trauma applied to the head and face carries obvious risks to the brain and eyes.</w:t>
      </w:r>
      <w:r>
        <w:rPr>
          <w:rFonts w:ascii="Arial" w:hAnsi="Arial" w:cs="Arial"/>
          <w:sz w:val="20"/>
          <w:szCs w:val="20"/>
        </w:rPr>
        <w:t xml:space="preserve">  </w:t>
      </w:r>
      <w:r w:rsidR="00955C36" w:rsidRPr="00955C36">
        <w:rPr>
          <w:rFonts w:ascii="Arial" w:hAnsi="Arial" w:cs="Arial"/>
          <w:sz w:val="20"/>
          <w:szCs w:val="20"/>
        </w:rPr>
        <w:t>In this case, it did result in a facture around the complainant’s right eye socket. While the injury was managed conservatively (without surgical intervention), this should not imply that the injury was insignificant. Based upon the medical evidence tendered on the plea, this was described as a vision-jeopardising injury requiring close monitoring.</w:t>
      </w:r>
    </w:p>
    <w:p w14:paraId="1C8712A7"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85</w:t>
      </w:r>
      <w:r>
        <w:rPr>
          <w:rFonts w:ascii="Arial" w:hAnsi="Arial" w:cs="Arial"/>
          <w:sz w:val="20"/>
          <w:szCs w:val="20"/>
        </w:rPr>
        <w:t>]</w:t>
      </w:r>
      <w:r w:rsidR="00955C36" w:rsidRPr="00955C36">
        <w:rPr>
          <w:rFonts w:ascii="Arial" w:hAnsi="Arial" w:cs="Arial"/>
          <w:sz w:val="20"/>
          <w:szCs w:val="20"/>
        </w:rPr>
        <w:t xml:space="preserve"> Although the complainant has made a physical recovery from her injuries, the injuries were sufficiently substantial that the complainant remained in hospital for nine days.</w:t>
      </w:r>
    </w:p>
    <w:p w14:paraId="0BBB46CF"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86</w:t>
      </w:r>
      <w:r>
        <w:rPr>
          <w:rFonts w:ascii="Arial" w:hAnsi="Arial" w:cs="Arial"/>
          <w:sz w:val="20"/>
          <w:szCs w:val="20"/>
        </w:rPr>
        <w:t>]</w:t>
      </w:r>
      <w:r w:rsidR="00955C36" w:rsidRPr="00955C36">
        <w:rPr>
          <w:rFonts w:ascii="Arial" w:hAnsi="Arial" w:cs="Arial"/>
          <w:sz w:val="20"/>
          <w:szCs w:val="20"/>
        </w:rPr>
        <w:t xml:space="preserve"> While keeping firmly in mind that the respondent fell to be sentenced for the offence of intentionally causing injury, not serious injury, the injuries she sustained were nevertheless extensive and significant.</w:t>
      </w:r>
    </w:p>
    <w:p w14:paraId="60E70977" w14:textId="731225C6" w:rsidR="00955C36" w:rsidRPr="00B4159C" w:rsidRDefault="00B4159C" w:rsidP="00B4159C">
      <w:pPr>
        <w:spacing w:before="60"/>
        <w:ind w:left="340" w:right="340"/>
        <w:jc w:val="both"/>
        <w:textAlignment w:val="baseline"/>
        <w:rPr>
          <w:rFonts w:ascii="Arial" w:hAnsi="Arial" w:cs="Arial"/>
          <w:sz w:val="20"/>
          <w:szCs w:val="20"/>
          <w:lang w:eastAsia="en-AU"/>
        </w:rPr>
      </w:pPr>
      <w:r>
        <w:rPr>
          <w:rFonts w:ascii="Arial" w:hAnsi="Arial" w:cs="Arial"/>
          <w:sz w:val="20"/>
          <w:szCs w:val="20"/>
        </w:rPr>
        <w:t>[</w:t>
      </w:r>
      <w:r w:rsidR="00955C36" w:rsidRPr="00955C36">
        <w:rPr>
          <w:rFonts w:ascii="Arial" w:hAnsi="Arial" w:cs="Arial"/>
          <w:sz w:val="20"/>
          <w:szCs w:val="20"/>
        </w:rPr>
        <w:t>87</w:t>
      </w:r>
      <w:r>
        <w:rPr>
          <w:rFonts w:ascii="Arial" w:hAnsi="Arial" w:cs="Arial"/>
          <w:sz w:val="20"/>
          <w:szCs w:val="20"/>
        </w:rPr>
        <w:t>]</w:t>
      </w:r>
      <w:r w:rsidR="00955C36" w:rsidRPr="00955C36">
        <w:rPr>
          <w:rFonts w:ascii="Arial" w:hAnsi="Arial" w:cs="Arial"/>
          <w:sz w:val="20"/>
          <w:szCs w:val="20"/>
        </w:rPr>
        <w:t xml:space="preserve"> When regard is had to the nature of the injuries caused, and to the manner in which the injuries were inflicted (including the family violence setting), it becomes apparent that the sentencing judge’s finding that this offence sits ‘at the high end of the scale of objective gravity’ for intentionally causing injury was clearly correct. With that characterisation in mind, it is timely to recall that this offence carries a maximum of 10 years imprisonment.</w:t>
      </w:r>
      <w:r>
        <w:rPr>
          <w:rFonts w:ascii="Arial" w:hAnsi="Arial" w:cs="Arial"/>
          <w:sz w:val="20"/>
          <w:szCs w:val="20"/>
        </w:rPr>
        <w:t>”</w:t>
      </w:r>
    </w:p>
    <w:p w14:paraId="1A62FB1E" w14:textId="2EEA9A88" w:rsidR="00955C36" w:rsidRDefault="00955C36" w:rsidP="00955C36">
      <w:pPr>
        <w:jc w:val="both"/>
        <w:rPr>
          <w:rFonts w:ascii="Arial" w:hAnsi="Arial" w:cs="Arial"/>
          <w:color w:val="000000"/>
          <w:sz w:val="20"/>
        </w:rPr>
      </w:pPr>
    </w:p>
    <w:p w14:paraId="3F9A4DB9" w14:textId="58954749" w:rsidR="00955C36" w:rsidRDefault="00B4159C" w:rsidP="002A5A73">
      <w:pPr>
        <w:pStyle w:val="Heading2"/>
        <w:widowControl/>
        <w:tabs>
          <w:tab w:val="left" w:pos="567"/>
        </w:tabs>
        <w:spacing w:line="240" w:lineRule="auto"/>
        <w:rPr>
          <w:rFonts w:ascii="Arial" w:hAnsi="Arial" w:cs="Arial"/>
          <w:sz w:val="20"/>
        </w:rPr>
      </w:pPr>
      <w:r>
        <w:rPr>
          <w:rFonts w:ascii="Arial" w:hAnsi="Arial" w:cs="Arial"/>
          <w:sz w:val="20"/>
        </w:rPr>
        <w:t>However, Priest JA dissented and would have dismissed the appeal.  At [1]-[5] his Honour said</w:t>
      </w:r>
      <w:r w:rsidR="002A5A73">
        <w:rPr>
          <w:rFonts w:ascii="Arial" w:hAnsi="Arial" w:cs="Arial"/>
          <w:sz w:val="20"/>
        </w:rPr>
        <w:t xml:space="preserve"> (emphasis added)</w:t>
      </w:r>
      <w:r>
        <w:rPr>
          <w:rFonts w:ascii="Arial" w:hAnsi="Arial" w:cs="Arial"/>
          <w:sz w:val="20"/>
        </w:rPr>
        <w:t>:</w:t>
      </w:r>
    </w:p>
    <w:p w14:paraId="4F1B32C4" w14:textId="107982B9" w:rsidR="00B4159C" w:rsidRDefault="00B4159C" w:rsidP="00B4159C">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[1] “</w:t>
      </w:r>
      <w:r w:rsidRPr="00B4159C">
        <w:rPr>
          <w:rFonts w:ascii="Arial" w:hAnsi="Arial" w:cs="Arial"/>
          <w:sz w:val="20"/>
          <w:szCs w:val="16"/>
        </w:rPr>
        <w:t>Conscious that the Court ought not countenance a sentence that is ‘weakly merciful’</w:t>
      </w:r>
      <w:r>
        <w:rPr>
          <w:rFonts w:ascii="Arial" w:hAnsi="Arial" w:cs="Arial"/>
          <w:sz w:val="20"/>
          <w:szCs w:val="16"/>
        </w:rPr>
        <w:t xml:space="preserve"> (s</w:t>
      </w:r>
      <w:r w:rsidRPr="00B4159C">
        <w:rPr>
          <w:rFonts w:ascii="Arial" w:hAnsi="Arial" w:cs="Arial"/>
          <w:sz w:val="20"/>
          <w:szCs w:val="16"/>
        </w:rPr>
        <w:t xml:space="preserve">ee </w:t>
      </w:r>
      <w:r w:rsidRPr="00B4159C">
        <w:rPr>
          <w:rFonts w:ascii="Arial" w:hAnsi="Arial" w:cs="Arial"/>
          <w:i/>
          <w:iCs/>
          <w:sz w:val="20"/>
          <w:szCs w:val="16"/>
        </w:rPr>
        <w:t>R v Radich</w:t>
      </w:r>
      <w:r w:rsidRPr="00B4159C">
        <w:rPr>
          <w:rFonts w:ascii="Arial" w:hAnsi="Arial" w:cs="Arial"/>
          <w:sz w:val="20"/>
          <w:szCs w:val="16"/>
        </w:rPr>
        <w:t xml:space="preserve"> [1954] NZLR 86, 87; </w:t>
      </w:r>
      <w:r w:rsidRPr="00B4159C">
        <w:rPr>
          <w:rFonts w:ascii="Arial" w:hAnsi="Arial" w:cs="Arial"/>
          <w:i/>
          <w:iCs/>
          <w:sz w:val="20"/>
          <w:szCs w:val="16"/>
        </w:rPr>
        <w:t>R v Williscroft</w:t>
      </w:r>
      <w:r w:rsidRPr="00B4159C">
        <w:rPr>
          <w:rFonts w:ascii="Arial" w:hAnsi="Arial" w:cs="Arial"/>
          <w:sz w:val="20"/>
          <w:szCs w:val="16"/>
        </w:rPr>
        <w:t xml:space="preserve"> [1975] VR 292, 298 (Adam and Crockett JJ)</w:t>
      </w:r>
      <w:r>
        <w:rPr>
          <w:rFonts w:ascii="Arial" w:hAnsi="Arial" w:cs="Arial"/>
          <w:sz w:val="20"/>
          <w:szCs w:val="16"/>
        </w:rPr>
        <w:t xml:space="preserve">; </w:t>
      </w:r>
      <w:r>
        <w:rPr>
          <w:rFonts w:ascii="Arial" w:hAnsi="Arial" w:cs="Arial"/>
          <w:sz w:val="20"/>
          <w:szCs w:val="16"/>
        </w:rPr>
        <w:lastRenderedPageBreak/>
        <w:t>s</w:t>
      </w:r>
      <w:r w:rsidRPr="00B4159C">
        <w:rPr>
          <w:rFonts w:ascii="Arial" w:hAnsi="Arial" w:cs="Arial"/>
          <w:sz w:val="20"/>
          <w:szCs w:val="16"/>
        </w:rPr>
        <w:t xml:space="preserve">ee also </w:t>
      </w:r>
      <w:r w:rsidRPr="00B4159C">
        <w:rPr>
          <w:rFonts w:ascii="Arial" w:hAnsi="Arial" w:cs="Arial"/>
          <w:i/>
          <w:iCs/>
          <w:sz w:val="20"/>
          <w:szCs w:val="16"/>
        </w:rPr>
        <w:t>R v Miceli</w:t>
      </w:r>
      <w:r w:rsidRPr="00B4159C">
        <w:rPr>
          <w:rFonts w:ascii="Arial" w:hAnsi="Arial" w:cs="Arial"/>
          <w:sz w:val="20"/>
          <w:szCs w:val="16"/>
        </w:rPr>
        <w:t xml:space="preserve"> [1998] 4 VR 588; Richard G Fox, When Justice Sheds a Tear: The Place of Mercy in Sentencing, (1999) 25 Monash University Law Review 1, 3</w:t>
      </w:r>
      <w:r>
        <w:rPr>
          <w:rFonts w:ascii="Arial" w:hAnsi="Arial" w:cs="Arial"/>
          <w:sz w:val="20"/>
          <w:szCs w:val="16"/>
        </w:rPr>
        <w:t>)</w:t>
      </w:r>
      <w:r w:rsidRPr="00B4159C">
        <w:rPr>
          <w:rFonts w:ascii="Arial" w:hAnsi="Arial" w:cs="Arial"/>
          <w:sz w:val="20"/>
          <w:szCs w:val="16"/>
        </w:rPr>
        <w:t>, after much reflection I</w:t>
      </w:r>
      <w:r>
        <w:rPr>
          <w:rFonts w:ascii="Arial" w:hAnsi="Arial" w:cs="Arial"/>
          <w:sz w:val="20"/>
          <w:szCs w:val="16"/>
        </w:rPr>
        <w:t> </w:t>
      </w:r>
      <w:r w:rsidRPr="00B4159C">
        <w:rPr>
          <w:rFonts w:ascii="Arial" w:hAnsi="Arial" w:cs="Arial"/>
          <w:sz w:val="20"/>
          <w:szCs w:val="16"/>
        </w:rPr>
        <w:t>have concluded that this appeal against sentence should be dismissed</w:t>
      </w:r>
      <w:r>
        <w:rPr>
          <w:rFonts w:ascii="Arial" w:hAnsi="Arial" w:cs="Arial"/>
          <w:sz w:val="20"/>
          <w:szCs w:val="16"/>
        </w:rPr>
        <w:t>…</w:t>
      </w:r>
    </w:p>
    <w:p w14:paraId="6F7DDF7D" w14:textId="77777777" w:rsidR="002A5A73" w:rsidRDefault="00B4159C" w:rsidP="00B4159C">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 xml:space="preserve">[2] </w:t>
      </w:r>
      <w:r w:rsidRPr="00B4159C">
        <w:rPr>
          <w:rFonts w:ascii="Arial" w:hAnsi="Arial" w:cs="Arial"/>
          <w:sz w:val="20"/>
          <w:szCs w:val="16"/>
        </w:rPr>
        <w:t xml:space="preserve">Several things in this appeal have given me pause, principal among them being the lengthy delay in the matter being finalised; the very significant reformation undergone by the respondent in the meantime; </w:t>
      </w:r>
      <w:r w:rsidRPr="00B4159C">
        <w:rPr>
          <w:rFonts w:ascii="Arial" w:hAnsi="Arial" w:cs="Arial"/>
          <w:b/>
          <w:bCs/>
          <w:sz w:val="20"/>
          <w:szCs w:val="16"/>
        </w:rPr>
        <w:t>and the attitude of the respondent’s victims, who will be subjected to significant additional trauma flowing directly from the respondent’s imprisonment</w:t>
      </w:r>
      <w:r w:rsidRPr="00B4159C">
        <w:rPr>
          <w:rFonts w:ascii="Arial" w:hAnsi="Arial" w:cs="Arial"/>
          <w:sz w:val="20"/>
          <w:szCs w:val="16"/>
        </w:rPr>
        <w:t>. Ultimately, I have concluded that, notwithstanding the very serious nature of the respondent’s offending, the imposition of an effective term of imprisonment of almost 10</w:t>
      </w:r>
      <w:r w:rsidR="002A5A73">
        <w:rPr>
          <w:rFonts w:ascii="Arial" w:hAnsi="Arial" w:cs="Arial"/>
          <w:sz w:val="20"/>
          <w:szCs w:val="16"/>
        </w:rPr>
        <w:t> </w:t>
      </w:r>
      <w:r w:rsidRPr="00B4159C">
        <w:rPr>
          <w:rFonts w:ascii="Arial" w:hAnsi="Arial" w:cs="Arial"/>
          <w:sz w:val="20"/>
          <w:szCs w:val="16"/>
        </w:rPr>
        <w:t>months in length, coupled with concurrent community correction orders of a duration of two years and eight months, was within the range of sentences open to the sentencing judge in the sound exercise of the sentencing discretion.</w:t>
      </w:r>
    </w:p>
    <w:p w14:paraId="20989BE5" w14:textId="172D810F" w:rsidR="00B4159C" w:rsidRDefault="002A5A73" w:rsidP="00B4159C">
      <w:pPr>
        <w:pStyle w:val="Heading2"/>
        <w:widowControl/>
        <w:tabs>
          <w:tab w:val="left" w:pos="567"/>
        </w:tabs>
        <w:spacing w:before="60" w:line="240" w:lineRule="auto"/>
        <w:ind w:left="340" w:right="340"/>
        <w:rPr>
          <w:rFonts w:ascii="Arial" w:hAnsi="Arial" w:cs="Arial"/>
          <w:sz w:val="20"/>
        </w:rPr>
      </w:pPr>
      <w:r>
        <w:rPr>
          <w:rFonts w:ascii="Arial" w:hAnsi="Arial" w:cs="Arial"/>
          <w:sz w:val="20"/>
          <w:szCs w:val="16"/>
        </w:rPr>
        <w:t>[</w:t>
      </w:r>
      <w:r w:rsidR="00B4159C" w:rsidRPr="00B4159C">
        <w:rPr>
          <w:rFonts w:ascii="Arial" w:hAnsi="Arial" w:cs="Arial"/>
          <w:sz w:val="20"/>
          <w:szCs w:val="16"/>
        </w:rPr>
        <w:t>3</w:t>
      </w:r>
      <w:r>
        <w:rPr>
          <w:rFonts w:ascii="Arial" w:hAnsi="Arial" w:cs="Arial"/>
          <w:sz w:val="20"/>
          <w:szCs w:val="16"/>
        </w:rPr>
        <w:t>]</w:t>
      </w:r>
      <w:r w:rsidR="00B4159C" w:rsidRPr="00B4159C">
        <w:rPr>
          <w:rFonts w:ascii="Arial" w:hAnsi="Arial" w:cs="Arial"/>
          <w:sz w:val="20"/>
          <w:szCs w:val="16"/>
        </w:rPr>
        <w:t xml:space="preserve"> In </w:t>
      </w:r>
      <w:r w:rsidR="00B4159C" w:rsidRPr="002A5A73">
        <w:rPr>
          <w:rFonts w:ascii="Arial" w:hAnsi="Arial" w:cs="Arial"/>
          <w:i/>
          <w:iCs/>
          <w:sz w:val="20"/>
          <w:szCs w:val="16"/>
        </w:rPr>
        <w:t>Williscroft</w:t>
      </w:r>
      <w:r w:rsidR="00B4159C" w:rsidRPr="00B4159C">
        <w:rPr>
          <w:rFonts w:ascii="Arial" w:hAnsi="Arial" w:cs="Arial"/>
          <w:sz w:val="20"/>
          <w:szCs w:val="16"/>
        </w:rPr>
        <w:t>, a prosecution appeal, Starke J (in dissent as to result) observed</w:t>
      </w:r>
      <w:r>
        <w:rPr>
          <w:rFonts w:ascii="Arial" w:hAnsi="Arial" w:cs="Arial"/>
          <w:sz w:val="20"/>
          <w:szCs w:val="16"/>
        </w:rPr>
        <w:t xml:space="preserve"> at 303-4</w:t>
      </w:r>
      <w:r w:rsidR="00B4159C" w:rsidRPr="00B4159C">
        <w:rPr>
          <w:rFonts w:ascii="Arial" w:hAnsi="Arial" w:cs="Arial"/>
          <w:sz w:val="20"/>
          <w:szCs w:val="16"/>
        </w:rPr>
        <w:t>:</w:t>
      </w:r>
    </w:p>
    <w:p w14:paraId="60C72E43" w14:textId="10EC7C30" w:rsidR="002A5A73" w:rsidRPr="00426D76" w:rsidRDefault="002A5A73" w:rsidP="005D46C5">
      <w:pPr>
        <w:pStyle w:val="Normal-Indent"/>
        <w:widowControl/>
        <w:spacing w:before="60" w:line="240" w:lineRule="auto"/>
        <w:ind w:left="907" w:right="907"/>
        <w:rPr>
          <w:rFonts w:ascii="Arial" w:hAnsi="Arial" w:cs="Arial"/>
          <w:sz w:val="20"/>
          <w:szCs w:val="24"/>
        </w:rPr>
      </w:pPr>
      <w:r w:rsidRPr="002A5A73">
        <w:rPr>
          <w:rFonts w:ascii="Arial" w:hAnsi="Arial" w:cs="Arial"/>
          <w:sz w:val="18"/>
          <w:szCs w:val="14"/>
        </w:rPr>
        <w:t>It cannot be, I think, that in all cases and as to all crimes the element of deterrence is the main consideration and the element of reformation or rehabilitation subsidiary to it. Depending on the circumstances and the nature of the crime, sometimes more weight will be given to the reformatory element than to deterrence, and sometimes the opposite will be the case. Deterrence, of course, has two aspects; one is deterrence of the actual offenders, and the other is deterrence of other people who might be minded to commit similar crimes. For practical purposes the only other element of punishment remaining today is, I think, a consideration of the protection of the public at large, or prevention. Retribution as an element of punishment has by now, in my opinion, disappeared, or practically disappeared, from our criminal law. It is often taken for granted that if leniency for the purpose of rehabilitation is extended to a prisoner when the judge is passing sentence, that this leniency bestows a benefit on the individual alone. Nothing, in my opinion, is further from the truth. Reformation should be the primary objective of the criminal law. The greater the success that can be achieved in this direction, the greater the benefit to the community.</w:t>
      </w:r>
    </w:p>
    <w:p w14:paraId="0C6ADF04" w14:textId="77777777" w:rsidR="002A5A73" w:rsidRDefault="002A5A73" w:rsidP="002A5A73">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 xml:space="preserve">[4] </w:t>
      </w:r>
      <w:r w:rsidRPr="00B4159C">
        <w:rPr>
          <w:rFonts w:ascii="Arial" w:hAnsi="Arial" w:cs="Arial"/>
          <w:sz w:val="20"/>
          <w:szCs w:val="16"/>
        </w:rPr>
        <w:t>On one level, the underlying purpose of all criminal law — and, as an aspect of it, sentencing — is</w:t>
      </w:r>
      <w:r>
        <w:rPr>
          <w:rFonts w:ascii="Arial" w:hAnsi="Arial" w:cs="Arial"/>
          <w:sz w:val="20"/>
          <w:szCs w:val="16"/>
        </w:rPr>
        <w:t xml:space="preserve"> </w:t>
      </w:r>
      <w:r w:rsidRPr="00B4159C">
        <w:rPr>
          <w:rFonts w:ascii="Arial" w:hAnsi="Arial" w:cs="Arial"/>
          <w:sz w:val="20"/>
          <w:szCs w:val="16"/>
        </w:rPr>
        <w:t>the protection of the community.</w:t>
      </w:r>
      <w:r>
        <w:rPr>
          <w:rFonts w:ascii="Arial" w:hAnsi="Arial" w:cs="Arial"/>
          <w:sz w:val="20"/>
          <w:szCs w:val="16"/>
        </w:rPr>
        <w:t xml:space="preserve">  </w:t>
      </w:r>
      <w:r w:rsidRPr="00B4159C">
        <w:rPr>
          <w:rFonts w:ascii="Arial" w:hAnsi="Arial" w:cs="Arial"/>
          <w:sz w:val="20"/>
          <w:szCs w:val="16"/>
        </w:rPr>
        <w:t>As to that, one often sees it suggested (at least by implication) that community protection is promoted only by lengthy, punitive sentences of imprisonment. With respect, however, the views expressed by Starke J have much to commend them. Leniency extended to an individual in sentencing to promote his or her rehabilitation may often be of greater benefit to the community</w:t>
      </w:r>
      <w:r>
        <w:rPr>
          <w:rFonts w:ascii="Arial" w:hAnsi="Arial" w:cs="Arial"/>
          <w:sz w:val="20"/>
        </w:rPr>
        <w:t xml:space="preserve"> </w:t>
      </w:r>
      <w:r w:rsidR="00B4159C" w:rsidRPr="00B4159C">
        <w:rPr>
          <w:rFonts w:ascii="Arial" w:hAnsi="Arial" w:cs="Arial"/>
          <w:sz w:val="20"/>
          <w:szCs w:val="16"/>
        </w:rPr>
        <w:t>and offer greater protection to the public at large — than a sentence that has a largely retributive component. Indeed, those experienced in the criminal law know that leniency extended at a particular stage of an offender’s life may pave the path to reform.4 This appears to me to be such a case.</w:t>
      </w:r>
    </w:p>
    <w:p w14:paraId="44A1F600" w14:textId="37787A9E" w:rsidR="00B4159C" w:rsidRPr="002A5A73" w:rsidRDefault="002A5A73" w:rsidP="002A5A73">
      <w:pPr>
        <w:pStyle w:val="Heading2"/>
        <w:widowControl/>
        <w:tabs>
          <w:tab w:val="left" w:pos="567"/>
        </w:tabs>
        <w:spacing w:before="60" w:line="240" w:lineRule="auto"/>
        <w:ind w:left="340" w:right="340"/>
        <w:rPr>
          <w:rFonts w:ascii="Arial" w:hAnsi="Arial" w:cs="Arial"/>
          <w:sz w:val="20"/>
        </w:rPr>
      </w:pPr>
      <w:r>
        <w:rPr>
          <w:rFonts w:ascii="Arial" w:hAnsi="Arial" w:cs="Arial"/>
          <w:sz w:val="20"/>
          <w:szCs w:val="16"/>
        </w:rPr>
        <w:t>[</w:t>
      </w:r>
      <w:r w:rsidR="00B4159C" w:rsidRPr="00B4159C">
        <w:rPr>
          <w:rFonts w:ascii="Arial" w:hAnsi="Arial" w:cs="Arial"/>
          <w:sz w:val="20"/>
          <w:szCs w:val="16"/>
        </w:rPr>
        <w:t>5</w:t>
      </w:r>
      <w:r>
        <w:rPr>
          <w:rFonts w:ascii="Arial" w:hAnsi="Arial" w:cs="Arial"/>
          <w:sz w:val="20"/>
          <w:szCs w:val="16"/>
        </w:rPr>
        <w:t>]</w:t>
      </w:r>
      <w:r w:rsidR="00B4159C" w:rsidRPr="00B4159C">
        <w:rPr>
          <w:rFonts w:ascii="Arial" w:hAnsi="Arial" w:cs="Arial"/>
          <w:sz w:val="20"/>
          <w:szCs w:val="16"/>
        </w:rPr>
        <w:t xml:space="preserve"> The provisions of s 5(1) of the Sentencing Act 1991 make it clear that the ‘only purposes for which sentences may be imposed’ are to: punish an offender (to an extent and in a manner which is just in all of the circumstances); deter him or her or others from committing offences of the same or a similar character; facilitate his or her rehabilitation; denounce his or her conduct; protect the community; or a combination of two or more of those purposes. Although those purposes will often pull in different directions, there will be occasions — as I have indicated, I</w:t>
      </w:r>
      <w:r>
        <w:rPr>
          <w:rFonts w:ascii="Arial" w:hAnsi="Arial" w:cs="Arial"/>
          <w:sz w:val="20"/>
          <w:szCs w:val="16"/>
        </w:rPr>
        <w:t> </w:t>
      </w:r>
      <w:r w:rsidR="00B4159C" w:rsidRPr="00B4159C">
        <w:rPr>
          <w:rFonts w:ascii="Arial" w:hAnsi="Arial" w:cs="Arial"/>
          <w:sz w:val="20"/>
          <w:szCs w:val="16"/>
        </w:rPr>
        <w:t>consider this to be one — where a sentence fostering rehabilitation will be more effective in promoting community protection than a relatively lengthy sentence of imprisonment.</w:t>
      </w:r>
    </w:p>
    <w:p w14:paraId="4CE836AB" w14:textId="2404DCB0" w:rsidR="00955C36" w:rsidRPr="00C67622" w:rsidRDefault="00955C36" w:rsidP="00BB0242">
      <w:pPr>
        <w:pStyle w:val="Heading2"/>
        <w:widowControl/>
        <w:tabs>
          <w:tab w:val="left" w:pos="567"/>
        </w:tabs>
        <w:spacing w:line="240" w:lineRule="auto"/>
        <w:ind w:left="567" w:hanging="567"/>
        <w:rPr>
          <w:rFonts w:ascii="Arial" w:hAnsi="Arial" w:cs="Arial"/>
          <w:sz w:val="20"/>
        </w:rPr>
      </w:pPr>
    </w:p>
    <w:p w14:paraId="699304E1" w14:textId="1B697F3D" w:rsidR="002A5A73" w:rsidRPr="00382DB0" w:rsidRDefault="00382DB0" w:rsidP="00BB0242">
      <w:pPr>
        <w:pStyle w:val="Heading2"/>
        <w:widowControl/>
        <w:tabs>
          <w:tab w:val="left" w:pos="567"/>
        </w:tabs>
        <w:spacing w:line="240" w:lineRule="auto"/>
        <w:ind w:left="567" w:hanging="567"/>
        <w:rPr>
          <w:rFonts w:ascii="Arial" w:hAnsi="Arial" w:cs="Arial"/>
          <w:sz w:val="20"/>
        </w:rPr>
      </w:pPr>
      <w:r w:rsidRPr="00382DB0">
        <w:rPr>
          <w:rFonts w:ascii="Arial" w:hAnsi="Arial" w:cs="Arial"/>
          <w:sz w:val="20"/>
        </w:rPr>
        <w:t>His Honour continued at [13]-[</w:t>
      </w:r>
      <w:r w:rsidR="00CA4C6D">
        <w:rPr>
          <w:rFonts w:ascii="Arial" w:hAnsi="Arial" w:cs="Arial"/>
          <w:sz w:val="20"/>
        </w:rPr>
        <w:t>19</w:t>
      </w:r>
      <w:r w:rsidRPr="00382DB0">
        <w:rPr>
          <w:rFonts w:ascii="Arial" w:hAnsi="Arial" w:cs="Arial"/>
          <w:sz w:val="20"/>
        </w:rPr>
        <w:t>]:</w:t>
      </w:r>
    </w:p>
    <w:p w14:paraId="1A923009" w14:textId="77777777" w:rsidR="00382DB0"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[13] “</w:t>
      </w:r>
      <w:r w:rsidRPr="00382DB0">
        <w:rPr>
          <w:rFonts w:ascii="Arial" w:hAnsi="Arial" w:cs="Arial"/>
          <w:sz w:val="20"/>
          <w:szCs w:val="16"/>
        </w:rPr>
        <w:t>Given the judge’s findings, it was, as I have said, plainly open to her to give full weight to the supportive statements made by the respondent’s wife and children, the principal victims of his offending. They made it clear that the respondent had turned his life around, and that they had forgiven him because he had demonstrated ‘remorse, reflection and reformation’.</w:t>
      </w:r>
    </w:p>
    <w:p w14:paraId="075B85FD" w14:textId="77777777" w:rsidR="00382DB0"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14</w:t>
      </w:r>
      <w:r>
        <w:rPr>
          <w:rFonts w:ascii="Arial" w:hAnsi="Arial" w:cs="Arial"/>
          <w:sz w:val="20"/>
          <w:szCs w:val="16"/>
        </w:rPr>
        <w:t>]</w:t>
      </w:r>
      <w:r w:rsidRPr="00382DB0">
        <w:rPr>
          <w:rFonts w:ascii="Arial" w:hAnsi="Arial" w:cs="Arial"/>
          <w:sz w:val="20"/>
          <w:szCs w:val="16"/>
        </w:rPr>
        <w:t xml:space="preserve"> Notwithstanding that forgiveness, an unhappy ramification of the orders proposed in the joint reasons is that the respondent’s wife and children will endure additional suffering through being deprived of their husband and father. No doubt that suffering will be exacerbated by the knowledge that the sentence that will be imposed by this Court will almost inevitably result in the respondent’s deportation to New Zealand, the family then being faced with the unpalatable choice of following him, or remaining in Australia — where they have made their lives — without him.</w:t>
      </w:r>
    </w:p>
    <w:p w14:paraId="46315D64" w14:textId="0866E5DF" w:rsidR="00382DB0" w:rsidRDefault="00382DB0" w:rsidP="0004310F">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15</w:t>
      </w:r>
      <w:r>
        <w:rPr>
          <w:rFonts w:ascii="Arial" w:hAnsi="Arial" w:cs="Arial"/>
          <w:sz w:val="20"/>
          <w:szCs w:val="16"/>
        </w:rPr>
        <w:t>]</w:t>
      </w:r>
      <w:r w:rsidRPr="00382DB0">
        <w:rPr>
          <w:rFonts w:ascii="Arial" w:hAnsi="Arial" w:cs="Arial"/>
          <w:sz w:val="20"/>
          <w:szCs w:val="16"/>
        </w:rPr>
        <w:t xml:space="preserve"> </w:t>
      </w:r>
      <w:r w:rsidR="0004310F">
        <w:rPr>
          <w:rFonts w:ascii="Arial" w:hAnsi="Arial" w:cs="Arial"/>
          <w:sz w:val="20"/>
          <w:szCs w:val="16"/>
        </w:rPr>
        <w:t>B</w:t>
      </w:r>
      <w:r w:rsidR="0004310F" w:rsidRPr="00382DB0">
        <w:rPr>
          <w:rFonts w:ascii="Arial" w:hAnsi="Arial" w:cs="Arial"/>
          <w:sz w:val="20"/>
          <w:szCs w:val="16"/>
        </w:rPr>
        <w:t xml:space="preserve">y reason of ss 501(3A), (6)(a) and (7)(c) of the Migration Act 1958 (Cth), the Minister for Immigration must cancel a person’s visa if the person has been sentenced to a term of imprisonment of 12 months or more. Under ss 500(1)(ba) and 501CA, however, the Minister may revoke the cancellation if satisfied that there is a reason to do so and the person may </w:t>
      </w:r>
      <w:r w:rsidR="0004310F" w:rsidRPr="00382DB0">
        <w:rPr>
          <w:rFonts w:ascii="Arial" w:hAnsi="Arial" w:cs="Arial"/>
          <w:sz w:val="20"/>
          <w:szCs w:val="16"/>
        </w:rPr>
        <w:lastRenderedPageBreak/>
        <w:t>seek a merits review of a decision not to revoke the cancellation.</w:t>
      </w:r>
      <w:r w:rsidR="0004310F">
        <w:rPr>
          <w:rFonts w:ascii="Arial" w:hAnsi="Arial" w:cs="Arial"/>
          <w:sz w:val="20"/>
          <w:szCs w:val="16"/>
        </w:rPr>
        <w:t xml:space="preserve">  E</w:t>
      </w:r>
      <w:r w:rsidRPr="00382DB0">
        <w:rPr>
          <w:rFonts w:ascii="Arial" w:hAnsi="Arial" w:cs="Arial"/>
          <w:sz w:val="20"/>
          <w:szCs w:val="16"/>
        </w:rPr>
        <w:t>ven though the current state of this country’s migration laws is such that the respondent’s deportation after serving the sentence proposed by the majority is a near certainty</w:t>
      </w:r>
      <w:r w:rsidR="0004310F">
        <w:rPr>
          <w:rFonts w:ascii="Arial" w:hAnsi="Arial" w:cs="Arial"/>
          <w:sz w:val="20"/>
          <w:szCs w:val="16"/>
        </w:rPr>
        <w:t xml:space="preserve"> </w:t>
      </w:r>
      <w:r w:rsidRPr="00382DB0">
        <w:rPr>
          <w:rFonts w:ascii="Arial" w:hAnsi="Arial" w:cs="Arial"/>
          <w:sz w:val="20"/>
          <w:szCs w:val="16"/>
        </w:rPr>
        <w:t>the Court cannot take that into account, since to do so would be to take into account executive action in circumstances where there remains a possibility — no matter how remote that possibility is — that the respondent will not, in fact, be deported.</w:t>
      </w:r>
      <w:r w:rsidR="0004310F">
        <w:rPr>
          <w:rFonts w:ascii="Arial" w:hAnsi="Arial" w:cs="Arial"/>
          <w:sz w:val="20"/>
          <w:szCs w:val="16"/>
        </w:rPr>
        <w:t xml:space="preserve">  </w:t>
      </w:r>
      <w:r w:rsidRPr="00382DB0">
        <w:rPr>
          <w:rFonts w:ascii="Arial" w:hAnsi="Arial" w:cs="Arial"/>
          <w:sz w:val="20"/>
          <w:szCs w:val="16"/>
        </w:rPr>
        <w:t>The Court can only take into account the prospect of deportation as a factor which may increase the impact which a sentence of imprisonment will have upon the respondent, both during the currency of his incarceration and upon his release</w:t>
      </w:r>
      <w:r w:rsidR="0004310F">
        <w:rPr>
          <w:rFonts w:ascii="Arial" w:hAnsi="Arial" w:cs="Arial"/>
          <w:sz w:val="20"/>
          <w:szCs w:val="16"/>
        </w:rPr>
        <w:t xml:space="preserve">: see </w:t>
      </w:r>
      <w:r w:rsidR="0004310F" w:rsidRPr="0004310F">
        <w:rPr>
          <w:rFonts w:ascii="Arial" w:hAnsi="Arial" w:cs="Arial"/>
          <w:i/>
          <w:iCs/>
          <w:sz w:val="20"/>
          <w:szCs w:val="16"/>
        </w:rPr>
        <w:t>Matamata v The Queen</w:t>
      </w:r>
      <w:r w:rsidR="0004310F" w:rsidRPr="00382DB0">
        <w:rPr>
          <w:rFonts w:ascii="Arial" w:hAnsi="Arial" w:cs="Arial"/>
          <w:sz w:val="20"/>
          <w:szCs w:val="16"/>
        </w:rPr>
        <w:t xml:space="preserve"> [2021] VSCA 253, [28]–[31]</w:t>
      </w:r>
      <w:r w:rsidR="0004310F">
        <w:rPr>
          <w:rFonts w:ascii="Arial" w:hAnsi="Arial" w:cs="Arial"/>
          <w:sz w:val="20"/>
          <w:szCs w:val="16"/>
        </w:rPr>
        <w:t>;  s</w:t>
      </w:r>
      <w:r w:rsidR="0004310F" w:rsidRPr="00382DB0">
        <w:rPr>
          <w:rFonts w:ascii="Arial" w:hAnsi="Arial" w:cs="Arial"/>
          <w:sz w:val="20"/>
          <w:szCs w:val="16"/>
        </w:rPr>
        <w:t xml:space="preserve">ee also </w:t>
      </w:r>
      <w:r w:rsidR="0004310F" w:rsidRPr="0004310F">
        <w:rPr>
          <w:rFonts w:ascii="Arial" w:hAnsi="Arial" w:cs="Arial"/>
          <w:i/>
          <w:iCs/>
          <w:sz w:val="20"/>
          <w:szCs w:val="16"/>
        </w:rPr>
        <w:t>Guden v The Queen</w:t>
      </w:r>
      <w:r w:rsidR="0004310F" w:rsidRPr="00382DB0">
        <w:rPr>
          <w:rFonts w:ascii="Arial" w:hAnsi="Arial" w:cs="Arial"/>
          <w:sz w:val="20"/>
          <w:szCs w:val="16"/>
        </w:rPr>
        <w:t xml:space="preserve"> (2010) 28 VR 288; </w:t>
      </w:r>
      <w:r w:rsidR="0004310F" w:rsidRPr="0004310F">
        <w:rPr>
          <w:rFonts w:ascii="Arial" w:hAnsi="Arial" w:cs="Arial"/>
          <w:i/>
          <w:iCs/>
          <w:sz w:val="20"/>
          <w:szCs w:val="16"/>
        </w:rPr>
        <w:t>Da Costa v The Queen</w:t>
      </w:r>
      <w:r w:rsidR="0004310F" w:rsidRPr="00382DB0">
        <w:rPr>
          <w:rFonts w:ascii="Arial" w:hAnsi="Arial" w:cs="Arial"/>
          <w:sz w:val="20"/>
          <w:szCs w:val="16"/>
        </w:rPr>
        <w:t xml:space="preserve"> (2016) 307 FLR 153; </w:t>
      </w:r>
      <w:r w:rsidR="0004310F" w:rsidRPr="0004310F">
        <w:rPr>
          <w:rFonts w:ascii="Arial" w:hAnsi="Arial" w:cs="Arial"/>
          <w:i/>
          <w:iCs/>
          <w:sz w:val="20"/>
          <w:szCs w:val="16"/>
        </w:rPr>
        <w:t xml:space="preserve">Konamala </w:t>
      </w:r>
      <w:r w:rsidR="0004310F">
        <w:rPr>
          <w:rFonts w:ascii="Arial" w:hAnsi="Arial" w:cs="Arial"/>
          <w:i/>
          <w:iCs/>
          <w:sz w:val="20"/>
          <w:szCs w:val="16"/>
        </w:rPr>
        <w:t xml:space="preserve">v </w:t>
      </w:r>
      <w:r w:rsidR="0004310F" w:rsidRPr="0004310F">
        <w:rPr>
          <w:rFonts w:ascii="Arial" w:hAnsi="Arial" w:cs="Arial"/>
          <w:i/>
          <w:iCs/>
          <w:sz w:val="20"/>
          <w:szCs w:val="16"/>
        </w:rPr>
        <w:t>The Queen</w:t>
      </w:r>
      <w:r w:rsidR="0004310F" w:rsidRPr="00382DB0">
        <w:rPr>
          <w:rFonts w:ascii="Arial" w:hAnsi="Arial" w:cs="Arial"/>
          <w:sz w:val="20"/>
          <w:szCs w:val="16"/>
        </w:rPr>
        <w:t xml:space="preserve"> [2016] VSCA 48; </w:t>
      </w:r>
      <w:r w:rsidR="0004310F" w:rsidRPr="0004310F">
        <w:rPr>
          <w:rFonts w:ascii="Arial" w:hAnsi="Arial" w:cs="Arial"/>
          <w:i/>
          <w:iCs/>
          <w:sz w:val="20"/>
          <w:szCs w:val="16"/>
        </w:rPr>
        <w:t>Akot v The Queen</w:t>
      </w:r>
      <w:r w:rsidR="0004310F" w:rsidRPr="00382DB0">
        <w:rPr>
          <w:rFonts w:ascii="Arial" w:hAnsi="Arial" w:cs="Arial"/>
          <w:sz w:val="20"/>
          <w:szCs w:val="16"/>
        </w:rPr>
        <w:t xml:space="preserve"> [2020] VSCA 55.</w:t>
      </w:r>
      <w:r w:rsidR="0004310F">
        <w:rPr>
          <w:rFonts w:ascii="Arial" w:hAnsi="Arial" w:cs="Arial"/>
          <w:sz w:val="20"/>
          <w:szCs w:val="16"/>
        </w:rPr>
        <w:t xml:space="preserve">  </w:t>
      </w:r>
      <w:r w:rsidRPr="00382DB0">
        <w:rPr>
          <w:rFonts w:ascii="Arial" w:hAnsi="Arial" w:cs="Arial"/>
          <w:sz w:val="20"/>
          <w:szCs w:val="16"/>
        </w:rPr>
        <w:t>I assume, without deciding, by analogy, it would be impermissible for the Court to take into account the deleterious effect that the respondent’s likely deportation will have on his wife and children, and the additional suffering that they will endure as a result.</w:t>
      </w:r>
    </w:p>
    <w:p w14:paraId="445B30AF" w14:textId="18263E85" w:rsidR="0004310F"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16</w:t>
      </w:r>
      <w:r>
        <w:rPr>
          <w:rFonts w:ascii="Arial" w:hAnsi="Arial" w:cs="Arial"/>
          <w:sz w:val="20"/>
          <w:szCs w:val="16"/>
        </w:rPr>
        <w:t>]</w:t>
      </w:r>
      <w:r w:rsidRPr="00382DB0">
        <w:rPr>
          <w:rFonts w:ascii="Arial" w:hAnsi="Arial" w:cs="Arial"/>
          <w:sz w:val="20"/>
          <w:szCs w:val="16"/>
        </w:rPr>
        <w:t xml:space="preserve"> In my view, for the purposes of a case such as the present, it is incumbent upon this Court to pay more than mere lip-service to </w:t>
      </w:r>
      <w:r w:rsidRPr="0004310F">
        <w:rPr>
          <w:rFonts w:ascii="Arial" w:hAnsi="Arial" w:cs="Arial"/>
          <w:i/>
          <w:iCs/>
          <w:sz w:val="20"/>
          <w:szCs w:val="16"/>
        </w:rPr>
        <w:t>Boulton</w:t>
      </w:r>
      <w:r w:rsidR="0004310F" w:rsidRPr="0004310F">
        <w:rPr>
          <w:rFonts w:ascii="Arial" w:hAnsi="Arial" w:cs="Arial"/>
          <w:i/>
          <w:iCs/>
          <w:sz w:val="20"/>
          <w:szCs w:val="16"/>
        </w:rPr>
        <w:t xml:space="preserve"> v The Queen</w:t>
      </w:r>
      <w:r w:rsidR="0004310F">
        <w:rPr>
          <w:rFonts w:ascii="Arial" w:hAnsi="Arial" w:cs="Arial"/>
          <w:sz w:val="20"/>
          <w:szCs w:val="16"/>
        </w:rPr>
        <w:t xml:space="preserve"> </w:t>
      </w:r>
      <w:r w:rsidR="0004310F" w:rsidRPr="00382DB0">
        <w:rPr>
          <w:rFonts w:ascii="Arial" w:hAnsi="Arial" w:cs="Arial"/>
          <w:sz w:val="20"/>
          <w:szCs w:val="16"/>
        </w:rPr>
        <w:t>(2014) 46 VR 308 (Maxwell P, Nettle, Neave, Redlich and Osborn JJA)</w:t>
      </w:r>
      <w:r w:rsidRPr="00382DB0">
        <w:rPr>
          <w:rFonts w:ascii="Arial" w:hAnsi="Arial" w:cs="Arial"/>
          <w:sz w:val="20"/>
          <w:szCs w:val="16"/>
        </w:rPr>
        <w:t xml:space="preserve">. </w:t>
      </w:r>
      <w:r w:rsidR="0004310F">
        <w:rPr>
          <w:rFonts w:ascii="Arial" w:hAnsi="Arial" w:cs="Arial"/>
          <w:sz w:val="20"/>
          <w:szCs w:val="16"/>
        </w:rPr>
        <w:t xml:space="preserve"> </w:t>
      </w:r>
      <w:r w:rsidRPr="00382DB0">
        <w:rPr>
          <w:rFonts w:ascii="Arial" w:hAnsi="Arial" w:cs="Arial"/>
          <w:sz w:val="20"/>
          <w:szCs w:val="16"/>
        </w:rPr>
        <w:t xml:space="preserve">In that case, it was made clear </w:t>
      </w:r>
      <w:r w:rsidR="0004310F">
        <w:rPr>
          <w:rFonts w:ascii="Arial" w:hAnsi="Arial" w:cs="Arial"/>
          <w:sz w:val="20"/>
          <w:szCs w:val="16"/>
        </w:rPr>
        <w:t xml:space="preserve">at [2] &amp; [186] </w:t>
      </w:r>
      <w:r w:rsidRPr="00382DB0">
        <w:rPr>
          <w:rFonts w:ascii="Arial" w:hAnsi="Arial" w:cs="Arial"/>
          <w:sz w:val="20"/>
          <w:szCs w:val="16"/>
        </w:rPr>
        <w:t>— in a joint judgment of a bench of five — that a community correction order (‘CCO’) might in given circumstances accommodate all of the applicable sentencing considerations, including proportionality, and the need for general and specific deterrence, and could be used ‘to rehabilitate and punish simultaneously’</w:t>
      </w:r>
      <w:r w:rsidR="0004310F">
        <w:rPr>
          <w:rFonts w:ascii="Arial" w:hAnsi="Arial" w:cs="Arial"/>
          <w:sz w:val="20"/>
          <w:szCs w:val="16"/>
        </w:rPr>
        <w:t>:</w:t>
      </w:r>
    </w:p>
    <w:p w14:paraId="0D733135" w14:textId="006ED377" w:rsidR="0004310F" w:rsidRPr="00426D76" w:rsidRDefault="0004310F" w:rsidP="0004310F">
      <w:pPr>
        <w:pStyle w:val="Normal-Indent"/>
        <w:widowControl/>
        <w:spacing w:before="60" w:line="240" w:lineRule="auto"/>
        <w:ind w:left="907" w:right="907"/>
        <w:rPr>
          <w:rFonts w:ascii="Arial" w:hAnsi="Arial" w:cs="Arial"/>
          <w:sz w:val="20"/>
          <w:szCs w:val="24"/>
        </w:rPr>
      </w:pPr>
      <w:r w:rsidRPr="0004310F">
        <w:rPr>
          <w:rFonts w:ascii="Arial" w:hAnsi="Arial" w:cs="Arial"/>
          <w:sz w:val="18"/>
          <w:szCs w:val="14"/>
        </w:rPr>
        <w:t>It follows from what we have said that a CCO may be suitable even in cases of relatively serious offences which might previously have attracted a medium term of imprisonment (such as, for example, aggravated burglary, intentionally causing serious injury, some forms of sexual offences involving minors, some kinds of rape and some categories of homicide). The sentencing judge may find that, in view of the objective gravity of the conduct and the personal circumstances of the offender, a properly-conditioned CCO of lengthy duration is capable of satisfying the requirements of proportionality, parsimony and just punishment, while affording the best prospects for rehabilitation.</w:t>
      </w:r>
    </w:p>
    <w:p w14:paraId="62FD6C6D" w14:textId="03D50BFD" w:rsidR="0076180A" w:rsidRDefault="0076180A" w:rsidP="0076180A">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 xml:space="preserve">[18] </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rPr>
        <w:t xml:space="preserve">principle — including the need to uphold proper sentencing standards (see </w:t>
      </w:r>
      <w:r w:rsidRPr="0076180A">
        <w:rPr>
          <w:rFonts w:ascii="Arial" w:hAnsi="Arial" w:cs="Arial"/>
          <w:i/>
          <w:iCs/>
          <w:sz w:val="20"/>
        </w:rPr>
        <w:t>R v Clarke</w:t>
      </w:r>
      <w:r w:rsidRPr="0076180A">
        <w:rPr>
          <w:rFonts w:ascii="Arial" w:hAnsi="Arial" w:cs="Arial"/>
          <w:sz w:val="20"/>
        </w:rPr>
        <w:t xml:space="preserve"> [1996] 2 VR 520, 522) — requires that process of rehabilitation to be impaired (if not</w:t>
      </w:r>
      <w:r w:rsidRPr="0076180A">
        <w:rPr>
          <w:rFonts w:ascii="Arial" w:hAnsi="Arial" w:cs="Arial"/>
          <w:sz w:val="20"/>
          <w:szCs w:val="16"/>
        </w:rPr>
        <w:t xml:space="preserve"> obliterated). I</w:t>
      </w:r>
      <w:r>
        <w:rPr>
          <w:rFonts w:ascii="Arial" w:hAnsi="Arial" w:cs="Arial"/>
          <w:sz w:val="20"/>
          <w:szCs w:val="16"/>
        </w:rPr>
        <w:t> </w:t>
      </w:r>
      <w:r w:rsidRPr="0076180A">
        <w:rPr>
          <w:rFonts w:ascii="Arial" w:hAnsi="Arial" w:cs="Arial"/>
          <w:sz w:val="20"/>
          <w:szCs w:val="16"/>
        </w:rPr>
        <w:t>consider that the judge was correct when she made the following observations:</w:t>
      </w:r>
    </w:p>
    <w:p w14:paraId="317E96C3" w14:textId="77777777" w:rsidR="0076180A" w:rsidRPr="00426D76" w:rsidRDefault="0076180A"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 have concluded that the purposes for which sentence is to be imposed in your case can be best accommodated by a combination sentence which will involve you serving a term of imprisonment and then being released on a lengthy CCO with a number of onerous conditions. I consider that a combined sentence can provide substantial specific and general deterrence. The CCO component is capable of being very punitive but will also allow you to continue in your rehabilitative efforts, which is in your and your family’s interest and in the long term, best protects the community.</w:t>
      </w:r>
    </w:p>
    <w:p w14:paraId="10882378" w14:textId="5C03C5A3" w:rsidR="0076180A" w:rsidRPr="00CA4C6D" w:rsidRDefault="0076180A" w:rsidP="0076180A">
      <w:pPr>
        <w:pStyle w:val="Heading2"/>
        <w:widowControl/>
        <w:tabs>
          <w:tab w:val="left" w:pos="567"/>
        </w:tabs>
        <w:spacing w:before="60" w:line="240" w:lineRule="auto"/>
        <w:ind w:left="340" w:right="340"/>
        <w:rPr>
          <w:rFonts w:ascii="Arial" w:hAnsi="Arial" w:cs="Arial"/>
          <w:sz w:val="20"/>
        </w:rPr>
      </w:pPr>
      <w:r w:rsidRPr="00CA4C6D">
        <w:rPr>
          <w:rFonts w:ascii="Arial" w:hAnsi="Arial" w:cs="Arial"/>
          <w:sz w:val="20"/>
        </w:rPr>
        <w:t xml:space="preserve">[19] It is clear that the judge took great care in exercising the discretion reposing in her. Albeit that it is very lenient — if not merciful — I consider the sentence that the judge imposed to be just and appropriate. It is not manifestly inadequate. Plainly, the judge recognised that this was a case where the greater good would be promoted by a sentence which continued to foster the respondent’s rehabilitation. In my view, it was open to her to impose the sentence that she did in order to do so. As to that, it is worthwhile remembering what King CJ said in </w:t>
      </w:r>
      <w:r w:rsidR="00CA4C6D" w:rsidRPr="00CA4C6D">
        <w:rPr>
          <w:rFonts w:ascii="Arial" w:hAnsi="Arial" w:cs="Arial"/>
          <w:i/>
          <w:iCs/>
          <w:sz w:val="20"/>
        </w:rPr>
        <w:t>R v Osenkowski</w:t>
      </w:r>
      <w:r w:rsidR="00CA4C6D" w:rsidRPr="00CA4C6D">
        <w:rPr>
          <w:rFonts w:ascii="Arial" w:hAnsi="Arial" w:cs="Arial"/>
          <w:sz w:val="20"/>
        </w:rPr>
        <w:t xml:space="preserve"> (1982) 30 SASR 212, 212–3:</w:t>
      </w:r>
    </w:p>
    <w:p w14:paraId="3C9D075D" w14:textId="1B1BAF42" w:rsidR="0076180A" w:rsidRPr="00426D76" w:rsidRDefault="00CA4C6D"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It is important that the prosecution appeal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the judge forms the view, almost intuitively in the case of experienced judges, that leniency at that particular stage of the offender’s life might lead to reform.</w:t>
      </w:r>
      <w:r>
        <w:rPr>
          <w:rFonts w:ascii="Arial" w:hAnsi="Arial" w:cs="Arial"/>
          <w:sz w:val="18"/>
          <w:szCs w:val="14"/>
        </w:rPr>
        <w:t>”</w:t>
      </w:r>
    </w:p>
    <w:p w14:paraId="03A4FAE2" w14:textId="6B395D0E" w:rsidR="00382DB0" w:rsidRPr="00CA4C6D" w:rsidRDefault="00382DB0" w:rsidP="00BB0242">
      <w:pPr>
        <w:pStyle w:val="Heading2"/>
        <w:widowControl/>
        <w:tabs>
          <w:tab w:val="left" w:pos="567"/>
        </w:tabs>
        <w:spacing w:line="240" w:lineRule="auto"/>
        <w:ind w:left="567" w:hanging="567"/>
        <w:rPr>
          <w:rFonts w:ascii="Arial" w:hAnsi="Arial" w:cs="Arial"/>
          <w:sz w:val="20"/>
        </w:rPr>
      </w:pPr>
    </w:p>
    <w:p w14:paraId="12B3E1B1" w14:textId="1B411654" w:rsidR="00382DB0" w:rsidRPr="000166A4" w:rsidRDefault="00CA4C6D" w:rsidP="000166A4">
      <w:pPr>
        <w:pStyle w:val="Heading2"/>
        <w:widowControl/>
        <w:tabs>
          <w:tab w:val="left" w:pos="567"/>
        </w:tabs>
        <w:spacing w:line="240" w:lineRule="auto"/>
        <w:rPr>
          <w:rFonts w:ascii="Arial" w:hAnsi="Arial" w:cs="Arial"/>
          <w:sz w:val="20"/>
        </w:rPr>
      </w:pPr>
      <w:r w:rsidRPr="000166A4">
        <w:rPr>
          <w:rFonts w:ascii="Arial" w:hAnsi="Arial" w:cs="Arial"/>
          <w:sz w:val="20"/>
        </w:rPr>
        <w:t xml:space="preserve">In concluding his dissenting judgment Priest JA sounded a note of caution at [21]-[22] about dicta in </w:t>
      </w:r>
      <w:r w:rsidR="000166A4" w:rsidRPr="000166A4">
        <w:rPr>
          <w:rFonts w:ascii="Arial" w:hAnsi="Arial" w:cs="Arial"/>
          <w:i/>
          <w:iCs/>
          <w:color w:val="000000"/>
          <w:sz w:val="20"/>
          <w:lang w:val="en-US" w:eastAsia="en-AU"/>
        </w:rPr>
        <w:t>Pasinis</w:t>
      </w:r>
      <w:r w:rsidR="000166A4">
        <w:rPr>
          <w:rFonts w:ascii="Arial" w:hAnsi="Arial" w:cs="Arial"/>
          <w:i/>
          <w:iCs/>
          <w:color w:val="000000"/>
          <w:sz w:val="20"/>
          <w:lang w:val="en-US" w:eastAsia="en-AU"/>
        </w:rPr>
        <w:t xml:space="preserve"> </w:t>
      </w:r>
      <w:r w:rsidR="000166A4" w:rsidRPr="000166A4">
        <w:rPr>
          <w:rFonts w:ascii="Arial" w:hAnsi="Arial" w:cs="Arial"/>
          <w:i/>
          <w:iCs/>
          <w:color w:val="000000"/>
          <w:sz w:val="20"/>
          <w:lang w:val="en-US" w:eastAsia="en-AU"/>
        </w:rPr>
        <w:t>v R</w:t>
      </w:r>
      <w:r w:rsidR="000166A4">
        <w:rPr>
          <w:rFonts w:ascii="Arial" w:hAnsi="Arial" w:cs="Arial"/>
          <w:color w:val="000000"/>
          <w:sz w:val="20"/>
          <w:lang w:val="en-US" w:eastAsia="en-AU"/>
        </w:rPr>
        <w:t xml:space="preserve"> </w:t>
      </w:r>
      <w:r w:rsidR="000166A4" w:rsidRPr="000166A4">
        <w:rPr>
          <w:rFonts w:ascii="Arial" w:hAnsi="Arial" w:cs="Arial"/>
          <w:color w:val="000000"/>
          <w:sz w:val="20"/>
          <w:lang w:val="en-US" w:eastAsia="en-AU"/>
        </w:rPr>
        <w:t>[2014] VSCA 97:</w:t>
      </w:r>
    </w:p>
    <w:p w14:paraId="15004560" w14:textId="490376D5" w:rsidR="000166A4" w:rsidRDefault="000166A4" w:rsidP="009103F7">
      <w:pPr>
        <w:pStyle w:val="Heading2"/>
        <w:keepNext/>
        <w:keepLines/>
        <w:widowControl/>
        <w:tabs>
          <w:tab w:val="left" w:pos="567"/>
        </w:tabs>
        <w:spacing w:before="60" w:line="240" w:lineRule="auto"/>
        <w:ind w:left="340" w:right="340"/>
        <w:rPr>
          <w:rFonts w:ascii="Arial" w:hAnsi="Arial" w:cs="Arial"/>
          <w:sz w:val="20"/>
          <w:szCs w:val="16"/>
        </w:rPr>
      </w:pPr>
      <w:r>
        <w:rPr>
          <w:rFonts w:ascii="Arial" w:hAnsi="Arial" w:cs="Arial"/>
          <w:sz w:val="20"/>
        </w:rPr>
        <w:lastRenderedPageBreak/>
        <w:t>“</w:t>
      </w:r>
      <w:r w:rsidRPr="00CA4C6D">
        <w:rPr>
          <w:rFonts w:ascii="Arial" w:hAnsi="Arial" w:cs="Arial"/>
          <w:sz w:val="20"/>
          <w:szCs w:val="16"/>
        </w:rPr>
        <w:t xml:space="preserve">Counsel for the appellant relied on a passage from </w:t>
      </w:r>
      <w:r w:rsidRPr="000166A4">
        <w:rPr>
          <w:rFonts w:ascii="Arial" w:hAnsi="Arial" w:cs="Arial"/>
          <w:i/>
          <w:iCs/>
          <w:sz w:val="20"/>
          <w:szCs w:val="16"/>
        </w:rPr>
        <w:t>Pasinis</w:t>
      </w:r>
      <w:r>
        <w:rPr>
          <w:rFonts w:ascii="Arial" w:hAnsi="Arial" w:cs="Arial"/>
          <w:sz w:val="20"/>
          <w:szCs w:val="16"/>
        </w:rPr>
        <w:t>…</w:t>
      </w:r>
      <w:r w:rsidRPr="00CA4C6D">
        <w:rPr>
          <w:rFonts w:ascii="Arial" w:hAnsi="Arial" w:cs="Arial"/>
          <w:sz w:val="20"/>
          <w:szCs w:val="16"/>
        </w:rPr>
        <w:t xml:space="preserve"> </w:t>
      </w:r>
      <w:r>
        <w:rPr>
          <w:rFonts w:ascii="Arial" w:hAnsi="Arial" w:cs="Arial"/>
          <w:sz w:val="20"/>
          <w:szCs w:val="16"/>
        </w:rPr>
        <w:t xml:space="preserve">to </w:t>
      </w:r>
      <w:r w:rsidRPr="00CA4C6D">
        <w:rPr>
          <w:rFonts w:ascii="Arial" w:hAnsi="Arial" w:cs="Arial"/>
          <w:sz w:val="20"/>
          <w:szCs w:val="16"/>
        </w:rPr>
        <w:t>the effect that the key to protecting victims of family violence</w:t>
      </w:r>
    </w:p>
    <w:p w14:paraId="0F4EF81D" w14:textId="77777777" w:rsidR="000166A4" w:rsidRPr="00426D76" w:rsidRDefault="000166A4" w:rsidP="00C238CD">
      <w:pPr>
        <w:pStyle w:val="Normal-Indent"/>
        <w:widowControl/>
        <w:spacing w:before="60" w:line="240" w:lineRule="auto"/>
        <w:ind w:left="907" w:right="907"/>
        <w:rPr>
          <w:rFonts w:ascii="Arial" w:hAnsi="Arial" w:cs="Arial"/>
          <w:sz w:val="20"/>
          <w:szCs w:val="24"/>
        </w:rPr>
      </w:pPr>
      <w:r w:rsidRPr="000166A4">
        <w:rPr>
          <w:rFonts w:ascii="Arial" w:hAnsi="Arial" w:cs="Arial"/>
          <w:sz w:val="18"/>
          <w:szCs w:val="14"/>
        </w:rPr>
        <w:t>lies in deterring the violent conduct by sending an unequivocal message to would-be perpetrators of domestic violence that if they offend, they will be sentenced to a lengthy period of imprisonment so that they are no longer in a position to inflict harm.</w:t>
      </w:r>
    </w:p>
    <w:p w14:paraId="1658A423" w14:textId="6EDA46FE" w:rsidR="000166A4" w:rsidRPr="000166A4" w:rsidRDefault="000166A4" w:rsidP="000166A4">
      <w:pPr>
        <w:pStyle w:val="Heading2"/>
        <w:widowControl/>
        <w:tabs>
          <w:tab w:val="left" w:pos="567"/>
        </w:tabs>
        <w:spacing w:before="60" w:line="240" w:lineRule="auto"/>
        <w:ind w:left="340" w:right="340"/>
        <w:rPr>
          <w:rFonts w:ascii="Arial" w:hAnsi="Arial" w:cs="Arial"/>
          <w:sz w:val="20"/>
        </w:rPr>
      </w:pPr>
      <w:r w:rsidRPr="000166A4">
        <w:rPr>
          <w:rFonts w:ascii="Arial" w:hAnsi="Arial" w:cs="Arial"/>
          <w:sz w:val="20"/>
        </w:rPr>
        <w:t xml:space="preserve">On one view, the cited passage is capable of suggesting that in cases of family violence a sentence of imprisonment might be imposed as a form of preventative detention — offenders ‘will be sentenced to a lengthy period of imprisonment so that they are no longer in a position to inflict harm’. If that is what the passage from </w:t>
      </w:r>
      <w:r w:rsidRPr="000166A4">
        <w:rPr>
          <w:rFonts w:ascii="Arial" w:hAnsi="Arial" w:cs="Arial"/>
          <w:i/>
          <w:iCs/>
          <w:sz w:val="20"/>
        </w:rPr>
        <w:t>Pasinis</w:t>
      </w:r>
      <w:r w:rsidRPr="000166A4">
        <w:rPr>
          <w:rFonts w:ascii="Arial" w:hAnsi="Arial" w:cs="Arial"/>
          <w:sz w:val="20"/>
        </w:rPr>
        <w:t xml:space="preserve"> is intended to convey, it is wrong in principle. A sentence must be proportionate to the gravity of the offence. It is not permissible to impose a sentence as a form of preventative detention: </w:t>
      </w:r>
      <w:r w:rsidRPr="000166A4">
        <w:rPr>
          <w:rFonts w:ascii="Arial" w:hAnsi="Arial" w:cs="Arial"/>
          <w:i/>
          <w:iCs/>
          <w:sz w:val="20"/>
        </w:rPr>
        <w:t>Veen v The Queen (No 2)</w:t>
      </w:r>
      <w:r w:rsidRPr="000166A4">
        <w:rPr>
          <w:rFonts w:ascii="Arial" w:hAnsi="Arial" w:cs="Arial"/>
          <w:sz w:val="20"/>
        </w:rPr>
        <w:t xml:space="preserve"> (1988) 164 CLR 465, 472–3 (Mason CJ, Brennan, Dawson and Toohey JJ).”</w:t>
      </w:r>
    </w:p>
    <w:p w14:paraId="303CBBB3" w14:textId="24F98CCF" w:rsidR="00CA4C6D" w:rsidRPr="00654727" w:rsidRDefault="00CA4C6D" w:rsidP="00654727">
      <w:pPr>
        <w:pStyle w:val="Heading2"/>
        <w:widowControl/>
        <w:tabs>
          <w:tab w:val="left" w:pos="567"/>
        </w:tabs>
        <w:spacing w:line="240" w:lineRule="auto"/>
        <w:rPr>
          <w:rFonts w:ascii="Arial" w:hAnsi="Arial" w:cs="Arial"/>
          <w:sz w:val="20"/>
        </w:rPr>
      </w:pPr>
    </w:p>
    <w:p w14:paraId="584A05C3" w14:textId="67708CEB" w:rsidR="00E32410" w:rsidRPr="00654727" w:rsidRDefault="00E32410" w:rsidP="00654727">
      <w:pPr>
        <w:pStyle w:val="Heading2"/>
        <w:widowControl/>
        <w:tabs>
          <w:tab w:val="left" w:pos="567"/>
        </w:tabs>
        <w:spacing w:line="240" w:lineRule="auto"/>
        <w:rPr>
          <w:rFonts w:ascii="Arial" w:hAnsi="Arial" w:cs="Arial"/>
          <w:sz w:val="20"/>
        </w:rPr>
      </w:pPr>
      <w:r w:rsidRPr="00654727">
        <w:rPr>
          <w:rFonts w:ascii="Arial" w:hAnsi="Arial" w:cs="Arial"/>
          <w:sz w:val="20"/>
        </w:rPr>
        <w:t xml:space="preserve">In </w:t>
      </w:r>
      <w:r w:rsidR="009E66DC">
        <w:rPr>
          <w:rFonts w:ascii="Arial" w:hAnsi="Arial" w:cs="Arial"/>
          <w:i/>
          <w:iCs/>
          <w:sz w:val="20"/>
        </w:rPr>
        <w:t>James C</w:t>
      </w:r>
      <w:r w:rsidR="00C852DF" w:rsidRPr="00654727">
        <w:rPr>
          <w:rFonts w:ascii="Arial" w:hAnsi="Arial" w:cs="Arial"/>
          <w:i/>
          <w:iCs/>
          <w:sz w:val="20"/>
        </w:rPr>
        <w:t>larke (a pseudonym) v The King</w:t>
      </w:r>
      <w:r w:rsidR="00C852DF" w:rsidRPr="00654727">
        <w:rPr>
          <w:rFonts w:ascii="Arial" w:hAnsi="Arial" w:cs="Arial"/>
          <w:sz w:val="20"/>
        </w:rPr>
        <w:t xml:space="preserve"> [2023] VSCA 103 the applicant had been sentenced to </w:t>
      </w:r>
      <w:r w:rsidR="00A724CA" w:rsidRPr="00654727">
        <w:rPr>
          <w:rFonts w:ascii="Arial" w:hAnsi="Arial" w:cs="Arial"/>
          <w:sz w:val="20"/>
        </w:rPr>
        <w:t xml:space="preserve">TES IMP5y2m/3y1m </w:t>
      </w:r>
      <w:r w:rsidR="00654727">
        <w:rPr>
          <w:rFonts w:ascii="Arial" w:hAnsi="Arial" w:cs="Arial"/>
          <w:sz w:val="20"/>
        </w:rPr>
        <w:t xml:space="preserve">on </w:t>
      </w:r>
      <w:r w:rsidR="00AD4BBA">
        <w:rPr>
          <w:rFonts w:ascii="Arial" w:hAnsi="Arial" w:cs="Arial"/>
          <w:sz w:val="20"/>
        </w:rPr>
        <w:t>9 charges including threat to kill</w:t>
      </w:r>
      <w:r w:rsidR="00B44347">
        <w:rPr>
          <w:rFonts w:ascii="Arial" w:hAnsi="Arial" w:cs="Arial"/>
          <w:sz w:val="20"/>
        </w:rPr>
        <w:t xml:space="preserve">, common law assault and intentionally damaging property, the offences occurring in the context of </w:t>
      </w:r>
      <w:r w:rsidR="00180593">
        <w:rPr>
          <w:rFonts w:ascii="Arial" w:hAnsi="Arial" w:cs="Arial"/>
          <w:sz w:val="20"/>
        </w:rPr>
        <w:t xml:space="preserve">family violence towards his wife, her parents and a friend of hers.  In refusing leave to appeal </w:t>
      </w:r>
      <w:r w:rsidR="00F41084">
        <w:rPr>
          <w:rFonts w:ascii="Arial" w:hAnsi="Arial" w:cs="Arial"/>
          <w:sz w:val="20"/>
        </w:rPr>
        <w:t xml:space="preserve">– including on the ground of manifest excess – </w:t>
      </w:r>
      <w:r w:rsidR="001542F0">
        <w:rPr>
          <w:rFonts w:ascii="Arial" w:hAnsi="Arial" w:cs="Arial"/>
          <w:sz w:val="20"/>
        </w:rPr>
        <w:t>the</w:t>
      </w:r>
      <w:r w:rsidR="00F41084">
        <w:rPr>
          <w:rFonts w:ascii="Arial" w:hAnsi="Arial" w:cs="Arial"/>
          <w:sz w:val="20"/>
        </w:rPr>
        <w:t xml:space="preserve"> </w:t>
      </w:r>
      <w:r w:rsidR="001542F0">
        <w:rPr>
          <w:rFonts w:ascii="Arial" w:hAnsi="Arial" w:cs="Arial"/>
          <w:sz w:val="20"/>
        </w:rPr>
        <w:t>Court of Appeal (Niall &amp; Hargrave JJA) concluded at [63]</w:t>
      </w:r>
      <w:r w:rsidR="00F41084">
        <w:rPr>
          <w:rFonts w:ascii="Arial" w:hAnsi="Arial" w:cs="Arial"/>
          <w:sz w:val="20"/>
        </w:rPr>
        <w:t>:</w:t>
      </w:r>
    </w:p>
    <w:p w14:paraId="47FC4BE2" w14:textId="38AE7B6F" w:rsidR="00F41084" w:rsidRDefault="00F41084" w:rsidP="00F41084">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E32410">
        <w:rPr>
          <w:rFonts w:ascii="Arial" w:hAnsi="Arial" w:cs="Arial"/>
          <w:sz w:val="20"/>
          <w:szCs w:val="16"/>
        </w:rPr>
        <w:t xml:space="preserve">We conclude our assessment of the manifest excess ground by emphasising that the conduct of the applicant in this case amounted to a sustained course of very serious offending in the context of family violence. Such cases deserve stern punishment. Like the judge, we adopt the statement of Vincent JA in </w:t>
      </w:r>
      <w:r w:rsidRPr="00F41084">
        <w:rPr>
          <w:rFonts w:ascii="Arial" w:hAnsi="Arial" w:cs="Arial"/>
          <w:i/>
          <w:iCs/>
          <w:sz w:val="20"/>
          <w:szCs w:val="16"/>
        </w:rPr>
        <w:t>Director of Public Prosecutions v Derby</w:t>
      </w:r>
      <w:r w:rsidR="002A6D2A">
        <w:rPr>
          <w:rFonts w:ascii="Arial" w:hAnsi="Arial" w:cs="Arial"/>
          <w:sz w:val="20"/>
          <w:szCs w:val="16"/>
        </w:rPr>
        <w:t xml:space="preserve"> [2007] VSCA 92 at [2].</w:t>
      </w:r>
      <w:r w:rsidRPr="00E32410">
        <w:rPr>
          <w:rFonts w:ascii="Arial" w:hAnsi="Arial" w:cs="Arial"/>
          <w:sz w:val="20"/>
          <w:szCs w:val="16"/>
        </w:rPr>
        <w:t xml:space="preserve"> The</w:t>
      </w:r>
      <w:r w:rsidR="002A6D2A">
        <w:rPr>
          <w:rFonts w:ascii="Arial" w:hAnsi="Arial" w:cs="Arial"/>
          <w:sz w:val="20"/>
          <w:szCs w:val="16"/>
        </w:rPr>
        <w:t> </w:t>
      </w:r>
      <w:r w:rsidRPr="00E32410">
        <w:rPr>
          <w:rFonts w:ascii="Arial" w:hAnsi="Arial" w:cs="Arial"/>
          <w:sz w:val="20"/>
          <w:szCs w:val="16"/>
        </w:rPr>
        <w:t>employment of violence, almost invariably by disappointed males, whether directed against the person or property of a former or desired partner to express anger or as a form of retribution in consequence of a relationship failure or perceived rejection simply cannot be tolerated. Insofar as they are able to do so, through the sentences handed down for such conduct, the Courts must endeavour to deter those who may be motivated to act in this way. Accordingly, those who engage in such behaviour must, save in the most unusual of circumstances, anticipate the imposition of condign punishment.</w:t>
      </w:r>
      <w:r w:rsidR="002A6D2A">
        <w:rPr>
          <w:rFonts w:ascii="Arial" w:hAnsi="Arial" w:cs="Arial"/>
          <w:sz w:val="20"/>
          <w:szCs w:val="16"/>
        </w:rPr>
        <w:t>”</w:t>
      </w:r>
    </w:p>
    <w:p w14:paraId="51C4B3A8" w14:textId="77777777" w:rsidR="00E32410" w:rsidRPr="00056048" w:rsidRDefault="00E32410" w:rsidP="00BB0242">
      <w:pPr>
        <w:pStyle w:val="Heading2"/>
        <w:widowControl/>
        <w:tabs>
          <w:tab w:val="left" w:pos="567"/>
        </w:tabs>
        <w:spacing w:line="240" w:lineRule="auto"/>
        <w:ind w:left="567" w:hanging="567"/>
        <w:rPr>
          <w:rFonts w:ascii="Arial" w:hAnsi="Arial" w:cs="Arial"/>
          <w:sz w:val="20"/>
        </w:rPr>
      </w:pPr>
    </w:p>
    <w:p w14:paraId="74BD8FF3" w14:textId="09B71590" w:rsidR="002B3A45" w:rsidRDefault="00245981" w:rsidP="0067311F">
      <w:pPr>
        <w:pStyle w:val="Heading2"/>
        <w:widowControl/>
        <w:tabs>
          <w:tab w:val="left" w:pos="567"/>
        </w:tabs>
        <w:spacing w:line="240" w:lineRule="auto"/>
        <w:rPr>
          <w:rFonts w:ascii="Arial" w:hAnsi="Arial" w:cs="Arial"/>
          <w:sz w:val="20"/>
        </w:rPr>
      </w:pPr>
      <w:r w:rsidRPr="00056048">
        <w:rPr>
          <w:rFonts w:ascii="Arial" w:hAnsi="Arial" w:cs="Arial"/>
          <w:sz w:val="20"/>
        </w:rPr>
        <w:t xml:space="preserve">In </w:t>
      </w:r>
      <w:r w:rsidRPr="002B3A45">
        <w:rPr>
          <w:rFonts w:ascii="Arial" w:hAnsi="Arial" w:cs="Arial"/>
          <w:i/>
          <w:iCs/>
          <w:sz w:val="20"/>
        </w:rPr>
        <w:t>Giudice v The King</w:t>
      </w:r>
      <w:r w:rsidRPr="00056048">
        <w:rPr>
          <w:rFonts w:ascii="Arial" w:hAnsi="Arial" w:cs="Arial"/>
          <w:sz w:val="20"/>
        </w:rPr>
        <w:t xml:space="preserve"> </w:t>
      </w:r>
      <w:r w:rsidR="00056048" w:rsidRPr="00056048">
        <w:rPr>
          <w:rFonts w:ascii="Arial" w:hAnsi="Arial" w:cs="Arial"/>
          <w:sz w:val="20"/>
        </w:rPr>
        <w:t>[2023] VSCA 105 the applicant had been sentenced to TES IMP</w:t>
      </w:r>
      <w:r w:rsidR="00F944C1">
        <w:rPr>
          <w:rFonts w:ascii="Arial" w:hAnsi="Arial" w:cs="Arial"/>
          <w:sz w:val="20"/>
        </w:rPr>
        <w:t xml:space="preserve">8y/5y6m on </w:t>
      </w:r>
      <w:r w:rsidR="0067311F">
        <w:rPr>
          <w:rFonts w:ascii="Arial" w:hAnsi="Arial" w:cs="Arial"/>
          <w:sz w:val="20"/>
        </w:rPr>
        <w:t xml:space="preserve">5 charges including </w:t>
      </w:r>
      <w:r w:rsidR="00754845">
        <w:rPr>
          <w:rFonts w:ascii="Arial" w:hAnsi="Arial" w:cs="Arial"/>
          <w:sz w:val="20"/>
        </w:rPr>
        <w:t>IMP</w:t>
      </w:r>
      <w:r w:rsidR="0067311F">
        <w:rPr>
          <w:rFonts w:ascii="Arial" w:hAnsi="Arial" w:cs="Arial"/>
          <w:sz w:val="20"/>
        </w:rPr>
        <w:t xml:space="preserve">78m on a charge of intentionally causing </w:t>
      </w:r>
      <w:r w:rsidR="009B2C40">
        <w:rPr>
          <w:rFonts w:ascii="Arial" w:hAnsi="Arial" w:cs="Arial"/>
          <w:sz w:val="20"/>
        </w:rPr>
        <w:t xml:space="preserve">serious injury to his </w:t>
      </w:r>
      <w:r w:rsidR="00754845">
        <w:rPr>
          <w:rFonts w:ascii="Arial" w:hAnsi="Arial" w:cs="Arial"/>
          <w:sz w:val="20"/>
        </w:rPr>
        <w:t xml:space="preserve">ex-partner, the offences occurring in the context of family violence.  </w:t>
      </w:r>
      <w:r w:rsidR="002B3A45">
        <w:rPr>
          <w:rFonts w:ascii="Arial" w:hAnsi="Arial" w:cs="Arial"/>
          <w:sz w:val="20"/>
        </w:rPr>
        <w:t xml:space="preserve">In refusing leave to appeal, </w:t>
      </w:r>
      <w:r w:rsidR="00896FE6">
        <w:rPr>
          <w:rFonts w:ascii="Arial" w:hAnsi="Arial" w:cs="Arial"/>
          <w:sz w:val="20"/>
        </w:rPr>
        <w:t>the Court of Appeal (</w:t>
      </w:r>
      <w:r w:rsidR="002B3A45">
        <w:rPr>
          <w:rFonts w:ascii="Arial" w:hAnsi="Arial" w:cs="Arial"/>
          <w:sz w:val="20"/>
        </w:rPr>
        <w:t>Ferguson CJ, Emerton P &amp; Osborn JA) said at [11]:</w:t>
      </w:r>
    </w:p>
    <w:p w14:paraId="3CF1E38B" w14:textId="76BBC948" w:rsidR="002B3A45" w:rsidRDefault="002B3A45" w:rsidP="002B3A45">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056048">
        <w:rPr>
          <w:rFonts w:ascii="Arial" w:hAnsi="Arial" w:cs="Arial"/>
          <w:sz w:val="20"/>
        </w:rPr>
        <w:t>The offending required denunciation and just punishment, and raised issues of general and specific deterrence and protection of the community. In our view, the sentences imposed cannot be said to be disproportionate to the objective seriousness of the offending or to offend the principle of totality.</w:t>
      </w:r>
      <w:r>
        <w:rPr>
          <w:rFonts w:ascii="Arial" w:hAnsi="Arial" w:cs="Arial"/>
          <w:sz w:val="20"/>
        </w:rPr>
        <w:t>”</w:t>
      </w:r>
    </w:p>
    <w:p w14:paraId="1C3FFFFD" w14:textId="77777777" w:rsidR="002B3A45" w:rsidRDefault="002B3A45" w:rsidP="0067311F">
      <w:pPr>
        <w:pStyle w:val="Heading2"/>
        <w:widowControl/>
        <w:tabs>
          <w:tab w:val="left" w:pos="567"/>
        </w:tabs>
        <w:spacing w:line="240" w:lineRule="auto"/>
        <w:rPr>
          <w:rFonts w:ascii="Arial" w:hAnsi="Arial" w:cs="Arial"/>
          <w:sz w:val="20"/>
        </w:rPr>
      </w:pPr>
    </w:p>
    <w:p w14:paraId="6565C234" w14:textId="061D92D9" w:rsidR="00821F1D" w:rsidRDefault="00821F1D" w:rsidP="00821F1D">
      <w:pPr>
        <w:pStyle w:val="Heading2"/>
        <w:tabs>
          <w:tab w:val="left" w:pos="567"/>
        </w:tabs>
        <w:spacing w:line="240" w:lineRule="auto"/>
        <w:rPr>
          <w:rFonts w:ascii="Arial" w:hAnsi="Arial" w:cs="Arial"/>
          <w:bCs/>
          <w:color w:val="000000"/>
          <w:sz w:val="20"/>
        </w:rPr>
      </w:pPr>
      <w:r>
        <w:rPr>
          <w:rFonts w:ascii="Arial" w:hAnsi="Arial" w:cs="Arial"/>
          <w:bCs/>
          <w:color w:val="000000"/>
          <w:sz w:val="20"/>
        </w:rPr>
        <w:t xml:space="preserve">Comments </w:t>
      </w:r>
      <w:r w:rsidR="0093301F">
        <w:rPr>
          <w:rFonts w:ascii="Arial" w:hAnsi="Arial" w:cs="Arial"/>
          <w:bCs/>
          <w:color w:val="000000"/>
          <w:sz w:val="20"/>
        </w:rPr>
        <w:t xml:space="preserve">to similar effect </w:t>
      </w:r>
      <w:r w:rsidR="00B762E9">
        <w:rPr>
          <w:rFonts w:ascii="Arial" w:hAnsi="Arial" w:cs="Arial"/>
          <w:bCs/>
          <w:color w:val="000000"/>
          <w:sz w:val="20"/>
        </w:rPr>
        <w:t xml:space="preserve">about </w:t>
      </w:r>
      <w:r w:rsidR="00D54CCE">
        <w:rPr>
          <w:rFonts w:ascii="Arial" w:hAnsi="Arial" w:cs="Arial"/>
          <w:bCs/>
          <w:color w:val="000000"/>
          <w:sz w:val="20"/>
        </w:rPr>
        <w:t xml:space="preserve">the impact of </w:t>
      </w:r>
      <w:r w:rsidR="0093301F">
        <w:rPr>
          <w:rFonts w:ascii="Arial" w:hAnsi="Arial" w:cs="Arial"/>
          <w:bCs/>
          <w:color w:val="000000"/>
          <w:sz w:val="20"/>
        </w:rPr>
        <w:t xml:space="preserve">family violence on the victim </w:t>
      </w:r>
      <w:r w:rsidR="0064094A">
        <w:rPr>
          <w:rFonts w:ascii="Arial" w:hAnsi="Arial" w:cs="Arial"/>
          <w:bCs/>
          <w:color w:val="000000"/>
          <w:sz w:val="20"/>
        </w:rPr>
        <w:t xml:space="preserve">and the need for significant punishment </w:t>
      </w:r>
      <w:r>
        <w:rPr>
          <w:rFonts w:ascii="Arial" w:hAnsi="Arial" w:cs="Arial"/>
          <w:bCs/>
          <w:color w:val="000000"/>
          <w:sz w:val="20"/>
        </w:rPr>
        <w:t xml:space="preserve">were made by the Court of Appeal in </w:t>
      </w:r>
      <w:r w:rsidRPr="00B04324">
        <w:rPr>
          <w:rFonts w:ascii="Arial" w:hAnsi="Arial" w:cs="Arial"/>
          <w:bCs/>
          <w:i/>
          <w:iCs/>
          <w:color w:val="000000"/>
          <w:sz w:val="20"/>
        </w:rPr>
        <w:t>DPP v Avalos (a pseudonym)</w:t>
      </w:r>
      <w:r>
        <w:rPr>
          <w:rFonts w:ascii="Arial" w:hAnsi="Arial" w:cs="Arial"/>
          <w:bCs/>
          <w:color w:val="000000"/>
          <w:sz w:val="20"/>
        </w:rPr>
        <w:t xml:space="preserve"> [2023] VSCA 117, albeit in dismissing a Crown appeal against a TES IMP25y5m/20y10m imposed on the respondent after two </w:t>
      </w:r>
      <w:r w:rsidR="003F7068">
        <w:rPr>
          <w:rFonts w:ascii="Arial" w:hAnsi="Arial" w:cs="Arial"/>
          <w:bCs/>
          <w:color w:val="000000"/>
          <w:sz w:val="20"/>
        </w:rPr>
        <w:t xml:space="preserve">separate </w:t>
      </w:r>
      <w:r>
        <w:rPr>
          <w:rFonts w:ascii="Arial" w:hAnsi="Arial" w:cs="Arial"/>
          <w:bCs/>
          <w:color w:val="000000"/>
          <w:sz w:val="20"/>
        </w:rPr>
        <w:t>trials in which he was convicted of 9 charges of rape, 10 charges of intentionally causing injury, 3 charges of making a threat to kill, 1 charge of common law assault and 1</w:t>
      </w:r>
      <w:r w:rsidR="003F7068">
        <w:rPr>
          <w:rFonts w:ascii="Arial" w:hAnsi="Arial" w:cs="Arial"/>
          <w:bCs/>
          <w:color w:val="000000"/>
          <w:sz w:val="20"/>
        </w:rPr>
        <w:t> </w:t>
      </w:r>
      <w:r>
        <w:rPr>
          <w:rFonts w:ascii="Arial" w:hAnsi="Arial" w:cs="Arial"/>
          <w:bCs/>
          <w:color w:val="000000"/>
          <w:sz w:val="20"/>
        </w:rPr>
        <w:t>charge of false imprisonment.  The victims were four women who had been in domestic relationships with the respondent. At [10]-[</w:t>
      </w:r>
      <w:r w:rsidR="00D4507D">
        <w:rPr>
          <w:rFonts w:ascii="Arial" w:hAnsi="Arial" w:cs="Arial"/>
          <w:bCs/>
          <w:color w:val="000000"/>
          <w:sz w:val="20"/>
        </w:rPr>
        <w:t>14</w:t>
      </w:r>
      <w:r>
        <w:rPr>
          <w:rFonts w:ascii="Arial" w:hAnsi="Arial" w:cs="Arial"/>
          <w:bCs/>
          <w:color w:val="000000"/>
          <w:sz w:val="20"/>
        </w:rPr>
        <w:t>] Ferguson CJ, Priest AP &amp; T Forrest JA said:</w:t>
      </w:r>
    </w:p>
    <w:p w14:paraId="0BD83B22" w14:textId="77777777" w:rsidR="00821F1D" w:rsidRDefault="00821F1D" w:rsidP="00821F1D">
      <w:pPr>
        <w:pStyle w:val="Normal-Indent"/>
        <w:spacing w:before="60" w:line="240" w:lineRule="auto"/>
        <w:ind w:left="567" w:right="567"/>
        <w:rPr>
          <w:rFonts w:ascii="Arial" w:hAnsi="Arial" w:cs="Arial"/>
          <w:sz w:val="20"/>
          <w:szCs w:val="16"/>
        </w:rPr>
      </w:pPr>
      <w:r>
        <w:rPr>
          <w:rFonts w:ascii="Arial" w:hAnsi="Arial" w:cs="Arial"/>
          <w:color w:val="000000"/>
          <w:sz w:val="20"/>
        </w:rPr>
        <w:t>[10] “</w:t>
      </w:r>
      <w:r w:rsidRPr="00E4493E">
        <w:rPr>
          <w:rFonts w:ascii="Arial" w:hAnsi="Arial" w:cs="Arial"/>
          <w:sz w:val="20"/>
          <w:szCs w:val="16"/>
        </w:rPr>
        <w:t>The sentencing judge remarked that the courage of the four women, in surviving the abuse and coming forward to tell their stories, ‘is quite remarkable’. With respect, we agree. They were the subject of sustained cross-examination, each occupying several days, yet each retained their dignity and composure throughout. The judge noted that each woman, at times in evidence, revealed ongoing fear of the respondent.</w:t>
      </w:r>
    </w:p>
    <w:p w14:paraId="01612C98" w14:textId="77777777" w:rsidR="00821F1D" w:rsidRPr="00CA1495" w:rsidRDefault="00821F1D" w:rsidP="00821F1D">
      <w:pPr>
        <w:pStyle w:val="Normal-Indent"/>
        <w:spacing w:before="60" w:line="240" w:lineRule="auto"/>
        <w:ind w:left="567" w:right="567"/>
        <w:rPr>
          <w:rFonts w:ascii="Arial" w:hAnsi="Arial" w:cs="Arial"/>
          <w:color w:val="000000"/>
          <w:sz w:val="20"/>
        </w:rPr>
      </w:pPr>
      <w:r>
        <w:rPr>
          <w:rFonts w:ascii="Arial" w:hAnsi="Arial" w:cs="Arial"/>
          <w:sz w:val="20"/>
          <w:szCs w:val="16"/>
        </w:rPr>
        <w:t xml:space="preserve">[11] </w:t>
      </w:r>
      <w:r w:rsidRPr="00E4493E">
        <w:rPr>
          <w:rFonts w:ascii="Arial" w:hAnsi="Arial" w:cs="Arial"/>
          <w:sz w:val="20"/>
          <w:szCs w:val="16"/>
        </w:rPr>
        <w:t>The judge then observed:</w:t>
      </w:r>
    </w:p>
    <w:p w14:paraId="07F88143" w14:textId="77777777" w:rsidR="00821F1D" w:rsidRPr="00BB1E18"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bCs/>
          <w:color w:val="000000"/>
          <w:sz w:val="18"/>
          <w:szCs w:val="18"/>
        </w:rPr>
        <w:t xml:space="preserve">[184] </w:t>
      </w:r>
      <w:r w:rsidRPr="00BB1E18">
        <w:rPr>
          <w:rFonts w:ascii="Arial" w:hAnsi="Arial" w:cs="Arial"/>
          <w:sz w:val="18"/>
          <w:szCs w:val="18"/>
        </w:rPr>
        <w:t>Your treatment of each one of them is deserving of condign punishment. The sentence I impose must announce to you the community’s denunciation of your treatment of them. It must signal to others the community’s absolute disdain of such violence behind the closed doors of a relationship. It must deter others and particularly other men from committing such acts and it must seek to protect the community. That includes specifically any other woman who may come into contact with you, as well as sending a message to any other man prone to such violent abuse against a partner.</w:t>
      </w:r>
    </w:p>
    <w:p w14:paraId="6383AA1A" w14:textId="77777777" w:rsidR="00821F1D" w:rsidRPr="00BB1E18"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sz w:val="18"/>
          <w:szCs w:val="18"/>
        </w:rPr>
        <w:t xml:space="preserve">[185] In more recent times, higher Courts, like the community they represent, have looked more closely at intimate partner violence. They have recognised that it has </w:t>
      </w:r>
      <w:r w:rsidRPr="00BB1E18">
        <w:rPr>
          <w:rFonts w:ascii="Arial" w:hAnsi="Arial" w:cs="Arial"/>
          <w:sz w:val="18"/>
          <w:szCs w:val="18"/>
        </w:rPr>
        <w:lastRenderedPageBreak/>
        <w:t>been a secret scourge on our community, that it is crippling to the women abused and traumatic for any children, that it carries a risk of more and more serious injury and death.</w:t>
      </w:r>
    </w:p>
    <w:p w14:paraId="4D2186B7" w14:textId="77777777" w:rsidR="00821F1D"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sz w:val="18"/>
          <w:szCs w:val="18"/>
        </w:rPr>
        <w:t>[186] Higher Courts have universally stated that this type of offending warrants significant punishment. The sinister nature of intimate partner violence is exacerbated by the fact that it is often hidden, usually happening in private most often with only two people present. According to the expert evidence of Professor Kelsey Hegarty, given during these trials, research has shown women are less likely to report the violence of their intimate partners than an offence committed by a stranger. The capacity to report it can be complicated by feelings of emotional attachment to the perpetrator.</w:t>
      </w:r>
    </w:p>
    <w:p w14:paraId="1705C475" w14:textId="528086D9" w:rsidR="00E1443F" w:rsidRDefault="00E1443F" w:rsidP="00DB3289">
      <w:pPr>
        <w:pStyle w:val="Heading2"/>
        <w:widowControl/>
        <w:tabs>
          <w:tab w:val="left" w:pos="567"/>
        </w:tabs>
        <w:spacing w:before="60" w:line="240" w:lineRule="auto"/>
        <w:ind w:left="1446" w:right="1021" w:hanging="425"/>
        <w:rPr>
          <w:rFonts w:ascii="Arial" w:hAnsi="Arial" w:cs="Arial"/>
          <w:sz w:val="18"/>
          <w:szCs w:val="18"/>
        </w:rPr>
      </w:pPr>
      <w:r w:rsidRPr="00D54CCE">
        <w:rPr>
          <w:rFonts w:ascii="Arial" w:hAnsi="Arial" w:cs="Arial"/>
          <w:sz w:val="18"/>
          <w:szCs w:val="18"/>
        </w:rPr>
        <w:t xml:space="preserve">[187] </w:t>
      </w:r>
      <w:r w:rsidR="00D54CCE" w:rsidRPr="00D54CCE">
        <w:rPr>
          <w:rFonts w:ascii="Arial" w:hAnsi="Arial" w:cs="Arial"/>
          <w:sz w:val="18"/>
          <w:szCs w:val="18"/>
        </w:rPr>
        <w:t>There is usually a reluctance on the part of victim to seek help – either because of threats, or fear of repercussions, or fear of not being believed, or a concern that the authorities will not be able to contain the offender. That reluctance is often the result of psychological abuse. It is often due to the feelings of shame, humiliation and embarrassment caused to a victim.</w:t>
      </w:r>
    </w:p>
    <w:p w14:paraId="47D47FC6" w14:textId="4F115395" w:rsidR="0093301F" w:rsidRPr="0093301F" w:rsidRDefault="0093301F" w:rsidP="00AB7AB6">
      <w:pPr>
        <w:pStyle w:val="Heading2"/>
        <w:widowControl/>
        <w:tabs>
          <w:tab w:val="left" w:pos="567"/>
        </w:tabs>
        <w:spacing w:before="60" w:line="240" w:lineRule="auto"/>
        <w:ind w:left="1446" w:right="1021" w:hanging="425"/>
        <w:rPr>
          <w:rFonts w:ascii="Arial" w:hAnsi="Arial" w:cs="Arial"/>
          <w:sz w:val="18"/>
          <w:szCs w:val="18"/>
        </w:rPr>
      </w:pPr>
      <w:r w:rsidRPr="0093301F">
        <w:rPr>
          <w:rFonts w:ascii="Arial" w:hAnsi="Arial" w:cs="Arial"/>
          <w:sz w:val="18"/>
          <w:szCs w:val="18"/>
        </w:rPr>
        <w:t>[188] There is cumulative impact of intimate partner abuse. Due to the ongoing and repeated nature of violence victims often suffer from self-loathing and survivors are afflicted with a range of mental health conditions including anxiety, depression, suicidal ideation, as well as alcohol and substance misuse.</w:t>
      </w:r>
    </w:p>
    <w:p w14:paraId="42C57B0B" w14:textId="11E909F9" w:rsidR="0093301F" w:rsidRPr="0093301F" w:rsidRDefault="0093301F" w:rsidP="00821F1D">
      <w:pPr>
        <w:pStyle w:val="Heading2"/>
        <w:tabs>
          <w:tab w:val="left" w:pos="567"/>
        </w:tabs>
        <w:spacing w:before="60" w:line="240" w:lineRule="auto"/>
        <w:ind w:left="1446" w:right="1021" w:hanging="425"/>
        <w:rPr>
          <w:rFonts w:ascii="Arial" w:hAnsi="Arial" w:cs="Arial"/>
          <w:sz w:val="18"/>
          <w:szCs w:val="18"/>
        </w:rPr>
      </w:pPr>
      <w:r w:rsidRPr="0093301F">
        <w:rPr>
          <w:rFonts w:ascii="Arial" w:hAnsi="Arial" w:cs="Arial"/>
          <w:sz w:val="18"/>
          <w:szCs w:val="18"/>
        </w:rPr>
        <w:t>[189] It is often, as here, complicated by the presence of children. It is exacerbated when the victim has limited resources or other supports or means of escape. And it is often because those victims are told the abuse is their fault. The complexity of escaping such a relationship and seeking help cannot be underestimated.</w:t>
      </w:r>
    </w:p>
    <w:p w14:paraId="07C6F15C" w14:textId="11349FCC" w:rsidR="0093301F" w:rsidRPr="0093301F" w:rsidRDefault="0093301F" w:rsidP="00821F1D">
      <w:pPr>
        <w:pStyle w:val="Heading2"/>
        <w:tabs>
          <w:tab w:val="left" w:pos="567"/>
        </w:tabs>
        <w:spacing w:before="60" w:line="240" w:lineRule="auto"/>
        <w:ind w:left="1446" w:right="1021" w:hanging="425"/>
        <w:rPr>
          <w:rFonts w:ascii="Arial" w:hAnsi="Arial" w:cs="Arial"/>
          <w:bCs/>
          <w:color w:val="000000"/>
          <w:sz w:val="18"/>
          <w:szCs w:val="18"/>
        </w:rPr>
      </w:pPr>
      <w:r w:rsidRPr="0093301F">
        <w:rPr>
          <w:rFonts w:ascii="Arial" w:hAnsi="Arial" w:cs="Arial"/>
          <w:bCs/>
          <w:color w:val="000000"/>
          <w:sz w:val="18"/>
          <w:szCs w:val="18"/>
        </w:rPr>
        <w:t xml:space="preserve">[190] </w:t>
      </w:r>
      <w:r w:rsidRPr="0093301F">
        <w:rPr>
          <w:rFonts w:ascii="Arial" w:hAnsi="Arial" w:cs="Arial"/>
          <w:sz w:val="18"/>
          <w:szCs w:val="18"/>
        </w:rPr>
        <w:t>For these reasons, any sentencing Court must send a strong message to offenders and the community at large.</w:t>
      </w:r>
    </w:p>
    <w:p w14:paraId="6114008F" w14:textId="1878514C" w:rsidR="00F07892" w:rsidRDefault="00F07892" w:rsidP="00F07892">
      <w:pPr>
        <w:pStyle w:val="Normal-Indent"/>
        <w:spacing w:before="60" w:line="240" w:lineRule="auto"/>
        <w:ind w:left="567" w:right="567"/>
        <w:rPr>
          <w:rFonts w:ascii="Arial" w:hAnsi="Arial" w:cs="Arial"/>
          <w:sz w:val="20"/>
          <w:szCs w:val="16"/>
        </w:rPr>
      </w:pPr>
      <w:r>
        <w:rPr>
          <w:rFonts w:ascii="Arial" w:hAnsi="Arial" w:cs="Arial"/>
          <w:color w:val="000000"/>
          <w:sz w:val="20"/>
        </w:rPr>
        <w:t xml:space="preserve">[12] </w:t>
      </w:r>
      <w:r w:rsidRPr="00E4493E">
        <w:rPr>
          <w:rFonts w:ascii="Arial" w:hAnsi="Arial" w:cs="Arial"/>
          <w:sz w:val="20"/>
          <w:szCs w:val="16"/>
        </w:rPr>
        <w:t xml:space="preserve">These statements of principle are entirely apposite. The judge then emphasised the importance of the sentencing principle of general deterrence in domestic violence type cases and referenced the statements of this Court in </w:t>
      </w:r>
      <w:r w:rsidR="00206B15" w:rsidRPr="003A6AAD">
        <w:rPr>
          <w:rFonts w:ascii="Arial" w:hAnsi="Arial" w:cs="Arial"/>
          <w:i/>
          <w:color w:val="000000"/>
          <w:sz w:val="20"/>
        </w:rPr>
        <w:t>Pasinis v The Queen</w:t>
      </w:r>
      <w:r w:rsidR="00206B15" w:rsidRPr="003A6AAD">
        <w:rPr>
          <w:rFonts w:ascii="Arial" w:hAnsi="Arial" w:cs="Arial"/>
          <w:color w:val="000000"/>
          <w:sz w:val="20"/>
        </w:rPr>
        <w:t xml:space="preserve"> [2014] VSCA 97 </w:t>
      </w:r>
      <w:r w:rsidRPr="00E4493E">
        <w:rPr>
          <w:rFonts w:ascii="Arial" w:hAnsi="Arial" w:cs="Arial"/>
          <w:sz w:val="20"/>
          <w:szCs w:val="16"/>
        </w:rPr>
        <w:t xml:space="preserve">and </w:t>
      </w:r>
      <w:r w:rsidRPr="00BB6306">
        <w:rPr>
          <w:rFonts w:ascii="Arial" w:hAnsi="Arial" w:cs="Arial"/>
          <w:i/>
          <w:iCs/>
          <w:sz w:val="20"/>
          <w:szCs w:val="16"/>
        </w:rPr>
        <w:t>K</w:t>
      </w:r>
      <w:r w:rsidR="00BB6306" w:rsidRPr="00102FB6">
        <w:rPr>
          <w:rFonts w:ascii="Arial" w:hAnsi="Arial" w:cs="Arial"/>
          <w:i/>
          <w:iCs/>
          <w:sz w:val="20"/>
        </w:rPr>
        <w:t>alala v The Queen</w:t>
      </w:r>
      <w:r w:rsidR="00BB6306">
        <w:rPr>
          <w:rFonts w:ascii="Arial" w:hAnsi="Arial" w:cs="Arial"/>
          <w:sz w:val="20"/>
        </w:rPr>
        <w:t xml:space="preserve"> [2017] VSCA 223</w:t>
      </w:r>
      <w:r w:rsidRPr="00E4493E">
        <w:rPr>
          <w:rFonts w:ascii="Arial" w:hAnsi="Arial" w:cs="Arial"/>
          <w:sz w:val="20"/>
          <w:szCs w:val="16"/>
        </w:rPr>
        <w:t>.</w:t>
      </w:r>
    </w:p>
    <w:p w14:paraId="4D6E0D09" w14:textId="2D5FA202" w:rsidR="00AD56CD" w:rsidRDefault="00AD56CD" w:rsidP="00F07892">
      <w:pPr>
        <w:pStyle w:val="Normal-Indent"/>
        <w:spacing w:before="60" w:line="240" w:lineRule="auto"/>
        <w:ind w:left="567" w:right="567"/>
        <w:rPr>
          <w:rFonts w:ascii="Arial" w:hAnsi="Arial" w:cs="Arial"/>
          <w:sz w:val="20"/>
          <w:szCs w:val="16"/>
        </w:rPr>
      </w:pPr>
      <w:r>
        <w:rPr>
          <w:rFonts w:ascii="Arial" w:hAnsi="Arial" w:cs="Arial"/>
          <w:sz w:val="20"/>
          <w:szCs w:val="16"/>
        </w:rPr>
        <w:t xml:space="preserve">[13] </w:t>
      </w:r>
      <w:r w:rsidRPr="00E4493E">
        <w:rPr>
          <w:rFonts w:ascii="Arial" w:hAnsi="Arial" w:cs="Arial"/>
          <w:sz w:val="20"/>
          <w:szCs w:val="16"/>
        </w:rPr>
        <w:t>Under the heading of Objective Gravity the judge set out the factors considered relevant to this assessment in respect of the offences of rape, intentionally causing injury, making a threat to kill and false imprisonment. The judge noted that with the exception of the false imprisonment charge, the offences were more accurately described as spontaneous than premeditated. Whilst that may be ‘somewhat mitigating’ the judge correctly observed that sudden unprovoked violence in a relationship has its own kind of menace.</w:t>
      </w:r>
    </w:p>
    <w:p w14:paraId="361C1360" w14:textId="226B75AF" w:rsidR="00AD56CD" w:rsidRPr="00CA1495" w:rsidRDefault="00AD56CD" w:rsidP="00F07892">
      <w:pPr>
        <w:pStyle w:val="Normal-Indent"/>
        <w:spacing w:before="60" w:line="240" w:lineRule="auto"/>
        <w:ind w:left="567" w:right="567"/>
        <w:rPr>
          <w:rFonts w:ascii="Arial" w:hAnsi="Arial" w:cs="Arial"/>
          <w:color w:val="000000"/>
          <w:sz w:val="20"/>
        </w:rPr>
      </w:pPr>
      <w:r>
        <w:rPr>
          <w:rFonts w:ascii="Arial" w:hAnsi="Arial" w:cs="Arial"/>
          <w:sz w:val="20"/>
          <w:szCs w:val="16"/>
        </w:rPr>
        <w:t xml:space="preserve">[14] </w:t>
      </w:r>
      <w:r w:rsidRPr="00E4493E">
        <w:rPr>
          <w:rFonts w:ascii="Arial" w:hAnsi="Arial" w:cs="Arial"/>
          <w:sz w:val="20"/>
          <w:szCs w:val="16"/>
        </w:rPr>
        <w:t>We agree with these observations. Sudden unprovoked eruptions of violence in this case were usually against a background of physical, verbal and often financial control over the victims. The judge said:</w:t>
      </w:r>
    </w:p>
    <w:p w14:paraId="71900C1E" w14:textId="561B8B10" w:rsidR="00D4507D" w:rsidRDefault="00D4507D" w:rsidP="00D4507D">
      <w:pPr>
        <w:pStyle w:val="Heading2"/>
        <w:tabs>
          <w:tab w:val="left" w:pos="567"/>
        </w:tabs>
        <w:spacing w:before="60" w:line="240" w:lineRule="auto"/>
        <w:ind w:left="1446" w:right="1021" w:hanging="425"/>
        <w:rPr>
          <w:rFonts w:ascii="Arial" w:hAnsi="Arial" w:cs="Arial"/>
          <w:sz w:val="18"/>
          <w:szCs w:val="14"/>
        </w:rPr>
      </w:pPr>
      <w:r>
        <w:rPr>
          <w:rFonts w:ascii="Arial" w:hAnsi="Arial" w:cs="Arial"/>
          <w:sz w:val="18"/>
          <w:szCs w:val="18"/>
        </w:rPr>
        <w:t xml:space="preserve">[202] </w:t>
      </w:r>
      <w:r w:rsidRPr="00D4507D">
        <w:rPr>
          <w:rFonts w:ascii="Arial" w:hAnsi="Arial" w:cs="Arial"/>
          <w:sz w:val="18"/>
          <w:szCs w:val="14"/>
        </w:rPr>
        <w:t>Almost without exception each charged act here is accompanied by other physical and or verbal violence. That immediate setting is an aggravating feature of those offences.</w:t>
      </w:r>
    </w:p>
    <w:p w14:paraId="5CE95491" w14:textId="4E4087D6" w:rsidR="00D4507D" w:rsidRPr="00D4507D" w:rsidRDefault="00D4507D" w:rsidP="00D4507D">
      <w:pPr>
        <w:pStyle w:val="Heading2"/>
        <w:tabs>
          <w:tab w:val="left" w:pos="567"/>
        </w:tabs>
        <w:spacing w:before="60" w:line="240" w:lineRule="auto"/>
        <w:ind w:left="1446" w:right="1021" w:hanging="425"/>
        <w:rPr>
          <w:rFonts w:ascii="Arial" w:hAnsi="Arial" w:cs="Arial"/>
          <w:sz w:val="18"/>
          <w:szCs w:val="18"/>
        </w:rPr>
      </w:pPr>
      <w:r w:rsidRPr="00D4507D">
        <w:rPr>
          <w:rFonts w:ascii="Arial" w:hAnsi="Arial" w:cs="Arial"/>
          <w:sz w:val="18"/>
          <w:szCs w:val="18"/>
        </w:rPr>
        <w:t>[203] In addition to the charged offences and their immediate setting, I also take into account the broader context of the relationship and the nature of a number of uncharged acts.</w:t>
      </w:r>
    </w:p>
    <w:p w14:paraId="747A4EFA" w14:textId="520A8DA5" w:rsidR="00D4507D" w:rsidRPr="00D4507D" w:rsidRDefault="00D4507D" w:rsidP="00D4507D">
      <w:pPr>
        <w:pStyle w:val="Heading2"/>
        <w:tabs>
          <w:tab w:val="left" w:pos="567"/>
        </w:tabs>
        <w:spacing w:before="60" w:line="240" w:lineRule="auto"/>
        <w:ind w:left="1446" w:right="1021" w:hanging="425"/>
        <w:rPr>
          <w:rFonts w:ascii="Arial" w:hAnsi="Arial" w:cs="Arial"/>
          <w:sz w:val="18"/>
          <w:szCs w:val="18"/>
        </w:rPr>
      </w:pPr>
      <w:r w:rsidRPr="00D4507D">
        <w:rPr>
          <w:rFonts w:ascii="Arial" w:hAnsi="Arial" w:cs="Arial"/>
          <w:sz w:val="18"/>
          <w:szCs w:val="18"/>
        </w:rPr>
        <w:t>[204] Neither of those matters are aggravating features of the individual offences for which you will be sentenced. The relevance of those other acts of violence as well as the aspects of psychological, at times financial and physical control you exerted over each woman, including the intimidating feature of your frequent possession of weapons, as context is that it places your offences in their true setting. It demonstrates that your offences are not isolated examples but are committed against a backdrop of your extreme jealousy and control.</w:t>
      </w:r>
      <w:r w:rsidR="00D50327">
        <w:rPr>
          <w:rFonts w:ascii="Arial" w:hAnsi="Arial" w:cs="Arial"/>
          <w:sz w:val="18"/>
          <w:szCs w:val="18"/>
        </w:rPr>
        <w:t>”</w:t>
      </w:r>
    </w:p>
    <w:p w14:paraId="2D0F5DDA" w14:textId="19F50300" w:rsidR="00245981" w:rsidRDefault="00245981" w:rsidP="002B3A45">
      <w:pPr>
        <w:pStyle w:val="Heading2"/>
        <w:widowControl/>
        <w:tabs>
          <w:tab w:val="left" w:pos="567"/>
        </w:tabs>
        <w:spacing w:line="240" w:lineRule="auto"/>
        <w:rPr>
          <w:rFonts w:ascii="Arial" w:hAnsi="Arial" w:cs="Arial"/>
          <w:sz w:val="20"/>
        </w:rPr>
      </w:pPr>
    </w:p>
    <w:p w14:paraId="37AAB5B3" w14:textId="7BD840BB" w:rsidR="00D735D8" w:rsidRDefault="00D735D8" w:rsidP="00D735D8">
      <w:pPr>
        <w:jc w:val="both"/>
        <w:textAlignment w:val="baseline"/>
        <w:rPr>
          <w:rFonts w:ascii="Arial" w:hAnsi="Arial" w:cs="Arial"/>
          <w:sz w:val="20"/>
          <w:szCs w:val="20"/>
        </w:rPr>
      </w:pPr>
      <w:r>
        <w:rPr>
          <w:rFonts w:ascii="Arial" w:hAnsi="Arial" w:cs="Arial"/>
          <w:sz w:val="20"/>
          <w:szCs w:val="20"/>
          <w:lang w:val="en-US" w:eastAsia="en-AU"/>
        </w:rPr>
        <w:t xml:space="preserve">In </w:t>
      </w:r>
      <w:r w:rsidRPr="00D735D8">
        <w:rPr>
          <w:rFonts w:ascii="Arial" w:hAnsi="Arial" w:cs="Arial"/>
          <w:i/>
          <w:iCs/>
          <w:sz w:val="20"/>
          <w:szCs w:val="20"/>
          <w:lang w:val="en-US" w:eastAsia="en-AU"/>
        </w:rPr>
        <w:t>DPP v McDonough</w:t>
      </w:r>
      <w:r>
        <w:rPr>
          <w:rFonts w:ascii="Arial" w:hAnsi="Arial" w:cs="Arial"/>
          <w:sz w:val="20"/>
          <w:szCs w:val="20"/>
          <w:lang w:val="en-US" w:eastAsia="en-AU"/>
        </w:rPr>
        <w:t xml:space="preserve"> [2023] VSC 352 [summarized in </w:t>
      </w:r>
      <w:r w:rsidRPr="00BB001D">
        <w:rPr>
          <w:rFonts w:ascii="Arial" w:hAnsi="Arial" w:cs="Arial"/>
          <w:sz w:val="20"/>
          <w:szCs w:val="20"/>
          <w:lang w:val="en-US" w:eastAsia="en-AU"/>
        </w:rPr>
        <w:t>11.2.22.1</w:t>
      </w:r>
      <w:r>
        <w:rPr>
          <w:rFonts w:ascii="Arial" w:hAnsi="Arial" w:cs="Arial"/>
          <w:sz w:val="20"/>
          <w:szCs w:val="20"/>
          <w:lang w:val="en-US" w:eastAsia="en-AU"/>
        </w:rPr>
        <w:t xml:space="preserve">] the offender </w:t>
      </w:r>
      <w:r>
        <w:rPr>
          <w:rFonts w:ascii="Arial" w:hAnsi="Arial" w:cs="Arial"/>
          <w:sz w:val="20"/>
          <w:szCs w:val="20"/>
        </w:rPr>
        <w:t>had entered an early plea to manslaughter of his domestic partner who was attempting to leave the relationship.  In imposing a sentence of IMP11y6m/8y6m Fox J said at [48]:</w:t>
      </w:r>
    </w:p>
    <w:p w14:paraId="36D015E7" w14:textId="7346C902" w:rsidR="00D735D8" w:rsidRDefault="00D735D8" w:rsidP="00D735D8">
      <w:pPr>
        <w:pStyle w:val="Normal-Indent"/>
        <w:spacing w:before="60" w:line="240" w:lineRule="auto"/>
        <w:ind w:left="567" w:right="567"/>
        <w:rPr>
          <w:rFonts w:ascii="Arial" w:hAnsi="Arial" w:cs="Arial"/>
          <w:sz w:val="20"/>
          <w:szCs w:val="16"/>
        </w:rPr>
      </w:pPr>
      <w:r>
        <w:rPr>
          <w:rFonts w:ascii="Arial" w:hAnsi="Arial" w:cs="Arial"/>
          <w:sz w:val="20"/>
        </w:rPr>
        <w:t>“</w:t>
      </w:r>
      <w:r w:rsidRPr="000C5F9F">
        <w:rPr>
          <w:rFonts w:ascii="Arial" w:hAnsi="Arial" w:cs="Arial"/>
          <w:sz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rPr>
        <w:t>[your partner]</w:t>
      </w:r>
      <w:r w:rsidRPr="000C5F9F">
        <w:rPr>
          <w:rFonts w:ascii="Arial" w:hAnsi="Arial" w:cs="Arial"/>
          <w:sz w:val="20"/>
        </w:rPr>
        <w:t>.</w:t>
      </w:r>
      <w:r>
        <w:rPr>
          <w:rFonts w:ascii="Arial" w:hAnsi="Arial" w:cs="Arial"/>
          <w:sz w:val="20"/>
        </w:rPr>
        <w:t>”</w:t>
      </w:r>
    </w:p>
    <w:p w14:paraId="5CF9AFDC" w14:textId="77777777" w:rsidR="00D735D8" w:rsidRDefault="00D735D8" w:rsidP="002B3A45">
      <w:pPr>
        <w:pStyle w:val="Heading2"/>
        <w:widowControl/>
        <w:tabs>
          <w:tab w:val="left" w:pos="567"/>
        </w:tabs>
        <w:spacing w:line="240" w:lineRule="auto"/>
        <w:rPr>
          <w:rFonts w:ascii="Arial" w:hAnsi="Arial" w:cs="Arial"/>
          <w:sz w:val="20"/>
        </w:rPr>
      </w:pPr>
    </w:p>
    <w:p w14:paraId="24C4B7F3" w14:textId="7DB581E8" w:rsidR="009D17FD" w:rsidRDefault="009D17FD" w:rsidP="002B3A45">
      <w:pPr>
        <w:pStyle w:val="Heading2"/>
        <w:widowControl/>
        <w:tabs>
          <w:tab w:val="left" w:pos="567"/>
        </w:tabs>
        <w:spacing w:line="240" w:lineRule="auto"/>
        <w:rPr>
          <w:rFonts w:ascii="Arial" w:hAnsi="Arial" w:cs="Arial"/>
          <w:sz w:val="20"/>
        </w:rPr>
      </w:pPr>
      <w:r>
        <w:rPr>
          <w:rFonts w:ascii="Arial" w:hAnsi="Arial" w:cs="Arial"/>
          <w:sz w:val="20"/>
        </w:rPr>
        <w:lastRenderedPageBreak/>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He suffered from post-traumatic stress disorder.  The risk of deportation constituted significant extra-curial punishment.  He had “at least reasonable prospects of rehabilitation”.  In imposing a sentence of IMP4y3m/2y10m</w:t>
      </w:r>
      <w:r w:rsidR="000F7381">
        <w:rPr>
          <w:rFonts w:ascii="Arial" w:hAnsi="Arial" w:cs="Arial"/>
          <w:sz w:val="20"/>
        </w:rPr>
        <w:t>,</w:t>
      </w:r>
      <w:r>
        <w:rPr>
          <w:rFonts w:ascii="Arial" w:hAnsi="Arial" w:cs="Arial"/>
          <w:sz w:val="20"/>
        </w:rPr>
        <w:t xml:space="preserve"> Fox J said at [46]:</w:t>
      </w:r>
    </w:p>
    <w:p w14:paraId="175F9275" w14:textId="3E5EFA31" w:rsidR="009D17FD" w:rsidRDefault="009D17FD" w:rsidP="00D735D8">
      <w:pPr>
        <w:pStyle w:val="Normal-Indent"/>
        <w:spacing w:before="60" w:line="240" w:lineRule="auto"/>
        <w:ind w:left="567" w:right="567"/>
        <w:rPr>
          <w:rFonts w:ascii="Arial" w:hAnsi="Arial" w:cs="Arial"/>
          <w:sz w:val="20"/>
          <w:szCs w:val="16"/>
        </w:rPr>
      </w:pPr>
      <w:r>
        <w:rPr>
          <w:rFonts w:ascii="Arial" w:hAnsi="Arial" w:cs="Arial"/>
          <w:sz w:val="20"/>
          <w:szCs w:val="16"/>
        </w:rPr>
        <w:t>“</w:t>
      </w:r>
      <w:r w:rsidRPr="009D17FD">
        <w:rPr>
          <w:rFonts w:ascii="Arial" w:hAnsi="Arial" w:cs="Arial"/>
          <w:sz w:val="20"/>
          <w:szCs w:val="16"/>
        </w:rPr>
        <w:t>The most serious aspect of all your offending is that it arose in circumstances of family violence. The courts are all too often faced with serious crimes committed by men because they are angry with their partner or former partner. Your offending impacted your young children, your wife and many members of her family. Through sentencing, the courts must try to send a message to other would-be offenders that if you commit crimes of family violence, you should expect to receive stern punishment.”</w:t>
      </w:r>
    </w:p>
    <w:p w14:paraId="0B9B87EF" w14:textId="68FCA2CC" w:rsidR="009D17FD" w:rsidRDefault="009D17FD" w:rsidP="002B3A45">
      <w:pPr>
        <w:pStyle w:val="Heading2"/>
        <w:widowControl/>
        <w:tabs>
          <w:tab w:val="left" w:pos="567"/>
        </w:tabs>
        <w:spacing w:line="240" w:lineRule="auto"/>
        <w:rPr>
          <w:rFonts w:ascii="Arial" w:hAnsi="Arial" w:cs="Arial"/>
          <w:sz w:val="20"/>
        </w:rPr>
      </w:pPr>
    </w:p>
    <w:p w14:paraId="3EFE6771" w14:textId="304D6B2E" w:rsidR="00414565" w:rsidRDefault="00414565"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414565">
        <w:rPr>
          <w:rFonts w:ascii="Arial" w:hAnsi="Arial" w:cs="Arial"/>
          <w:i/>
          <w:iCs/>
          <w:sz w:val="20"/>
        </w:rPr>
        <w:t>Skeates (a pseudonym) v The King</w:t>
      </w:r>
      <w:r>
        <w:rPr>
          <w:rFonts w:ascii="Arial" w:hAnsi="Arial" w:cs="Arial"/>
          <w:sz w:val="20"/>
        </w:rPr>
        <w:t xml:space="preserve"> [2023] VSCA 226 the Court of Appeal refused leave to appeal a TES IMP10y/7y imposed on the year old applicant who had a significant history of family violence offending and who had pleaded guilty to threats, various assault offences, rape and breach of family violence intervention orders, the offences having been committed against four intimate partners.  The Court held that the individual sentences and the orders for cumulation were not manifestly excessive, noted the importance of the family violence context in assessing the gravity of the offending and stated that general deterrence, specific deterrence and community protection were of paramount importance.  At [</w:t>
      </w:r>
      <w:r w:rsidR="001317E1">
        <w:rPr>
          <w:rFonts w:ascii="Arial" w:hAnsi="Arial" w:cs="Arial"/>
          <w:sz w:val="20"/>
        </w:rPr>
        <w:t>55</w:t>
      </w:r>
      <w:r>
        <w:rPr>
          <w:rFonts w:ascii="Arial" w:hAnsi="Arial" w:cs="Arial"/>
          <w:sz w:val="20"/>
        </w:rPr>
        <w:t>]-[</w:t>
      </w:r>
      <w:r w:rsidR="001317E1">
        <w:rPr>
          <w:rFonts w:ascii="Arial" w:hAnsi="Arial" w:cs="Arial"/>
          <w:sz w:val="20"/>
        </w:rPr>
        <w:t>62</w:t>
      </w:r>
      <w:r>
        <w:rPr>
          <w:rFonts w:ascii="Arial" w:hAnsi="Arial" w:cs="Arial"/>
          <w:sz w:val="20"/>
        </w:rPr>
        <w:t>] Emerton P, Niall and Taylor JJA said:</w:t>
      </w:r>
    </w:p>
    <w:p w14:paraId="682008DB" w14:textId="7651A539" w:rsidR="00414565" w:rsidRDefault="001317E1" w:rsidP="00414565">
      <w:pPr>
        <w:pStyle w:val="Normal-Indent"/>
        <w:spacing w:before="60" w:line="240" w:lineRule="auto"/>
        <w:ind w:left="567" w:right="567"/>
        <w:rPr>
          <w:rFonts w:ascii="Arial" w:hAnsi="Arial" w:cs="Arial"/>
          <w:sz w:val="20"/>
          <w:szCs w:val="16"/>
        </w:rPr>
      </w:pPr>
      <w:r>
        <w:rPr>
          <w:rFonts w:ascii="Arial" w:hAnsi="Arial" w:cs="Arial"/>
          <w:sz w:val="20"/>
          <w:szCs w:val="16"/>
        </w:rPr>
        <w:t xml:space="preserve">[55] </w:t>
      </w:r>
      <w:r w:rsidR="00414565">
        <w:rPr>
          <w:rFonts w:ascii="Arial" w:hAnsi="Arial" w:cs="Arial"/>
          <w:sz w:val="20"/>
          <w:szCs w:val="16"/>
        </w:rPr>
        <w:t>“</w:t>
      </w:r>
      <w:r w:rsidRPr="001317E1">
        <w:rPr>
          <w:rFonts w:ascii="Arial" w:hAnsi="Arial" w:cs="Arial"/>
          <w:sz w:val="20"/>
          <w:szCs w:val="16"/>
        </w:rPr>
        <w:t xml:space="preserve">In 2014 this Court in </w:t>
      </w:r>
      <w:r w:rsidRPr="001317E1">
        <w:rPr>
          <w:rFonts w:ascii="Arial" w:hAnsi="Arial" w:cs="Arial"/>
          <w:i/>
          <w:iCs/>
          <w:sz w:val="20"/>
          <w:szCs w:val="16"/>
        </w:rPr>
        <w:t>Pasinis v The Queen</w:t>
      </w:r>
      <w:r>
        <w:rPr>
          <w:rFonts w:ascii="Arial" w:hAnsi="Arial" w:cs="Arial"/>
          <w:sz w:val="20"/>
          <w:szCs w:val="16"/>
        </w:rPr>
        <w:t xml:space="preserve"> [2014] VSCA </w:t>
      </w:r>
      <w:r w:rsidR="00CC5BC9">
        <w:rPr>
          <w:rFonts w:ascii="Arial" w:hAnsi="Arial" w:cs="Arial"/>
          <w:sz w:val="20"/>
          <w:szCs w:val="16"/>
        </w:rPr>
        <w:t>9</w:t>
      </w:r>
      <w:r w:rsidRPr="001317E1">
        <w:rPr>
          <w:rFonts w:ascii="Arial" w:hAnsi="Arial" w:cs="Arial"/>
          <w:sz w:val="20"/>
          <w:szCs w:val="16"/>
        </w:rPr>
        <w:t>7</w:t>
      </w:r>
      <w:r w:rsidR="00CC5BC9">
        <w:rPr>
          <w:rFonts w:ascii="Arial" w:hAnsi="Arial" w:cs="Arial"/>
          <w:sz w:val="20"/>
          <w:szCs w:val="16"/>
        </w:rPr>
        <w:t>, [53], [54] &amp; [57]</w:t>
      </w:r>
      <w:r w:rsidRPr="001317E1">
        <w:rPr>
          <w:rFonts w:ascii="Arial" w:hAnsi="Arial" w:cs="Arial"/>
          <w:sz w:val="20"/>
          <w:szCs w:val="16"/>
        </w:rPr>
        <w:t xml:space="preserve"> sent ‘an unequivocal message’</w:t>
      </w:r>
      <w:r w:rsidR="00CC5BC9">
        <w:rPr>
          <w:rFonts w:ascii="Arial" w:hAnsi="Arial" w:cs="Arial"/>
          <w:sz w:val="20"/>
          <w:szCs w:val="16"/>
        </w:rPr>
        <w:t xml:space="preserve"> {</w:t>
      </w:r>
      <w:r w:rsidR="00CC5BC9" w:rsidRPr="00CC5BC9">
        <w:rPr>
          <w:rFonts w:ascii="Arial" w:hAnsi="Arial" w:cs="Arial"/>
          <w:i/>
          <w:iCs/>
          <w:sz w:val="20"/>
          <w:szCs w:val="16"/>
        </w:rPr>
        <w:t>DPP v Smith</w:t>
      </w:r>
      <w:r w:rsidR="00CC5BC9">
        <w:rPr>
          <w:rFonts w:ascii="Arial" w:hAnsi="Arial" w:cs="Arial"/>
          <w:sz w:val="20"/>
          <w:szCs w:val="16"/>
        </w:rPr>
        <w:t xml:space="preserve"> [2019] VSCA 266, [35]} </w:t>
      </w:r>
      <w:r w:rsidRPr="001317E1">
        <w:rPr>
          <w:rFonts w:ascii="Arial" w:hAnsi="Arial" w:cs="Arial"/>
          <w:sz w:val="20"/>
          <w:szCs w:val="16"/>
        </w:rPr>
        <w:t>as to the prominence deterrence must achieve in sentencing criminal conduct in the context of family violence. It was in the following terms:</w:t>
      </w:r>
    </w:p>
    <w:p w14:paraId="287A2932"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Historically perpetrators of family violence were rarely prosecuted. Even when offenders were convicted of such offences, they often received lenient sentences. Fortunately the criminal law now gives greater recognition to the devastating effects of family violence. It</w:t>
      </w:r>
      <w:r>
        <w:rPr>
          <w:rFonts w:ascii="Arial" w:hAnsi="Arial" w:cs="Arial"/>
          <w:sz w:val="18"/>
          <w:szCs w:val="14"/>
        </w:rPr>
        <w:t> </w:t>
      </w:r>
      <w:r w:rsidRPr="001317E1">
        <w:rPr>
          <w:rFonts w:ascii="Arial" w:hAnsi="Arial" w:cs="Arial"/>
          <w:sz w:val="18"/>
          <w:szCs w:val="14"/>
        </w:rPr>
        <w:t>has also been recognised that women who are killed by their husband, boyfriend or de facto partner have frequently been assaulted by them many times previously. This makes both specific and general deterrence very important factors in sentencing men who assault their partner.</w:t>
      </w:r>
    </w:p>
    <w:p w14:paraId="7C9A7DBD"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The effects of family violence are now well documented. They are not confined to physical injury. Victims often feel responsible for the violence and ashamed that they were not able to prevent the perpetrator from offending. As occurred in this case, it is common for victims to deny or conceal that their partners have assaulted them until the violence becomes unbearable. … Victims who have been dominated, controlled and beaten by their partners over a significant period experience serious and long-lasting psychological trauma. As in the present case, the physical effects of the violence and its erosion of the victim’s confidence can also affect their ability to participate in paid work and have other serious financial effects.</w:t>
      </w:r>
    </w:p>
    <w:p w14:paraId="35F666FF"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w:t>
      </w:r>
    </w:p>
    <w:p w14:paraId="015DC4CC" w14:textId="48DA1C3A" w:rsidR="00414565" w:rsidRDefault="001317E1" w:rsidP="001317E1">
      <w:pPr>
        <w:pStyle w:val="Heading2"/>
        <w:widowControl/>
        <w:tabs>
          <w:tab w:val="left" w:pos="567"/>
        </w:tabs>
        <w:spacing w:before="60" w:line="240" w:lineRule="auto"/>
        <w:ind w:left="1021" w:right="1021"/>
        <w:rPr>
          <w:rFonts w:ascii="Arial" w:hAnsi="Arial" w:cs="Arial"/>
          <w:sz w:val="20"/>
        </w:rPr>
      </w:pPr>
      <w:r w:rsidRPr="001317E1">
        <w:rPr>
          <w:rFonts w:ascii="Arial" w:hAnsi="Arial" w:cs="Arial"/>
          <w:sz w:val="18"/>
          <w:szCs w:val="14"/>
        </w:rPr>
        <w:t>General deterrence is of fundamental importance in cases of domestic violence. The victims of such violence are often so enveloped by fear that they are incapable of either escaping the violence or reporting it to the authorities. The key to protection lies in deterring the violent conduct by sending an unequivocal message to would–be perpetrators of domestic violence that if they offend, they will be sentenced to a lengthy period of imprisonment so that they are no longer in a position to inflict harm.</w:t>
      </w:r>
    </w:p>
    <w:p w14:paraId="445C23F1" w14:textId="297CEF4F" w:rsidR="001317E1" w:rsidRDefault="001317E1" w:rsidP="00170185">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1317E1">
        <w:rPr>
          <w:rFonts w:ascii="Arial" w:hAnsi="Arial" w:cs="Arial"/>
          <w:sz w:val="20"/>
          <w:szCs w:val="16"/>
        </w:rPr>
        <w:t>Since then this Court has made repeated statements that sentences imposed for family violence should be ‘set at a level which will send a message to those — predominantly men — who might offend violently against domestic partners or former partners or family members’</w:t>
      </w:r>
      <w:r w:rsidR="00CC5BC9">
        <w:rPr>
          <w:rFonts w:ascii="Arial" w:hAnsi="Arial" w:cs="Arial"/>
          <w:sz w:val="20"/>
          <w:szCs w:val="16"/>
        </w:rPr>
        <w:t xml:space="preserve"> {</w:t>
      </w:r>
      <w:r w:rsidR="00CC5BC9" w:rsidRPr="00CC5BC9">
        <w:rPr>
          <w:rFonts w:ascii="Arial" w:hAnsi="Arial" w:cs="Arial"/>
          <w:i/>
          <w:iCs/>
          <w:sz w:val="20"/>
          <w:szCs w:val="16"/>
        </w:rPr>
        <w:t>Uzun v The Queen</w:t>
      </w:r>
      <w:r w:rsidR="00CC5BC9">
        <w:rPr>
          <w:rFonts w:ascii="Arial" w:hAnsi="Arial" w:cs="Arial"/>
          <w:sz w:val="20"/>
          <w:szCs w:val="16"/>
        </w:rPr>
        <w:t xml:space="preserve"> [2015] VSCA 292, [48]} </w:t>
      </w:r>
      <w:r w:rsidRPr="001317E1">
        <w:rPr>
          <w:rFonts w:ascii="Arial" w:hAnsi="Arial" w:cs="Arial"/>
          <w:sz w:val="20"/>
          <w:szCs w:val="16"/>
        </w:rPr>
        <w:t>and reaffirmed that the ‘fundamental importance’</w:t>
      </w:r>
      <w:r w:rsidR="00CC5BC9">
        <w:rPr>
          <w:rFonts w:ascii="Arial" w:hAnsi="Arial" w:cs="Arial"/>
          <w:sz w:val="20"/>
          <w:szCs w:val="16"/>
        </w:rPr>
        <w:t xml:space="preserve"> {</w:t>
      </w:r>
      <w:r w:rsidR="00CC5BC9" w:rsidRPr="00AB7AB6">
        <w:rPr>
          <w:rFonts w:ascii="Arial" w:hAnsi="Arial" w:cs="Arial"/>
          <w:i/>
          <w:iCs/>
          <w:sz w:val="20"/>
          <w:szCs w:val="16"/>
        </w:rPr>
        <w:t>Kalala v The Queen</w:t>
      </w:r>
      <w:r w:rsidR="00CC5BC9">
        <w:rPr>
          <w:rFonts w:ascii="Arial" w:hAnsi="Arial" w:cs="Arial"/>
          <w:sz w:val="20"/>
          <w:szCs w:val="16"/>
        </w:rPr>
        <w:t xml:space="preserve"> (2017) 269 A Crim R 1, 18 [61]}</w:t>
      </w:r>
      <w:r w:rsidRPr="001317E1">
        <w:rPr>
          <w:rFonts w:ascii="Arial" w:hAnsi="Arial" w:cs="Arial"/>
          <w:sz w:val="20"/>
          <w:szCs w:val="16"/>
        </w:rPr>
        <w:t xml:space="preserve"> of the need for condign punishment to denounce and deter family violence is because of its prevalence and the seriousness of its consequences.</w:t>
      </w:r>
    </w:p>
    <w:p w14:paraId="1DDBBDFA" w14:textId="3B1E01A6"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[57] </w:t>
      </w:r>
      <w:r w:rsidRPr="001317E1">
        <w:rPr>
          <w:rFonts w:ascii="Arial" w:hAnsi="Arial" w:cs="Arial"/>
          <w:sz w:val="20"/>
          <w:szCs w:val="16"/>
        </w:rPr>
        <w:t xml:space="preserve">In </w:t>
      </w:r>
      <w:r w:rsidRPr="001317E1">
        <w:rPr>
          <w:rFonts w:ascii="Arial" w:hAnsi="Arial" w:cs="Arial"/>
          <w:i/>
          <w:iCs/>
          <w:sz w:val="20"/>
          <w:szCs w:val="16"/>
        </w:rPr>
        <w:t>Marrah v The Queen</w:t>
      </w:r>
      <w:r w:rsidRPr="001317E1">
        <w:rPr>
          <w:rFonts w:ascii="Arial" w:hAnsi="Arial" w:cs="Arial"/>
          <w:sz w:val="20"/>
          <w:szCs w:val="16"/>
        </w:rPr>
        <w:t xml:space="preserve"> </w:t>
      </w:r>
      <w:r w:rsidR="00CC5BC9">
        <w:rPr>
          <w:rFonts w:ascii="Arial" w:hAnsi="Arial" w:cs="Arial"/>
          <w:sz w:val="20"/>
          <w:szCs w:val="16"/>
        </w:rPr>
        <w:t xml:space="preserve">[2014] VSCA 119, [25] </w:t>
      </w:r>
      <w:r w:rsidRPr="001317E1">
        <w:rPr>
          <w:rFonts w:ascii="Arial" w:hAnsi="Arial" w:cs="Arial"/>
          <w:sz w:val="20"/>
          <w:szCs w:val="16"/>
        </w:rPr>
        <w:t>the Court said:</w:t>
      </w:r>
    </w:p>
    <w:p w14:paraId="20B8CFD2" w14:textId="2BF2258E" w:rsidR="00CC5BC9" w:rsidRPr="00CC5BC9" w:rsidRDefault="00CC5BC9" w:rsidP="00CC5BC9">
      <w:pPr>
        <w:pStyle w:val="Heading2"/>
        <w:widowControl/>
        <w:tabs>
          <w:tab w:val="left" w:pos="567"/>
        </w:tabs>
        <w:spacing w:before="60" w:line="240" w:lineRule="auto"/>
        <w:ind w:left="1021" w:right="1021"/>
        <w:rPr>
          <w:rFonts w:ascii="Arial" w:hAnsi="Arial" w:cs="Arial"/>
          <w:sz w:val="16"/>
          <w:szCs w:val="12"/>
        </w:rPr>
      </w:pPr>
      <w:r w:rsidRPr="00CC5BC9">
        <w:rPr>
          <w:rFonts w:ascii="Arial" w:hAnsi="Arial" w:cs="Arial"/>
          <w:sz w:val="18"/>
          <w:szCs w:val="14"/>
        </w:rPr>
        <w:t>Offending of this nature is too often perpetrated by men whose response to</w:t>
      </w:r>
      <w:r>
        <w:rPr>
          <w:rFonts w:ascii="Arial" w:hAnsi="Arial" w:cs="Arial"/>
          <w:sz w:val="18"/>
          <w:szCs w:val="14"/>
        </w:rPr>
        <w:t xml:space="preserve"> </w:t>
      </w:r>
      <w:r w:rsidRPr="00CC5BC9">
        <w:rPr>
          <w:rFonts w:ascii="Arial" w:hAnsi="Arial" w:cs="Arial"/>
          <w:sz w:val="18"/>
          <w:szCs w:val="14"/>
        </w:rPr>
        <w:t xml:space="preserve">difficulties in a relationship is one of possessive, violent rage. It goes without saying that such a response, to what is a common human situation, is utterly unacceptable. The sentences must convey the unmistakeable message that male partners have no right to subject </w:t>
      </w:r>
      <w:r w:rsidRPr="00CC5BC9">
        <w:rPr>
          <w:rFonts w:ascii="Arial" w:hAnsi="Arial" w:cs="Arial"/>
          <w:sz w:val="18"/>
          <w:szCs w:val="14"/>
        </w:rPr>
        <w:lastRenderedPageBreak/>
        <w:t>their female partners to threats or violence. The sentences must be of such an order as to strongly denounce violence within a domestic relationship.</w:t>
      </w:r>
    </w:p>
    <w:p w14:paraId="1213E91A" w14:textId="4BA4A3DB" w:rsidR="001317E1" w:rsidRDefault="00CC5BC9"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[58] And in </w:t>
      </w:r>
      <w:r w:rsidRPr="00CC5BC9">
        <w:rPr>
          <w:rFonts w:ascii="Arial" w:hAnsi="Arial" w:cs="Arial"/>
          <w:i/>
          <w:iCs/>
          <w:sz w:val="20"/>
          <w:szCs w:val="16"/>
        </w:rPr>
        <w:t>DPP v Meyers</w:t>
      </w:r>
      <w:r>
        <w:rPr>
          <w:rFonts w:ascii="Arial" w:hAnsi="Arial" w:cs="Arial"/>
          <w:sz w:val="20"/>
          <w:szCs w:val="16"/>
        </w:rPr>
        <w:t xml:space="preserve"> (2014) 44 VR 486, 497-498, [45]-[46] the Court stated:</w:t>
      </w:r>
    </w:p>
    <w:p w14:paraId="64DFAE48" w14:textId="0236C69E" w:rsidR="00CC5BC9" w:rsidRPr="00CC5BC9" w:rsidRDefault="00CC5BC9" w:rsidP="00CC5BC9">
      <w:pPr>
        <w:pStyle w:val="Heading2"/>
        <w:widowControl/>
        <w:tabs>
          <w:tab w:val="left" w:pos="567"/>
        </w:tabs>
        <w:spacing w:before="60" w:line="240" w:lineRule="auto"/>
        <w:ind w:left="1021" w:right="1021"/>
        <w:rPr>
          <w:rFonts w:ascii="Arial" w:hAnsi="Arial" w:cs="Arial"/>
          <w:sz w:val="16"/>
          <w:szCs w:val="12"/>
        </w:rPr>
      </w:pPr>
      <w:r w:rsidRPr="00CC5BC9">
        <w:rPr>
          <w:rFonts w:ascii="Arial" w:hAnsi="Arial" w:cs="Arial"/>
          <w:sz w:val="18"/>
          <w:szCs w:val="14"/>
        </w:rPr>
        <w:t>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 General deterrence is, accordingly, a sentencing principle of great importance in cases such as these. Those who might, in a mood of anger or frustration or bitterness, contemplate this kind of violent entry into the home of a former spouse or partner must realise that, if they do so, they will almost certainly spend a long time in prison.</w:t>
      </w:r>
    </w:p>
    <w:p w14:paraId="5BE755AE" w14:textId="3ECBF6BA" w:rsidR="006F3F96" w:rsidRDefault="006F3F96" w:rsidP="009D11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[59] </w:t>
      </w:r>
      <w:r w:rsidRPr="001317E1">
        <w:rPr>
          <w:rFonts w:ascii="Arial" w:hAnsi="Arial" w:cs="Arial"/>
          <w:sz w:val="20"/>
          <w:szCs w:val="16"/>
        </w:rPr>
        <w:t>The Court has ‘made it clear that acts of violence in a domestic setting, and in particular by men towards women, are utterly abhorrent and unacceptable</w:t>
      </w:r>
      <w:r w:rsidR="002C0374">
        <w:rPr>
          <w:rFonts w:ascii="Arial" w:hAnsi="Arial" w:cs="Arial"/>
          <w:sz w:val="20"/>
          <w:szCs w:val="16"/>
        </w:rPr>
        <w:t xml:space="preserve">’: </w:t>
      </w:r>
      <w:r w:rsidR="002C0374" w:rsidRPr="002C0374">
        <w:rPr>
          <w:rFonts w:ascii="Arial" w:hAnsi="Arial" w:cs="Arial"/>
          <w:i/>
          <w:iCs/>
          <w:sz w:val="20"/>
          <w:szCs w:val="16"/>
        </w:rPr>
        <w:t>DPP v Meyers</w:t>
      </w:r>
      <w:r w:rsidR="002C0374">
        <w:rPr>
          <w:rFonts w:ascii="Arial" w:hAnsi="Arial" w:cs="Arial"/>
          <w:sz w:val="20"/>
          <w:szCs w:val="16"/>
        </w:rPr>
        <w:t xml:space="preserve"> (2014) 44 VR 486, 497-498 [45]-[46].</w:t>
      </w:r>
      <w:r w:rsidRPr="001317E1">
        <w:rPr>
          <w:rFonts w:ascii="Arial" w:hAnsi="Arial" w:cs="Arial"/>
          <w:sz w:val="20"/>
          <w:szCs w:val="16"/>
        </w:rPr>
        <w:t xml:space="preserve"> </w:t>
      </w:r>
      <w:r w:rsidR="002C0374">
        <w:rPr>
          <w:rFonts w:ascii="Arial" w:hAnsi="Arial" w:cs="Arial"/>
          <w:sz w:val="20"/>
          <w:szCs w:val="16"/>
        </w:rPr>
        <w:t xml:space="preserve"> </w:t>
      </w:r>
      <w:r w:rsidRPr="001317E1">
        <w:rPr>
          <w:rFonts w:ascii="Arial" w:hAnsi="Arial" w:cs="Arial"/>
          <w:sz w:val="20"/>
          <w:szCs w:val="16"/>
        </w:rPr>
        <w:t>The strength of the language used in these statements is not accidental. Family violence is contemptible. It warrants both condemnation and appropriate punishment.</w:t>
      </w:r>
    </w:p>
    <w:p w14:paraId="2DDF068E" w14:textId="38060EED" w:rsidR="006F3F96" w:rsidRDefault="006F3F96" w:rsidP="002C0374">
      <w:pPr>
        <w:pStyle w:val="Normal-Indent"/>
        <w:spacing w:before="60" w:line="240" w:lineRule="auto"/>
        <w:ind w:left="567" w:right="567"/>
        <w:rPr>
          <w:rFonts w:ascii="Arial" w:hAnsi="Arial" w:cs="Arial"/>
          <w:sz w:val="20"/>
          <w:szCs w:val="16"/>
        </w:rPr>
      </w:pPr>
      <w:r>
        <w:rPr>
          <w:rFonts w:ascii="Arial" w:hAnsi="Arial" w:cs="Arial"/>
          <w:sz w:val="20"/>
          <w:szCs w:val="16"/>
        </w:rPr>
        <w:t xml:space="preserve">[60] </w:t>
      </w:r>
      <w:r w:rsidRPr="001317E1">
        <w:rPr>
          <w:rFonts w:ascii="Arial" w:hAnsi="Arial" w:cs="Arial"/>
          <w:sz w:val="20"/>
          <w:szCs w:val="16"/>
        </w:rPr>
        <w:t>As is plain from these authorities, the fundamental importance of general deterrence in arriving at the appropriate punishment does not diminish the value of specific deterrence and protection of the community as sentencing considerations</w:t>
      </w:r>
      <w:r w:rsidR="002C0374">
        <w:rPr>
          <w:rFonts w:ascii="Arial" w:hAnsi="Arial" w:cs="Arial"/>
          <w:sz w:val="20"/>
          <w:szCs w:val="16"/>
        </w:rPr>
        <w:t>: s</w:t>
      </w:r>
      <w:r w:rsidR="002C0374" w:rsidRPr="001317E1">
        <w:rPr>
          <w:rFonts w:ascii="Arial" w:hAnsi="Arial" w:cs="Arial"/>
          <w:sz w:val="20"/>
          <w:szCs w:val="16"/>
        </w:rPr>
        <w:t xml:space="preserve">ee generally, </w:t>
      </w:r>
      <w:r w:rsidR="002C0374" w:rsidRPr="002C0374">
        <w:rPr>
          <w:rFonts w:ascii="Arial" w:hAnsi="Arial" w:cs="Arial"/>
          <w:i/>
          <w:iCs/>
          <w:sz w:val="20"/>
          <w:szCs w:val="16"/>
        </w:rPr>
        <w:t>Uzun</w:t>
      </w:r>
      <w:r w:rsidR="002C0374" w:rsidRPr="001317E1">
        <w:rPr>
          <w:rFonts w:ascii="Arial" w:hAnsi="Arial" w:cs="Arial"/>
          <w:sz w:val="20"/>
          <w:szCs w:val="16"/>
        </w:rPr>
        <w:t xml:space="preserve"> [2015] VSCA 292, [33]</w:t>
      </w:r>
      <w:r w:rsidR="002C0374">
        <w:rPr>
          <w:rFonts w:ascii="Arial" w:hAnsi="Arial" w:cs="Arial"/>
          <w:sz w:val="20"/>
          <w:szCs w:val="16"/>
        </w:rPr>
        <w:t xml:space="preserve">; </w:t>
      </w:r>
      <w:r w:rsidR="002C0374" w:rsidRPr="002C0374">
        <w:rPr>
          <w:rFonts w:ascii="Arial" w:hAnsi="Arial" w:cs="Arial"/>
          <w:i/>
          <w:iCs/>
          <w:sz w:val="20"/>
          <w:szCs w:val="16"/>
        </w:rPr>
        <w:t>Smith</w:t>
      </w:r>
      <w:r w:rsidR="002C0374" w:rsidRPr="001317E1">
        <w:rPr>
          <w:rFonts w:ascii="Arial" w:hAnsi="Arial" w:cs="Arial"/>
          <w:sz w:val="20"/>
          <w:szCs w:val="16"/>
        </w:rPr>
        <w:t xml:space="preserve"> [2019] VSCA 266, [35]</w:t>
      </w:r>
      <w:r w:rsidR="002C0374">
        <w:rPr>
          <w:rFonts w:ascii="Arial" w:hAnsi="Arial" w:cs="Arial"/>
          <w:sz w:val="20"/>
          <w:szCs w:val="16"/>
        </w:rPr>
        <w:t xml:space="preserve">; </w:t>
      </w:r>
      <w:r w:rsidR="002C0374" w:rsidRPr="002C0374">
        <w:rPr>
          <w:rFonts w:ascii="Arial" w:hAnsi="Arial" w:cs="Arial"/>
          <w:i/>
          <w:iCs/>
          <w:sz w:val="20"/>
          <w:szCs w:val="16"/>
        </w:rPr>
        <w:t>Nolan v The Queen</w:t>
      </w:r>
      <w:r w:rsidR="002C0374" w:rsidRPr="001317E1">
        <w:rPr>
          <w:rFonts w:ascii="Arial" w:hAnsi="Arial" w:cs="Arial"/>
          <w:sz w:val="20"/>
          <w:szCs w:val="16"/>
        </w:rPr>
        <w:t xml:space="preserve"> [2017] VSCA 240, [31].</w:t>
      </w:r>
      <w:r w:rsidR="002C0374">
        <w:rPr>
          <w:rFonts w:ascii="Arial" w:hAnsi="Arial" w:cs="Arial"/>
          <w:sz w:val="20"/>
          <w:szCs w:val="16"/>
        </w:rPr>
        <w:t xml:space="preserve">  </w:t>
      </w:r>
      <w:r w:rsidRPr="001317E1">
        <w:rPr>
          <w:rFonts w:ascii="Arial" w:hAnsi="Arial" w:cs="Arial"/>
          <w:sz w:val="20"/>
          <w:szCs w:val="16"/>
        </w:rPr>
        <w:t>And, the gravity of family violence offending will be aggravated if it breaches an extant FVIO</w:t>
      </w:r>
      <w:r>
        <w:rPr>
          <w:rFonts w:ascii="Arial" w:hAnsi="Arial" w:cs="Arial"/>
          <w:sz w:val="20"/>
          <w:szCs w:val="16"/>
        </w:rPr>
        <w:t xml:space="preserve"> {</w:t>
      </w:r>
      <w:r w:rsidRPr="006F3F96">
        <w:rPr>
          <w:rFonts w:ascii="Arial" w:hAnsi="Arial" w:cs="Arial"/>
          <w:i/>
          <w:iCs/>
          <w:sz w:val="20"/>
          <w:szCs w:val="16"/>
        </w:rPr>
        <w:t>Marrah</w:t>
      </w:r>
      <w:r w:rsidRPr="001317E1">
        <w:rPr>
          <w:rFonts w:ascii="Arial" w:hAnsi="Arial" w:cs="Arial"/>
          <w:sz w:val="20"/>
          <w:szCs w:val="16"/>
        </w:rPr>
        <w:t xml:space="preserve"> [2014] VSCA 119, [25]</w:t>
      </w:r>
      <w:r>
        <w:rPr>
          <w:rFonts w:ascii="Arial" w:hAnsi="Arial" w:cs="Arial"/>
          <w:sz w:val="20"/>
          <w:szCs w:val="16"/>
        </w:rPr>
        <w:t xml:space="preserve">; </w:t>
      </w:r>
      <w:r w:rsidRPr="006F3F96">
        <w:rPr>
          <w:rFonts w:ascii="Arial" w:hAnsi="Arial" w:cs="Arial"/>
          <w:i/>
          <w:iCs/>
          <w:sz w:val="20"/>
          <w:szCs w:val="16"/>
        </w:rPr>
        <w:t>Filiz v The Queen</w:t>
      </w:r>
      <w:r w:rsidRPr="001317E1">
        <w:rPr>
          <w:rFonts w:ascii="Arial" w:hAnsi="Arial" w:cs="Arial"/>
          <w:sz w:val="20"/>
          <w:szCs w:val="16"/>
        </w:rPr>
        <w:t xml:space="preserve"> [2014] VSCA 212, [21]</w:t>
      </w:r>
      <w:r>
        <w:rPr>
          <w:rFonts w:ascii="Arial" w:hAnsi="Arial" w:cs="Arial"/>
          <w:sz w:val="20"/>
          <w:szCs w:val="16"/>
        </w:rPr>
        <w:t xml:space="preserve">} </w:t>
      </w:r>
      <w:r w:rsidRPr="001317E1">
        <w:rPr>
          <w:rFonts w:ascii="Arial" w:hAnsi="Arial" w:cs="Arial"/>
          <w:sz w:val="20"/>
          <w:szCs w:val="16"/>
        </w:rPr>
        <w:t>or is committed in front of children</w:t>
      </w:r>
      <w:r>
        <w:rPr>
          <w:rFonts w:ascii="Arial" w:hAnsi="Arial" w:cs="Arial"/>
          <w:sz w:val="20"/>
          <w:szCs w:val="16"/>
        </w:rPr>
        <w:t xml:space="preserve">: </w:t>
      </w:r>
      <w:r w:rsidRPr="006F3F96">
        <w:rPr>
          <w:rFonts w:ascii="Arial" w:hAnsi="Arial" w:cs="Arial"/>
          <w:i/>
          <w:iCs/>
          <w:sz w:val="20"/>
          <w:szCs w:val="16"/>
        </w:rPr>
        <w:t>Nolan</w:t>
      </w:r>
      <w:r w:rsidRPr="001317E1">
        <w:rPr>
          <w:rFonts w:ascii="Arial" w:hAnsi="Arial" w:cs="Arial"/>
          <w:sz w:val="20"/>
          <w:szCs w:val="16"/>
        </w:rPr>
        <w:t xml:space="preserve"> [2017] VSCA 240, [31]</w:t>
      </w:r>
      <w:r>
        <w:rPr>
          <w:rFonts w:ascii="Arial" w:hAnsi="Arial" w:cs="Arial"/>
          <w:sz w:val="20"/>
          <w:szCs w:val="16"/>
        </w:rPr>
        <w:t xml:space="preserve">; </w:t>
      </w:r>
      <w:r w:rsidRPr="006F3F96">
        <w:rPr>
          <w:rFonts w:ascii="Arial" w:hAnsi="Arial" w:cs="Arial"/>
          <w:i/>
          <w:iCs/>
          <w:sz w:val="20"/>
          <w:szCs w:val="16"/>
        </w:rPr>
        <w:t>Laa</w:t>
      </w:r>
      <w:r w:rsidRPr="001317E1">
        <w:rPr>
          <w:rFonts w:ascii="Arial" w:hAnsi="Arial" w:cs="Arial"/>
          <w:sz w:val="20"/>
          <w:szCs w:val="16"/>
        </w:rPr>
        <w:t xml:space="preserve"> [2020] VSCA 136, [52]</w:t>
      </w:r>
      <w:r>
        <w:rPr>
          <w:rFonts w:ascii="Arial" w:hAnsi="Arial" w:cs="Arial"/>
          <w:sz w:val="20"/>
          <w:szCs w:val="16"/>
        </w:rPr>
        <w:t>.</w:t>
      </w:r>
    </w:p>
    <w:p w14:paraId="6D24E2C8" w14:textId="15517AA4"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[61] </w:t>
      </w:r>
      <w:r w:rsidRPr="001317E1">
        <w:rPr>
          <w:rFonts w:ascii="Arial" w:hAnsi="Arial" w:cs="Arial"/>
          <w:sz w:val="20"/>
          <w:szCs w:val="16"/>
        </w:rPr>
        <w:t>Further, the seriousness of family violence and the harm it inflicts is not to be simply equated with physical injury</w:t>
      </w:r>
      <w:r>
        <w:rPr>
          <w:rFonts w:ascii="Arial" w:hAnsi="Arial" w:cs="Arial"/>
          <w:sz w:val="20"/>
          <w:szCs w:val="16"/>
        </w:rPr>
        <w:t xml:space="preserve">: </w:t>
      </w:r>
      <w:r w:rsidRPr="006F3F96">
        <w:rPr>
          <w:rFonts w:ascii="Arial" w:hAnsi="Arial" w:cs="Arial"/>
          <w:i/>
          <w:iCs/>
          <w:sz w:val="20"/>
          <w:szCs w:val="16"/>
        </w:rPr>
        <w:t>Pasinis</w:t>
      </w:r>
      <w:r w:rsidRPr="001317E1">
        <w:rPr>
          <w:rFonts w:ascii="Arial" w:hAnsi="Arial" w:cs="Arial"/>
          <w:sz w:val="20"/>
          <w:szCs w:val="16"/>
        </w:rPr>
        <w:t xml:space="preserve"> [2014] VSCA 97, [54]. Family violence is now understood — and defined in law </w:t>
      </w:r>
      <w:r w:rsidR="00312209">
        <w:rPr>
          <w:rFonts w:ascii="Arial" w:hAnsi="Arial" w:cs="Arial"/>
          <w:sz w:val="20"/>
          <w:szCs w:val="16"/>
        </w:rPr>
        <w:t xml:space="preserve">in s.5 FVPA </w:t>
      </w:r>
      <w:r w:rsidRPr="001317E1">
        <w:rPr>
          <w:rFonts w:ascii="Arial" w:hAnsi="Arial" w:cs="Arial"/>
          <w:sz w:val="20"/>
          <w:szCs w:val="16"/>
        </w:rPr>
        <w:t>— to encompass behaviour that is physically, sexually, emotionally, psychologically and economically abusive or threatening or coercive, even if such behaviour does not constitute a criminal offence.</w:t>
      </w:r>
      <w:r w:rsidR="00AB7AB6">
        <w:rPr>
          <w:rFonts w:ascii="Arial" w:hAnsi="Arial" w:cs="Arial"/>
          <w:sz w:val="20"/>
          <w:szCs w:val="16"/>
        </w:rPr>
        <w:t xml:space="preserve"> </w:t>
      </w:r>
      <w:r w:rsidRPr="001317E1">
        <w:rPr>
          <w:rFonts w:ascii="Arial" w:hAnsi="Arial" w:cs="Arial"/>
          <w:sz w:val="20"/>
          <w:szCs w:val="16"/>
        </w:rPr>
        <w:t xml:space="preserve"> That kind of behaviour produces situations where people, disproportionately women, live in ‘real and justified fear of</w:t>
      </w:r>
      <w:r>
        <w:rPr>
          <w:rFonts w:ascii="Arial" w:hAnsi="Arial" w:cs="Arial"/>
          <w:sz w:val="20"/>
          <w:szCs w:val="16"/>
        </w:rPr>
        <w:t xml:space="preserve"> </w:t>
      </w:r>
      <w:r w:rsidRPr="001317E1">
        <w:rPr>
          <w:rFonts w:ascii="Arial" w:hAnsi="Arial" w:cs="Arial"/>
          <w:sz w:val="20"/>
          <w:szCs w:val="16"/>
        </w:rPr>
        <w:t>men who are, or were, their intimate partners</w:t>
      </w:r>
      <w:r w:rsidR="00AB7AB6">
        <w:rPr>
          <w:rFonts w:ascii="Arial" w:hAnsi="Arial" w:cs="Arial"/>
          <w:sz w:val="20"/>
          <w:szCs w:val="16"/>
        </w:rPr>
        <w:t xml:space="preserve">’: </w:t>
      </w:r>
      <w:r w:rsidR="00AB7AB6" w:rsidRPr="00AB7AB6">
        <w:rPr>
          <w:rFonts w:ascii="Arial" w:hAnsi="Arial" w:cs="Arial"/>
          <w:i/>
          <w:iCs/>
          <w:sz w:val="20"/>
          <w:szCs w:val="16"/>
        </w:rPr>
        <w:t>Filiz</w:t>
      </w:r>
      <w:r w:rsidR="00AB7AB6">
        <w:rPr>
          <w:rFonts w:ascii="Arial" w:hAnsi="Arial" w:cs="Arial"/>
          <w:sz w:val="20"/>
          <w:szCs w:val="16"/>
        </w:rPr>
        <w:t xml:space="preserve"> [2014] VSCA 212, [23]</w:t>
      </w:r>
      <w:r w:rsidRPr="001317E1">
        <w:rPr>
          <w:rFonts w:ascii="Arial" w:hAnsi="Arial" w:cs="Arial"/>
          <w:sz w:val="20"/>
          <w:szCs w:val="16"/>
        </w:rPr>
        <w:t>.</w:t>
      </w:r>
      <w:r w:rsidR="00AB7AB6">
        <w:rPr>
          <w:rFonts w:ascii="Arial" w:hAnsi="Arial" w:cs="Arial"/>
          <w:sz w:val="20"/>
          <w:szCs w:val="16"/>
        </w:rPr>
        <w:t xml:space="preserve"> </w:t>
      </w:r>
      <w:r w:rsidRPr="001317E1">
        <w:rPr>
          <w:rFonts w:ascii="Arial" w:hAnsi="Arial" w:cs="Arial"/>
          <w:sz w:val="20"/>
          <w:szCs w:val="16"/>
        </w:rPr>
        <w:t xml:space="preserve"> It produces a domestic atmosphere steeped in dread.</w:t>
      </w:r>
      <w:r w:rsidR="00312209">
        <w:rPr>
          <w:rFonts w:ascii="Arial" w:hAnsi="Arial" w:cs="Arial"/>
          <w:sz w:val="20"/>
          <w:szCs w:val="16"/>
        </w:rPr>
        <w:t xml:space="preserve"> </w:t>
      </w:r>
      <w:r w:rsidRPr="001317E1">
        <w:rPr>
          <w:rFonts w:ascii="Arial" w:hAnsi="Arial" w:cs="Arial"/>
          <w:sz w:val="20"/>
          <w:szCs w:val="16"/>
        </w:rPr>
        <w:t xml:space="preserve"> It robs victims of capacity and agency and also engenders shame.</w:t>
      </w:r>
    </w:p>
    <w:p w14:paraId="665BF7A3" w14:textId="5BC4E5C0"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w:t>
      </w:r>
      <w:r w:rsidRPr="001317E1">
        <w:rPr>
          <w:rFonts w:ascii="Arial" w:hAnsi="Arial" w:cs="Arial"/>
          <w:sz w:val="20"/>
          <w:szCs w:val="16"/>
        </w:rPr>
        <w:t>62</w:t>
      </w:r>
      <w:r>
        <w:rPr>
          <w:rFonts w:ascii="Arial" w:hAnsi="Arial" w:cs="Arial"/>
          <w:sz w:val="20"/>
          <w:szCs w:val="16"/>
        </w:rPr>
        <w:t>]</w:t>
      </w:r>
      <w:r w:rsidRPr="001317E1">
        <w:rPr>
          <w:rFonts w:ascii="Arial" w:hAnsi="Arial" w:cs="Arial"/>
          <w:sz w:val="20"/>
          <w:szCs w:val="16"/>
        </w:rPr>
        <w:t xml:space="preserve"> It follows that in assessing the totality of the circumstances that pertain to any offence committed in the context of family violence, the surrounding behaviours of the offender must be considered to assess the true gravity of the offending and for ‘the sentence to vindicate the dignity of [the] victim’</w:t>
      </w:r>
      <w:r w:rsidR="00AB7AB6">
        <w:rPr>
          <w:rFonts w:ascii="Arial" w:hAnsi="Arial" w:cs="Arial"/>
          <w:sz w:val="20"/>
          <w:szCs w:val="16"/>
        </w:rPr>
        <w:t xml:space="preserve">: </w:t>
      </w:r>
      <w:r w:rsidR="00AB7AB6" w:rsidRPr="00312209">
        <w:rPr>
          <w:rFonts w:ascii="Arial" w:hAnsi="Arial" w:cs="Arial"/>
          <w:i/>
          <w:iCs/>
          <w:sz w:val="20"/>
          <w:szCs w:val="16"/>
        </w:rPr>
        <w:t>Marrah</w:t>
      </w:r>
      <w:r w:rsidR="00AB7AB6">
        <w:rPr>
          <w:rFonts w:ascii="Arial" w:hAnsi="Arial" w:cs="Arial"/>
          <w:sz w:val="20"/>
          <w:szCs w:val="16"/>
        </w:rPr>
        <w:t xml:space="preserve"> [2014] VSCA 119, [16]</w:t>
      </w:r>
      <w:r w:rsidRPr="001317E1">
        <w:rPr>
          <w:rFonts w:ascii="Arial" w:hAnsi="Arial" w:cs="Arial"/>
          <w:sz w:val="20"/>
          <w:szCs w:val="16"/>
        </w:rPr>
        <w:t>.</w:t>
      </w:r>
      <w:r w:rsidR="00AB7AB6">
        <w:rPr>
          <w:rFonts w:ascii="Arial" w:hAnsi="Arial" w:cs="Arial"/>
          <w:sz w:val="20"/>
          <w:szCs w:val="16"/>
        </w:rPr>
        <w:t>”</w:t>
      </w:r>
    </w:p>
    <w:p w14:paraId="00E33A1A" w14:textId="15B5FD75" w:rsidR="001317E1" w:rsidRDefault="001317E1" w:rsidP="002B3A45">
      <w:pPr>
        <w:pStyle w:val="Heading2"/>
        <w:widowControl/>
        <w:tabs>
          <w:tab w:val="left" w:pos="567"/>
        </w:tabs>
        <w:spacing w:line="240" w:lineRule="auto"/>
        <w:rPr>
          <w:rFonts w:ascii="Arial" w:hAnsi="Arial" w:cs="Arial"/>
          <w:sz w:val="20"/>
        </w:rPr>
      </w:pPr>
    </w:p>
    <w:p w14:paraId="01C92A74" w14:textId="3EE25A22" w:rsidR="00685718" w:rsidRDefault="00685718"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58673C">
        <w:rPr>
          <w:rFonts w:ascii="Arial" w:hAnsi="Arial" w:cs="Arial"/>
          <w:i/>
          <w:iCs/>
          <w:sz w:val="20"/>
        </w:rPr>
        <w:t>Dhal v The Queen</w:t>
      </w:r>
      <w:r>
        <w:rPr>
          <w:rFonts w:ascii="Arial" w:hAnsi="Arial" w:cs="Arial"/>
          <w:sz w:val="20"/>
        </w:rPr>
        <w:t xml:space="preserve"> [2023] VSCA 289 the Court of Appeal (Osborn &amp; Whelan JJA), in refusing the 31 year old offender leave to appeal against a sentence of IMP11y on a charge of intentionally causing serious injury to his former partner, said at [67]-[69]:</w:t>
      </w:r>
    </w:p>
    <w:p w14:paraId="140BAE05" w14:textId="64628A0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[67] “</w:t>
      </w:r>
      <w:r w:rsidRPr="00685718">
        <w:rPr>
          <w:rFonts w:ascii="Arial" w:hAnsi="Arial" w:cs="Arial"/>
          <w:sz w:val="20"/>
          <w:szCs w:val="16"/>
        </w:rPr>
        <w:t xml:space="preserve">The fact that the victim was the former partner of the applicant, and the fact that the applicant has prior convictions for assaults on a partner or former partner, were </w:t>
      </w:r>
      <w:r w:rsidRPr="00685718">
        <w:rPr>
          <w:rFonts w:ascii="Arial" w:hAnsi="Arial" w:cs="Arial"/>
          <w:sz w:val="20"/>
        </w:rPr>
        <w:t xml:space="preserve">significant. As this Court said in </w:t>
      </w:r>
      <w:r w:rsidRPr="00685718">
        <w:rPr>
          <w:rFonts w:ascii="Arial" w:hAnsi="Arial" w:cs="Arial"/>
          <w:i/>
          <w:iCs/>
          <w:sz w:val="20"/>
        </w:rPr>
        <w:t xml:space="preserve">Smith v The Queen </w:t>
      </w:r>
      <w:r w:rsidRPr="00685718">
        <w:rPr>
          <w:rFonts w:ascii="Arial" w:hAnsi="Arial" w:cs="Arial"/>
          <w:sz w:val="20"/>
        </w:rPr>
        <w:t>[2020] VSCA 159, [7], male</w:t>
      </w:r>
      <w:r w:rsidRPr="00685718">
        <w:rPr>
          <w:rFonts w:ascii="Arial" w:hAnsi="Arial" w:cs="Arial"/>
          <w:sz w:val="20"/>
          <w:szCs w:val="16"/>
        </w:rPr>
        <w:t xml:space="preserve"> violence against women is a ‘scourge of our society’, and those who engage in it ‘should be in no doubt that offending of this kind will attract very heavy sentences’.</w:t>
      </w:r>
    </w:p>
    <w:p w14:paraId="41FD75DC" w14:textId="50AEA84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[68] </w:t>
      </w:r>
      <w:r w:rsidRPr="00685718">
        <w:rPr>
          <w:rFonts w:ascii="Arial" w:hAnsi="Arial" w:cs="Arial"/>
          <w:sz w:val="20"/>
          <w:szCs w:val="16"/>
        </w:rPr>
        <w:t>The offending in this case visited horrific injuries on a 21 year old former partner. The applicant was motivated by jealousy and revenge. He used a boning knife. As a result of his work as a butcher, he was familiar with the effect of the use of such a knife. He made three attempts to strike the victim, injuring his friend, who was attempting to protect her in the course of one of those attempts. He has relevant prior convictions. There is a significant risk of reoffending. Both specific and general deterrence are very important. There is little evidence of significant genuine remorse. His prospects of rehabilitation are guarded.</w:t>
      </w:r>
    </w:p>
    <w:p w14:paraId="577B7973" w14:textId="35B3196F"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[69] </w:t>
      </w:r>
      <w:r w:rsidRPr="00685718">
        <w:rPr>
          <w:rFonts w:ascii="Arial" w:hAnsi="Arial" w:cs="Arial"/>
          <w:sz w:val="20"/>
          <w:szCs w:val="16"/>
        </w:rPr>
        <w:t>In these circumstance, there is no basis for a conclusion that the sentences are manifestly excessive.</w:t>
      </w:r>
      <w:r>
        <w:rPr>
          <w:rFonts w:ascii="Arial" w:hAnsi="Arial" w:cs="Arial"/>
          <w:sz w:val="20"/>
          <w:szCs w:val="16"/>
        </w:rPr>
        <w:t>”</w:t>
      </w:r>
    </w:p>
    <w:p w14:paraId="0CA8AE16" w14:textId="3E2B2C67" w:rsidR="00685718" w:rsidRDefault="00685718" w:rsidP="002B3A45">
      <w:pPr>
        <w:pStyle w:val="Heading2"/>
        <w:widowControl/>
        <w:tabs>
          <w:tab w:val="left" w:pos="567"/>
        </w:tabs>
        <w:spacing w:line="240" w:lineRule="auto"/>
        <w:rPr>
          <w:rFonts w:ascii="Arial" w:hAnsi="Arial" w:cs="Arial"/>
          <w:sz w:val="20"/>
        </w:rPr>
      </w:pPr>
    </w:p>
    <w:p w14:paraId="5D1DC009" w14:textId="2B01EB36" w:rsidR="008B14AE" w:rsidRDefault="008B14AE"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8B14AE">
        <w:rPr>
          <w:rFonts w:ascii="Arial" w:hAnsi="Arial" w:cs="Arial"/>
          <w:i/>
          <w:iCs/>
          <w:sz w:val="20"/>
        </w:rPr>
        <w:t>Dragovic v The King</w:t>
      </w:r>
      <w:r>
        <w:rPr>
          <w:rFonts w:ascii="Arial" w:hAnsi="Arial" w:cs="Arial"/>
          <w:sz w:val="20"/>
        </w:rPr>
        <w:t xml:space="preserve"> [2024] VSCA 95 the applicant had pleaded guilty to </w:t>
      </w:r>
      <w:r w:rsidR="00E76CEC" w:rsidRPr="00E76CEC">
        <w:rPr>
          <w:rFonts w:ascii="Arial" w:hAnsi="Arial" w:cs="Arial"/>
          <w:sz w:val="20"/>
          <w:szCs w:val="16"/>
        </w:rPr>
        <w:t xml:space="preserve">to one charge of criminal damage, six charges of common assault, one charge of persistent contravention of a family violence intervention order, one charge of attempting to pervert the course of justice and the related summary </w:t>
      </w:r>
      <w:r w:rsidR="00E76CEC" w:rsidRPr="00E76CEC">
        <w:rPr>
          <w:rFonts w:ascii="Arial" w:hAnsi="Arial" w:cs="Arial"/>
          <w:sz w:val="20"/>
          <w:szCs w:val="16"/>
        </w:rPr>
        <w:lastRenderedPageBreak/>
        <w:t xml:space="preserve">offence of committing an indictable offence whilst on bail. He was sentenced to </w:t>
      </w:r>
      <w:r w:rsidR="00E76CEC">
        <w:rPr>
          <w:rFonts w:ascii="Arial" w:hAnsi="Arial" w:cs="Arial"/>
          <w:sz w:val="20"/>
          <w:szCs w:val="16"/>
        </w:rPr>
        <w:t>TES IMP2y/1y</w:t>
      </w:r>
      <w:r w:rsidR="00E76CEC" w:rsidRPr="00E76CEC">
        <w:rPr>
          <w:rFonts w:ascii="Arial" w:hAnsi="Arial" w:cs="Arial"/>
          <w:sz w:val="20"/>
          <w:szCs w:val="16"/>
        </w:rPr>
        <w:t>.</w:t>
      </w:r>
      <w:r w:rsidR="00E76CEC">
        <w:rPr>
          <w:rFonts w:ascii="Arial" w:hAnsi="Arial" w:cs="Arial"/>
          <w:sz w:val="20"/>
          <w:szCs w:val="16"/>
        </w:rPr>
        <w:t xml:space="preserve">  In refusing leave to appeal the Court of Appeal (Kennedy &amp; T Forrest JJA) said at [31]-[33]:</w:t>
      </w:r>
    </w:p>
    <w:p w14:paraId="184411AA" w14:textId="06665DD5"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[31] “</w:t>
      </w:r>
      <w:r w:rsidRPr="00E76CEC">
        <w:rPr>
          <w:rFonts w:ascii="Arial" w:hAnsi="Arial" w:cs="Arial"/>
          <w:sz w:val="20"/>
          <w:szCs w:val="16"/>
        </w:rPr>
        <w:t>We agree entirely for the reasons stated by the sentencing judge, that the applicant involved himself in serious violence against his intimate partner. Violence towards an intimate partner can never be justified but in this case, there seems little if any reason for this sustained course of violence. The applicant’s apparent grievance seems to be that the complainant, having cared for him during his illness, called an ambulance against his wishes. She then had the temerity to leave his presence for a few hours.</w:t>
      </w:r>
    </w:p>
    <w:p w14:paraId="7538DAEA" w14:textId="4E3A2EF1"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w:t>
      </w:r>
      <w:r w:rsidRPr="00E76CEC">
        <w:rPr>
          <w:rFonts w:ascii="Arial" w:hAnsi="Arial" w:cs="Arial"/>
          <w:sz w:val="20"/>
          <w:szCs w:val="16"/>
        </w:rPr>
        <w:t>32</w:t>
      </w:r>
      <w:r>
        <w:rPr>
          <w:rFonts w:ascii="Arial" w:hAnsi="Arial" w:cs="Arial"/>
          <w:sz w:val="20"/>
          <w:szCs w:val="16"/>
        </w:rPr>
        <w:t>]</w:t>
      </w:r>
      <w:r w:rsidRPr="00E76CEC">
        <w:rPr>
          <w:rFonts w:ascii="Arial" w:hAnsi="Arial" w:cs="Arial"/>
          <w:sz w:val="20"/>
          <w:szCs w:val="16"/>
        </w:rPr>
        <w:t xml:space="preserve"> Recently, in </w:t>
      </w:r>
      <w:r w:rsidRPr="00E76CEC">
        <w:rPr>
          <w:rFonts w:ascii="Arial" w:hAnsi="Arial" w:cs="Arial"/>
          <w:i/>
          <w:iCs/>
          <w:sz w:val="20"/>
          <w:szCs w:val="16"/>
        </w:rPr>
        <w:t>DPP v Reynolds (a pseudonym)</w:t>
      </w:r>
      <w:r w:rsidR="006B3D81">
        <w:rPr>
          <w:rFonts w:ascii="Arial" w:hAnsi="Arial" w:cs="Arial"/>
          <w:sz w:val="20"/>
          <w:szCs w:val="16"/>
        </w:rPr>
        <w:t xml:space="preserve"> (2022) 71 VR 336, 352 [71]-[77],</w:t>
      </w:r>
      <w:r w:rsidRPr="00E76CEC">
        <w:rPr>
          <w:rFonts w:ascii="Arial" w:hAnsi="Arial" w:cs="Arial"/>
          <w:sz w:val="20"/>
          <w:szCs w:val="16"/>
        </w:rPr>
        <w:t xml:space="preserve"> this Court restated and emphasised established sentencing principles in cases of intimate partner violence</w:t>
      </w:r>
      <w:r w:rsidR="00756F35">
        <w:rPr>
          <w:rFonts w:ascii="Arial" w:hAnsi="Arial" w:cs="Arial"/>
          <w:sz w:val="20"/>
          <w:szCs w:val="16"/>
        </w:rPr>
        <w:t xml:space="preserve"> citing </w:t>
      </w:r>
      <w:r w:rsidR="00756F35" w:rsidRPr="00756F35">
        <w:rPr>
          <w:rFonts w:ascii="Arial" w:hAnsi="Arial" w:cs="Arial"/>
          <w:i/>
          <w:iCs/>
          <w:sz w:val="20"/>
          <w:szCs w:val="16"/>
        </w:rPr>
        <w:t>Pasinis v The Queen</w:t>
      </w:r>
      <w:r w:rsidR="00756F35">
        <w:rPr>
          <w:rFonts w:ascii="Arial" w:hAnsi="Arial" w:cs="Arial"/>
          <w:sz w:val="20"/>
          <w:szCs w:val="16"/>
        </w:rPr>
        <w:t xml:space="preserve"> </w:t>
      </w:r>
      <w:r w:rsidR="00756F35" w:rsidRPr="00E76CEC">
        <w:rPr>
          <w:rFonts w:ascii="Arial" w:hAnsi="Arial" w:cs="Arial"/>
          <w:sz w:val="20"/>
          <w:szCs w:val="16"/>
        </w:rPr>
        <w:t xml:space="preserve">[2014] VSCA 97, [57]; </w:t>
      </w:r>
      <w:r w:rsidR="00756F35" w:rsidRPr="00756F35">
        <w:rPr>
          <w:rFonts w:ascii="Arial" w:hAnsi="Arial" w:cs="Arial"/>
          <w:i/>
          <w:iCs/>
          <w:sz w:val="20"/>
          <w:szCs w:val="16"/>
        </w:rPr>
        <w:t>Mercer (a pseudonym) v The Queen</w:t>
      </w:r>
      <w:r w:rsidR="00756F35" w:rsidRPr="00E76CEC">
        <w:rPr>
          <w:rFonts w:ascii="Arial" w:hAnsi="Arial" w:cs="Arial"/>
          <w:sz w:val="20"/>
          <w:szCs w:val="16"/>
        </w:rPr>
        <w:t xml:space="preserve"> [2015] VSCA 257, [54]; </w:t>
      </w:r>
      <w:r w:rsidR="00756F35" w:rsidRPr="00756F35">
        <w:rPr>
          <w:rFonts w:ascii="Arial" w:hAnsi="Arial" w:cs="Arial"/>
          <w:i/>
          <w:iCs/>
          <w:sz w:val="20"/>
          <w:szCs w:val="16"/>
        </w:rPr>
        <w:t>Kalala v The Queen</w:t>
      </w:r>
      <w:r w:rsidR="00756F35" w:rsidRPr="00E76CEC">
        <w:rPr>
          <w:rFonts w:ascii="Arial" w:hAnsi="Arial" w:cs="Arial"/>
          <w:sz w:val="20"/>
          <w:szCs w:val="16"/>
        </w:rPr>
        <w:t xml:space="preserve"> (2017) 269 A Crim R 1, 18 [59]; [2017] VSCA 223; </w:t>
      </w:r>
      <w:r w:rsidR="00756F35" w:rsidRPr="00756F35">
        <w:rPr>
          <w:rFonts w:ascii="Arial" w:hAnsi="Arial" w:cs="Arial"/>
          <w:i/>
          <w:iCs/>
          <w:sz w:val="20"/>
          <w:szCs w:val="16"/>
        </w:rPr>
        <w:t>DPP v Evans</w:t>
      </w:r>
      <w:r w:rsidR="00756F35" w:rsidRPr="00E76CEC">
        <w:rPr>
          <w:rFonts w:ascii="Arial" w:hAnsi="Arial" w:cs="Arial"/>
          <w:sz w:val="20"/>
          <w:szCs w:val="16"/>
        </w:rPr>
        <w:t xml:space="preserve"> [2019] VSCA 239, [84]</w:t>
      </w:r>
      <w:r w:rsidR="00756F35">
        <w:rPr>
          <w:rFonts w:ascii="Arial" w:hAnsi="Arial" w:cs="Arial"/>
          <w:sz w:val="20"/>
          <w:szCs w:val="16"/>
        </w:rPr>
        <w:t xml:space="preserve">.  </w:t>
      </w:r>
      <w:r w:rsidRPr="00E76CEC">
        <w:rPr>
          <w:rFonts w:ascii="Arial" w:hAnsi="Arial" w:cs="Arial"/>
          <w:sz w:val="20"/>
          <w:szCs w:val="16"/>
        </w:rPr>
        <w:t xml:space="preserve">In </w:t>
      </w:r>
      <w:r w:rsidRPr="006B3D81">
        <w:rPr>
          <w:rFonts w:ascii="Arial" w:hAnsi="Arial" w:cs="Arial"/>
          <w:i/>
          <w:iCs/>
          <w:sz w:val="20"/>
          <w:szCs w:val="16"/>
        </w:rPr>
        <w:t>Kalala v The Queen</w:t>
      </w:r>
      <w:r w:rsidRPr="00E76CEC">
        <w:rPr>
          <w:rFonts w:ascii="Arial" w:hAnsi="Arial" w:cs="Arial"/>
          <w:sz w:val="20"/>
          <w:szCs w:val="16"/>
        </w:rPr>
        <w:t xml:space="preserve">, the majority observed </w:t>
      </w:r>
      <w:r w:rsidR="00756F35">
        <w:rPr>
          <w:rFonts w:ascii="Arial" w:hAnsi="Arial" w:cs="Arial"/>
          <w:sz w:val="20"/>
          <w:szCs w:val="16"/>
        </w:rPr>
        <w:t xml:space="preserve">at [59] </w:t>
      </w:r>
      <w:r w:rsidRPr="00E76CEC">
        <w:rPr>
          <w:rFonts w:ascii="Arial" w:hAnsi="Arial" w:cs="Arial"/>
          <w:sz w:val="20"/>
          <w:szCs w:val="16"/>
        </w:rPr>
        <w:t xml:space="preserve">that ‘[t]his Court has repeatedly emphasised the need to condemn family violence, in line with community expectations’. </w:t>
      </w:r>
      <w:r w:rsidR="00756F35">
        <w:rPr>
          <w:rFonts w:ascii="Arial" w:hAnsi="Arial" w:cs="Arial"/>
          <w:sz w:val="20"/>
          <w:szCs w:val="16"/>
        </w:rPr>
        <w:t xml:space="preserve"> </w:t>
      </w:r>
      <w:r w:rsidRPr="00E76CEC">
        <w:rPr>
          <w:rFonts w:ascii="Arial" w:hAnsi="Arial" w:cs="Arial"/>
          <w:sz w:val="20"/>
          <w:szCs w:val="16"/>
        </w:rPr>
        <w:t xml:space="preserve">A decade ago, in </w:t>
      </w:r>
      <w:r w:rsidRPr="006B3D81">
        <w:rPr>
          <w:rFonts w:ascii="Arial" w:hAnsi="Arial" w:cs="Arial"/>
          <w:i/>
          <w:iCs/>
          <w:sz w:val="20"/>
          <w:szCs w:val="16"/>
        </w:rPr>
        <w:t>Feliz v The Queen</w:t>
      </w:r>
      <w:r w:rsidR="00756F35">
        <w:rPr>
          <w:rFonts w:ascii="Arial" w:hAnsi="Arial" w:cs="Arial"/>
          <w:sz w:val="20"/>
          <w:szCs w:val="16"/>
        </w:rPr>
        <w:t xml:space="preserve"> [2014] VSCA 212 </w:t>
      </w:r>
      <w:r w:rsidRPr="00E76CEC">
        <w:rPr>
          <w:rFonts w:ascii="Arial" w:hAnsi="Arial" w:cs="Arial"/>
          <w:sz w:val="20"/>
          <w:szCs w:val="16"/>
        </w:rPr>
        <w:t>this Court remarked</w:t>
      </w:r>
      <w:r w:rsidR="006B3D81">
        <w:rPr>
          <w:rFonts w:ascii="Arial" w:hAnsi="Arial" w:cs="Arial"/>
          <w:sz w:val="20"/>
          <w:szCs w:val="16"/>
        </w:rPr>
        <w:t xml:space="preserve"> at [23] (citations omitted)</w:t>
      </w:r>
      <w:r w:rsidRPr="00E76CEC">
        <w:rPr>
          <w:rFonts w:ascii="Arial" w:hAnsi="Arial" w:cs="Arial"/>
          <w:sz w:val="20"/>
          <w:szCs w:val="16"/>
        </w:rPr>
        <w:t>:</w:t>
      </w:r>
    </w:p>
    <w:p w14:paraId="2DA70112" w14:textId="53EB5DAA" w:rsidR="006B3D81" w:rsidRDefault="006B3D81" w:rsidP="006B3D81">
      <w:pPr>
        <w:pStyle w:val="Normal-Indent"/>
        <w:spacing w:before="60" w:line="240" w:lineRule="auto"/>
        <w:ind w:left="1021" w:right="1021"/>
        <w:rPr>
          <w:rFonts w:ascii="Arial" w:hAnsi="Arial" w:cs="Arial"/>
          <w:sz w:val="20"/>
          <w:szCs w:val="16"/>
        </w:rPr>
      </w:pPr>
      <w:r>
        <w:rPr>
          <w:rFonts w:ascii="Arial" w:hAnsi="Arial" w:cs="Arial"/>
          <w:sz w:val="18"/>
          <w:szCs w:val="14"/>
        </w:rPr>
        <w:t>‘</w:t>
      </w:r>
      <w:r w:rsidR="00E76CEC" w:rsidRPr="006B3D81">
        <w:rPr>
          <w:rFonts w:ascii="Arial" w:hAnsi="Arial" w:cs="Arial"/>
          <w:sz w:val="18"/>
          <w:szCs w:val="14"/>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Pr>
          <w:rFonts w:ascii="Arial" w:hAnsi="Arial" w:cs="Arial"/>
          <w:sz w:val="18"/>
          <w:szCs w:val="14"/>
        </w:rPr>
        <w:t>’</w:t>
      </w:r>
    </w:p>
    <w:p w14:paraId="05754E64" w14:textId="2E8D65A3" w:rsidR="006B3D81" w:rsidRDefault="006B3D81" w:rsidP="006B3D81">
      <w:pPr>
        <w:pStyle w:val="Normal-Indent"/>
        <w:spacing w:before="60" w:line="240" w:lineRule="auto"/>
        <w:ind w:left="567" w:right="567"/>
        <w:rPr>
          <w:rFonts w:ascii="Arial" w:hAnsi="Arial" w:cs="Arial"/>
          <w:sz w:val="20"/>
          <w:szCs w:val="16"/>
        </w:rPr>
      </w:pPr>
      <w:r>
        <w:rPr>
          <w:rFonts w:ascii="Arial" w:hAnsi="Arial" w:cs="Arial"/>
          <w:sz w:val="20"/>
          <w:szCs w:val="16"/>
        </w:rPr>
        <w:t xml:space="preserve">[33] Those (mostly) men </w:t>
      </w:r>
      <w:r w:rsidRPr="00E76CEC">
        <w:rPr>
          <w:rFonts w:ascii="Arial" w:hAnsi="Arial" w:cs="Arial"/>
          <w:sz w:val="20"/>
          <w:szCs w:val="16"/>
        </w:rPr>
        <w:t xml:space="preserve">who elect to engage in violent activity within the home can expect little sympathy from sentencing courts. As noted by the Court in </w:t>
      </w:r>
      <w:r w:rsidRPr="006B3D81">
        <w:rPr>
          <w:rFonts w:ascii="Arial" w:hAnsi="Arial" w:cs="Arial"/>
          <w:i/>
          <w:iCs/>
          <w:sz w:val="20"/>
          <w:szCs w:val="16"/>
        </w:rPr>
        <w:t>DPP v Reynolds (a pseudonym)</w:t>
      </w:r>
      <w:r w:rsidRPr="00E76CEC">
        <w:rPr>
          <w:rFonts w:ascii="Arial" w:hAnsi="Arial" w:cs="Arial"/>
          <w:sz w:val="20"/>
          <w:szCs w:val="16"/>
        </w:rPr>
        <w:t xml:space="preserve"> </w:t>
      </w:r>
      <w:r>
        <w:rPr>
          <w:rFonts w:ascii="Arial" w:hAnsi="Arial" w:cs="Arial"/>
          <w:sz w:val="20"/>
          <w:szCs w:val="16"/>
        </w:rPr>
        <w:t>(20</w:t>
      </w:r>
      <w:r w:rsidR="004A2E76">
        <w:rPr>
          <w:rFonts w:ascii="Arial" w:hAnsi="Arial" w:cs="Arial"/>
          <w:sz w:val="20"/>
          <w:szCs w:val="16"/>
        </w:rPr>
        <w:t>2</w:t>
      </w:r>
      <w:r>
        <w:rPr>
          <w:rFonts w:ascii="Arial" w:hAnsi="Arial" w:cs="Arial"/>
          <w:sz w:val="20"/>
          <w:szCs w:val="16"/>
        </w:rPr>
        <w:t xml:space="preserve">2) 71 VR 336 at [77], </w:t>
      </w:r>
      <w:r w:rsidRPr="00E76CEC">
        <w:rPr>
          <w:rFonts w:ascii="Arial" w:hAnsi="Arial" w:cs="Arial"/>
          <w:sz w:val="20"/>
          <w:szCs w:val="16"/>
        </w:rPr>
        <w:t>the authorities make plain that ‘general deterrence, public denunciation, just punishment and community protection must be prominent sentencing factors when sentencing for family violence offending’. Never have these observations been more resonant than now. The community is rightly distressed at the tragic prevalence of intimate partner violence. The Court joins in that distress. Those inclined to this type of emotional and physical violence must understand that they will be held to account.</w:t>
      </w:r>
      <w:r w:rsidR="00756F35">
        <w:rPr>
          <w:rFonts w:ascii="Arial" w:hAnsi="Arial" w:cs="Arial"/>
          <w:sz w:val="20"/>
          <w:szCs w:val="16"/>
        </w:rPr>
        <w:t>”</w:t>
      </w:r>
    </w:p>
    <w:p w14:paraId="0ACB2242" w14:textId="77777777" w:rsidR="00E76CEC" w:rsidRDefault="00E76CEC" w:rsidP="002B3A45">
      <w:pPr>
        <w:pStyle w:val="Heading2"/>
        <w:widowControl/>
        <w:tabs>
          <w:tab w:val="left" w:pos="567"/>
        </w:tabs>
        <w:spacing w:line="240" w:lineRule="auto"/>
        <w:rPr>
          <w:rFonts w:ascii="Arial" w:hAnsi="Arial" w:cs="Arial"/>
          <w:sz w:val="20"/>
        </w:rPr>
      </w:pPr>
    </w:p>
    <w:p w14:paraId="162942AB" w14:textId="478F6298" w:rsidR="005668B3" w:rsidRDefault="005668B3"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5668B3">
        <w:rPr>
          <w:rFonts w:ascii="Arial" w:hAnsi="Arial" w:cs="Arial"/>
          <w:i/>
          <w:iCs/>
          <w:sz w:val="20"/>
        </w:rPr>
        <w:t>DPP v Lindemann</w:t>
      </w:r>
      <w:r>
        <w:rPr>
          <w:rFonts w:ascii="Arial" w:hAnsi="Arial" w:cs="Arial"/>
          <w:sz w:val="20"/>
        </w:rPr>
        <w:t xml:space="preserve"> [2024] VSC 220 the accused engaged in a frenzied, prolonged attack on his partner using six knives.  The attack took place at home in the presence of </w:t>
      </w:r>
      <w:r w:rsidR="00735A44">
        <w:rPr>
          <w:rFonts w:ascii="Arial" w:hAnsi="Arial" w:cs="Arial"/>
          <w:sz w:val="20"/>
        </w:rPr>
        <w:t>the partner’s</w:t>
      </w:r>
      <w:r>
        <w:rPr>
          <w:rFonts w:ascii="Arial" w:hAnsi="Arial" w:cs="Arial"/>
          <w:sz w:val="20"/>
        </w:rPr>
        <w:t xml:space="preserve"> 10-year old twins and </w:t>
      </w:r>
      <w:r w:rsidR="00735A44">
        <w:rPr>
          <w:rFonts w:ascii="Arial" w:hAnsi="Arial" w:cs="Arial"/>
          <w:sz w:val="20"/>
        </w:rPr>
        <w:t xml:space="preserve">her </w:t>
      </w:r>
      <w:r>
        <w:rPr>
          <w:rFonts w:ascii="Arial" w:hAnsi="Arial" w:cs="Arial"/>
          <w:sz w:val="20"/>
        </w:rPr>
        <w:t xml:space="preserve">frail mother.  In the process the accused caused knife injuries to one of the twins who was trying to defend her mother.  The accused had entered an early plea and had no prior convictions but no genuine remorse.  He was sentenced to IMP30y on the charge of murder of his partner and IMP3y on the charge of recklessly causing injury to his partner’s daughter.  One year of the 3y sentence was directed to be cumulative with the 30y sentence </w:t>
      </w:r>
      <w:r w:rsidR="00735A44">
        <w:rPr>
          <w:rFonts w:ascii="Arial" w:hAnsi="Arial" w:cs="Arial"/>
          <w:sz w:val="20"/>
        </w:rPr>
        <w:t>resulting in</w:t>
      </w:r>
      <w:r>
        <w:rPr>
          <w:rFonts w:ascii="Arial" w:hAnsi="Arial" w:cs="Arial"/>
          <w:sz w:val="20"/>
        </w:rPr>
        <w:t xml:space="preserve"> TES IMP31y/25y.  At [96]</w:t>
      </w:r>
      <w:r w:rsidR="00735A44">
        <w:rPr>
          <w:rFonts w:ascii="Arial" w:hAnsi="Arial" w:cs="Arial"/>
          <w:sz w:val="20"/>
        </w:rPr>
        <w:noBreakHyphen/>
      </w:r>
      <w:r>
        <w:rPr>
          <w:rFonts w:ascii="Arial" w:hAnsi="Arial" w:cs="Arial"/>
          <w:sz w:val="20"/>
        </w:rPr>
        <w:t>[98] Hollingworth J said:</w:t>
      </w:r>
    </w:p>
    <w:p w14:paraId="28BA308A" w14:textId="202A1782" w:rsidR="005668B3" w:rsidRDefault="005668B3" w:rsidP="00BE5F5A">
      <w:pPr>
        <w:pStyle w:val="Normal-Indent"/>
        <w:widowControl/>
        <w:spacing w:before="60" w:line="240" w:lineRule="auto"/>
        <w:ind w:left="567" w:right="567"/>
        <w:rPr>
          <w:rFonts w:ascii="Arial" w:hAnsi="Arial" w:cs="Arial"/>
          <w:sz w:val="20"/>
          <w:szCs w:val="16"/>
        </w:rPr>
      </w:pPr>
      <w:r>
        <w:rPr>
          <w:rFonts w:ascii="Arial" w:hAnsi="Arial" w:cs="Arial"/>
          <w:sz w:val="20"/>
          <w:szCs w:val="16"/>
        </w:rPr>
        <w:t>[96] “</w:t>
      </w:r>
      <w:r w:rsidRPr="005668B3">
        <w:rPr>
          <w:rFonts w:ascii="Arial" w:hAnsi="Arial" w:cs="Arial"/>
          <w:sz w:val="20"/>
          <w:szCs w:val="16"/>
        </w:rPr>
        <w:t>All too frequently, courts are faced with male offenders like you, who are unable or unwilling to accept that their relationship is over, or that their partner has a right to move on with their life, and who respond with anger, jealousy and violence. The murder of a domestic partner is the most extreme form of family violence.</w:t>
      </w:r>
    </w:p>
    <w:p w14:paraId="3CDB4BB9" w14:textId="19C25465"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[97] </w:t>
      </w:r>
      <w:r w:rsidRPr="005668B3">
        <w:rPr>
          <w:rFonts w:ascii="Arial" w:hAnsi="Arial" w:cs="Arial"/>
          <w:sz w:val="20"/>
          <w:szCs w:val="16"/>
        </w:rPr>
        <w:t>Family violence is a complex problem, which needs to be addressed in multiple ways; there is no single, simple solution.</w:t>
      </w:r>
    </w:p>
    <w:p w14:paraId="734CB823" w14:textId="657874E9"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[98] </w:t>
      </w:r>
      <w:r w:rsidRPr="005668B3">
        <w:rPr>
          <w:rFonts w:ascii="Arial" w:hAnsi="Arial" w:cs="Arial"/>
          <w:sz w:val="20"/>
          <w:szCs w:val="16"/>
        </w:rPr>
        <w:t>As appeal courts have repeatedly stated, the principles of general deterrence, denunciation and just punishment will ordinarily be given primacy in sentencing for the murder of a partner in a domestic setting, even where there are circumstances of provocation or great emotional stress.</w:t>
      </w:r>
      <w:r>
        <w:rPr>
          <w:rFonts w:ascii="Arial" w:hAnsi="Arial" w:cs="Arial"/>
          <w:sz w:val="20"/>
          <w:szCs w:val="16"/>
        </w:rPr>
        <w:t>”</w:t>
      </w:r>
    </w:p>
    <w:p w14:paraId="7924784D" w14:textId="77777777" w:rsidR="005668B3" w:rsidRDefault="005668B3" w:rsidP="002B3A45">
      <w:pPr>
        <w:pStyle w:val="Heading2"/>
        <w:widowControl/>
        <w:tabs>
          <w:tab w:val="left" w:pos="567"/>
        </w:tabs>
        <w:spacing w:line="240" w:lineRule="auto"/>
        <w:rPr>
          <w:rFonts w:ascii="Arial" w:hAnsi="Arial" w:cs="Arial"/>
          <w:sz w:val="20"/>
        </w:rPr>
      </w:pPr>
    </w:p>
    <w:p w14:paraId="6D2077AF" w14:textId="1484D3CF" w:rsidR="00DB3289" w:rsidRDefault="00DB3289"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DB3289">
        <w:rPr>
          <w:rFonts w:ascii="Arial" w:hAnsi="Arial" w:cs="Arial"/>
          <w:i/>
          <w:iCs/>
          <w:sz w:val="20"/>
        </w:rPr>
        <w:t>DPP v P</w:t>
      </w:r>
      <w:r w:rsidR="00A63F64">
        <w:rPr>
          <w:rFonts w:ascii="Arial" w:hAnsi="Arial" w:cs="Arial"/>
          <w:i/>
          <w:iCs/>
          <w:sz w:val="20"/>
        </w:rPr>
        <w:t>ua</w:t>
      </w:r>
      <w:r w:rsidRPr="00DB3289">
        <w:rPr>
          <w:rFonts w:ascii="Arial" w:hAnsi="Arial" w:cs="Arial"/>
          <w:i/>
          <w:iCs/>
          <w:sz w:val="20"/>
        </w:rPr>
        <w:t>lic</w:t>
      </w:r>
      <w:r>
        <w:rPr>
          <w:rFonts w:ascii="Arial" w:hAnsi="Arial" w:cs="Arial"/>
          <w:sz w:val="20"/>
        </w:rPr>
        <w:t xml:space="preserve"> [2024] VSC </w:t>
      </w:r>
      <w:r w:rsidR="00AE02EF">
        <w:rPr>
          <w:rFonts w:ascii="Arial" w:hAnsi="Arial" w:cs="Arial"/>
          <w:sz w:val="20"/>
        </w:rPr>
        <w:t xml:space="preserve">817 the 44 year old offender had pleaded guilty </w:t>
      </w:r>
      <w:r w:rsidR="00F76523">
        <w:rPr>
          <w:rFonts w:ascii="Arial" w:hAnsi="Arial" w:cs="Arial"/>
          <w:sz w:val="20"/>
        </w:rPr>
        <w:t>at the earliest possible opportunity t</w:t>
      </w:r>
      <w:r w:rsidR="00AE02EF">
        <w:rPr>
          <w:rFonts w:ascii="Arial" w:hAnsi="Arial" w:cs="Arial"/>
          <w:sz w:val="20"/>
        </w:rPr>
        <w:t xml:space="preserve">o the </w:t>
      </w:r>
      <w:r w:rsidR="00F76523">
        <w:rPr>
          <w:rFonts w:ascii="Arial" w:hAnsi="Arial" w:cs="Arial"/>
          <w:sz w:val="20"/>
        </w:rPr>
        <w:t xml:space="preserve">stabbing murder of his 46 year old ex-partner who was the sole parent of a son and </w:t>
      </w:r>
      <w:r w:rsidR="00EB5FEA">
        <w:rPr>
          <w:rFonts w:ascii="Arial" w:hAnsi="Arial" w:cs="Arial"/>
          <w:sz w:val="20"/>
        </w:rPr>
        <w:t xml:space="preserve">three </w:t>
      </w:r>
      <w:r w:rsidR="00F76523">
        <w:rPr>
          <w:rFonts w:ascii="Arial" w:hAnsi="Arial" w:cs="Arial"/>
          <w:sz w:val="20"/>
        </w:rPr>
        <w:t xml:space="preserve">daughters aged 20, 8 &amp; 6. The offending was witnessed by the deceased’s 8 year old daughter. The offender had diagnoses of Complex PTSD and Schizotypal Disorder and was intoxicated at the time of the offending. In imposing a sentence of IMP24y/19y Incerti J said, </w:t>
      </w:r>
      <w:r w:rsidR="00F76523" w:rsidRPr="00F76523">
        <w:rPr>
          <w:rFonts w:ascii="Arial" w:hAnsi="Arial" w:cs="Arial"/>
          <w:i/>
          <w:iCs/>
          <w:sz w:val="20"/>
        </w:rPr>
        <w:t>inter alia</w:t>
      </w:r>
      <w:r w:rsidR="00F76523">
        <w:rPr>
          <w:rFonts w:ascii="Arial" w:hAnsi="Arial" w:cs="Arial"/>
          <w:sz w:val="20"/>
        </w:rPr>
        <w:t>:</w:t>
      </w:r>
    </w:p>
    <w:p w14:paraId="3B1536E9" w14:textId="48439523"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“...[T]here is a </w:t>
      </w:r>
      <w:r w:rsidRPr="00F76523">
        <w:rPr>
          <w:rFonts w:ascii="Arial" w:hAnsi="Arial" w:cs="Arial"/>
          <w:sz w:val="20"/>
          <w:szCs w:val="16"/>
        </w:rPr>
        <w:t>degree of casual connection between your Complex PTSD and your offending. However, the degree of mitigation requires consideration of the nature and severity of both the impairment and the offending</w:t>
      </w:r>
      <w:r>
        <w:rPr>
          <w:rFonts w:ascii="Arial" w:hAnsi="Arial" w:cs="Arial"/>
          <w:sz w:val="20"/>
          <w:szCs w:val="16"/>
        </w:rPr>
        <w:t xml:space="preserve"> behaviour: </w:t>
      </w:r>
      <w:r w:rsidRPr="00F76523">
        <w:rPr>
          <w:rFonts w:ascii="Arial" w:hAnsi="Arial" w:cs="Arial"/>
          <w:i/>
          <w:iCs/>
          <w:sz w:val="20"/>
          <w:szCs w:val="16"/>
        </w:rPr>
        <w:t>R v Verdins</w:t>
      </w:r>
      <w:r w:rsidRPr="00F76523">
        <w:rPr>
          <w:rFonts w:ascii="Arial" w:hAnsi="Arial" w:cs="Arial"/>
          <w:sz w:val="20"/>
          <w:szCs w:val="16"/>
        </w:rPr>
        <w:t xml:space="preserve"> (2007) 16 VR 269, 275 [25]-[26].</w:t>
      </w:r>
      <w:r>
        <w:rPr>
          <w:rFonts w:ascii="Arial" w:hAnsi="Arial" w:cs="Arial"/>
          <w:sz w:val="20"/>
          <w:szCs w:val="16"/>
        </w:rPr>
        <w:t>”</w:t>
      </w:r>
    </w:p>
    <w:p w14:paraId="0FB149CD" w14:textId="0DD7E642" w:rsidR="00A63F64" w:rsidRDefault="00A63F64"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w:t>
      </w:r>
    </w:p>
    <w:p w14:paraId="2EAC06C8" w14:textId="46BE5AE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[57] “</w:t>
      </w:r>
      <w:r w:rsidRPr="00F76523">
        <w:rPr>
          <w:rFonts w:ascii="Arial" w:hAnsi="Arial" w:cs="Arial"/>
          <w:sz w:val="20"/>
        </w:rPr>
        <w:t>I have also had regard to your significant history of trauma, including an unstable and unsettled childhood and adolescence. The law states that in light of this, your moral culpability could not be equated with that of a person who had the advantage of a normal, stable, and regular upbringing</w:t>
      </w:r>
      <w:r>
        <w:rPr>
          <w:rFonts w:ascii="Arial" w:hAnsi="Arial" w:cs="Arial"/>
          <w:sz w:val="20"/>
        </w:rPr>
        <w:t xml:space="preserve">: </w:t>
      </w:r>
      <w:r w:rsidRPr="00F76523">
        <w:rPr>
          <w:rFonts w:ascii="Arial" w:hAnsi="Arial" w:cs="Arial"/>
          <w:i/>
          <w:iCs/>
          <w:sz w:val="20"/>
          <w:szCs w:val="16"/>
        </w:rPr>
        <w:t>Bugmy v The Queen</w:t>
      </w:r>
      <w:r w:rsidRPr="00F76523">
        <w:rPr>
          <w:rFonts w:ascii="Arial" w:hAnsi="Arial" w:cs="Arial"/>
          <w:sz w:val="20"/>
          <w:szCs w:val="16"/>
        </w:rPr>
        <w:t xml:space="preserve"> (2013) 249 CLR 571.</w:t>
      </w:r>
    </w:p>
    <w:p w14:paraId="662022DC" w14:textId="02FBF5A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w:t>
      </w:r>
      <w:r w:rsidR="00EB5FEA">
        <w:rPr>
          <w:rFonts w:ascii="Arial" w:hAnsi="Arial" w:cs="Arial"/>
          <w:sz w:val="20"/>
          <w:szCs w:val="16"/>
        </w:rPr>
        <w:t>8</w:t>
      </w:r>
      <w:r>
        <w:rPr>
          <w:rFonts w:ascii="Arial" w:hAnsi="Arial" w:cs="Arial"/>
          <w:sz w:val="20"/>
          <w:szCs w:val="16"/>
        </w:rPr>
        <w:t xml:space="preserve">] </w:t>
      </w:r>
      <w:r w:rsidR="00EB5FEA" w:rsidRPr="00F76523">
        <w:rPr>
          <w:rFonts w:ascii="Arial" w:hAnsi="Arial" w:cs="Arial"/>
          <w:sz w:val="20"/>
        </w:rPr>
        <w:t>For the reasons set out above, I am prepared to accept that your mental impairment and your disturbed childhood are relevant factors that mitigate your moral culpability for Ms Osias’ murder. I repeat, however, that the extent to which they do so must be limited. Taking these matters into account, I nevertheless consider that your moral culpability can only be characterised as high.</w:t>
      </w:r>
    </w:p>
    <w:p w14:paraId="4E2D4B04" w14:textId="6C882F32" w:rsidR="00F76523" w:rsidRDefault="00EB5FEA" w:rsidP="00F76523">
      <w:pPr>
        <w:pStyle w:val="Normal-Indent"/>
        <w:widowControl/>
        <w:spacing w:before="60" w:line="240" w:lineRule="auto"/>
        <w:ind w:left="567" w:right="567"/>
        <w:rPr>
          <w:rFonts w:ascii="Arial" w:hAnsi="Arial" w:cs="Arial"/>
          <w:sz w:val="20"/>
        </w:rPr>
      </w:pPr>
      <w:r>
        <w:rPr>
          <w:rFonts w:ascii="Arial" w:hAnsi="Arial" w:cs="Arial"/>
          <w:sz w:val="20"/>
          <w:szCs w:val="16"/>
        </w:rPr>
        <w:t xml:space="preserve">[59] </w:t>
      </w:r>
      <w:r w:rsidRPr="00EB5FEA">
        <w:rPr>
          <w:rFonts w:ascii="Arial" w:hAnsi="Arial" w:cs="Arial"/>
          <w:sz w:val="20"/>
        </w:rPr>
        <w:t>You offered to plead guilty at the earliest possible opportunity, fully acknowledging responsibility for your actions not long after your admission into custody. Your plea is of great utilitarian value, and has spared the witnesses, including young X</w:t>
      </w:r>
      <w:r>
        <w:rPr>
          <w:rFonts w:ascii="Arial" w:hAnsi="Arial" w:cs="Arial"/>
          <w:sz w:val="20"/>
        </w:rPr>
        <w:t xml:space="preserve"> [the deceased’s 8 year old daughter]</w:t>
      </w:r>
      <w:r w:rsidRPr="00EB5FEA">
        <w:rPr>
          <w:rFonts w:ascii="Arial" w:hAnsi="Arial" w:cs="Arial"/>
          <w:sz w:val="20"/>
        </w:rPr>
        <w:t>, from giving evidence at a trial. This is an important matter in mitigation. I am also satisfied that your plea is reflective of genuine remorse, which again manifested at an early stage.</w:t>
      </w:r>
      <w:r>
        <w:rPr>
          <w:rFonts w:ascii="Arial" w:hAnsi="Arial" w:cs="Arial"/>
          <w:sz w:val="20"/>
        </w:rPr>
        <w:t>”</w:t>
      </w:r>
    </w:p>
    <w:p w14:paraId="2B6A752A" w14:textId="3AD8C343" w:rsidR="00A63F64" w:rsidRDefault="00A63F64" w:rsidP="00F76523">
      <w:pPr>
        <w:pStyle w:val="Normal-Indent"/>
        <w:widowControl/>
        <w:spacing w:before="60" w:line="240" w:lineRule="auto"/>
        <w:ind w:left="567" w:right="567"/>
        <w:rPr>
          <w:rFonts w:ascii="Arial" w:hAnsi="Arial" w:cs="Arial"/>
          <w:sz w:val="20"/>
        </w:rPr>
      </w:pPr>
      <w:r>
        <w:rPr>
          <w:rFonts w:ascii="Arial" w:hAnsi="Arial" w:cs="Arial"/>
          <w:sz w:val="20"/>
        </w:rPr>
        <w:t>…</w:t>
      </w:r>
    </w:p>
    <w:p w14:paraId="4539AAA1" w14:textId="2EA92E85" w:rsidR="00EB5FEA" w:rsidRDefault="00EB5FEA" w:rsidP="00F76523">
      <w:pPr>
        <w:pStyle w:val="Normal-Indent"/>
        <w:widowControl/>
        <w:spacing w:before="60" w:line="240" w:lineRule="auto"/>
        <w:ind w:left="567" w:right="567"/>
        <w:rPr>
          <w:rFonts w:ascii="Arial" w:hAnsi="Arial" w:cs="Arial"/>
          <w:sz w:val="20"/>
        </w:rPr>
      </w:pPr>
      <w:r>
        <w:rPr>
          <w:rFonts w:ascii="Arial" w:hAnsi="Arial" w:cs="Arial"/>
          <w:sz w:val="20"/>
        </w:rPr>
        <w:t>[69] “</w:t>
      </w:r>
      <w:r w:rsidRPr="00EB5FEA">
        <w:rPr>
          <w:rFonts w:ascii="Arial" w:hAnsi="Arial" w:cs="Arial"/>
          <w:sz w:val="20"/>
        </w:rPr>
        <w:t>It is necessary that the sentence that I impose on you adequately express the condemnation by the Court, and by the community, of your offending, and to vindicate the value of each individual life.</w:t>
      </w:r>
    </w:p>
    <w:p w14:paraId="2D81886C" w14:textId="21580A0E" w:rsidR="00EB5FEA" w:rsidRDefault="00EB5FEA" w:rsidP="00EB5FEA">
      <w:pPr>
        <w:pStyle w:val="Normal-Indent"/>
        <w:widowControl/>
        <w:spacing w:before="60" w:line="240" w:lineRule="auto"/>
        <w:ind w:left="567" w:right="567"/>
        <w:rPr>
          <w:rFonts w:ascii="Arial" w:hAnsi="Arial" w:cs="Arial"/>
          <w:sz w:val="20"/>
        </w:rPr>
      </w:pPr>
      <w:r>
        <w:rPr>
          <w:rFonts w:ascii="Arial" w:hAnsi="Arial" w:cs="Arial"/>
          <w:sz w:val="20"/>
        </w:rPr>
        <w:t xml:space="preserve">[70] </w:t>
      </w:r>
      <w:r w:rsidRPr="00DB3289">
        <w:rPr>
          <w:rFonts w:ascii="Arial" w:hAnsi="Arial" w:cs="Arial"/>
          <w:sz w:val="20"/>
        </w:rPr>
        <w:t>The sentence must send a clear message to all men. Ms Osias’ death is yet another example of the murder of a woman at the hands of an enraged male partner. This type of crime has become distressingly familiar. In the last two months alone, this Court has sentenced three other men for murder in the context of family violence</w:t>
      </w:r>
      <w:r>
        <w:rPr>
          <w:rFonts w:ascii="Arial" w:hAnsi="Arial" w:cs="Arial"/>
          <w:sz w:val="20"/>
        </w:rPr>
        <w:t xml:space="preserve">: </w:t>
      </w:r>
      <w:r w:rsidRPr="00EB5FEA">
        <w:rPr>
          <w:rFonts w:ascii="Arial" w:hAnsi="Arial" w:cs="Arial"/>
          <w:i/>
          <w:iCs/>
          <w:sz w:val="20"/>
        </w:rPr>
        <w:t xml:space="preserve">DPP v Barbaro </w:t>
      </w:r>
      <w:r w:rsidRPr="00EB5FEA">
        <w:rPr>
          <w:rFonts w:ascii="Arial" w:hAnsi="Arial" w:cs="Arial"/>
          <w:sz w:val="20"/>
        </w:rPr>
        <w:t xml:space="preserve">[2024] VSC 667; </w:t>
      </w:r>
      <w:r w:rsidRPr="00EB5FEA">
        <w:rPr>
          <w:rFonts w:ascii="Arial" w:hAnsi="Arial" w:cs="Arial"/>
          <w:i/>
          <w:iCs/>
          <w:sz w:val="20"/>
        </w:rPr>
        <w:t>DPP v Lo Bianco</w:t>
      </w:r>
      <w:r w:rsidRPr="00EB5FEA">
        <w:rPr>
          <w:rFonts w:ascii="Arial" w:hAnsi="Arial" w:cs="Arial"/>
          <w:sz w:val="20"/>
        </w:rPr>
        <w:t xml:space="preserve"> [2024] VSC 681; </w:t>
      </w:r>
      <w:r w:rsidRPr="00EB5FEA">
        <w:rPr>
          <w:rFonts w:ascii="Arial" w:hAnsi="Arial" w:cs="Arial"/>
          <w:i/>
          <w:iCs/>
          <w:sz w:val="20"/>
        </w:rPr>
        <w:t>DPP v Kurera</w:t>
      </w:r>
      <w:r w:rsidRPr="00EB5FEA">
        <w:rPr>
          <w:rFonts w:ascii="Arial" w:hAnsi="Arial" w:cs="Arial"/>
          <w:sz w:val="20"/>
        </w:rPr>
        <w:t xml:space="preserve"> [2024] VSC 809.</w:t>
      </w:r>
      <w:r>
        <w:rPr>
          <w:rFonts w:ascii="Arial" w:hAnsi="Arial" w:cs="Arial"/>
          <w:sz w:val="20"/>
        </w:rPr>
        <w:t xml:space="preserve"> </w:t>
      </w:r>
      <w:r w:rsidRPr="00DB3289">
        <w:rPr>
          <w:rFonts w:ascii="Arial" w:hAnsi="Arial" w:cs="Arial"/>
          <w:sz w:val="20"/>
        </w:rPr>
        <w:t>Women are being killed by their male partners at a disproportionate and utterly terrifying rate. Ms Osias should have been free to remain in or leave her relationship with you as she saw fit. Her life was precious to her, her children, her family, her friends, and to the community as a whole.</w:t>
      </w:r>
    </w:p>
    <w:p w14:paraId="4604D474" w14:textId="6244E0B1" w:rsidR="00EB5FEA" w:rsidRDefault="00EB5FEA" w:rsidP="00F76523">
      <w:pPr>
        <w:pStyle w:val="Normal-Indent"/>
        <w:widowControl/>
        <w:spacing w:before="60" w:line="240" w:lineRule="auto"/>
        <w:ind w:left="567" w:right="567"/>
        <w:rPr>
          <w:rFonts w:ascii="Arial" w:hAnsi="Arial" w:cs="Arial"/>
          <w:sz w:val="20"/>
          <w:szCs w:val="16"/>
        </w:rPr>
      </w:pPr>
      <w:r>
        <w:rPr>
          <w:rFonts w:ascii="Arial" w:hAnsi="Arial" w:cs="Arial"/>
          <w:sz w:val="20"/>
        </w:rPr>
        <w:t xml:space="preserve">[71] </w:t>
      </w:r>
      <w:r w:rsidRPr="00DB3289">
        <w:rPr>
          <w:rFonts w:ascii="Arial" w:hAnsi="Arial" w:cs="Arial"/>
          <w:sz w:val="20"/>
        </w:rPr>
        <w:t>At the time she was murdered, an intervention order was in place to safeguard Ms</w:t>
      </w:r>
      <w:r>
        <w:rPr>
          <w:rFonts w:ascii="Arial" w:hAnsi="Arial" w:cs="Arial"/>
          <w:sz w:val="20"/>
        </w:rPr>
        <w:t> </w:t>
      </w:r>
      <w:r w:rsidRPr="00DB3289">
        <w:rPr>
          <w:rFonts w:ascii="Arial" w:hAnsi="Arial" w:cs="Arial"/>
          <w:sz w:val="20"/>
        </w:rPr>
        <w:t>Osias. Yet, the full force of the law was still not enough to protect her. Your offending undermines our confidence in the ability of the law to adequately protect</w:t>
      </w:r>
      <w:r>
        <w:rPr>
          <w:rFonts w:ascii="Arial" w:hAnsi="Arial" w:cs="Arial"/>
          <w:sz w:val="20"/>
        </w:rPr>
        <w:t xml:space="preserve"> </w:t>
      </w:r>
      <w:r w:rsidRPr="00DB3289">
        <w:rPr>
          <w:rFonts w:ascii="Arial" w:hAnsi="Arial" w:cs="Arial"/>
          <w:sz w:val="20"/>
        </w:rPr>
        <w:t>women and children. The ripple effect is wide-reaching: it impacts first responders; it creates fear for other women and children protected by intervention orders; it leaves each of us with a feeling of helplessness. The message must be heard loud and clear: committing serious violence in a domestic setting, and taking the life of another, will be met with extraordinarily strong punishment.</w:t>
      </w:r>
      <w:r>
        <w:rPr>
          <w:rFonts w:ascii="Arial" w:hAnsi="Arial" w:cs="Arial"/>
          <w:sz w:val="20"/>
        </w:rPr>
        <w:t>”</w:t>
      </w:r>
    </w:p>
    <w:p w14:paraId="0D66C716" w14:textId="77777777" w:rsidR="00AE02EF" w:rsidRDefault="00AE02EF" w:rsidP="002B3A45">
      <w:pPr>
        <w:pStyle w:val="Heading2"/>
        <w:widowControl/>
        <w:tabs>
          <w:tab w:val="left" w:pos="567"/>
        </w:tabs>
        <w:spacing w:line="240" w:lineRule="auto"/>
        <w:rPr>
          <w:rFonts w:ascii="Arial" w:hAnsi="Arial" w:cs="Arial"/>
          <w:sz w:val="20"/>
          <w:lang w:val="en-AU"/>
        </w:rPr>
      </w:pPr>
    </w:p>
    <w:p w14:paraId="313DEF91" w14:textId="76E17AEB" w:rsidR="006A5901" w:rsidRPr="006A5901" w:rsidRDefault="006A5901" w:rsidP="002B3A45">
      <w:pPr>
        <w:pStyle w:val="Heading2"/>
        <w:widowControl/>
        <w:tabs>
          <w:tab w:val="left" w:pos="567"/>
        </w:tabs>
        <w:spacing w:line="240" w:lineRule="auto"/>
        <w:rPr>
          <w:rFonts w:ascii="Arial" w:hAnsi="Arial" w:cs="Arial"/>
          <w:sz w:val="20"/>
        </w:rPr>
      </w:pPr>
      <w:r w:rsidRPr="006A5901">
        <w:rPr>
          <w:rFonts w:ascii="Arial" w:hAnsi="Arial" w:cs="Arial"/>
          <w:sz w:val="20"/>
        </w:rPr>
        <w:t xml:space="preserve">See also </w:t>
      </w:r>
      <w:r w:rsidRPr="006A5901">
        <w:rPr>
          <w:rFonts w:ascii="Arial" w:hAnsi="Arial" w:cs="Arial"/>
          <w:i/>
          <w:iCs/>
          <w:sz w:val="20"/>
        </w:rPr>
        <w:t>Stanford v The King</w:t>
      </w:r>
      <w:r w:rsidRPr="006A5901">
        <w:rPr>
          <w:rFonts w:ascii="Arial" w:hAnsi="Arial" w:cs="Arial"/>
          <w:sz w:val="20"/>
        </w:rPr>
        <w:t xml:space="preserve"> [2024] VSCA </w:t>
      </w:r>
      <w:r w:rsidRPr="006A5901">
        <w:rPr>
          <w:rFonts w:ascii="Arial" w:hAnsi="Arial" w:cs="Arial"/>
          <w:bCs/>
          <w:color w:val="000000"/>
          <w:sz w:val="20"/>
          <w:lang w:val="en-US"/>
        </w:rPr>
        <w:t>35 at [75]-[78].</w:t>
      </w:r>
    </w:p>
    <w:p w14:paraId="4BB0B0A7" w14:textId="77777777" w:rsidR="006A5901" w:rsidRDefault="006A5901" w:rsidP="002B3A45">
      <w:pPr>
        <w:pStyle w:val="Heading2"/>
        <w:widowControl/>
        <w:tabs>
          <w:tab w:val="left" w:pos="567"/>
        </w:tabs>
        <w:spacing w:line="240" w:lineRule="auto"/>
        <w:rPr>
          <w:rFonts w:ascii="Arial" w:hAnsi="Arial" w:cs="Arial"/>
          <w:sz w:val="20"/>
        </w:rPr>
      </w:pPr>
    </w:p>
    <w:p w14:paraId="5974224A" w14:textId="20ECA19C" w:rsidR="00BD3B9C" w:rsidRDefault="00660E86" w:rsidP="008468A0">
      <w:pPr>
        <w:pStyle w:val="Heading2"/>
        <w:keepNext/>
        <w:keepLines/>
        <w:widowControl/>
        <w:spacing w:line="240" w:lineRule="auto"/>
        <w:rPr>
          <w:rFonts w:ascii="Arial" w:hAnsi="Arial" w:cs="Arial"/>
          <w:b/>
          <w:bCs/>
          <w:color w:val="000000"/>
          <w:sz w:val="20"/>
        </w:rPr>
      </w:pPr>
      <w:bookmarkStart w:id="731" w:name="_11.2.36.1__"/>
      <w:bookmarkEnd w:id="731"/>
      <w:r>
        <w:rPr>
          <w:rFonts w:ascii="Arial" w:hAnsi="Arial" w:cs="Arial"/>
          <w:b/>
          <w:bCs/>
          <w:color w:val="000000"/>
          <w:sz w:val="20"/>
        </w:rPr>
        <w:t xml:space="preserve">11.2.36.1   </w:t>
      </w:r>
      <w:r w:rsidR="00E174F3">
        <w:rPr>
          <w:rFonts w:ascii="Arial" w:hAnsi="Arial" w:cs="Arial"/>
          <w:b/>
          <w:bCs/>
          <w:color w:val="000000"/>
          <w:sz w:val="20"/>
        </w:rPr>
        <w:t>S</w:t>
      </w:r>
      <w:r w:rsidR="00BD3B9C" w:rsidRPr="00BD3B9C">
        <w:rPr>
          <w:rFonts w:ascii="Arial" w:hAnsi="Arial" w:cs="Arial"/>
          <w:b/>
          <w:bCs/>
          <w:color w:val="000000"/>
          <w:sz w:val="20"/>
        </w:rPr>
        <w:t>entencing consideration</w:t>
      </w:r>
      <w:r w:rsidR="00BD3B9C">
        <w:rPr>
          <w:rFonts w:ascii="Arial" w:hAnsi="Arial" w:cs="Arial"/>
          <w:b/>
          <w:bCs/>
          <w:color w:val="000000"/>
          <w:sz w:val="20"/>
        </w:rPr>
        <w:t xml:space="preserve">s for </w:t>
      </w:r>
      <w:r w:rsidR="00DB1F31">
        <w:rPr>
          <w:rFonts w:ascii="Arial" w:hAnsi="Arial" w:cs="Arial"/>
          <w:b/>
          <w:bCs/>
          <w:color w:val="000000"/>
          <w:sz w:val="20"/>
        </w:rPr>
        <w:t xml:space="preserve">contravention </w:t>
      </w:r>
      <w:r w:rsidR="00BD3B9C">
        <w:rPr>
          <w:rFonts w:ascii="Arial" w:hAnsi="Arial" w:cs="Arial"/>
          <w:b/>
          <w:bCs/>
          <w:color w:val="000000"/>
          <w:sz w:val="20"/>
        </w:rPr>
        <w:t>of an intervention order</w:t>
      </w:r>
    </w:p>
    <w:p w14:paraId="121A9F16" w14:textId="77777777" w:rsidR="00BD3B9C" w:rsidRDefault="00BD3B9C" w:rsidP="006A5901">
      <w:pPr>
        <w:pStyle w:val="Heading2"/>
        <w:keepNext/>
        <w:keepLines/>
        <w:widowControl/>
        <w:spacing w:line="240" w:lineRule="auto"/>
        <w:rPr>
          <w:rFonts w:ascii="Arial" w:hAnsi="Arial" w:cs="Arial"/>
          <w:b/>
          <w:bCs/>
          <w:color w:val="000000"/>
          <w:sz w:val="20"/>
        </w:rPr>
      </w:pP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39"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lastRenderedPageBreak/>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40"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rsidP="00410827">
      <w:pPr>
        <w:keepNext/>
        <w:keepLines/>
        <w:numPr>
          <w:ilvl w:val="0"/>
          <w:numId w:val="90"/>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rsidP="00C9099E">
      <w:pPr>
        <w:numPr>
          <w:ilvl w:val="0"/>
          <w:numId w:val="91"/>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41"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rsidP="00A10D5F">
      <w:pPr>
        <w:numPr>
          <w:ilvl w:val="0"/>
          <w:numId w:val="91"/>
        </w:numPr>
        <w:spacing w:after="160"/>
        <w:ind w:left="1077" w:hanging="35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42"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rsidP="00756F35">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43"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44"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rsidP="00525AFE">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rsidP="008E7451">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However, in assessing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 xml:space="preserve">consider the history of the </w:t>
      </w:r>
      <w:r w:rsidRPr="00BD3B9C">
        <w:rPr>
          <w:rFonts w:ascii="Arial" w:hAnsi="Arial" w:cs="Arial"/>
          <w:color w:val="000000"/>
          <w:sz w:val="20"/>
          <w:szCs w:val="20"/>
          <w:u w:val="single"/>
          <w:lang w:eastAsia="en-AU"/>
        </w:rPr>
        <w:lastRenderedPageBreak/>
        <w:t>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nature of the contact and the victim’s 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pressure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45"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rsidP="00735A44">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46"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rsidP="0058673C">
      <w:pPr>
        <w:numPr>
          <w:ilvl w:val="0"/>
          <w:numId w:val="90"/>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rsidP="0058673C">
      <w:pPr>
        <w:numPr>
          <w:ilvl w:val="7"/>
          <w:numId w:val="92"/>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rsidP="00A10D5F">
      <w:pPr>
        <w:keepNext/>
        <w:keepLines/>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47"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48"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49"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rsidP="00BB001D">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rsidP="00A10D5F">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rsidP="00756F35">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3F7068">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rsidP="00A63F64">
      <w:pPr>
        <w:numPr>
          <w:ilvl w:val="0"/>
          <w:numId w:val="90"/>
        </w:numPr>
        <w:spacing w:after="16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w:t>
      </w:r>
      <w:r w:rsidR="00E174F3" w:rsidRPr="00E94F6B">
        <w:rPr>
          <w:rFonts w:ascii="Arial" w:hAnsi="Arial" w:cs="Arial"/>
          <w:b/>
          <w:bCs/>
          <w:color w:val="000000"/>
          <w:sz w:val="20"/>
          <w:szCs w:val="20"/>
          <w:shd w:val="clear" w:color="auto" w:fill="C5E0B3" w:themeFill="accent6" w:themeFillTint="66"/>
          <w:lang w:eastAsia="en-AU"/>
        </w:rPr>
        <w:t>section 11.2.7</w:t>
      </w:r>
      <w:r w:rsidR="00E174F3">
        <w:rPr>
          <w:rFonts w:ascii="Arial" w:hAnsi="Arial" w:cs="Arial"/>
          <w:color w:val="000000"/>
          <w:sz w:val="20"/>
          <w:szCs w:val="20"/>
          <w:lang w:eastAsia="en-AU"/>
        </w:rPr>
        <w:t xml:space="preserve"> above]</w:t>
      </w:r>
      <w:r w:rsidRPr="00BD3B9C">
        <w:rPr>
          <w:rFonts w:ascii="Arial" w:hAnsi="Arial" w:cs="Arial"/>
          <w:color w:val="000000"/>
          <w:sz w:val="20"/>
          <w:szCs w:val="20"/>
          <w:lang w:eastAsia="en-AU"/>
        </w:rPr>
        <w:t>.</w:t>
      </w:r>
    </w:p>
    <w:p w14:paraId="053CAB6C" w14:textId="77777777" w:rsidR="00F77CDB" w:rsidRDefault="00F77CDB" w:rsidP="00F77CDB">
      <w:pPr>
        <w:pStyle w:val="Heading2"/>
        <w:keepNext/>
        <w:keepLines/>
        <w:widowControl/>
        <w:tabs>
          <w:tab w:val="left" w:pos="567"/>
        </w:tabs>
        <w:spacing w:line="240" w:lineRule="auto"/>
        <w:ind w:left="567" w:hanging="567"/>
        <w:rPr>
          <w:rFonts w:ascii="Arial" w:hAnsi="Arial" w:cs="Arial"/>
          <w:color w:val="000000"/>
          <w:sz w:val="20"/>
        </w:rPr>
      </w:pPr>
    </w:p>
    <w:p w14:paraId="0388FAAC" w14:textId="19FB9C08" w:rsidR="00F77CDB" w:rsidRDefault="00660E86" w:rsidP="00C9099E">
      <w:pPr>
        <w:pStyle w:val="Heading2"/>
        <w:keepNext/>
        <w:keepLines/>
        <w:widowControl/>
        <w:numPr>
          <w:ilvl w:val="3"/>
          <w:numId w:val="93"/>
        </w:numPr>
        <w:spacing w:line="240" w:lineRule="auto"/>
        <w:rPr>
          <w:rFonts w:ascii="Arial" w:hAnsi="Arial" w:cs="Arial"/>
          <w:b/>
          <w:bCs/>
          <w:color w:val="000000"/>
          <w:sz w:val="20"/>
        </w:rPr>
      </w:pPr>
      <w:bookmarkStart w:id="732" w:name="_Some_relevant_cases"/>
      <w:bookmarkEnd w:id="732"/>
      <w:r>
        <w:rPr>
          <w:rFonts w:ascii="Arial" w:hAnsi="Arial" w:cs="Arial"/>
          <w:b/>
          <w:bCs/>
          <w:color w:val="000000"/>
          <w:sz w:val="20"/>
        </w:rPr>
        <w:t xml:space="preserve">   </w:t>
      </w:r>
      <w:r w:rsidR="00F77CDB">
        <w:rPr>
          <w:rFonts w:ascii="Arial" w:hAnsi="Arial" w:cs="Arial"/>
          <w:b/>
          <w:bCs/>
          <w:color w:val="000000"/>
          <w:sz w:val="20"/>
        </w:rPr>
        <w:t>Some relevant cases</w:t>
      </w:r>
    </w:p>
    <w:p w14:paraId="390540F2" w14:textId="77777777" w:rsidR="00F77CDB" w:rsidRDefault="00F77CDB" w:rsidP="00F77CDB">
      <w:pPr>
        <w:pStyle w:val="Heading2"/>
        <w:keepNext/>
        <w:keepLines/>
        <w:widowControl/>
        <w:spacing w:line="240" w:lineRule="auto"/>
        <w:rPr>
          <w:rFonts w:ascii="Arial" w:hAnsi="Arial" w:cs="Arial"/>
          <w:b/>
          <w:bCs/>
          <w:color w:val="000000"/>
          <w:sz w:val="20"/>
        </w:rPr>
      </w:pPr>
    </w:p>
    <w:p w14:paraId="2FE49FF1" w14:textId="21D40400" w:rsidR="00E174F3" w:rsidRDefault="00410827" w:rsidP="00E26A42">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F</w:t>
      </w:r>
      <w:r w:rsidR="006D25A9">
        <w:rPr>
          <w:rFonts w:ascii="Arial" w:hAnsi="Arial" w:cs="Arial"/>
          <w:color w:val="000000"/>
          <w:sz w:val="20"/>
          <w:szCs w:val="20"/>
        </w:rPr>
        <w:t>a</w:t>
      </w:r>
      <w:r w:rsidR="00A37992">
        <w:rPr>
          <w:rFonts w:ascii="Arial" w:hAnsi="Arial" w:cs="Arial"/>
          <w:color w:val="000000"/>
          <w:sz w:val="20"/>
          <w:szCs w:val="20"/>
        </w:rPr>
        <w:t>mily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5C6EC8">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Pasinis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70E5808" w:rsidR="001A0332" w:rsidRDefault="001A0332" w:rsidP="00A37992">
      <w:pPr>
        <w:shd w:val="clear" w:color="auto" w:fill="FFFFFF"/>
        <w:ind w:right="330"/>
        <w:jc w:val="both"/>
        <w:textAlignment w:val="baseline"/>
        <w:rPr>
          <w:rFonts w:ascii="Arial" w:hAnsi="Arial" w:cs="Arial"/>
          <w:sz w:val="20"/>
          <w:szCs w:val="20"/>
          <w:lang w:val="en-US" w:eastAsia="en-AU"/>
        </w:rPr>
      </w:pPr>
    </w:p>
    <w:p w14:paraId="0C53FCF5" w14:textId="7DA3814B" w:rsidR="00C238CD" w:rsidRDefault="00C238CD" w:rsidP="00E26A42">
      <w:pPr>
        <w:shd w:val="clear" w:color="auto" w:fill="FFFFFF"/>
        <w:jc w:val="both"/>
        <w:textAlignment w:val="baseline"/>
        <w:rPr>
          <w:rFonts w:ascii="Arial" w:hAnsi="Arial" w:cs="Arial"/>
          <w:sz w:val="20"/>
          <w:szCs w:val="20"/>
          <w:lang w:val="en-US" w:eastAsia="en-AU"/>
        </w:rPr>
      </w:pPr>
      <w:r>
        <w:rPr>
          <w:rFonts w:ascii="Arial" w:hAnsi="Arial" w:cs="Arial"/>
          <w:sz w:val="20"/>
          <w:szCs w:val="20"/>
          <w:lang w:val="en-US" w:eastAsia="en-AU"/>
        </w:rPr>
        <w:t xml:space="preserve">But note the caution about the above dicta expressed in the dissenting judgment of Priest JA in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at [21]-[22]</w:t>
      </w:r>
      <w:r w:rsidR="00E26A42">
        <w:rPr>
          <w:rFonts w:ascii="Arial" w:hAnsi="Arial" w:cs="Arial"/>
          <w:color w:val="000000"/>
          <w:sz w:val="20"/>
          <w:szCs w:val="20"/>
        </w:rPr>
        <w:t xml:space="preserve"> quoted in </w:t>
      </w:r>
      <w:r w:rsidR="00E26A42" w:rsidRPr="00E94F6B">
        <w:rPr>
          <w:rFonts w:ascii="Arial" w:hAnsi="Arial" w:cs="Arial"/>
          <w:b/>
          <w:bCs/>
          <w:color w:val="000000"/>
          <w:sz w:val="20"/>
          <w:szCs w:val="20"/>
          <w:shd w:val="clear" w:color="auto" w:fill="C5E0B3" w:themeFill="accent6" w:themeFillTint="66"/>
        </w:rPr>
        <w:t>section 11.2.36</w:t>
      </w:r>
      <w:r w:rsidR="00E26A42">
        <w:rPr>
          <w:rFonts w:ascii="Arial" w:hAnsi="Arial" w:cs="Arial"/>
          <w:color w:val="000000"/>
          <w:sz w:val="20"/>
          <w:szCs w:val="20"/>
        </w:rPr>
        <w:t xml:space="preserve"> above</w:t>
      </w:r>
      <w:r>
        <w:rPr>
          <w:rFonts w:ascii="Arial" w:hAnsi="Arial" w:cs="Arial"/>
          <w:color w:val="000000"/>
          <w:sz w:val="20"/>
          <w:szCs w:val="20"/>
        </w:rPr>
        <w:t>.</w:t>
      </w:r>
    </w:p>
    <w:p w14:paraId="04334537" w14:textId="77777777" w:rsidR="00C238CD" w:rsidRPr="001A0332" w:rsidRDefault="00C238CD"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Laa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92511E">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5D46C5">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DPP v Paulino</w:t>
      </w:r>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4C8B6E7F" w:rsidR="001A0332" w:rsidRPr="001A0332" w:rsidRDefault="001A0332" w:rsidP="00660E86">
      <w:pPr>
        <w:jc w:val="both"/>
        <w:textAlignment w:val="baseline"/>
        <w:rPr>
          <w:rFonts w:ascii="Arial" w:hAnsi="Arial" w:cs="Arial"/>
          <w:sz w:val="20"/>
          <w:szCs w:val="20"/>
          <w:lang w:val="en-US" w:eastAsia="en-AU"/>
        </w:rPr>
      </w:pPr>
    </w:p>
    <w:p w14:paraId="7E7C4798" w14:textId="77777777" w:rsidR="001A0332" w:rsidRPr="001A0332" w:rsidRDefault="001A0332" w:rsidP="00266440">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862DCD">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lastRenderedPageBreak/>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An attempt to pervert the course of justice is a substantive, and not an inchoate offence, notwithstanding 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D735D8">
      <w:pPr>
        <w:keepNext/>
        <w:keepLines/>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01C7FA4F"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21 year old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r w:rsidR="0010535F" w:rsidRPr="0010535F">
        <w:rPr>
          <w:rFonts w:ascii="Arial" w:hAnsi="Arial" w:cs="Arial"/>
          <w:i/>
          <w:iCs/>
          <w:sz w:val="20"/>
          <w:szCs w:val="20"/>
          <w:lang w:val="en-US" w:eastAsia="en-AU"/>
        </w:rPr>
        <w:t>Pasinis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671221D9" w14:textId="77777777" w:rsidR="00BB001D" w:rsidRDefault="00BB001D"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It is a common pattern of behaviour for perpetrators of domestic violence to express penitence and persuade their victims to reconcile. For a number of complex reasons…many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0D5818">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C359FF">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r w:rsidRPr="001A0332">
        <w:rPr>
          <w:rFonts w:ascii="Arial" w:hAnsi="Arial" w:cs="Arial"/>
          <w:sz w:val="20"/>
          <w:szCs w:val="20"/>
          <w:lang w:eastAsia="en-AU"/>
        </w:rPr>
        <w:t xml:space="preserve">hese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lastRenderedPageBreak/>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955C36">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5B7C3A3D" w14:textId="329CF1FF" w:rsidR="00BE0642" w:rsidRDefault="00BE0642" w:rsidP="00402050">
      <w:pPr>
        <w:jc w:val="both"/>
        <w:rPr>
          <w:rFonts w:ascii="Arial" w:hAnsi="Arial" w:cs="Arial"/>
          <w:color w:val="000000"/>
          <w:sz w:val="20"/>
        </w:rPr>
      </w:pPr>
    </w:p>
    <w:p w14:paraId="49FC96A8" w14:textId="2A242CA4" w:rsidR="006D25A9" w:rsidRPr="006D25A9" w:rsidRDefault="006D25A9" w:rsidP="00402050">
      <w:pPr>
        <w:jc w:val="both"/>
        <w:rPr>
          <w:rFonts w:ascii="Arial" w:hAnsi="Arial" w:cs="Arial"/>
          <w:color w:val="000000"/>
          <w:sz w:val="20"/>
          <w:szCs w:val="20"/>
        </w:rPr>
      </w:pPr>
      <w:r w:rsidRPr="006D25A9">
        <w:rPr>
          <w:rFonts w:ascii="Arial" w:hAnsi="Arial" w:cs="Arial"/>
          <w:color w:val="000000"/>
          <w:sz w:val="20"/>
          <w:szCs w:val="20"/>
        </w:rPr>
        <w:t xml:space="preserve">See also </w:t>
      </w:r>
      <w:r w:rsidRPr="006D25A9">
        <w:rPr>
          <w:rFonts w:ascii="Arial" w:hAnsi="Arial" w:cs="Arial"/>
          <w:i/>
          <w:iCs/>
          <w:sz w:val="20"/>
          <w:szCs w:val="20"/>
        </w:rPr>
        <w:t>DPP v RC (No 2)</w:t>
      </w:r>
      <w:r w:rsidRPr="006D25A9">
        <w:rPr>
          <w:rFonts w:ascii="Arial" w:hAnsi="Arial" w:cs="Arial"/>
          <w:sz w:val="20"/>
          <w:szCs w:val="20"/>
        </w:rPr>
        <w:t xml:space="preserve"> [2023] VSC 422.</w:t>
      </w:r>
    </w:p>
    <w:p w14:paraId="1BDEE59F" w14:textId="77777777" w:rsidR="000720E6" w:rsidRDefault="000720E6" w:rsidP="000720E6">
      <w:pPr>
        <w:pStyle w:val="Heading2"/>
        <w:tabs>
          <w:tab w:val="left" w:pos="567"/>
        </w:tabs>
        <w:spacing w:line="240" w:lineRule="auto"/>
        <w:rPr>
          <w:rFonts w:ascii="Arial" w:hAnsi="Arial" w:cs="Arial"/>
          <w:bCs/>
          <w:color w:val="000000"/>
          <w:sz w:val="20"/>
          <w:lang w:val="en-US"/>
        </w:rPr>
      </w:pPr>
    </w:p>
    <w:p w14:paraId="511BC054" w14:textId="27333FEC" w:rsidR="000720E6" w:rsidRPr="00D45887" w:rsidRDefault="000720E6" w:rsidP="000720E6">
      <w:pPr>
        <w:pStyle w:val="Heading2"/>
        <w:keepNext/>
        <w:keepLines/>
        <w:widowControl/>
        <w:tabs>
          <w:tab w:val="left" w:pos="567"/>
        </w:tabs>
        <w:spacing w:line="240" w:lineRule="auto"/>
        <w:ind w:left="567" w:hanging="567"/>
        <w:rPr>
          <w:rFonts w:ascii="Arial" w:hAnsi="Arial" w:cs="Arial"/>
          <w:bCs/>
          <w:color w:val="000000"/>
          <w:sz w:val="20"/>
          <w:lang w:val="en-US"/>
        </w:rPr>
      </w:pPr>
      <w:bookmarkStart w:id="733" w:name="_11.2.37_Sentencing_for"/>
      <w:bookmarkEnd w:id="733"/>
      <w:r w:rsidRPr="00D45887">
        <w:rPr>
          <w:rFonts w:ascii="Arial" w:hAnsi="Arial" w:cs="Arial"/>
          <w:b/>
          <w:bCs/>
          <w:color w:val="000000"/>
          <w:sz w:val="20"/>
        </w:rPr>
        <w:t>11.2.3</w:t>
      </w:r>
      <w:r>
        <w:rPr>
          <w:rFonts w:ascii="Arial" w:hAnsi="Arial" w:cs="Arial"/>
          <w:b/>
          <w:bCs/>
          <w:color w:val="000000"/>
          <w:sz w:val="20"/>
        </w:rPr>
        <w:t>7</w:t>
      </w:r>
      <w:r w:rsidRPr="00D45887">
        <w:rPr>
          <w:rFonts w:ascii="Arial" w:hAnsi="Arial" w:cs="Arial"/>
          <w:b/>
          <w:bCs/>
          <w:color w:val="000000"/>
          <w:sz w:val="20"/>
        </w:rPr>
        <w:tab/>
        <w:t xml:space="preserve">Sentencing for </w:t>
      </w:r>
      <w:r>
        <w:rPr>
          <w:rFonts w:ascii="Arial" w:hAnsi="Arial" w:cs="Arial"/>
          <w:b/>
          <w:bCs/>
          <w:color w:val="000000"/>
          <w:sz w:val="20"/>
        </w:rPr>
        <w:t>stalking</w:t>
      </w:r>
    </w:p>
    <w:p w14:paraId="30AE3FDE" w14:textId="77777777" w:rsidR="000720E6" w:rsidRDefault="000720E6" w:rsidP="000720E6">
      <w:pPr>
        <w:pStyle w:val="Heading2"/>
        <w:widowControl/>
        <w:tabs>
          <w:tab w:val="left" w:pos="567"/>
        </w:tabs>
        <w:spacing w:line="240" w:lineRule="auto"/>
        <w:ind w:left="567" w:hanging="567"/>
        <w:rPr>
          <w:rFonts w:ascii="Arial" w:hAnsi="Arial" w:cs="Arial"/>
          <w:color w:val="000000"/>
          <w:sz w:val="20"/>
        </w:rPr>
      </w:pPr>
    </w:p>
    <w:p w14:paraId="36B74B2A" w14:textId="0370D3CD" w:rsidR="006E5554" w:rsidRDefault="006E5554" w:rsidP="006E5554">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Pr="006E5554">
        <w:rPr>
          <w:rFonts w:ascii="Arial" w:hAnsi="Arial" w:cs="Arial"/>
          <w:i/>
          <w:iCs/>
          <w:color w:val="000000"/>
          <w:sz w:val="20"/>
        </w:rPr>
        <w:t>Harre v The King</w:t>
      </w:r>
      <w:r>
        <w:rPr>
          <w:rFonts w:ascii="Arial" w:hAnsi="Arial" w:cs="Arial"/>
          <w:color w:val="000000"/>
          <w:sz w:val="20"/>
        </w:rPr>
        <w:t xml:space="preserve"> [2024] VSCA 278 the applicant, then aged 42</w:t>
      </w:r>
      <w:r w:rsidR="0003757F">
        <w:rPr>
          <w:rFonts w:ascii="Arial" w:hAnsi="Arial" w:cs="Arial"/>
          <w:color w:val="000000"/>
          <w:sz w:val="20"/>
        </w:rPr>
        <w:t xml:space="preserve"> and for whom there were some </w:t>
      </w:r>
      <w:r w:rsidR="0003757F" w:rsidRPr="0003757F">
        <w:rPr>
          <w:rFonts w:ascii="Arial" w:hAnsi="Arial" w:cs="Arial"/>
          <w:i/>
          <w:iCs/>
          <w:color w:val="000000"/>
          <w:sz w:val="20"/>
        </w:rPr>
        <w:t>Verdins</w:t>
      </w:r>
      <w:r w:rsidR="0003757F">
        <w:rPr>
          <w:rFonts w:ascii="Arial" w:hAnsi="Arial" w:cs="Arial"/>
          <w:color w:val="000000"/>
          <w:sz w:val="20"/>
        </w:rPr>
        <w:t xml:space="preserve"> considerations</w:t>
      </w:r>
      <w:r>
        <w:rPr>
          <w:rFonts w:ascii="Arial" w:hAnsi="Arial" w:cs="Arial"/>
          <w:color w:val="000000"/>
          <w:sz w:val="20"/>
        </w:rP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w:t>
      </w:r>
      <w:r w:rsidRPr="006E5554">
        <w:rPr>
          <w:rFonts w:ascii="Arial" w:hAnsi="Arial" w:cs="Arial"/>
          <w:color w:val="000000"/>
          <w:sz w:val="20"/>
          <w:lang w:val="en-AU"/>
        </w:rPr>
        <w:t>application for a personal safety intervention order against EW</w:t>
      </w:r>
      <w:r>
        <w:rPr>
          <w:rFonts w:ascii="Arial" w:hAnsi="Arial" w:cs="Arial"/>
          <w:color w:val="000000"/>
          <w:sz w:val="20"/>
          <w:lang w:val="en-AU"/>
        </w:rPr>
        <w:t>.  He had been sentenced to IMP3y on each of the charges of stalking of which 18m was cumulative and IMP2y on the charge of perjury of which 12m was cumulative, resulting in TES IMP5y6m/3y6m.</w:t>
      </w:r>
      <w:r w:rsidR="00453A4C">
        <w:rPr>
          <w:rFonts w:ascii="Arial" w:hAnsi="Arial" w:cs="Arial"/>
          <w:color w:val="000000"/>
          <w:sz w:val="20"/>
          <w:lang w:val="en-AU"/>
        </w:rPr>
        <w:t xml:space="preserve">  The Court of Appeal refused leave to appeal, Priest &amp; Beach JJA saying at [5], [76] &amp; [80]-[82]:</w:t>
      </w:r>
    </w:p>
    <w:p w14:paraId="1AF870C4" w14:textId="20B41E0D" w:rsidR="006E5554"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[5] “Significantly, the stalking...extended over a protracted period of 11 months, between 2 July 2020 and 2 June 2021. In the course of her sentencing remarks, the judge said that the applicant had</w:t>
      </w:r>
    </w:p>
    <w:p w14:paraId="610EF10B" w14:textId="31E10ED0" w:rsidR="006E5554" w:rsidRPr="00453A4C" w:rsidRDefault="00453A4C" w:rsidP="00453A4C">
      <w:pPr>
        <w:pStyle w:val="Heading2"/>
        <w:widowControl/>
        <w:tabs>
          <w:tab w:val="left" w:pos="567"/>
        </w:tabs>
        <w:spacing w:before="60" w:line="240" w:lineRule="auto"/>
        <w:ind w:left="907" w:right="907"/>
        <w:rPr>
          <w:rFonts w:ascii="Arial" w:hAnsi="Arial" w:cs="Arial"/>
          <w:color w:val="000000"/>
          <w:sz w:val="18"/>
          <w:szCs w:val="18"/>
        </w:rPr>
      </w:pPr>
      <w:r w:rsidRPr="00453A4C">
        <w:rPr>
          <w:rFonts w:ascii="Arial" w:hAnsi="Arial" w:cs="Arial"/>
          <w:color w:val="000000"/>
          <w:sz w:val="18"/>
          <w:szCs w:val="18"/>
        </w:rPr>
        <w:t>invested considerable time and energy in deviously trying to undermine the relationship between [DA] and [EW], as well as almost every significant relationship which [the applicant’s] victims had with other people, including those with their family, their housemates and even their employer. [The applicant] also entered their home on a number of occasions and engaged in creepy and disturbing conduct calculate to un-nerve them and cause them serious distress.”</w:t>
      </w:r>
    </w:p>
    <w:p w14:paraId="127E8B64" w14:textId="0ADA781F" w:rsidR="00453A4C"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 xml:space="preserve">[76] </w:t>
      </w:r>
      <w:r w:rsidRPr="000720E6">
        <w:rPr>
          <w:rFonts w:ascii="Arial" w:hAnsi="Arial" w:cs="Arial"/>
          <w:color w:val="000000"/>
          <w:sz w:val="20"/>
        </w:rPr>
        <w:t xml:space="preserve">The respondent’s counsel drew attention to the judge’s characterisation of the offending conduct. Hence, the judge described the conduct the subject of </w:t>
      </w:r>
      <w:r>
        <w:rPr>
          <w:rFonts w:ascii="Arial" w:hAnsi="Arial" w:cs="Arial"/>
          <w:color w:val="000000"/>
          <w:sz w:val="20"/>
        </w:rPr>
        <w:t xml:space="preserve">[the stalking </w:t>
      </w:r>
      <w:r w:rsidRPr="000720E6">
        <w:rPr>
          <w:rFonts w:ascii="Arial" w:hAnsi="Arial" w:cs="Arial"/>
          <w:color w:val="000000"/>
          <w:sz w:val="20"/>
        </w:rPr>
        <w:t>charges</w:t>
      </w:r>
      <w:r>
        <w:rPr>
          <w:rFonts w:ascii="Arial" w:hAnsi="Arial" w:cs="Arial"/>
          <w:color w:val="000000"/>
          <w:sz w:val="20"/>
        </w:rPr>
        <w:t>]</w:t>
      </w:r>
      <w:r w:rsidRPr="000720E6">
        <w:rPr>
          <w:rFonts w:ascii="Arial" w:hAnsi="Arial" w:cs="Arial"/>
          <w:color w:val="000000"/>
          <w:sz w:val="20"/>
        </w:rPr>
        <w:t xml:space="preserve"> as of a ‘grave nature’. It was ‘premeditated, vindictive and gratuitous’, ‘very intricately planned’, </w:t>
      </w:r>
      <w:r w:rsidRPr="000720E6">
        <w:rPr>
          <w:rFonts w:ascii="Arial" w:hAnsi="Arial" w:cs="Arial"/>
          <w:color w:val="000000"/>
          <w:sz w:val="20"/>
        </w:rPr>
        <w:lastRenderedPageBreak/>
        <w:t xml:space="preserve">and ‘calculated to deeply disturb and hurt’ the victims. The conduct was ‘deliberately cruel, malicious, defamatory and of an insidious nature’; and its scope was ‘very persistent, pervasive and protracted’. The conduct was neither spontaneous nor impulsive, and its impact on the victims (and their mothers) was significant. Moreover, the conduct comprising </w:t>
      </w:r>
      <w:r>
        <w:rPr>
          <w:rFonts w:ascii="Arial" w:hAnsi="Arial" w:cs="Arial"/>
          <w:color w:val="000000"/>
          <w:sz w:val="20"/>
        </w:rPr>
        <w:t xml:space="preserve">[the perjury </w:t>
      </w:r>
      <w:r w:rsidRPr="000720E6">
        <w:rPr>
          <w:rFonts w:ascii="Arial" w:hAnsi="Arial" w:cs="Arial"/>
          <w:color w:val="000000"/>
          <w:sz w:val="20"/>
        </w:rPr>
        <w:t>charge</w:t>
      </w:r>
      <w:r>
        <w:rPr>
          <w:rFonts w:ascii="Arial" w:hAnsi="Arial" w:cs="Arial"/>
          <w:color w:val="000000"/>
          <w:sz w:val="20"/>
        </w:rPr>
        <w:t>]</w:t>
      </w:r>
      <w:r w:rsidRPr="000720E6">
        <w:rPr>
          <w:rFonts w:ascii="Arial" w:hAnsi="Arial" w:cs="Arial"/>
          <w:color w:val="000000"/>
          <w:sz w:val="20"/>
        </w:rPr>
        <w:t xml:space="preserve"> was ‘seriously brazen’, acted to undermine the integrity of the criminal justice system, and underscored the ‘extent to which [the applicant was] prepared to go to try to harm’ EW.</w:t>
      </w:r>
    </w:p>
    <w:p w14:paraId="5D3E81F7" w14:textId="7F6AAF21" w:rsidR="00453A4C"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 xml:space="preserve">[80] </w:t>
      </w:r>
      <w:r w:rsidRPr="00040514">
        <w:rPr>
          <w:rFonts w:ascii="Arial" w:hAnsi="Arial" w:cs="Arial"/>
          <w:color w:val="000000"/>
          <w:sz w:val="20"/>
        </w:rPr>
        <w:t>We consider the individual sentences on the two charges of stalking to be well-justified. Drawing on our experience of other cases of stalking, we consider the applicant’s to represent one of the most grave examples of stalking this Court has encountered, given the persistence, intricacy, intrinsic nastiness and wanton sadism of the applicant’s conduct. The adjectives that the judge used to describe the applicant’s offending were entirely apt. It was truly vindictive, gratuitous, cruel and malicious in nature, calculated to deeply disturb the victims.</w:t>
      </w:r>
    </w:p>
    <w:p w14:paraId="799DF8FE" w14:textId="0B2A94FE" w:rsidR="00453A4C"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 xml:space="preserve">[81] </w:t>
      </w:r>
      <w:r w:rsidRPr="00040514">
        <w:rPr>
          <w:rFonts w:ascii="Arial" w:hAnsi="Arial" w:cs="Arial"/>
          <w:color w:val="000000"/>
          <w:sz w:val="20"/>
        </w:rPr>
        <w:t>Moreover, the various and diverse aspects that constituted the applicant’s behaviour were far from spur of the moment aberrations. The applicant intricately planned and meticulously executed the campaign of terror unleashed upon DA and EW. And, so it appears, at no time during the 11 months that the applicant tormented DA and EW did the applicant pause and reflect upon the enormity of the harm being inflicted on the victims. Indeed — whether or not it can be explained by the applicant’s personality disorder — we can detect no shred of remorse prior to, or following, the offending’s detection.</w:t>
      </w:r>
    </w:p>
    <w:p w14:paraId="2497E9ED" w14:textId="650A08DC" w:rsidR="00453A4C"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[82] We cons</w:t>
      </w:r>
      <w:r w:rsidRPr="00040514">
        <w:rPr>
          <w:rFonts w:ascii="Arial" w:hAnsi="Arial" w:cs="Arial"/>
          <w:color w:val="000000"/>
          <w:sz w:val="20"/>
        </w:rPr>
        <w:t xml:space="preserve">ider the order for cumulation of 18 months between the sentence on </w:t>
      </w:r>
      <w:r w:rsidR="00AA7A59">
        <w:rPr>
          <w:rFonts w:ascii="Arial" w:hAnsi="Arial" w:cs="Arial"/>
          <w:color w:val="000000"/>
          <w:sz w:val="20"/>
        </w:rPr>
        <w:t xml:space="preserve">[the stalking </w:t>
      </w:r>
      <w:r w:rsidRPr="00040514">
        <w:rPr>
          <w:rFonts w:ascii="Arial" w:hAnsi="Arial" w:cs="Arial"/>
          <w:color w:val="000000"/>
          <w:sz w:val="20"/>
        </w:rPr>
        <w:t>charges</w:t>
      </w:r>
      <w:r w:rsidR="00AA7A59">
        <w:rPr>
          <w:rFonts w:ascii="Arial" w:hAnsi="Arial" w:cs="Arial"/>
          <w:color w:val="000000"/>
          <w:sz w:val="20"/>
        </w:rPr>
        <w:t>]</w:t>
      </w:r>
      <w:r w:rsidRPr="00040514">
        <w:rPr>
          <w:rFonts w:ascii="Arial" w:hAnsi="Arial" w:cs="Arial"/>
          <w:color w:val="000000"/>
          <w:sz w:val="20"/>
        </w:rPr>
        <w:t xml:space="preserve"> to be entirely justified. Although much of the offending conduct overlapped, both DA and EW were subjected to separate and distinct incidents of stalking, which had to be reflected in the individual sentences imposed on each charge and the order for cumulation between them.</w:t>
      </w:r>
      <w:r w:rsidR="00AA7A59">
        <w:rPr>
          <w:rFonts w:ascii="Arial" w:hAnsi="Arial" w:cs="Arial"/>
          <w:color w:val="000000"/>
          <w:sz w:val="20"/>
        </w:rPr>
        <w:t>”</w:t>
      </w:r>
    </w:p>
    <w:p w14:paraId="22B15B5F" w14:textId="77777777" w:rsidR="00040514" w:rsidRPr="00DC4119" w:rsidRDefault="00040514" w:rsidP="009D1123">
      <w:pPr>
        <w:jc w:val="both"/>
        <w:rPr>
          <w:rFonts w:ascii="Arial" w:hAnsi="Arial" w:cs="Arial"/>
          <w:color w:val="000000"/>
          <w:sz w:val="20"/>
        </w:rPr>
      </w:pPr>
    </w:p>
    <w:p w14:paraId="0586AA9B" w14:textId="77777777" w:rsidR="009D1123" w:rsidRPr="001E6BE9" w:rsidRDefault="009D1123" w:rsidP="009D11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1A4BBB2D" w14:textId="77777777" w:rsidR="009D1123" w:rsidRPr="00102D2A" w:rsidRDefault="009D1123" w:rsidP="009D1123">
      <w:pPr>
        <w:rPr>
          <w:rFonts w:ascii="Arial" w:hAnsi="Arial" w:cs="Arial"/>
          <w:color w:val="000000"/>
          <w:sz w:val="20"/>
        </w:rPr>
      </w:pPr>
    </w:p>
    <w:p w14:paraId="7C84D13D" w14:textId="77777777" w:rsidR="008B14AE" w:rsidRDefault="008B14AE">
      <w:pPr>
        <w:rPr>
          <w:rFonts w:ascii="Arial" w:hAnsi="Arial" w:cs="Arial"/>
          <w:color w:val="000000"/>
          <w:sz w:val="20"/>
        </w:rPr>
      </w:pPr>
      <w:r>
        <w:rPr>
          <w:rFonts w:ascii="Arial" w:hAnsi="Arial" w:cs="Arial"/>
          <w:color w:val="000000"/>
          <w:sz w:val="20"/>
        </w:rPr>
        <w:br w:type="page"/>
      </w: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734" w:name="_11.3_Some_mechanics"/>
      <w:bookmarkEnd w:id="734"/>
      <w:r w:rsidRPr="001C6E0E">
        <w:rPr>
          <w:rFonts w:ascii="Arial" w:hAnsi="Arial" w:cs="Arial"/>
          <w:b/>
          <w:bCs/>
          <w:color w:val="000000"/>
        </w:rPr>
        <w:lastRenderedPageBreak/>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708"/>
    </w:p>
    <w:p w14:paraId="69E5C7F1" w14:textId="77777777" w:rsidR="00B14505" w:rsidRPr="001C6E0E" w:rsidRDefault="00B14505" w:rsidP="00CD044F">
      <w:pPr>
        <w:keepNext/>
        <w:keepLines/>
        <w:jc w:val="both"/>
        <w:rPr>
          <w:rFonts w:ascii="Arial" w:hAnsi="Arial" w:cs="Arial"/>
          <w:color w:val="000000"/>
          <w:sz w:val="20"/>
        </w:rPr>
      </w:pPr>
      <w:bookmarkStart w:id="735"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736" w:name="_11.3.1_“Instinctive_synthesis”"/>
      <w:bookmarkEnd w:id="736"/>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735"/>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Williscroft,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disapproved this approach, holding 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Williscroft,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R v Ken Ha Khanh Phong</w:t>
      </w:r>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(Cth).</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ment Gleeson CJ, Gummow, Hayne and</w:t>
      </w:r>
      <w:r w:rsidRPr="001C6E0E">
        <w:rPr>
          <w:rFonts w:ascii="Arial" w:hAnsi="Arial" w:cs="Arial"/>
          <w:bCs/>
          <w:color w:val="000000"/>
          <w:sz w:val="20"/>
        </w:rPr>
        <w:t xml:space="preserve"> Callinan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Gummow, Hayne and Callinan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lastRenderedPageBreak/>
        <w:t>[36]  No universal rules can be stated in those terms.  As was pointed out earlier, much turns on what is meant by a ‘sequential or two-tiered’ approach and, likewise, the ‘process 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Gaudron, Gummow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it is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Spigelman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8B14AE" w:rsidRDefault="00D671A9" w:rsidP="00E22CE5">
      <w:pPr>
        <w:spacing w:before="40" w:after="40"/>
        <w:ind w:left="1474" w:right="1474"/>
        <w:jc w:val="both"/>
        <w:rPr>
          <w:rFonts w:ascii="Arial" w:hAnsi="Arial" w:cs="Arial"/>
          <w:sz w:val="18"/>
          <w:szCs w:val="18"/>
        </w:rPr>
      </w:pPr>
      <w:r w:rsidRPr="008B14AE">
        <w:rPr>
          <w:rFonts w:ascii="Arial" w:hAnsi="Arial" w:cs="Arial"/>
          <w:sz w:val="18"/>
          <w:szCs w:val="18"/>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[38]  </w:t>
      </w:r>
      <w:r w:rsidR="00827206" w:rsidRPr="001C6E0E">
        <w:rPr>
          <w:rFonts w:ascii="Arial" w:hAnsi="Arial" w:cs="Arial"/>
          <w:color w:val="000000"/>
          <w:sz w:val="20"/>
        </w:rPr>
        <w:t xml:space="preserve">Following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w:t>
      </w:r>
      <w:r w:rsidR="00827206" w:rsidRPr="001C6E0E">
        <w:rPr>
          <w:rFonts w:ascii="Arial" w:hAnsi="Arial" w:cs="Arial"/>
          <w:color w:val="000000"/>
          <w:sz w:val="20"/>
        </w:rPr>
        <w:lastRenderedPageBreak/>
        <w:t xml:space="preserve">those States.  In the first two of these cases the Court of Criminal Appeal of New South Wales endorsed an approach of instinctive synthesis as a general rule but also accepted as a qualification that departure from it may be justified to allow for separate consideration 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State">
        <w:smartTag w:uri="urn:schemas-microsoft-com:office:smarttags" w:element="plac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r w:rsidRPr="001C6E0E">
        <w:rPr>
          <w:rFonts w:ascii="Arial" w:hAnsi="Arial" w:cs="Arial"/>
          <w:i/>
          <w:iCs/>
          <w:color w:val="000000"/>
          <w:sz w:val="20"/>
          <w:lang w:val="en-US"/>
        </w:rPr>
        <w:t xml:space="preserve">Williscroft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r w:rsidRPr="001C6E0E">
        <w:rPr>
          <w:rFonts w:ascii="Arial" w:hAnsi="Arial" w:cs="Arial"/>
          <w:i/>
          <w:iCs/>
          <w:color w:val="000000"/>
          <w:sz w:val="20"/>
          <w:lang w:val="en-US"/>
        </w:rPr>
        <w:t xml:space="preserve">Young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r w:rsidR="00223A1A" w:rsidRPr="001C6E0E">
        <w:rPr>
          <w:rFonts w:ascii="Arial" w:hAnsi="Arial" w:cs="Arial"/>
          <w:i/>
          <w:iCs/>
          <w:color w:val="000000"/>
          <w:sz w:val="20"/>
          <w:lang w:val="en-US"/>
        </w:rPr>
        <w:t xml:space="preserve">Williscroft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6D25A9">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analysed,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mention of ‘two stages’ or of mathematics.  Yet in many instances (and increasingly by statutory prescription) if judges do so, no error of sentencing principle will have occurred.  Such mention may, in fact, sometimes even be required.  The lofty and absolute prescriptions of </w:t>
      </w:r>
      <w:r w:rsidRPr="001C6E0E">
        <w:rPr>
          <w:rFonts w:ascii="Arial" w:hAnsi="Arial" w:cs="Arial"/>
          <w:i/>
          <w:iCs/>
          <w:color w:val="000000"/>
          <w:sz w:val="20"/>
          <w:lang w:val="en-US"/>
        </w:rPr>
        <w:t>Williscroft</w:t>
      </w:r>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travellers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w:t>
      </w:r>
      <w:r w:rsidRPr="001C6E0E">
        <w:rPr>
          <w:rFonts w:ascii="Arial" w:hAnsi="Arial" w:cs="Arial"/>
          <w:color w:val="000000"/>
          <w:sz w:val="20"/>
        </w:rPr>
        <w:lastRenderedPageBreak/>
        <w:t>factors a particular value measured in years of imprisonment and say that, allowing for them, a sentence of specific length would otherwise have been ordered.  As Chernov,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4828C5E8" w:rsidR="003F04C3" w:rsidRPr="00A26F29" w:rsidRDefault="00BF32BB" w:rsidP="00B811B6">
      <w:pPr>
        <w:jc w:val="both"/>
        <w:rPr>
          <w:rFonts w:ascii="Arial" w:hAnsi="Arial" w:cs="Arial"/>
          <w:color w:val="000000"/>
          <w:sz w:val="20"/>
          <w:szCs w:val="20"/>
          <w:lang w:val="en-US"/>
        </w:rPr>
      </w:pPr>
      <w:r w:rsidRPr="00A26F29">
        <w:rPr>
          <w:rFonts w:ascii="Arial" w:hAnsi="Arial" w:cs="Arial"/>
          <w:color w:val="000000"/>
          <w:sz w:val="20"/>
          <w:szCs w:val="20"/>
          <w:lang w:val="en-US"/>
        </w:rPr>
        <w:t>Other cases involving a discussion of instinctive synthesis include</w:t>
      </w:r>
      <w:r w:rsidR="003F04C3" w:rsidRPr="00A26F29">
        <w:rPr>
          <w:rFonts w:ascii="Arial" w:hAnsi="Arial" w:cs="Arial"/>
          <w:color w:val="000000"/>
          <w:sz w:val="20"/>
          <w:szCs w:val="20"/>
          <w:lang w:val="en-US"/>
        </w:rPr>
        <w:t xml:space="preserve"> </w:t>
      </w:r>
      <w:r w:rsidR="003F04C3" w:rsidRPr="00A26F29">
        <w:rPr>
          <w:rFonts w:ascii="Arial" w:hAnsi="Arial" w:cs="Arial"/>
          <w:i/>
          <w:color w:val="000000"/>
          <w:sz w:val="20"/>
          <w:szCs w:val="20"/>
          <w:lang w:val="en-US"/>
        </w:rPr>
        <w:t>R v Bangard</w:t>
      </w:r>
      <w:r w:rsidR="003F04C3" w:rsidRPr="00A26F29">
        <w:rPr>
          <w:rFonts w:ascii="Arial" w:hAnsi="Arial" w:cs="Arial"/>
          <w:color w:val="000000"/>
          <w:sz w:val="20"/>
          <w:szCs w:val="20"/>
          <w:lang w:val="en-US"/>
        </w:rPr>
        <w:t xml:space="preserve"> [2005</w:t>
      </w:r>
      <w:r w:rsidR="003D1261" w:rsidRPr="00A26F29">
        <w:rPr>
          <w:rFonts w:ascii="Arial" w:hAnsi="Arial" w:cs="Arial"/>
          <w:color w:val="000000"/>
          <w:sz w:val="20"/>
          <w:szCs w:val="20"/>
          <w:lang w:val="en-US"/>
        </w:rPr>
        <w:t xml:space="preserve">] VSCA 313 at [20] per Eames JA; </w:t>
      </w:r>
      <w:r w:rsidR="003D1261" w:rsidRPr="00A26F29">
        <w:rPr>
          <w:rFonts w:ascii="Arial" w:hAnsi="Arial" w:cs="Arial"/>
          <w:i/>
          <w:color w:val="000000"/>
          <w:sz w:val="20"/>
          <w:szCs w:val="20"/>
          <w:lang w:val="en-US"/>
        </w:rPr>
        <w:t>R v Mladenov</w:t>
      </w:r>
      <w:r w:rsidR="003D1261" w:rsidRPr="00A26F29">
        <w:rPr>
          <w:rFonts w:ascii="Arial" w:hAnsi="Arial" w:cs="Arial"/>
          <w:color w:val="000000"/>
          <w:sz w:val="20"/>
          <w:szCs w:val="20"/>
          <w:lang w:val="en-US"/>
        </w:rPr>
        <w:t xml:space="preserve"> [2006] VSCA 246 at [4]-[5] per King AJA with wh</w:t>
      </w:r>
      <w:r w:rsidR="00E715E3" w:rsidRPr="00A26F29">
        <w:rPr>
          <w:rFonts w:ascii="Arial" w:hAnsi="Arial" w:cs="Arial"/>
          <w:color w:val="000000"/>
          <w:sz w:val="20"/>
          <w:szCs w:val="20"/>
          <w:lang w:val="en-US"/>
        </w:rPr>
        <w:t xml:space="preserve">om Ashley JA &amp; Smith AJA agreed; </w:t>
      </w:r>
      <w:r w:rsidR="00E715E3" w:rsidRPr="00A26F29">
        <w:rPr>
          <w:rFonts w:ascii="Arial" w:hAnsi="Arial" w:cs="Arial"/>
          <w:i/>
          <w:color w:val="000000"/>
          <w:sz w:val="20"/>
          <w:szCs w:val="20"/>
          <w:lang w:val="en-US"/>
        </w:rPr>
        <w:t xml:space="preserve">R v Eastham </w:t>
      </w:r>
      <w:r w:rsidR="00E715E3" w:rsidRPr="00A26F29">
        <w:rPr>
          <w:rFonts w:ascii="Arial" w:hAnsi="Arial" w:cs="Arial"/>
          <w:color w:val="000000"/>
          <w:sz w:val="20"/>
          <w:szCs w:val="20"/>
          <w:lang w:val="en-US"/>
        </w:rPr>
        <w:t xml:space="preserve">[2008] VSCA 67 at [11]-[12] per Buchanan JA with whom Neave JA &amp; Lasry AJA agreed; </w:t>
      </w:r>
      <w:r w:rsidR="00E715E3" w:rsidRPr="00A26F29">
        <w:rPr>
          <w:rFonts w:ascii="Arial" w:hAnsi="Arial" w:cs="Arial"/>
          <w:i/>
          <w:color w:val="000000"/>
          <w:sz w:val="20"/>
          <w:szCs w:val="20"/>
          <w:lang w:val="en-US"/>
        </w:rPr>
        <w:t>R v Johnston</w:t>
      </w:r>
      <w:r w:rsidR="00E715E3" w:rsidRPr="00A26F29">
        <w:rPr>
          <w:rFonts w:ascii="Arial" w:hAnsi="Arial" w:cs="Arial"/>
          <w:color w:val="000000"/>
          <w:sz w:val="20"/>
          <w:szCs w:val="20"/>
          <w:lang w:val="en-US"/>
        </w:rPr>
        <w:t xml:space="preserve"> [2008] VSCA 133 at [16] per Nettle JA with wh</w:t>
      </w:r>
      <w:r w:rsidR="004801B2" w:rsidRPr="00A26F29">
        <w:rPr>
          <w:rFonts w:ascii="Arial" w:hAnsi="Arial" w:cs="Arial"/>
          <w:color w:val="000000"/>
          <w:sz w:val="20"/>
          <w:szCs w:val="20"/>
          <w:lang w:val="en-US"/>
        </w:rPr>
        <w:t xml:space="preserve">om Buchanan &amp; Ashley JJA agreed; </w:t>
      </w:r>
      <w:r w:rsidR="009C10F8" w:rsidRPr="00A26F29">
        <w:rPr>
          <w:rFonts w:ascii="Arial" w:hAnsi="Arial" w:cs="Arial"/>
          <w:i/>
          <w:color w:val="000000"/>
          <w:sz w:val="20"/>
          <w:szCs w:val="20"/>
          <w:lang w:val="en-US"/>
        </w:rPr>
        <w:t>R v Hasan</w:t>
      </w:r>
      <w:r w:rsidR="009C10F8" w:rsidRPr="00A26F29">
        <w:rPr>
          <w:rFonts w:ascii="Arial" w:hAnsi="Arial" w:cs="Arial"/>
          <w:color w:val="000000"/>
          <w:sz w:val="20"/>
          <w:szCs w:val="20"/>
          <w:lang w:val="en-US"/>
        </w:rPr>
        <w:t xml:space="preserve"> [2010] VSCA 352 at [47] per </w:t>
      </w:r>
      <w:r w:rsidR="008D49B5" w:rsidRPr="00A26F29">
        <w:rPr>
          <w:rFonts w:ascii="Arial" w:hAnsi="Arial" w:cs="Arial"/>
          <w:color w:val="000000"/>
          <w:sz w:val="20"/>
          <w:szCs w:val="20"/>
          <w:lang w:val="en-US"/>
        </w:rPr>
        <w:t xml:space="preserve">Maxwell P, Redlich &amp; Harper JJA; </w:t>
      </w:r>
      <w:r w:rsidR="008D49B5" w:rsidRPr="00A26F29">
        <w:rPr>
          <w:rFonts w:ascii="Arial" w:hAnsi="Arial" w:cs="Arial"/>
          <w:i/>
          <w:color w:val="000000"/>
          <w:sz w:val="20"/>
          <w:szCs w:val="20"/>
          <w:lang w:val="en-US"/>
        </w:rPr>
        <w:t>R v Trajkovski &amp; Waters</w:t>
      </w:r>
      <w:r w:rsidR="008D49B5" w:rsidRPr="00A26F29">
        <w:rPr>
          <w:rFonts w:ascii="Arial" w:hAnsi="Arial" w:cs="Arial"/>
          <w:color w:val="000000"/>
          <w:sz w:val="20"/>
          <w:szCs w:val="20"/>
          <w:lang w:val="en-US"/>
        </w:rPr>
        <w:t xml:space="preserve"> [2011] VSCA 170 at [44]-[93] </w:t>
      </w:r>
      <w:r w:rsidR="00711BD1" w:rsidRPr="00A26F29">
        <w:rPr>
          <w:rFonts w:ascii="Arial" w:hAnsi="Arial" w:cs="Arial"/>
          <w:color w:val="000000"/>
          <w:sz w:val="20"/>
          <w:szCs w:val="20"/>
          <w:lang w:val="en-US"/>
        </w:rPr>
        <w:t xml:space="preserve">per </w:t>
      </w:r>
      <w:r w:rsidR="008D49B5" w:rsidRPr="00A26F29">
        <w:rPr>
          <w:rFonts w:ascii="Arial" w:hAnsi="Arial" w:cs="Arial"/>
          <w:color w:val="000000"/>
          <w:sz w:val="20"/>
          <w:szCs w:val="20"/>
          <w:lang w:val="en-US"/>
        </w:rPr>
        <w:t xml:space="preserve">Weinberg JA (with whom Ashley </w:t>
      </w:r>
      <w:r w:rsidR="00711BD1" w:rsidRPr="00A26F29">
        <w:rPr>
          <w:rFonts w:ascii="Arial" w:hAnsi="Arial" w:cs="Arial"/>
          <w:color w:val="000000"/>
          <w:sz w:val="20"/>
          <w:szCs w:val="20"/>
          <w:lang w:val="en-US"/>
        </w:rPr>
        <w:t xml:space="preserve">JA </w:t>
      </w:r>
      <w:r w:rsidR="008D49B5" w:rsidRPr="00A26F29">
        <w:rPr>
          <w:rFonts w:ascii="Arial" w:hAnsi="Arial" w:cs="Arial"/>
          <w:color w:val="000000"/>
          <w:sz w:val="20"/>
          <w:szCs w:val="20"/>
          <w:lang w:val="en-US"/>
        </w:rPr>
        <w:t xml:space="preserve">&amp; </w:t>
      </w:r>
      <w:r w:rsidR="00711BD1" w:rsidRPr="00A26F29">
        <w:rPr>
          <w:rFonts w:ascii="Arial" w:hAnsi="Arial" w:cs="Arial"/>
          <w:color w:val="000000"/>
          <w:sz w:val="20"/>
          <w:szCs w:val="20"/>
          <w:lang w:val="en-US"/>
        </w:rPr>
        <w:t>Hargrave A</w:t>
      </w:r>
      <w:r w:rsidR="008D49B5" w:rsidRPr="00A26F29">
        <w:rPr>
          <w:rFonts w:ascii="Arial" w:hAnsi="Arial" w:cs="Arial"/>
          <w:color w:val="000000"/>
          <w:sz w:val="20"/>
          <w:szCs w:val="20"/>
          <w:lang w:val="en-US"/>
        </w:rPr>
        <w:t>JA</w:t>
      </w:r>
      <w:r w:rsidR="00711BD1" w:rsidRPr="00A26F29">
        <w:rPr>
          <w:rFonts w:ascii="Arial" w:hAnsi="Arial" w:cs="Arial"/>
          <w:color w:val="000000"/>
          <w:sz w:val="20"/>
          <w:szCs w:val="20"/>
          <w:lang w:val="en-US"/>
        </w:rPr>
        <w:t xml:space="preserve"> agreed)</w:t>
      </w:r>
      <w:r w:rsidR="000001FA" w:rsidRPr="00A26F29">
        <w:rPr>
          <w:rFonts w:ascii="Arial" w:hAnsi="Arial" w:cs="Arial"/>
          <w:color w:val="000000"/>
          <w:sz w:val="20"/>
          <w:szCs w:val="20"/>
          <w:lang w:val="en-US"/>
        </w:rPr>
        <w:t xml:space="preserve">; </w:t>
      </w:r>
      <w:r w:rsidR="000001FA" w:rsidRPr="00A26F29">
        <w:rPr>
          <w:rFonts w:ascii="Arial" w:hAnsi="Arial" w:cs="Arial"/>
          <w:i/>
          <w:color w:val="000000"/>
          <w:sz w:val="20"/>
          <w:szCs w:val="20"/>
          <w:lang w:val="en-US"/>
        </w:rPr>
        <w:t>Muldrock v The Queen</w:t>
      </w:r>
      <w:r w:rsidR="000001FA" w:rsidRPr="00A26F29">
        <w:rPr>
          <w:rFonts w:ascii="Arial" w:hAnsi="Arial" w:cs="Arial"/>
          <w:color w:val="000000"/>
          <w:sz w:val="20"/>
          <w:szCs w:val="20"/>
          <w:lang w:val="en-US"/>
        </w:rPr>
        <w:t xml:space="preserve"> [2011] HCA 39</w:t>
      </w:r>
      <w:r w:rsidR="006C0485" w:rsidRPr="00A26F29">
        <w:rPr>
          <w:rFonts w:ascii="Arial" w:hAnsi="Arial" w:cs="Arial"/>
          <w:color w:val="000000"/>
          <w:sz w:val="20"/>
          <w:szCs w:val="20"/>
          <w:lang w:val="en-US"/>
        </w:rPr>
        <w:t xml:space="preserve">; </w:t>
      </w:r>
      <w:r w:rsidR="006C0485" w:rsidRPr="00A26F29">
        <w:rPr>
          <w:rFonts w:ascii="Arial" w:hAnsi="Arial" w:cs="Arial"/>
          <w:color w:val="000000"/>
          <w:sz w:val="20"/>
          <w:szCs w:val="20"/>
        </w:rPr>
        <w:t xml:space="preserve">(2011) 244 CLR 120 </w:t>
      </w:r>
      <w:r w:rsidR="000001FA" w:rsidRPr="00A26F29">
        <w:rPr>
          <w:rFonts w:ascii="Arial" w:hAnsi="Arial" w:cs="Arial"/>
          <w:color w:val="000000"/>
          <w:sz w:val="20"/>
          <w:szCs w:val="20"/>
          <w:lang w:val="en-US"/>
        </w:rPr>
        <w:t>at [28]</w:t>
      </w:r>
      <w:r w:rsidR="007E6E03" w:rsidRPr="00A26F29">
        <w:rPr>
          <w:rFonts w:ascii="Arial" w:hAnsi="Arial" w:cs="Arial"/>
          <w:color w:val="000000"/>
          <w:sz w:val="20"/>
          <w:szCs w:val="20"/>
          <w:lang w:val="en-US"/>
        </w:rPr>
        <w:t xml:space="preserve">; </w:t>
      </w:r>
      <w:r w:rsidR="007E6E03" w:rsidRPr="00A26F29">
        <w:rPr>
          <w:rFonts w:ascii="Arial" w:hAnsi="Arial" w:cs="Arial"/>
          <w:i/>
          <w:iCs/>
          <w:color w:val="000000"/>
          <w:sz w:val="20"/>
          <w:szCs w:val="20"/>
          <w:lang w:val="en-US"/>
        </w:rPr>
        <w:t>Adkins v The King</w:t>
      </w:r>
      <w:r w:rsidR="007E6E03" w:rsidRPr="00A26F29">
        <w:rPr>
          <w:rFonts w:ascii="Arial" w:hAnsi="Arial" w:cs="Arial"/>
          <w:color w:val="000000"/>
          <w:sz w:val="20"/>
          <w:szCs w:val="20"/>
          <w:lang w:val="en-US"/>
        </w:rPr>
        <w:t xml:space="preserve"> [2023] VSCA 23 at [37]-[51]</w:t>
      </w:r>
      <w:r w:rsidR="00A26F29" w:rsidRPr="00A26F29">
        <w:rPr>
          <w:rFonts w:ascii="Arial" w:hAnsi="Arial" w:cs="Arial"/>
          <w:color w:val="000000"/>
          <w:sz w:val="20"/>
          <w:szCs w:val="20"/>
          <w:lang w:val="en-US"/>
        </w:rPr>
        <w:t xml:space="preserve">; </w:t>
      </w:r>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 at [</w:t>
      </w:r>
      <w:r w:rsidR="00A26F29">
        <w:rPr>
          <w:rFonts w:ascii="Arial" w:hAnsi="Arial" w:cs="Arial"/>
          <w:color w:val="000000"/>
          <w:sz w:val="20"/>
          <w:szCs w:val="20"/>
        </w:rPr>
        <w:t>5</w:t>
      </w:r>
      <w:r w:rsidR="00A26F29" w:rsidRPr="00A26F29">
        <w:rPr>
          <w:rFonts w:ascii="Arial" w:hAnsi="Arial" w:cs="Arial"/>
          <w:color w:val="000000"/>
          <w:sz w:val="20"/>
          <w:szCs w:val="20"/>
        </w:rPr>
        <w:t>7]-[</w:t>
      </w:r>
      <w:r w:rsidR="00A26F29">
        <w:rPr>
          <w:rFonts w:ascii="Arial" w:hAnsi="Arial" w:cs="Arial"/>
          <w:color w:val="000000"/>
          <w:sz w:val="20"/>
          <w:szCs w:val="20"/>
        </w:rPr>
        <w:t>5</w:t>
      </w:r>
      <w:r w:rsidR="00A26F29" w:rsidRPr="00A26F29">
        <w:rPr>
          <w:rFonts w:ascii="Arial" w:hAnsi="Arial" w:cs="Arial"/>
          <w:color w:val="000000"/>
          <w:sz w:val="20"/>
          <w:szCs w:val="20"/>
        </w:rPr>
        <w:t>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737" w:name="_11.3.2_Use_of"/>
      <w:bookmarkStart w:id="738" w:name="_Toc107101769"/>
      <w:bookmarkEnd w:id="737"/>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738"/>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six sentences imposed for possession and attempted possession of a marketable quantity of a border controlled drug contrary to s.307.6(1) of the Cth Criminal Code; and</w:t>
      </w:r>
    </w:p>
    <w:p w14:paraId="7B6644DC" w14:textId="012DFE51"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24 sentences imposed for importation and attempted importation of a marketable quantity of a border controlled drug contrary to s.307.2(1) of the Cth Criminal Code</w:t>
      </w:r>
      <w:r w:rsidR="0020443E">
        <w:rPr>
          <w:rFonts w:ascii="Arial" w:hAnsi="Arial" w:cs="Arial"/>
          <w:color w:val="000000"/>
          <w:sz w:val="20"/>
        </w:rPr>
        <w:t>.</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D25A9">
      <w:pPr>
        <w:keepNext/>
        <w:keepLines/>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sounded a note of caution in relation to the use of sentencing statistics in determining the appropriate sentence in any particular case, and specifically in that case in determining the appropriate sentence on a count of attempted murder:  At [10] Chernov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Adajian </w:t>
      </w:r>
      <w:r w:rsidRPr="001C6E0E">
        <w:rPr>
          <w:rFonts w:ascii="Arial" w:hAnsi="Arial" w:cs="Arial"/>
          <w:color w:val="000000"/>
          <w:sz w:val="20"/>
        </w:rPr>
        <w:t>[1999] VSCA 105 at [28]:</w:t>
      </w:r>
      <w:r w:rsidRPr="001C6E0E">
        <w:rPr>
          <w:rFonts w:ascii="Arial" w:hAnsi="Arial" w:cs="Arial"/>
          <w:i/>
          <w:iCs/>
          <w:color w:val="000000"/>
          <w:sz w:val="20"/>
        </w:rPr>
        <w:t xml:space="preserve">  </w:t>
      </w:r>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Kasulaitis</w:t>
      </w:r>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R v. Boaza</w:t>
      </w:r>
      <w:r w:rsidR="00031C48" w:rsidRPr="001C6E0E">
        <w:rPr>
          <w:rFonts w:ascii="Arial" w:hAnsi="Arial" w:cs="Arial"/>
          <w:color w:val="000000"/>
          <w:sz w:val="20"/>
        </w:rPr>
        <w:t xml:space="preserve"> [1999] VSCA 126 at [48]</w:t>
      </w:r>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Coldrey AJA (with whom Maxwell P &amp; Cavanough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w:t>
      </w:r>
      <w:r w:rsidRPr="001C6E0E">
        <w:rPr>
          <w:rFonts w:ascii="Arial" w:hAnsi="Arial" w:cs="Arial"/>
          <w:color w:val="000000"/>
          <w:sz w:val="20"/>
        </w:rPr>
        <w:lastRenderedPageBreak/>
        <w:t xml:space="preserve">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immediate custodial sentences to suspended sentences, intensive correction orders and community based orders.  See </w:t>
      </w:r>
      <w:r w:rsidRPr="001C6E0E">
        <w:rPr>
          <w:rFonts w:ascii="Arial" w:hAnsi="Arial" w:cs="Arial"/>
          <w:bCs/>
          <w:i/>
          <w:color w:val="000000"/>
          <w:sz w:val="20"/>
        </w:rPr>
        <w:t>DPP v Fevaleaki</w:t>
      </w:r>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R v Papazisis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The Queen v Bugmy</w:t>
      </w:r>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R v Josefski</w:t>
      </w:r>
      <w:r w:rsidR="007264FB" w:rsidRPr="001C6E0E">
        <w:rPr>
          <w:rFonts w:ascii="Arial" w:hAnsi="Arial" w:cs="Arial"/>
          <w:color w:val="000000"/>
          <w:sz w:val="20"/>
        </w:rPr>
        <w:t xml:space="preserve"> [2005] VSCA 265 at [83], per Chernov JA].</w:t>
      </w:r>
    </w:p>
    <w:p w14:paraId="4DABA5C3" w14:textId="77777777" w:rsidR="008C4E65" w:rsidRPr="001C6E0E" w:rsidRDefault="007264FB" w:rsidP="008C4E65">
      <w:pPr>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[1998] 1 VR 544 at 549 Winneke,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739" w:name="EOF1"/>
      <w:bookmarkEnd w:id="739"/>
    </w:p>
    <w:p w14:paraId="6C7453D5" w14:textId="2BD889A4"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Pr="001C6E0E">
        <w:rPr>
          <w:rFonts w:ascii="Arial" w:hAnsi="Arial" w:cs="Arial"/>
          <w:bCs/>
          <w:color w:val="000000"/>
          <w:sz w:val="20"/>
          <w:lang w:val="en-US"/>
        </w:rPr>
        <w:t>at [46] Maxwell P, Redlich &amp; Harper JJA conceded that sentencing statistics and sentencing snapshots have “a part to play; but they must be used with their limitations in mind.”  At [45]-[47] their Honours explained</w:t>
      </w:r>
      <w:r w:rsidR="009C10F8" w:rsidRPr="001C6E0E">
        <w:rPr>
          <w:rFonts w:ascii="Arial" w:hAnsi="Arial" w:cs="Arial"/>
          <w:bCs/>
          <w:color w:val="000000"/>
          <w:sz w:val="20"/>
          <w:lang w:val="en-US"/>
        </w:rPr>
        <w:t xml:space="preserve"> why and also explained how such statistics and snapshots are to be used and how they dovetail with the “instinctive synthesis”:</w:t>
      </w:r>
    </w:p>
    <w:p w14:paraId="45C101B9" w14:textId="77777777" w:rsidR="004801B2" w:rsidRPr="001C6E0E" w:rsidRDefault="004801B2" w:rsidP="00D50327">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lastRenderedPageBreak/>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t xml:space="preserve">[46] The tables, therefore, have a part to play; but they must be used with their limitations in mind.  As to the limitations in using comparable cases, this Court said in </w:t>
      </w:r>
      <w:smartTag w:uri="urn:schemas-microsoft-com:office:smarttags" w:element="City">
        <w:smartTag w:uri="urn:schemas-microsoft-com:office:smarttags" w:element="place">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8E745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Though sentencing statistics have ‘inherent limitations’ {R v Bangard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DPP v Josefski</w:t>
      </w:r>
      <w:r w:rsidRPr="001C6E0E">
        <w:rPr>
          <w:rFonts w:ascii="Arial" w:hAnsi="Arial" w:cs="Arial"/>
          <w:color w:val="000000"/>
          <w:sz w:val="20"/>
          <w:lang w:val="en-US"/>
        </w:rPr>
        <w:t xml:space="preserve"> (2005) 13 VR 85, 105-6 [83] (Chernov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(Winneke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Bangard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F37DAB">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lastRenderedPageBreak/>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w:t>
      </w:r>
    </w:p>
    <w:p w14:paraId="08F2C87A" w14:textId="77777777" w:rsidR="00404976" w:rsidRDefault="00404976" w:rsidP="00170E6C">
      <w:pPr>
        <w:pStyle w:val="Heading3"/>
        <w:spacing w:line="240" w:lineRule="auto"/>
        <w:rPr>
          <w:rFonts w:ascii="Arial" w:hAnsi="Arial" w:cs="Arial"/>
          <w:bCs/>
          <w:color w:val="000000"/>
          <w:sz w:val="20"/>
          <w:lang w:val="en-US"/>
        </w:rPr>
      </w:pPr>
    </w:p>
    <w:p w14:paraId="4E6E4F7E" w14:textId="280AB967" w:rsidR="000B49E2" w:rsidRDefault="000B49E2" w:rsidP="00170E6C">
      <w:pPr>
        <w:pStyle w:val="Heading3"/>
        <w:spacing w:line="240" w:lineRule="auto"/>
        <w:rPr>
          <w:rFonts w:ascii="Arial" w:hAnsi="Arial" w:cs="Arial"/>
          <w:bCs/>
          <w:color w:val="000000"/>
          <w:sz w:val="20"/>
          <w:lang w:val="en-US"/>
        </w:rPr>
      </w:pPr>
      <w:r>
        <w:rPr>
          <w:rFonts w:ascii="Arial" w:hAnsi="Arial" w:cs="Arial"/>
          <w:sz w:val="20"/>
        </w:rPr>
        <w:t xml:space="preserve">In </w:t>
      </w:r>
      <w:r w:rsidRPr="00A525FC">
        <w:rPr>
          <w:rFonts w:ascii="Arial" w:hAnsi="Arial" w:cs="Arial"/>
          <w:i/>
          <w:iCs/>
          <w:sz w:val="20"/>
        </w:rPr>
        <w:t>DPP v Rickerby (No 2)</w:t>
      </w:r>
      <w:r>
        <w:rPr>
          <w:rFonts w:ascii="Arial" w:hAnsi="Arial" w:cs="Arial"/>
          <w:sz w:val="20"/>
        </w:rPr>
        <w:t xml:space="preserve"> [2024] VSC 334 the offender had belatedly pleaded guilty to manslaughter of his domestic partner by unlawful and dangerous act.  Citing dicta of Dodds-Streeton JA, with whom Weinberg JA and Williams AJA agreed, Elliott J noted at footnote 32 that “Generally speaking, the utility of sentencing statistics in respect to manslaughter is limited because the range of culpability is so wide: see </w:t>
      </w:r>
      <w:r w:rsidRPr="00A525FC">
        <w:rPr>
          <w:rFonts w:ascii="Arial" w:hAnsi="Arial" w:cs="Arial"/>
          <w:i/>
          <w:iCs/>
          <w:sz w:val="20"/>
        </w:rPr>
        <w:t>R v Jagroop</w:t>
      </w:r>
      <w:r>
        <w:rPr>
          <w:rFonts w:ascii="Arial" w:hAnsi="Arial" w:cs="Arial"/>
          <w:sz w:val="20"/>
        </w:rPr>
        <w:t xml:space="preserve"> (2009) 2 VR 80, 85-86 [35]-[37].”</w:t>
      </w:r>
    </w:p>
    <w:p w14:paraId="207C18CC" w14:textId="77777777" w:rsidR="000B49E2" w:rsidRPr="001C6E0E" w:rsidRDefault="000B49E2" w:rsidP="00170E6C">
      <w:pPr>
        <w:pStyle w:val="Heading3"/>
        <w:spacing w:line="240" w:lineRule="auto"/>
        <w:rPr>
          <w:rFonts w:ascii="Arial" w:hAnsi="Arial" w:cs="Arial"/>
          <w:bCs/>
          <w:color w:val="000000"/>
          <w:sz w:val="20"/>
          <w:lang w:val="en-US"/>
        </w:rPr>
      </w:pPr>
    </w:p>
    <w:p w14:paraId="6501B6AD" w14:textId="77777777"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Detenamo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r w:rsidR="00023D43" w:rsidRPr="00D45887">
        <w:rPr>
          <w:rFonts w:ascii="Arial" w:hAnsi="Arial" w:cs="Arial"/>
          <w:bCs/>
          <w:i/>
          <w:color w:val="000000"/>
          <w:sz w:val="20"/>
        </w:rPr>
        <w:t>Alavy v The Queen</w:t>
      </w:r>
      <w:r w:rsidR="00023D43" w:rsidRPr="00D45887">
        <w:rPr>
          <w:rFonts w:ascii="Arial" w:hAnsi="Arial" w:cs="Arial"/>
          <w:bCs/>
          <w:color w:val="000000"/>
          <w:sz w:val="20"/>
        </w:rPr>
        <w:t xml:space="preserve"> [2014] VSCA 25 at [24]; </w:t>
      </w:r>
      <w:r w:rsidR="00023D43" w:rsidRPr="00D45887">
        <w:rPr>
          <w:rFonts w:ascii="Arial" w:hAnsi="Arial" w:cs="Arial"/>
          <w:bCs/>
          <w:i/>
          <w:color w:val="000000"/>
          <w:sz w:val="20"/>
        </w:rPr>
        <w:t xml:space="preserve">Hili v The Queen </w:t>
      </w:r>
      <w:r w:rsidR="00023D43" w:rsidRPr="00D45887">
        <w:rPr>
          <w:rFonts w:ascii="Arial" w:hAnsi="Arial" w:cs="Arial"/>
          <w:bCs/>
          <w:color w:val="000000"/>
          <w:sz w:val="20"/>
        </w:rPr>
        <w:t xml:space="preserve">(2010) 242 CLR 520; </w:t>
      </w:r>
      <w:r w:rsidR="00023D43" w:rsidRPr="00D45887">
        <w:rPr>
          <w:rFonts w:ascii="Arial" w:hAnsi="Arial" w:cs="Arial"/>
          <w:bCs/>
          <w:i/>
          <w:color w:val="000000"/>
          <w:sz w:val="20"/>
        </w:rPr>
        <w:t xml:space="preserve">Barbaro v The Queen </w:t>
      </w:r>
      <w:r w:rsidR="00023D43" w:rsidRPr="00D45887">
        <w:rPr>
          <w:rFonts w:ascii="Arial" w:hAnsi="Arial" w:cs="Arial"/>
          <w:bCs/>
          <w:color w:val="000000"/>
          <w:sz w:val="20"/>
        </w:rPr>
        <w:t>[2014] HCA 2.</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740" w:name="_Toc107101770"/>
    </w:p>
    <w:p w14:paraId="1890007F" w14:textId="77777777"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741" w:name="_11.3.3_The_Sex"/>
      <w:bookmarkEnd w:id="741"/>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740"/>
      <w:r w:rsidR="00EE799A" w:rsidRPr="001C6E0E">
        <w:rPr>
          <w:rFonts w:ascii="Arial" w:hAnsi="Arial" w:cs="Arial"/>
          <w:b/>
          <w:bCs/>
          <w:color w:val="000000"/>
          <w:sz w:val="20"/>
          <w:lang w:val="en-AU"/>
        </w:rPr>
        <w:t xml:space="preserve"> and its relevance to sentencing</w:t>
      </w:r>
    </w:p>
    <w:p w14:paraId="676FC1AE" w14:textId="63D44C01"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77A7FCA4" w14:textId="77777777" w:rsidR="00EE799A" w:rsidRPr="001C6E0E" w:rsidRDefault="00EE799A"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Pr="001C6E0E" w:rsidRDefault="00EE799A" w:rsidP="00EE799A">
      <w:pPr>
        <w:jc w:val="both"/>
        <w:rPr>
          <w:rFonts w:ascii="Arial" w:hAnsi="Arial" w:cs="Arial"/>
          <w:color w:val="000000"/>
          <w:sz w:val="20"/>
        </w:rPr>
      </w:pPr>
    </w:p>
    <w:p w14:paraId="3A39A708" w14:textId="409D8D5D"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lastRenderedPageBreak/>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D50327">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w:t>
      </w:r>
      <w:r w:rsidR="008D116E" w:rsidRPr="001C6E0E">
        <w:rPr>
          <w:rFonts w:ascii="Arial" w:hAnsi="Arial" w:cs="Arial"/>
          <w:color w:val="000000"/>
          <w:sz w:val="20"/>
        </w:rPr>
        <w:lastRenderedPageBreak/>
        <w:t>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DPP v Elllis</w:t>
      </w:r>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0BAA22E3" w14:textId="77777777" w:rsidR="001E2967" w:rsidRDefault="001E2967" w:rsidP="001E2967">
      <w:pPr>
        <w:pStyle w:val="Heading3"/>
        <w:spacing w:line="240" w:lineRule="auto"/>
        <w:rPr>
          <w:rFonts w:ascii="Arial" w:hAnsi="Arial" w:cs="Arial"/>
          <w:color w:val="000000"/>
          <w:sz w:val="20"/>
        </w:rPr>
      </w:pPr>
    </w:p>
    <w:p w14:paraId="190914CA" w14:textId="77777777" w:rsidR="001E2967" w:rsidRDefault="001E2967" w:rsidP="001E2967">
      <w:pPr>
        <w:pStyle w:val="Heading3"/>
        <w:keepNext/>
        <w:keepLines/>
        <w:widowControl/>
        <w:spacing w:line="240" w:lineRule="auto"/>
        <w:rPr>
          <w:rFonts w:ascii="Arial" w:hAnsi="Arial" w:cs="Arial"/>
          <w:color w:val="000000"/>
          <w:sz w:val="20"/>
          <w:lang w:eastAsia="en-AU"/>
        </w:rPr>
      </w:pPr>
      <w:r>
        <w:rPr>
          <w:rFonts w:ascii="Arial" w:hAnsi="Arial" w:cs="Arial"/>
          <w:color w:val="000000"/>
          <w:sz w:val="20"/>
        </w:rPr>
        <w:t xml:space="preserve">For a discussion of whether an informant can make a second application for an order under the </w:t>
      </w:r>
      <w:r w:rsidRPr="00E17F2A">
        <w:rPr>
          <w:rFonts w:ascii="Arial" w:hAnsi="Arial" w:cs="Arial"/>
          <w:i/>
          <w:iCs/>
          <w:color w:val="000000"/>
          <w:sz w:val="20"/>
          <w:lang w:val="en-AU"/>
        </w:rPr>
        <w:t>Sex Offenders Registration Act 2004</w:t>
      </w:r>
      <w:r>
        <w:rPr>
          <w:rFonts w:ascii="Arial" w:hAnsi="Arial" w:cs="Arial"/>
          <w:color w:val="000000"/>
          <w:sz w:val="20"/>
          <w:lang w:val="en-AU"/>
        </w:rPr>
        <w:t xml:space="preserve"> see </w:t>
      </w:r>
      <w:bookmarkStart w:id="742" w:name="_Hlk179809461"/>
      <w:r w:rsidRPr="00E17F2A">
        <w:rPr>
          <w:rFonts w:ascii="Arial" w:hAnsi="Arial" w:cs="Arial"/>
          <w:i/>
          <w:iCs/>
          <w:color w:val="000000"/>
          <w:sz w:val="20"/>
          <w:lang w:val="en-AU"/>
        </w:rPr>
        <w:t>Kostiuk v KH (a pseudonym)</w:t>
      </w:r>
      <w:r>
        <w:rPr>
          <w:rFonts w:ascii="Arial" w:hAnsi="Arial" w:cs="Arial"/>
          <w:color w:val="000000"/>
          <w:sz w:val="20"/>
          <w:lang w:val="en-AU"/>
        </w:rPr>
        <w:t xml:space="preserve"> [2024] VSC 586 </w:t>
      </w:r>
      <w:bookmarkEnd w:id="742"/>
      <w:r>
        <w:rPr>
          <w:rFonts w:ascii="Arial" w:hAnsi="Arial" w:cs="Arial"/>
          <w:color w:val="000000"/>
          <w:sz w:val="20"/>
          <w:lang w:val="en-AU"/>
        </w:rPr>
        <w:t>at [78]-[87].</w:t>
      </w:r>
    </w:p>
    <w:p w14:paraId="297EAFAF" w14:textId="77777777" w:rsidR="00482084" w:rsidRPr="0012250C" w:rsidRDefault="00482084" w:rsidP="00100577">
      <w:pPr>
        <w:pStyle w:val="Heading3"/>
        <w:spacing w:line="240" w:lineRule="auto"/>
        <w:rPr>
          <w:rFonts w:ascii="Arial" w:hAnsi="Arial" w:cs="Arial"/>
          <w:color w:val="000000"/>
          <w:sz w:val="20"/>
        </w:rPr>
      </w:pPr>
    </w:p>
    <w:p w14:paraId="4E6610C6" w14:textId="630E6DDB" w:rsidR="0012250C" w:rsidRDefault="0012250C" w:rsidP="000B49E2">
      <w:pPr>
        <w:pStyle w:val="Heading3"/>
        <w:widowControl/>
        <w:spacing w:line="240" w:lineRule="auto"/>
        <w:rPr>
          <w:rFonts w:ascii="Arial" w:hAnsi="Arial" w:cs="Arial"/>
          <w:sz w:val="20"/>
          <w:szCs w:val="16"/>
        </w:rPr>
      </w:pPr>
      <w:r w:rsidRPr="002E510D">
        <w:rPr>
          <w:rFonts w:ascii="Arial" w:hAnsi="Arial" w:cs="Arial"/>
          <w:color w:val="000000"/>
          <w:sz w:val="20"/>
        </w:rPr>
        <w:t xml:space="preserve">In </w:t>
      </w:r>
      <w:r w:rsidR="002D22BF">
        <w:rPr>
          <w:rFonts w:ascii="Arial" w:hAnsi="Arial" w:cs="Arial"/>
          <w:i/>
          <w:iCs/>
          <w:color w:val="000000"/>
          <w:sz w:val="20"/>
        </w:rPr>
        <w:t>R</w:t>
      </w:r>
      <w:r w:rsidRPr="0012250C">
        <w:rPr>
          <w:rFonts w:ascii="Arial" w:hAnsi="Arial" w:cs="Arial"/>
          <w:i/>
          <w:iCs/>
          <w:color w:val="000000"/>
          <w:sz w:val="20"/>
        </w:rPr>
        <w:t>e GH</w:t>
      </w:r>
      <w:r>
        <w:rPr>
          <w:rFonts w:ascii="Arial" w:hAnsi="Arial" w:cs="Arial"/>
          <w:color w:val="000000"/>
          <w:sz w:val="20"/>
        </w:rPr>
        <w:t xml:space="preserve"> [2024] VSC 216 the applicant GH, then aged 20 </w:t>
      </w:r>
      <w:r w:rsidR="001E2967">
        <w:rPr>
          <w:rFonts w:ascii="Arial" w:hAnsi="Arial" w:cs="Arial"/>
          <w:color w:val="000000"/>
          <w:sz w:val="20"/>
        </w:rPr>
        <w:t>had been</w:t>
      </w:r>
      <w:r>
        <w:rPr>
          <w:rFonts w:ascii="Arial" w:hAnsi="Arial" w:cs="Arial"/>
          <w:color w:val="000000"/>
          <w:sz w:val="20"/>
        </w:rPr>
        <w:t xml:space="preserve"> presented in the </w:t>
      </w:r>
      <w:r w:rsidRPr="0012250C">
        <w:rPr>
          <w:rFonts w:ascii="Arial" w:hAnsi="Arial" w:cs="Arial"/>
          <w:sz w:val="20"/>
          <w:szCs w:val="16"/>
        </w:rPr>
        <w:t>County Court on three counts of sexual penetration of KL, a (female) child under 16. The offences were committed in the course of a consensual sexual relationship between the two when KL was aged 15 and GH was aged between 19 and 20. KL did not want GH charged, and she declined to make a statement to police. But GH largely made the case against himself by his admissions to police, and he pleaded guilty.</w:t>
      </w:r>
      <w:r>
        <w:rPr>
          <w:rFonts w:ascii="Arial" w:hAnsi="Arial" w:cs="Arial"/>
          <w:sz w:val="20"/>
          <w:szCs w:val="16"/>
        </w:rPr>
        <w:t xml:space="preserve"> </w:t>
      </w:r>
      <w:r w:rsidR="002D22BF">
        <w:rPr>
          <w:rFonts w:ascii="Arial" w:hAnsi="Arial" w:cs="Arial"/>
          <w:sz w:val="20"/>
          <w:szCs w:val="16"/>
        </w:rPr>
        <w:t>T</w:t>
      </w:r>
      <w:r w:rsidRPr="0012250C">
        <w:rPr>
          <w:rFonts w:ascii="Arial" w:hAnsi="Arial" w:cs="Arial"/>
          <w:sz w:val="20"/>
          <w:szCs w:val="16"/>
        </w:rPr>
        <w:t>he judge released GH, without conviction, on an adjourned undertaking to be of good behaviour for 12</w:t>
      </w:r>
      <w:r>
        <w:rPr>
          <w:rFonts w:ascii="Arial" w:hAnsi="Arial" w:cs="Arial"/>
          <w:sz w:val="20"/>
          <w:szCs w:val="16"/>
        </w:rPr>
        <w:t> </w:t>
      </w:r>
      <w:r w:rsidRPr="0012250C">
        <w:rPr>
          <w:rFonts w:ascii="Arial" w:hAnsi="Arial" w:cs="Arial"/>
          <w:sz w:val="20"/>
          <w:szCs w:val="16"/>
        </w:rPr>
        <w:t xml:space="preserve">months. As a result of those findings of guilt, by operation of the </w:t>
      </w:r>
      <w:r w:rsidRPr="0012250C">
        <w:rPr>
          <w:rFonts w:ascii="Arial" w:hAnsi="Arial" w:cs="Arial"/>
          <w:i/>
          <w:iCs/>
          <w:sz w:val="20"/>
          <w:szCs w:val="16"/>
        </w:rPr>
        <w:t>Sex Offenders Registration Act 2004</w:t>
      </w:r>
      <w:r>
        <w:rPr>
          <w:rFonts w:ascii="Arial" w:hAnsi="Arial" w:cs="Arial"/>
          <w:sz w:val="20"/>
          <w:szCs w:val="16"/>
        </w:rPr>
        <w:t xml:space="preserve"> (Vic)</w:t>
      </w:r>
      <w:r w:rsidRPr="0012250C">
        <w:rPr>
          <w:rFonts w:ascii="Arial" w:hAnsi="Arial" w:cs="Arial"/>
          <w:sz w:val="20"/>
          <w:szCs w:val="16"/>
        </w:rPr>
        <w:t>, GH became a “registrable offender” subject to reporting obligations for the rest of his life.</w:t>
      </w:r>
      <w:r>
        <w:rPr>
          <w:rFonts w:ascii="Arial" w:hAnsi="Arial" w:cs="Arial"/>
          <w:sz w:val="20"/>
          <w:szCs w:val="16"/>
        </w:rPr>
        <w:t xml:space="preserve">  Over 15 years later GH – by then aged 36 – filed an application pursuant to s.39(2) of the Act, for an order suspending his reporting obligations permanently.  </w:t>
      </w:r>
      <w:r w:rsidRPr="0012250C">
        <w:rPr>
          <w:rFonts w:ascii="Arial" w:hAnsi="Arial" w:cs="Arial"/>
          <w:sz w:val="20"/>
          <w:szCs w:val="16"/>
        </w:rPr>
        <w:t xml:space="preserve">This was the first application of its kind in </w:t>
      </w:r>
      <w:r>
        <w:rPr>
          <w:rFonts w:ascii="Arial" w:hAnsi="Arial" w:cs="Arial"/>
          <w:sz w:val="20"/>
          <w:szCs w:val="16"/>
        </w:rPr>
        <w:t>Victoria</w:t>
      </w:r>
      <w:r w:rsidRPr="0012250C">
        <w:rPr>
          <w:rFonts w:ascii="Arial" w:hAnsi="Arial" w:cs="Arial"/>
          <w:sz w:val="20"/>
          <w:szCs w:val="16"/>
        </w:rPr>
        <w:t>.</w:t>
      </w:r>
      <w:r>
        <w:rPr>
          <w:rFonts w:ascii="Arial" w:hAnsi="Arial" w:cs="Arial"/>
          <w:sz w:val="20"/>
          <w:szCs w:val="16"/>
        </w:rPr>
        <w:t xml:space="preserve">  </w:t>
      </w:r>
      <w:r w:rsidR="0074620D">
        <w:rPr>
          <w:rFonts w:ascii="Arial" w:hAnsi="Arial" w:cs="Arial"/>
          <w:sz w:val="20"/>
          <w:szCs w:val="16"/>
        </w:rPr>
        <w:t xml:space="preserve">The applicant had no prior or subsequent convictions, other than a minor breach of reporting obligations.  He was now married with children, stable employment and a supportive wife and employers.  </w:t>
      </w:r>
      <w:r>
        <w:rPr>
          <w:rFonts w:ascii="Arial" w:hAnsi="Arial" w:cs="Arial"/>
          <w:sz w:val="20"/>
          <w:szCs w:val="16"/>
        </w:rPr>
        <w:t>Croucher J was satisfied, in accordance with s.40(2) of the Act, that the applicant “poses no risk or a low risk to the sexual safety of any member of the community” and that “it is in the public interest to suspend [the applicant’s] reporting obligations” for the remainder of the applicant’s life.</w:t>
      </w:r>
    </w:p>
    <w:p w14:paraId="61FEBD63" w14:textId="77777777" w:rsidR="0012250C" w:rsidRDefault="0012250C" w:rsidP="00100577">
      <w:pPr>
        <w:pStyle w:val="Heading3"/>
        <w:spacing w:line="240" w:lineRule="auto"/>
        <w:rPr>
          <w:rFonts w:ascii="Arial" w:hAnsi="Arial" w:cs="Arial"/>
          <w:color w:val="000000"/>
          <w:sz w:val="20"/>
        </w:rPr>
      </w:pPr>
    </w:p>
    <w:p w14:paraId="7476E7CF" w14:textId="50D85FFC" w:rsidR="00075AFA" w:rsidRPr="00075AFA" w:rsidRDefault="002D22BF" w:rsidP="00075AFA">
      <w:pPr>
        <w:pStyle w:val="Heading3"/>
        <w:spacing w:line="240" w:lineRule="auto"/>
        <w:rPr>
          <w:rFonts w:ascii="Arial" w:hAnsi="Arial" w:cs="Arial"/>
          <w:b/>
          <w:bCs/>
          <w:color w:val="000000"/>
          <w:sz w:val="20"/>
        </w:rPr>
      </w:pPr>
      <w:r>
        <w:rPr>
          <w:rFonts w:ascii="Arial" w:hAnsi="Arial" w:cs="Arial"/>
          <w:color w:val="000000"/>
          <w:sz w:val="20"/>
        </w:rPr>
        <w:t xml:space="preserve">See also </w:t>
      </w:r>
      <w:r w:rsidRPr="002D22BF">
        <w:rPr>
          <w:rFonts w:ascii="Arial" w:hAnsi="Arial" w:cs="Arial"/>
          <w:i/>
          <w:iCs/>
          <w:color w:val="000000"/>
          <w:sz w:val="20"/>
        </w:rPr>
        <w:t>Re AJ (a pseudonym)</w:t>
      </w:r>
      <w:r>
        <w:rPr>
          <w:rFonts w:ascii="Arial" w:hAnsi="Arial" w:cs="Arial"/>
          <w:color w:val="000000"/>
          <w:sz w:val="20"/>
        </w:rPr>
        <w:t xml:space="preserve"> [2024] VSC 769</w:t>
      </w:r>
      <w:r w:rsidR="00902CF6">
        <w:rPr>
          <w:rFonts w:ascii="Arial" w:hAnsi="Arial" w:cs="Arial"/>
          <w:color w:val="000000"/>
          <w:sz w:val="20"/>
        </w:rPr>
        <w:t xml:space="preserve">; </w:t>
      </w:r>
      <w:r w:rsidR="00902CF6" w:rsidRPr="00902CF6">
        <w:rPr>
          <w:rFonts w:ascii="Arial" w:hAnsi="Arial" w:cs="Arial"/>
          <w:i/>
          <w:iCs/>
          <w:color w:val="000000"/>
          <w:sz w:val="20"/>
          <w:lang w:val="en-AU"/>
        </w:rPr>
        <w:t>WJH v Chief Commissioner of Police</w:t>
      </w:r>
      <w:r w:rsidR="00902CF6" w:rsidRPr="00902CF6">
        <w:rPr>
          <w:rFonts w:ascii="Arial" w:hAnsi="Arial" w:cs="Arial"/>
          <w:color w:val="000000"/>
          <w:sz w:val="20"/>
          <w:lang w:val="en-AU"/>
        </w:rPr>
        <w:t xml:space="preserve"> [2024] VSC 818</w:t>
      </w:r>
      <w:r w:rsidR="00902CF6">
        <w:rPr>
          <w:rFonts w:ascii="Arial" w:hAnsi="Arial" w:cs="Arial"/>
          <w:color w:val="000000"/>
          <w:sz w:val="20"/>
          <w:lang w:val="en-AU"/>
        </w:rPr>
        <w:t xml:space="preserve">; </w:t>
      </w:r>
      <w:r w:rsidR="00902CF6" w:rsidRPr="00902CF6">
        <w:rPr>
          <w:rFonts w:ascii="Arial" w:hAnsi="Arial" w:cs="Arial"/>
          <w:i/>
          <w:iCs/>
          <w:color w:val="000000"/>
          <w:sz w:val="20"/>
          <w:lang w:val="en-AU"/>
        </w:rPr>
        <w:t>GT v Chief Commissioner of Police</w:t>
      </w:r>
      <w:r w:rsidR="00902CF6" w:rsidRPr="00902CF6">
        <w:rPr>
          <w:rFonts w:ascii="Arial" w:hAnsi="Arial" w:cs="Arial"/>
          <w:color w:val="000000"/>
          <w:sz w:val="20"/>
          <w:lang w:val="en-AU"/>
        </w:rPr>
        <w:t xml:space="preserve"> [2024] VSC 824</w:t>
      </w:r>
      <w:r w:rsidR="00075AFA">
        <w:rPr>
          <w:rFonts w:ascii="Arial" w:hAnsi="Arial" w:cs="Arial"/>
          <w:color w:val="000000"/>
          <w:sz w:val="20"/>
          <w:lang w:val="en-AU"/>
        </w:rPr>
        <w:t xml:space="preserve">; </w:t>
      </w:r>
      <w:r w:rsidR="00075AFA" w:rsidRPr="00075AFA">
        <w:rPr>
          <w:rFonts w:ascii="Arial" w:hAnsi="Arial" w:cs="Arial"/>
          <w:i/>
          <w:iCs/>
          <w:color w:val="000000"/>
          <w:sz w:val="20"/>
          <w:lang w:val="en-AU"/>
        </w:rPr>
        <w:t>RBC v Chief Commissioner of Police</w:t>
      </w:r>
      <w:r w:rsidR="00075AFA">
        <w:rPr>
          <w:rFonts w:ascii="Arial" w:hAnsi="Arial" w:cs="Arial"/>
          <w:color w:val="000000"/>
          <w:sz w:val="20"/>
          <w:lang w:val="en-AU"/>
        </w:rPr>
        <w:t xml:space="preserve"> [2025] VSC 10.</w:t>
      </w:r>
    </w:p>
    <w:p w14:paraId="330E2719" w14:textId="77777777" w:rsidR="00E17F2A" w:rsidRPr="0012250C" w:rsidRDefault="00E17F2A" w:rsidP="00100577">
      <w:pPr>
        <w:pStyle w:val="Heading3"/>
        <w:spacing w:line="240" w:lineRule="auto"/>
        <w:rPr>
          <w:rFonts w:ascii="Arial" w:hAnsi="Arial" w:cs="Arial"/>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743" w:name="_11.3.4_Power_to"/>
      <w:bookmarkEnd w:id="743"/>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R v Governor of Brockhill Prison; Ex parte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lastRenderedPageBreak/>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R v Renzella</w:t>
      </w:r>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R v Giakoumogianakis</w:t>
      </w:r>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Winneke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R v Kotzmann</w:t>
      </w:r>
      <w:r w:rsidR="00004EB4" w:rsidRPr="001C6E0E">
        <w:rPr>
          <w:rFonts w:ascii="Arial" w:hAnsi="Arial" w:cs="Arial"/>
          <w:color w:val="000000"/>
          <w:sz w:val="20"/>
        </w:rPr>
        <w:t xml:space="preserve"> [1999] 2 VR 123 at 137:</w:t>
      </w:r>
    </w:p>
    <w:p w14:paraId="19F8785E" w14:textId="77777777" w:rsidR="00004EB4" w:rsidRPr="001C6E0E" w:rsidRDefault="00004EB4" w:rsidP="0020443E">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“There can be no question of a person on remand who is subsequently acquitted acquiring a kind of bank balance on which to draw in relation to subsequent offences 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r w:rsidR="0094173C" w:rsidRPr="001C6E0E">
        <w:rPr>
          <w:rFonts w:ascii="Arial" w:hAnsi="Arial" w:cs="Arial"/>
          <w:i/>
          <w:color w:val="000000"/>
          <w:sz w:val="20"/>
        </w:rPr>
        <w:t xml:space="preserve">Giakoumogianakis’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51FB8B68"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r w:rsidRPr="00812B1C">
        <w:rPr>
          <w:rFonts w:ascii="Arial" w:hAnsi="Arial" w:cs="Arial"/>
          <w:i/>
          <w:iCs/>
          <w:color w:val="000000"/>
          <w:sz w:val="20"/>
        </w:rPr>
        <w:t>Renzella</w:t>
      </w:r>
      <w:r>
        <w:rPr>
          <w:rFonts w:ascii="Arial" w:hAnsi="Arial" w:cs="Arial"/>
          <w:color w:val="000000"/>
          <w:sz w:val="20"/>
        </w:rPr>
        <w:t xml:space="preserve"> [19</w:t>
      </w:r>
      <w:r w:rsidR="002F7BA5">
        <w:rPr>
          <w:rFonts w:ascii="Arial" w:hAnsi="Arial" w:cs="Arial"/>
          <w:color w:val="000000"/>
          <w:sz w:val="20"/>
        </w:rPr>
        <w:t>9</w:t>
      </w:r>
      <w:r>
        <w:rPr>
          <w:rFonts w:ascii="Arial" w:hAnsi="Arial" w:cs="Arial"/>
          <w:color w:val="000000"/>
          <w:sz w:val="20"/>
        </w:rPr>
        <w:t xml:space="preserve">7] 2 VR 88, 96-97 (Winneke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491F1DC8" w14:textId="77777777" w:rsidR="00AA413F" w:rsidRDefault="00AA413F" w:rsidP="00AA413F">
      <w:pPr>
        <w:jc w:val="both"/>
        <w:rPr>
          <w:rFonts w:ascii="Arial" w:hAnsi="Arial" w:cs="Arial"/>
          <w:sz w:val="20"/>
          <w:szCs w:val="20"/>
        </w:rPr>
      </w:pPr>
    </w:p>
    <w:p w14:paraId="49C66A8E" w14:textId="77777777" w:rsidR="00AA413F" w:rsidRDefault="00AA413F" w:rsidP="00AA413F">
      <w:pPr>
        <w:jc w:val="both"/>
        <w:rPr>
          <w:rFonts w:ascii="Arial" w:hAnsi="Arial" w:cs="Arial"/>
          <w:sz w:val="20"/>
          <w:szCs w:val="20"/>
        </w:rPr>
      </w:pPr>
      <w:r>
        <w:rPr>
          <w:rFonts w:ascii="Arial" w:hAnsi="Arial" w:cs="Arial"/>
          <w:sz w:val="20"/>
          <w:szCs w:val="20"/>
        </w:rPr>
        <w:t xml:space="preserve">In </w:t>
      </w:r>
      <w:r w:rsidRPr="00510C5E">
        <w:rPr>
          <w:rFonts w:ascii="Arial" w:hAnsi="Arial" w:cs="Arial"/>
          <w:i/>
          <w:iCs/>
          <w:sz w:val="20"/>
          <w:szCs w:val="20"/>
        </w:rPr>
        <w:t>Tufue v The King</w:t>
      </w:r>
      <w:r>
        <w:rPr>
          <w:rFonts w:ascii="Arial" w:hAnsi="Arial" w:cs="Arial"/>
          <w:sz w:val="20"/>
          <w:szCs w:val="20"/>
        </w:rPr>
        <w:t xml:space="preserve"> [2024] VSCA 22 the Court of Appeal (Beach &amp; Macaulay JJA) discussed the </w:t>
      </w:r>
      <w:r w:rsidRPr="005C7403">
        <w:rPr>
          <w:rFonts w:ascii="Arial" w:hAnsi="Arial" w:cs="Arial"/>
          <w:i/>
          <w:iCs/>
          <w:sz w:val="20"/>
          <w:szCs w:val="20"/>
        </w:rPr>
        <w:t>Renzella</w:t>
      </w:r>
      <w:r>
        <w:rPr>
          <w:rFonts w:ascii="Arial" w:hAnsi="Arial" w:cs="Arial"/>
          <w:sz w:val="20"/>
          <w:szCs w:val="20"/>
        </w:rPr>
        <w:t xml:space="preserve"> principles at [39] &amp; [43] as follows:</w:t>
      </w:r>
    </w:p>
    <w:p w14:paraId="5BF2AED0" w14:textId="77777777" w:rsidR="00AA413F" w:rsidRDefault="00AA413F" w:rsidP="00AA413F">
      <w:pPr>
        <w:pStyle w:val="Normal-Indent"/>
        <w:spacing w:before="80" w:line="240" w:lineRule="auto"/>
        <w:ind w:left="567" w:right="567"/>
        <w:rPr>
          <w:rFonts w:ascii="Arial" w:hAnsi="Arial" w:cs="Arial"/>
          <w:sz w:val="20"/>
        </w:rPr>
      </w:pPr>
      <w:r>
        <w:rPr>
          <w:rFonts w:ascii="Arial" w:hAnsi="Arial" w:cs="Arial"/>
          <w:sz w:val="20"/>
        </w:rPr>
        <w:t>[39] “</w:t>
      </w:r>
      <w:r w:rsidRPr="00510C5E">
        <w:rPr>
          <w:rFonts w:ascii="Arial" w:hAnsi="Arial" w:cs="Arial"/>
          <w:sz w:val="20"/>
        </w:rPr>
        <w:t xml:space="preserve">Pursuant to principles recognised in </w:t>
      </w:r>
      <w:r w:rsidRPr="00460802">
        <w:rPr>
          <w:rFonts w:ascii="Arial" w:hAnsi="Arial" w:cs="Arial"/>
          <w:i/>
          <w:iCs/>
          <w:sz w:val="20"/>
        </w:rPr>
        <w:t>R v Renzella</w:t>
      </w:r>
      <w:r>
        <w:rPr>
          <w:rFonts w:ascii="Arial" w:hAnsi="Arial" w:cs="Arial"/>
          <w:sz w:val="20"/>
        </w:rPr>
        <w:t xml:space="preserve"> (1997) 2 VR 88,</w:t>
      </w:r>
      <w:r w:rsidRPr="00510C5E">
        <w:rPr>
          <w:rFonts w:ascii="Arial" w:hAnsi="Arial" w:cs="Arial"/>
          <w:sz w:val="20"/>
        </w:rPr>
        <w:t xml:space="preserve"> time spent in custody which cannot be declared as pre-sentence detention within the meaning of s 18 of the </w:t>
      </w:r>
      <w:r w:rsidRPr="00460802">
        <w:rPr>
          <w:rFonts w:ascii="Arial" w:hAnsi="Arial" w:cs="Arial"/>
          <w:i/>
          <w:iCs/>
          <w:sz w:val="20"/>
        </w:rPr>
        <w:t>Sentencing Act</w:t>
      </w:r>
      <w:r w:rsidRPr="00510C5E">
        <w:rPr>
          <w:rFonts w:ascii="Arial" w:hAnsi="Arial" w:cs="Arial"/>
          <w:sz w:val="20"/>
        </w:rPr>
        <w:t xml:space="preserve"> — sometimes referred to as ‘dead time’ or ‘</w:t>
      </w:r>
      <w:r w:rsidRPr="00460802">
        <w:rPr>
          <w:rFonts w:ascii="Arial" w:hAnsi="Arial" w:cs="Arial"/>
          <w:i/>
          <w:iCs/>
          <w:sz w:val="20"/>
        </w:rPr>
        <w:t>Renzella</w:t>
      </w:r>
      <w:r w:rsidRPr="00510C5E">
        <w:rPr>
          <w:rFonts w:ascii="Arial" w:hAnsi="Arial" w:cs="Arial"/>
          <w:sz w:val="20"/>
        </w:rPr>
        <w:t xml:space="preserve"> time’ — may be treated as time served, in a general sense, while awaiting trial on the charge for which the offender is about to be sentenced. </w:t>
      </w:r>
      <w:r w:rsidRPr="00460802">
        <w:rPr>
          <w:rFonts w:ascii="Arial" w:hAnsi="Arial" w:cs="Arial"/>
          <w:i/>
          <w:iCs/>
          <w:sz w:val="20"/>
        </w:rPr>
        <w:t>Renzella</w:t>
      </w:r>
      <w:r w:rsidRPr="00510C5E">
        <w:rPr>
          <w:rFonts w:ascii="Arial" w:hAnsi="Arial" w:cs="Arial"/>
          <w:sz w:val="20"/>
        </w:rPr>
        <w:t xml:space="preserve"> time may be taken into account ‘in a broad way’ in the exercise of the sentencing discretion</w:t>
      </w:r>
      <w:r>
        <w:rPr>
          <w:rFonts w:ascii="Arial" w:hAnsi="Arial" w:cs="Arial"/>
          <w:sz w:val="20"/>
        </w:rPr>
        <w:t xml:space="preserve">: </w:t>
      </w:r>
      <w:r w:rsidRPr="005C7403">
        <w:rPr>
          <w:rFonts w:ascii="Arial" w:hAnsi="Arial" w:cs="Arial"/>
          <w:i/>
          <w:iCs/>
          <w:sz w:val="20"/>
        </w:rPr>
        <w:t>Renzella</w:t>
      </w:r>
      <w:r>
        <w:rPr>
          <w:rFonts w:ascii="Arial" w:hAnsi="Arial" w:cs="Arial"/>
          <w:sz w:val="20"/>
        </w:rPr>
        <w:t xml:space="preserve"> at 96; see also </w:t>
      </w:r>
      <w:r w:rsidRPr="005C7403">
        <w:rPr>
          <w:rFonts w:ascii="Arial" w:hAnsi="Arial" w:cs="Arial"/>
          <w:i/>
          <w:iCs/>
          <w:sz w:val="20"/>
        </w:rPr>
        <w:t>R v Berry</w:t>
      </w:r>
      <w:r>
        <w:rPr>
          <w:rFonts w:ascii="Arial" w:hAnsi="Arial" w:cs="Arial"/>
          <w:sz w:val="20"/>
        </w:rPr>
        <w:t xml:space="preserve"> (2007) 17 VR 153, 187; [2007] VSCA 202 at [115]-[116]</w:t>
      </w:r>
      <w:r w:rsidRPr="00510C5E">
        <w:rPr>
          <w:rFonts w:ascii="Arial" w:hAnsi="Arial" w:cs="Arial"/>
          <w:sz w:val="20"/>
        </w:rPr>
        <w:t>. In sentencing the applicant, the judge indicated that he would take the 450 days into account, ‘totally’, when fixing an appropriate sentence.</w:t>
      </w:r>
      <w:r>
        <w:rPr>
          <w:rFonts w:ascii="Arial" w:hAnsi="Arial" w:cs="Arial"/>
          <w:sz w:val="20"/>
        </w:rPr>
        <w:t>”</w:t>
      </w:r>
    </w:p>
    <w:p w14:paraId="08294A9E" w14:textId="77777777" w:rsidR="00AA413F" w:rsidRPr="005C7403" w:rsidRDefault="00AA413F" w:rsidP="00AA413F">
      <w:pPr>
        <w:spacing w:before="60"/>
        <w:ind w:left="567" w:right="567"/>
        <w:jc w:val="both"/>
        <w:rPr>
          <w:rFonts w:ascii="Arial" w:hAnsi="Arial" w:cs="Arial"/>
          <w:sz w:val="20"/>
          <w:szCs w:val="20"/>
        </w:rPr>
      </w:pPr>
      <w:r w:rsidRPr="005C7403">
        <w:rPr>
          <w:rFonts w:ascii="Arial" w:hAnsi="Arial" w:cs="Arial"/>
          <w:sz w:val="20"/>
          <w:szCs w:val="20"/>
        </w:rPr>
        <w:t>[4</w:t>
      </w:r>
      <w:r>
        <w:rPr>
          <w:rFonts w:ascii="Arial" w:hAnsi="Arial" w:cs="Arial"/>
          <w:sz w:val="20"/>
          <w:szCs w:val="20"/>
        </w:rPr>
        <w:t>3</w:t>
      </w:r>
      <w:r w:rsidRPr="005C7403">
        <w:rPr>
          <w:rFonts w:ascii="Arial" w:hAnsi="Arial" w:cs="Arial"/>
          <w:sz w:val="20"/>
          <w:szCs w:val="20"/>
        </w:rPr>
        <w:t>]</w:t>
      </w:r>
      <w:r>
        <w:rPr>
          <w:rFonts w:ascii="Arial" w:hAnsi="Arial" w:cs="Arial"/>
          <w:sz w:val="20"/>
          <w:szCs w:val="20"/>
        </w:rPr>
        <w:t xml:space="preserve"> …the judge </w:t>
      </w:r>
      <w:r w:rsidRPr="00510C5E">
        <w:rPr>
          <w:rFonts w:ascii="Arial" w:hAnsi="Arial" w:cs="Arial"/>
          <w:sz w:val="20"/>
          <w:szCs w:val="20"/>
        </w:rPr>
        <w:t xml:space="preserve">plainly took into account the dead time the applicant spent in custody pursuant to </w:t>
      </w:r>
      <w:r w:rsidRPr="005C7403">
        <w:rPr>
          <w:rFonts w:ascii="Arial" w:hAnsi="Arial" w:cs="Arial"/>
          <w:i/>
          <w:iCs/>
          <w:sz w:val="20"/>
          <w:szCs w:val="20"/>
        </w:rPr>
        <w:t>Renzella</w:t>
      </w:r>
      <w:r w:rsidRPr="00510C5E">
        <w:rPr>
          <w:rFonts w:ascii="Arial" w:hAnsi="Arial" w:cs="Arial"/>
          <w:sz w:val="20"/>
          <w:szCs w:val="20"/>
        </w:rPr>
        <w:t xml:space="preserve"> principles. Such time is to be taken into account in a broad way and </w:t>
      </w:r>
      <w:r w:rsidRPr="00510C5E">
        <w:rPr>
          <w:rFonts w:ascii="Arial" w:hAnsi="Arial" w:cs="Arial"/>
          <w:sz w:val="20"/>
          <w:szCs w:val="20"/>
        </w:rPr>
        <w:lastRenderedPageBreak/>
        <w:t>not as some sort of ‘mathematical exercise’</w:t>
      </w:r>
      <w:r>
        <w:rPr>
          <w:rFonts w:ascii="Arial" w:hAnsi="Arial" w:cs="Arial"/>
          <w:sz w:val="20"/>
          <w:szCs w:val="20"/>
        </w:rPr>
        <w:t xml:space="preserve">: </w:t>
      </w:r>
      <w:r w:rsidRPr="005C7403">
        <w:rPr>
          <w:rFonts w:ascii="Arial" w:hAnsi="Arial" w:cs="Arial"/>
          <w:i/>
          <w:iCs/>
          <w:sz w:val="20"/>
          <w:szCs w:val="20"/>
        </w:rPr>
        <w:t>R v Berry</w:t>
      </w:r>
      <w:r>
        <w:rPr>
          <w:rFonts w:ascii="Arial" w:hAnsi="Arial" w:cs="Arial"/>
          <w:sz w:val="20"/>
          <w:szCs w:val="20"/>
        </w:rPr>
        <w:t xml:space="preserve"> </w:t>
      </w:r>
      <w:r>
        <w:rPr>
          <w:rFonts w:ascii="Arial" w:hAnsi="Arial" w:cs="Arial"/>
          <w:sz w:val="20"/>
        </w:rPr>
        <w:t>(2007) 17 VR 153; [2007] VSCA 202 at [115]</w:t>
      </w:r>
      <w:r>
        <w:rPr>
          <w:rFonts w:ascii="Arial" w:hAnsi="Arial" w:cs="Arial"/>
          <w:sz w:val="20"/>
          <w:szCs w:val="20"/>
        </w:rPr>
        <w:t>…”</w:t>
      </w:r>
    </w:p>
    <w:p w14:paraId="332035D6" w14:textId="7DEDE23D" w:rsidR="00AA413F" w:rsidRPr="0021033A" w:rsidRDefault="00AA413F" w:rsidP="00AA413F">
      <w:pPr>
        <w:spacing w:before="60"/>
        <w:ind w:right="567"/>
        <w:jc w:val="both"/>
        <w:rPr>
          <w:rFonts w:ascii="Arial" w:hAnsi="Arial" w:cs="Arial"/>
          <w:sz w:val="20"/>
          <w:szCs w:val="20"/>
        </w:rPr>
      </w:pPr>
      <w:r w:rsidRPr="005C7403">
        <w:rPr>
          <w:rFonts w:ascii="Arial" w:hAnsi="Arial" w:cs="Arial"/>
          <w:sz w:val="20"/>
          <w:szCs w:val="20"/>
        </w:rPr>
        <w:t xml:space="preserve">At [31] their Honours </w:t>
      </w:r>
      <w:r>
        <w:rPr>
          <w:rFonts w:ascii="Arial" w:hAnsi="Arial" w:cs="Arial"/>
          <w:sz w:val="20"/>
          <w:szCs w:val="20"/>
        </w:rPr>
        <w:t>sta</w:t>
      </w:r>
      <w:r w:rsidRPr="005C7403">
        <w:rPr>
          <w:rFonts w:ascii="Arial" w:hAnsi="Arial" w:cs="Arial"/>
          <w:sz w:val="20"/>
          <w:szCs w:val="20"/>
        </w:rPr>
        <w:t xml:space="preserve">ted that </w:t>
      </w:r>
      <w:r>
        <w:rPr>
          <w:rFonts w:ascii="Arial" w:hAnsi="Arial" w:cs="Arial"/>
          <w:sz w:val="20"/>
          <w:szCs w:val="20"/>
        </w:rPr>
        <w:t xml:space="preserve">“the calculation of pre-sentence detention has no bearing on the determination of the appropriate sentence.  As this Court explained in </w:t>
      </w:r>
      <w:r w:rsidRPr="0021033A">
        <w:rPr>
          <w:rFonts w:ascii="Arial" w:hAnsi="Arial" w:cs="Arial"/>
          <w:i/>
          <w:iCs/>
          <w:sz w:val="20"/>
          <w:szCs w:val="20"/>
        </w:rPr>
        <w:t>DPP v T</w:t>
      </w:r>
      <w:r w:rsidR="00FC46C7">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75BE338C" w14:textId="77777777" w:rsidR="00AA413F" w:rsidRDefault="00AA413F" w:rsidP="00AA413F">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1CCC75C7" w14:textId="77777777" w:rsidR="00AA413F" w:rsidRDefault="00AA413F" w:rsidP="00AA413F">
      <w:pPr>
        <w:spacing w:before="60"/>
        <w:jc w:val="both"/>
        <w:rPr>
          <w:rFonts w:ascii="Arial" w:hAnsi="Arial" w:cs="Arial"/>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4ABCD408" w14:textId="77777777" w:rsidR="00AA413F" w:rsidRDefault="00AA413F">
      <w:pPr>
        <w:jc w:val="both"/>
        <w:rPr>
          <w:rFonts w:ascii="Arial" w:hAnsi="Arial" w:cs="Arial"/>
          <w:color w:val="000000"/>
          <w:sz w:val="20"/>
        </w:rPr>
      </w:pPr>
    </w:p>
    <w:p w14:paraId="317F2F8B" w14:textId="2A0D2F9A"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R v Chimirri</w:t>
      </w:r>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R v Strezovski</w:t>
      </w:r>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R v Ciantar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R v Gavanas</w:t>
      </w:r>
      <w:r w:rsidRPr="00BA4C3B">
        <w:rPr>
          <w:rFonts w:ascii="Arial" w:hAnsi="Arial" w:cs="Arial"/>
          <w:color w:val="000000"/>
          <w:sz w:val="20"/>
        </w:rPr>
        <w:t xml:space="preserve"> [2013] VSCA 178 at [102]-[105]</w:t>
      </w:r>
      <w:r>
        <w:rPr>
          <w:rFonts w:ascii="Arial" w:hAnsi="Arial" w:cs="Arial"/>
          <w:color w:val="000000"/>
          <w:sz w:val="20"/>
        </w:rPr>
        <w:t xml:space="preserve">; </w:t>
      </w:r>
      <w:r w:rsidR="006225B8" w:rsidRPr="00391311">
        <w:rPr>
          <w:rFonts w:ascii="Arial" w:hAnsi="Arial" w:cs="Arial"/>
          <w:i/>
          <w:iCs/>
          <w:color w:val="000000"/>
          <w:sz w:val="20"/>
        </w:rPr>
        <w:t>Akoka v The Queen</w:t>
      </w:r>
      <w:r w:rsidR="006225B8">
        <w:rPr>
          <w:rFonts w:ascii="Arial" w:hAnsi="Arial" w:cs="Arial"/>
          <w:color w:val="000000"/>
          <w:sz w:val="20"/>
        </w:rPr>
        <w:t xml:space="preserve"> </w:t>
      </w:r>
      <w:r w:rsidR="006225B8" w:rsidRPr="00B3449F">
        <w:rPr>
          <w:rFonts w:ascii="Arial" w:hAnsi="Arial" w:cs="Arial"/>
          <w:color w:val="000000"/>
          <w:sz w:val="20"/>
        </w:rPr>
        <w:t xml:space="preserve">[2017] VSCA 214 </w:t>
      </w:r>
      <w:r w:rsidR="006225B8">
        <w:rPr>
          <w:rFonts w:ascii="Arial" w:hAnsi="Arial" w:cs="Arial"/>
          <w:color w:val="000000"/>
          <w:sz w:val="20"/>
        </w:rPr>
        <w:t>at [109]-[112]</w:t>
      </w:r>
      <w:r w:rsidR="007F68F0">
        <w:rPr>
          <w:rFonts w:ascii="Arial" w:hAnsi="Arial" w:cs="Arial"/>
          <w:color w:val="000000"/>
          <w:sz w:val="20"/>
        </w:rPr>
        <w:t>;</w:t>
      </w:r>
      <w:r w:rsidR="006225B8">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00CB52A6">
        <w:rPr>
          <w:rFonts w:ascii="Arial" w:hAnsi="Arial" w:cs="Arial"/>
          <w:color w:val="000000"/>
          <w:sz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 at [63]</w:t>
      </w:r>
      <w:r w:rsidR="00CB52A6">
        <w:rPr>
          <w:rFonts w:ascii="Arial" w:hAnsi="Arial" w:cs="Arial"/>
          <w:color w:val="000000"/>
          <w:sz w:val="20"/>
          <w:szCs w:val="20"/>
        </w:rPr>
        <w:noBreakHyphen/>
        <w:t>[64]</w:t>
      </w:r>
      <w:r w:rsidR="006B6CFB">
        <w:rPr>
          <w:rFonts w:ascii="Arial" w:hAnsi="Arial" w:cs="Arial"/>
          <w:color w:val="000000"/>
          <w:sz w:val="20"/>
          <w:szCs w:val="20"/>
        </w:rPr>
        <w:t xml:space="preserve">; </w:t>
      </w:r>
      <w:r w:rsidR="006B6CFB" w:rsidRPr="006B6CFB">
        <w:rPr>
          <w:rFonts w:ascii="Arial" w:hAnsi="Arial" w:cs="Arial"/>
          <w:i/>
          <w:iCs/>
          <w:color w:val="000000"/>
          <w:sz w:val="20"/>
          <w:szCs w:val="20"/>
        </w:rPr>
        <w:t>Tambakakis v The King</w:t>
      </w:r>
      <w:r w:rsidR="006B6CFB">
        <w:rPr>
          <w:rFonts w:ascii="Arial" w:hAnsi="Arial" w:cs="Arial"/>
          <w:color w:val="000000"/>
          <w:sz w:val="20"/>
          <w:szCs w:val="20"/>
        </w:rPr>
        <w:t xml:space="preserve"> [2023] VSCA 36</w:t>
      </w:r>
      <w:r w:rsidR="007F68F0">
        <w:rPr>
          <w:rFonts w:ascii="Arial" w:hAnsi="Arial" w:cs="Arial"/>
          <w:color w:val="000000"/>
          <w:sz w:val="20"/>
          <w:szCs w:val="20"/>
        </w:rPr>
        <w:t xml:space="preserve">; </w:t>
      </w:r>
      <w:r w:rsidR="007F68F0" w:rsidRPr="007F68F0">
        <w:rPr>
          <w:rFonts w:ascii="Arial" w:hAnsi="Arial" w:cs="Arial"/>
          <w:i/>
          <w:iCs/>
          <w:color w:val="000000"/>
          <w:sz w:val="20"/>
          <w:szCs w:val="20"/>
        </w:rPr>
        <w:t>Sengul v The King</w:t>
      </w:r>
      <w:r w:rsidR="007F68F0">
        <w:rPr>
          <w:rFonts w:ascii="Arial" w:hAnsi="Arial" w:cs="Arial"/>
          <w:color w:val="000000"/>
          <w:sz w:val="20"/>
          <w:szCs w:val="20"/>
        </w:rPr>
        <w:t xml:space="preserve"> [2023] VSCA 63 at [36]-[42]</w:t>
      </w:r>
      <w:r w:rsidR="00B608B3">
        <w:rPr>
          <w:rFonts w:ascii="Arial" w:hAnsi="Arial" w:cs="Arial"/>
          <w:color w:val="000000"/>
          <w:sz w:val="20"/>
          <w:szCs w:val="20"/>
        </w:rPr>
        <w:t xml:space="preserve">; </w:t>
      </w:r>
      <w:r w:rsidR="00B608B3" w:rsidRPr="00B608B3">
        <w:rPr>
          <w:rFonts w:ascii="Arial" w:hAnsi="Arial" w:cs="Arial"/>
          <w:i/>
          <w:iCs/>
          <w:color w:val="000000"/>
          <w:sz w:val="20"/>
          <w:szCs w:val="20"/>
        </w:rPr>
        <w:t>Seiler v The King</w:t>
      </w:r>
      <w:r w:rsidR="00B608B3">
        <w:rPr>
          <w:rFonts w:ascii="Arial" w:hAnsi="Arial" w:cs="Arial"/>
          <w:color w:val="000000"/>
          <w:sz w:val="20"/>
          <w:szCs w:val="20"/>
        </w:rPr>
        <w:t xml:space="preserve"> [2023] VSCA 207</w:t>
      </w:r>
      <w:r w:rsidR="009F10DA">
        <w:rPr>
          <w:rFonts w:ascii="Arial" w:hAnsi="Arial" w:cs="Arial"/>
          <w:color w:val="000000"/>
          <w:sz w:val="20"/>
          <w:szCs w:val="20"/>
        </w:rPr>
        <w:t xml:space="preserve">; </w:t>
      </w:r>
      <w:r w:rsidR="009F10DA" w:rsidRPr="009F10DA">
        <w:rPr>
          <w:rFonts w:ascii="Arial" w:hAnsi="Arial" w:cs="Arial"/>
          <w:i/>
          <w:iCs/>
          <w:color w:val="000000"/>
          <w:sz w:val="20"/>
          <w:szCs w:val="20"/>
        </w:rPr>
        <w:t>Sozmen v The King</w:t>
      </w:r>
      <w:r w:rsidR="009F10DA">
        <w:rPr>
          <w:rFonts w:ascii="Arial" w:hAnsi="Arial" w:cs="Arial"/>
          <w:color w:val="000000"/>
          <w:sz w:val="20"/>
          <w:szCs w:val="20"/>
        </w:rPr>
        <w:t xml:space="preserve"> [2023] VSCA 215 at [25]-[40]</w:t>
      </w:r>
      <w:r w:rsidR="00B608B3">
        <w:rPr>
          <w:rFonts w:ascii="Arial" w:hAnsi="Arial" w:cs="Arial"/>
          <w:color w:val="000000"/>
          <w:sz w:val="20"/>
          <w:szCs w:val="20"/>
        </w:rPr>
        <w:t>.</w:t>
      </w:r>
    </w:p>
    <w:p w14:paraId="774FBF3C" w14:textId="5FDDCAA6" w:rsidR="0084236D" w:rsidRDefault="0084236D">
      <w:pPr>
        <w:jc w:val="both"/>
        <w:rPr>
          <w:rFonts w:ascii="Arial" w:hAnsi="Arial" w:cs="Arial"/>
          <w:color w:val="000000"/>
          <w:sz w:val="20"/>
        </w:rPr>
      </w:pPr>
    </w:p>
    <w:p w14:paraId="49685589" w14:textId="14CA5191"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r w:rsidR="00955DF2">
        <w:rPr>
          <w:rFonts w:ascii="Arial" w:hAnsi="Arial" w:cs="Arial"/>
          <w:color w:val="000000"/>
          <w:sz w:val="20"/>
          <w:szCs w:val="20"/>
        </w:rPr>
        <w:t>;</w:t>
      </w:r>
      <w:r w:rsidR="0061747E">
        <w:rPr>
          <w:rFonts w:ascii="Arial" w:hAnsi="Arial" w:cs="Arial"/>
          <w:color w:val="000000"/>
          <w:sz w:val="20"/>
          <w:szCs w:val="20"/>
        </w:rPr>
        <w:t xml:space="preserve"> </w:t>
      </w:r>
      <w:r w:rsidR="0061747E" w:rsidRPr="0061747E">
        <w:rPr>
          <w:rFonts w:ascii="Arial" w:hAnsi="Arial" w:cs="Arial"/>
          <w:i/>
          <w:iCs/>
          <w:color w:val="000000"/>
          <w:sz w:val="20"/>
          <w:szCs w:val="20"/>
        </w:rPr>
        <w:t>Buddle v The Queen</w:t>
      </w:r>
      <w:r w:rsidR="0061747E">
        <w:rPr>
          <w:rFonts w:ascii="Arial" w:hAnsi="Arial" w:cs="Arial"/>
          <w:color w:val="000000"/>
          <w:sz w:val="20"/>
          <w:szCs w:val="20"/>
        </w:rPr>
        <w:t xml:space="preserve"> [2014] VSCA 232 at [42];</w:t>
      </w:r>
      <w:r w:rsidR="00955DF2">
        <w:rPr>
          <w:rFonts w:ascii="Arial" w:hAnsi="Arial" w:cs="Arial"/>
          <w:color w:val="000000"/>
          <w:sz w:val="20"/>
          <w:szCs w:val="20"/>
        </w:rPr>
        <w:t xml:space="preserve"> </w:t>
      </w:r>
      <w:r w:rsidR="00955DF2" w:rsidRPr="0061747E">
        <w:rPr>
          <w:rFonts w:ascii="Arial" w:hAnsi="Arial" w:cs="Arial"/>
          <w:i/>
          <w:iCs/>
          <w:color w:val="000000"/>
          <w:sz w:val="20"/>
          <w:szCs w:val="20"/>
        </w:rPr>
        <w:t>Kenyeres v The King</w:t>
      </w:r>
      <w:r w:rsidR="00955DF2">
        <w:rPr>
          <w:rFonts w:ascii="Arial" w:hAnsi="Arial" w:cs="Arial"/>
          <w:color w:val="000000"/>
          <w:sz w:val="20"/>
          <w:szCs w:val="20"/>
        </w:rPr>
        <w:t xml:space="preserve"> [2023] VSCA 25 at [</w:t>
      </w:r>
      <w:r w:rsidR="0061747E">
        <w:rPr>
          <w:rFonts w:ascii="Arial" w:hAnsi="Arial" w:cs="Arial"/>
          <w:color w:val="000000"/>
          <w:sz w:val="20"/>
          <w:szCs w:val="20"/>
        </w:rPr>
        <w:t>57</w:t>
      </w:r>
      <w:r w:rsidR="00955DF2">
        <w:rPr>
          <w:rFonts w:ascii="Arial" w:hAnsi="Arial" w:cs="Arial"/>
          <w:color w:val="000000"/>
          <w:sz w:val="20"/>
          <w:szCs w:val="20"/>
        </w:rPr>
        <w:t>]-[</w:t>
      </w:r>
      <w:r w:rsidR="0061747E">
        <w:rPr>
          <w:rFonts w:ascii="Arial" w:hAnsi="Arial" w:cs="Arial"/>
          <w:color w:val="000000"/>
          <w:sz w:val="20"/>
          <w:szCs w:val="20"/>
        </w:rPr>
        <w:t>69</w:t>
      </w:r>
      <w:r w:rsidR="00955DF2">
        <w:rPr>
          <w:rFonts w:ascii="Arial" w:hAnsi="Arial" w:cs="Arial"/>
          <w:color w:val="000000"/>
          <w:sz w:val="20"/>
          <w:szCs w:val="20"/>
        </w:rPr>
        <w:t>]</w:t>
      </w:r>
      <w:r w:rsidR="00C53E2B">
        <w:rPr>
          <w:rFonts w:ascii="Arial" w:hAnsi="Arial" w:cs="Arial"/>
          <w:color w:val="000000"/>
          <w:sz w:val="20"/>
          <w:szCs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rsidP="0074620D">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R v Sahhitanandan</w:t>
      </w:r>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eg,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r w:rsidR="00F27FE8" w:rsidRPr="00F27FE8">
        <w:rPr>
          <w:rFonts w:ascii="Arial" w:hAnsi="Arial" w:cs="Arial"/>
          <w:i/>
          <w:iCs/>
          <w:color w:val="000000"/>
          <w:sz w:val="20"/>
        </w:rPr>
        <w:t>AlKateb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r w:rsidR="00F27FE8" w:rsidRPr="00F27FE8">
        <w:rPr>
          <w:rFonts w:ascii="Arial" w:hAnsi="Arial" w:cs="Arial"/>
          <w:i/>
          <w:iCs/>
          <w:color w:val="000000"/>
          <w:sz w:val="20"/>
        </w:rPr>
        <w:t>Falzon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D50327">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lastRenderedPageBreak/>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Winneke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R v Renzella</w:t>
      </w:r>
      <w:r w:rsidR="00317E70" w:rsidRPr="00B3449F">
        <w:rPr>
          <w:rFonts w:ascii="Arial" w:hAnsi="Arial" w:cs="Arial"/>
          <w:color w:val="000000"/>
          <w:sz w:val="20"/>
        </w:rPr>
        <w:t xml:space="preserve"> [1997] 2 VR 88, 96, 98 (Winneke P, Charles and Callaway JJA) (‘</w:t>
      </w:r>
      <w:r w:rsidR="00317E70" w:rsidRPr="00317E70">
        <w:rPr>
          <w:rFonts w:ascii="Arial" w:hAnsi="Arial" w:cs="Arial"/>
          <w:i/>
          <w:iCs/>
          <w:color w:val="000000"/>
          <w:sz w:val="20"/>
        </w:rPr>
        <w:t>Renzella</w:t>
      </w:r>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r w:rsidR="00391311" w:rsidRPr="00391311">
        <w:rPr>
          <w:rFonts w:ascii="Arial" w:hAnsi="Arial" w:cs="Arial"/>
          <w:i/>
          <w:iCs/>
          <w:color w:val="000000"/>
          <w:sz w:val="20"/>
        </w:rPr>
        <w:t>Akoka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Pr="00297A14" w:rsidRDefault="00486553" w:rsidP="001E2967">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w:t>
      </w:r>
      <w:r w:rsidR="00B3449F" w:rsidRPr="00297A14">
        <w:rPr>
          <w:rFonts w:ascii="Arial" w:hAnsi="Arial" w:cs="Arial"/>
          <w:color w:val="000000"/>
          <w:sz w:val="18"/>
          <w:szCs w:val="18"/>
        </w:rPr>
        <w:t>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Pr="00297A14" w:rsidRDefault="00B3449F" w:rsidP="0074620D">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For these reasons, residency at a rehabilitation facility is also different in nature to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Although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actual time spent in custody, it falls outside s 18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xml:space="preserve">.  As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real incarceration it will usually be given greater weight than time spent in a residential rehabilitation facility.</w:t>
      </w:r>
      <w:r w:rsidR="00486553" w:rsidRPr="00297A14">
        <w:rPr>
          <w:rFonts w:ascii="Arial" w:hAnsi="Arial" w:cs="Arial"/>
          <w:color w:val="000000"/>
          <w:sz w:val="18"/>
          <w:szCs w:val="18"/>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378BB753" w14:textId="62BAE841" w:rsidR="00935D47" w:rsidRDefault="00935D47" w:rsidP="00F27FE8">
      <w:pPr>
        <w:jc w:val="both"/>
        <w:rPr>
          <w:rFonts w:ascii="Arial" w:hAnsi="Arial" w:cs="Arial"/>
          <w:sz w:val="20"/>
          <w:szCs w:val="20"/>
        </w:rPr>
      </w:pPr>
      <w:r>
        <w:rPr>
          <w:rFonts w:ascii="Arial" w:hAnsi="Arial" w:cs="Arial"/>
          <w:color w:val="000000"/>
          <w:sz w:val="20"/>
        </w:rPr>
        <w:t xml:space="preserve">In </w:t>
      </w:r>
      <w:r w:rsidRPr="00935D47">
        <w:rPr>
          <w:rFonts w:ascii="Arial" w:hAnsi="Arial" w:cs="Arial"/>
          <w:i/>
          <w:iCs/>
          <w:color w:val="000000"/>
          <w:sz w:val="20"/>
        </w:rPr>
        <w:t>Lefoe v The King</w:t>
      </w:r>
      <w:r>
        <w:rPr>
          <w:rFonts w:ascii="Arial" w:hAnsi="Arial" w:cs="Arial"/>
          <w:color w:val="000000"/>
          <w:sz w:val="20"/>
        </w:rPr>
        <w:t xml:space="preserve"> [2024] VSCA 131 the </w:t>
      </w:r>
      <w:r w:rsidR="00F5765E">
        <w:rPr>
          <w:rFonts w:ascii="Arial" w:hAnsi="Arial" w:cs="Arial"/>
          <w:color w:val="000000"/>
          <w:sz w:val="20"/>
        </w:rPr>
        <w:t xml:space="preserve">27 year old </w:t>
      </w:r>
      <w:r>
        <w:rPr>
          <w:rFonts w:ascii="Arial" w:hAnsi="Arial" w:cs="Arial"/>
          <w:color w:val="000000"/>
          <w:sz w:val="20"/>
        </w:rPr>
        <w:t>applicant had been sentenced to a TES IMP 8y/5y6m on 4</w:t>
      </w:r>
      <w:r w:rsidR="00F5765E">
        <w:rPr>
          <w:rFonts w:ascii="Arial" w:hAnsi="Arial" w:cs="Arial"/>
          <w:color w:val="000000"/>
          <w:sz w:val="20"/>
        </w:rPr>
        <w:t xml:space="preserve"> </w:t>
      </w:r>
      <w:r>
        <w:rPr>
          <w:rFonts w:ascii="Arial" w:hAnsi="Arial" w:cs="Arial"/>
          <w:color w:val="000000"/>
          <w:sz w:val="20"/>
        </w:rPr>
        <w:t xml:space="preserve">charges of sexual penetration of a </w:t>
      </w:r>
      <w:r w:rsidR="00F5765E">
        <w:rPr>
          <w:rFonts w:ascii="Arial" w:hAnsi="Arial" w:cs="Arial"/>
          <w:color w:val="000000"/>
          <w:sz w:val="20"/>
        </w:rPr>
        <w:t xml:space="preserve">distantly related 12 year old </w:t>
      </w:r>
      <w:r>
        <w:rPr>
          <w:rFonts w:ascii="Arial" w:hAnsi="Arial" w:cs="Arial"/>
          <w:color w:val="000000"/>
          <w:sz w:val="20"/>
        </w:rPr>
        <w:t xml:space="preserve">child in which the offending had occurred in quick succession on a single occasion.  He had served approximately 2y8m of immigration detention before conviction.  The Court of Appeal, following </w:t>
      </w:r>
      <w:r w:rsidRPr="00935D47">
        <w:rPr>
          <w:rFonts w:ascii="Arial" w:hAnsi="Arial" w:cs="Arial"/>
          <w:i/>
          <w:iCs/>
          <w:sz w:val="20"/>
          <w:szCs w:val="20"/>
        </w:rPr>
        <w:t>Underwood v The Queen [No 2]</w:t>
      </w:r>
      <w:r w:rsidRPr="00935D47">
        <w:rPr>
          <w:rFonts w:ascii="Arial" w:hAnsi="Arial" w:cs="Arial"/>
          <w:sz w:val="20"/>
          <w:szCs w:val="20"/>
        </w:rPr>
        <w:t xml:space="preserve"> [2018] VSCA 87</w:t>
      </w:r>
      <w:r w:rsidR="00F94B40">
        <w:rPr>
          <w:rFonts w:ascii="Arial" w:hAnsi="Arial" w:cs="Arial"/>
          <w:sz w:val="20"/>
          <w:szCs w:val="20"/>
        </w:rPr>
        <w:t xml:space="preserve"> and</w:t>
      </w:r>
      <w:r w:rsidRPr="00935D47">
        <w:rPr>
          <w:rFonts w:ascii="Arial" w:hAnsi="Arial" w:cs="Arial"/>
          <w:sz w:val="20"/>
          <w:szCs w:val="20"/>
        </w:rPr>
        <w:t xml:space="preserve"> </w:t>
      </w:r>
      <w:r w:rsidRPr="00935D47">
        <w:rPr>
          <w:rFonts w:ascii="Arial" w:hAnsi="Arial" w:cs="Arial"/>
          <w:i/>
          <w:iCs/>
          <w:sz w:val="20"/>
          <w:szCs w:val="20"/>
        </w:rPr>
        <w:t>Sahhitanandan v The Queen</w:t>
      </w:r>
      <w:r w:rsidRPr="00935D47">
        <w:rPr>
          <w:rFonts w:ascii="Arial" w:hAnsi="Arial" w:cs="Arial"/>
          <w:sz w:val="20"/>
          <w:szCs w:val="20"/>
        </w:rPr>
        <w:t xml:space="preserve"> [2019] VSCA 115,</w:t>
      </w:r>
      <w:r>
        <w:rPr>
          <w:rFonts w:ascii="Arial" w:hAnsi="Arial" w:cs="Arial"/>
          <w:sz w:val="20"/>
          <w:szCs w:val="20"/>
        </w:rPr>
        <w:t xml:space="preserve"> held that the sentence did </w:t>
      </w:r>
      <w:r>
        <w:rPr>
          <w:rFonts w:ascii="Arial" w:hAnsi="Arial" w:cs="Arial"/>
          <w:sz w:val="20"/>
          <w:szCs w:val="20"/>
        </w:rPr>
        <w:lastRenderedPageBreak/>
        <w:t>not adequately reflect the loss of liberty already suffered through immigration detention and allowed the appeal, imposing a TES IMP 6y6m/4y.  At [47] &amp; [</w:t>
      </w:r>
      <w:r w:rsidR="00F5765E">
        <w:rPr>
          <w:rFonts w:ascii="Arial" w:hAnsi="Arial" w:cs="Arial"/>
          <w:sz w:val="20"/>
          <w:szCs w:val="20"/>
        </w:rPr>
        <w:t>51</w:t>
      </w:r>
      <w:r>
        <w:rPr>
          <w:rFonts w:ascii="Arial" w:hAnsi="Arial" w:cs="Arial"/>
          <w:sz w:val="20"/>
          <w:szCs w:val="20"/>
        </w:rPr>
        <w:t xml:space="preserve">] </w:t>
      </w:r>
      <w:r w:rsidR="00F5765E">
        <w:rPr>
          <w:rFonts w:ascii="Arial" w:hAnsi="Arial" w:cs="Arial"/>
          <w:sz w:val="20"/>
          <w:szCs w:val="20"/>
        </w:rPr>
        <w:t>McLeish &amp; Niall JJA noted that:</w:t>
      </w:r>
    </w:p>
    <w:p w14:paraId="75DE5677" w14:textId="31D945C8" w:rsidR="00F5765E" w:rsidRDefault="00F5765E">
      <w:pPr>
        <w:pStyle w:val="ListParagraph"/>
        <w:numPr>
          <w:ilvl w:val="0"/>
          <w:numId w:val="131"/>
        </w:numPr>
        <w:ind w:left="357" w:hanging="357"/>
        <w:jc w:val="both"/>
        <w:rPr>
          <w:rFonts w:ascii="Arial" w:hAnsi="Arial" w:cs="Arial"/>
          <w:color w:val="000000"/>
          <w:sz w:val="20"/>
        </w:rPr>
      </w:pPr>
      <w:r>
        <w:rPr>
          <w:rFonts w:ascii="Arial" w:hAnsi="Arial" w:cs="Arial"/>
          <w:color w:val="000000"/>
          <w:sz w:val="20"/>
        </w:rPr>
        <w:t>if it were not for the immigration detention of the appellant, no complaint could be made about the sentences imposed in this case; and</w:t>
      </w:r>
    </w:p>
    <w:p w14:paraId="1295AF66" w14:textId="35B5162A" w:rsidR="00F5765E" w:rsidRPr="00F5765E" w:rsidRDefault="00F5765E">
      <w:pPr>
        <w:pStyle w:val="ListParagraph"/>
        <w:numPr>
          <w:ilvl w:val="0"/>
          <w:numId w:val="131"/>
        </w:numPr>
        <w:ind w:left="357" w:hanging="357"/>
        <w:jc w:val="both"/>
        <w:rPr>
          <w:rFonts w:ascii="Arial" w:hAnsi="Arial" w:cs="Arial"/>
          <w:color w:val="000000"/>
          <w:sz w:val="20"/>
        </w:rPr>
      </w:pPr>
      <w:r>
        <w:rPr>
          <w:rFonts w:ascii="Arial" w:hAnsi="Arial" w:cs="Arial"/>
          <w:color w:val="000000"/>
          <w:sz w:val="20"/>
        </w:rPr>
        <w:t>while the exercise is not a mathematical one, when substantial account is taken of the time spent in immigration detention the TES imposed was manifestly excessive.</w:t>
      </w:r>
    </w:p>
    <w:p w14:paraId="4F521BBE" w14:textId="77777777" w:rsidR="00935D47" w:rsidRDefault="00935D47" w:rsidP="00F27FE8">
      <w:pPr>
        <w:jc w:val="both"/>
        <w:rPr>
          <w:rFonts w:ascii="Arial" w:hAnsi="Arial" w:cs="Arial"/>
          <w:color w:val="000000"/>
          <w:sz w:val="20"/>
        </w:rPr>
      </w:pPr>
    </w:p>
    <w:p w14:paraId="62818A71" w14:textId="049F2811" w:rsidR="00297A14" w:rsidRPr="00297A14" w:rsidRDefault="00297A14" w:rsidP="00F27FE8">
      <w:pPr>
        <w:jc w:val="both"/>
        <w:rPr>
          <w:rFonts w:ascii="Arial" w:hAnsi="Arial" w:cs="Arial"/>
          <w:color w:val="000000"/>
          <w:sz w:val="20"/>
          <w:szCs w:val="20"/>
        </w:rPr>
      </w:pPr>
      <w:r w:rsidRPr="00297A14">
        <w:rPr>
          <w:rFonts w:ascii="Arial" w:hAnsi="Arial" w:cs="Arial"/>
          <w:color w:val="000000"/>
          <w:sz w:val="20"/>
          <w:szCs w:val="20"/>
        </w:rPr>
        <w:t xml:space="preserve">See also </w:t>
      </w:r>
      <w:r w:rsidRPr="00297A14">
        <w:rPr>
          <w:rFonts w:ascii="Arial" w:hAnsi="Arial" w:cs="Arial"/>
          <w:i/>
          <w:iCs/>
          <w:color w:val="000000"/>
          <w:sz w:val="20"/>
          <w:szCs w:val="20"/>
        </w:rPr>
        <w:t>Nuramin &amp; Anor v The King</w:t>
      </w:r>
      <w:r w:rsidRPr="00297A14">
        <w:rPr>
          <w:rFonts w:ascii="Arial" w:hAnsi="Arial" w:cs="Arial"/>
          <w:color w:val="000000"/>
          <w:sz w:val="20"/>
          <w:szCs w:val="20"/>
        </w:rPr>
        <w:t xml:space="preserve"> [2024] VS</w:t>
      </w:r>
      <w:r>
        <w:rPr>
          <w:rFonts w:ascii="Arial" w:hAnsi="Arial" w:cs="Arial"/>
          <w:color w:val="000000"/>
          <w:sz w:val="20"/>
          <w:szCs w:val="20"/>
        </w:rPr>
        <w:t xml:space="preserve">CA 117 </w:t>
      </w:r>
      <w:r w:rsidRPr="00297A14">
        <w:rPr>
          <w:rFonts w:ascii="Arial" w:hAnsi="Arial" w:cs="Arial"/>
          <w:color w:val="000000"/>
          <w:sz w:val="20"/>
          <w:szCs w:val="20"/>
        </w:rPr>
        <w:t>at [</w:t>
      </w:r>
      <w:r>
        <w:rPr>
          <w:rFonts w:ascii="Arial" w:hAnsi="Arial" w:cs="Arial"/>
          <w:color w:val="000000"/>
          <w:sz w:val="20"/>
          <w:szCs w:val="20"/>
        </w:rPr>
        <w:t>32</w:t>
      </w:r>
      <w:r w:rsidRPr="00297A14">
        <w:rPr>
          <w:rFonts w:ascii="Arial" w:hAnsi="Arial" w:cs="Arial"/>
          <w:color w:val="000000"/>
          <w:sz w:val="20"/>
          <w:szCs w:val="20"/>
        </w:rPr>
        <w:t>]</w:t>
      </w:r>
      <w:r>
        <w:rPr>
          <w:rFonts w:ascii="Arial" w:hAnsi="Arial" w:cs="Arial"/>
          <w:color w:val="000000"/>
          <w:sz w:val="20"/>
          <w:szCs w:val="20"/>
        </w:rPr>
        <w:t>-[40].</w:t>
      </w:r>
    </w:p>
    <w:p w14:paraId="16047115" w14:textId="77777777" w:rsidR="00297A14" w:rsidRDefault="00297A14"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Nov v The 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Insofar as the unrelated sentence is concerned (ground 1) the applicant contended that, despite the fact that the 220 days of the period on remand were for an unrelated sentence (affray), the judge was obliged to take into account this period of imprisonment 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t xml:space="preserve">‘The sole ground of appeal in this Court in relation to which leave was granted raises the question of the discretion recognised in </w:t>
      </w:r>
      <w:r w:rsidRPr="00EA4575">
        <w:rPr>
          <w:rFonts w:ascii="Arial" w:hAnsi="Arial" w:cs="Arial"/>
          <w:i/>
          <w:iCs/>
          <w:sz w:val="18"/>
          <w:szCs w:val="18"/>
        </w:rPr>
        <w:t>R v Renzella</w:t>
      </w:r>
      <w:r w:rsidRPr="00EA4575">
        <w:rPr>
          <w:rFonts w:ascii="Arial" w:hAnsi="Arial" w:cs="Arial"/>
          <w:sz w:val="18"/>
          <w:szCs w:val="18"/>
        </w:rPr>
        <w:t xml:space="preserve"> [1997] 2 VR 88. In </w:t>
      </w:r>
      <w:r w:rsidRPr="00EA4575">
        <w:rPr>
          <w:rFonts w:ascii="Arial" w:hAnsi="Arial" w:cs="Arial"/>
          <w:i/>
          <w:iCs/>
          <w:sz w:val="18"/>
          <w:szCs w:val="18"/>
        </w:rPr>
        <w:t>Renzella</w:t>
      </w:r>
      <w:r w:rsidRPr="00EA4575">
        <w:rPr>
          <w:rFonts w:ascii="Arial" w:hAnsi="Arial" w:cs="Arial"/>
          <w:sz w:val="18"/>
          <w:szCs w:val="18"/>
        </w:rPr>
        <w:t xml:space="preserve">, Winneke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in recognising that at common law there was a discretion, when sentencing an offender, to take into account the offender’s detention in custody in circumstances where the detention was ‘warranted twice over’,31 by the offence in relation to which the instant sentence was imposed, and by unrelated offending.</w:t>
      </w:r>
    </w:p>
    <w:p w14:paraId="7A80B507" w14:textId="35894348" w:rsidR="00EA4575" w:rsidRDefault="00EA4575" w:rsidP="0012250C">
      <w:pPr>
        <w:pStyle w:val="Normal-Indent"/>
        <w:widowControl/>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sentencing for the particular offence it was preferable to take it into account under the umbrella of totality, rather than under the </w:t>
      </w:r>
      <w:r w:rsidRPr="00EA4575">
        <w:rPr>
          <w:rFonts w:ascii="Arial" w:hAnsi="Arial" w:cs="Arial"/>
          <w:i/>
          <w:iCs/>
          <w:sz w:val="20"/>
        </w:rPr>
        <w:t>Renzella</w:t>
      </w:r>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r w:rsidRPr="000C0BF9">
        <w:rPr>
          <w:rFonts w:ascii="Arial" w:hAnsi="Arial" w:cs="Arial"/>
          <w:i/>
          <w:iCs/>
          <w:sz w:val="18"/>
          <w:szCs w:val="18"/>
        </w:rPr>
        <w:t>Renzella</w:t>
      </w:r>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[70]–[75].  </w:t>
      </w:r>
      <w:r w:rsidRPr="000C0BF9">
        <w:rPr>
          <w:rFonts w:ascii="Arial" w:hAnsi="Arial" w:cs="Arial"/>
          <w:sz w:val="18"/>
          <w:szCs w:val="18"/>
        </w:rPr>
        <w:t xml:space="preserve">We 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r w:rsidRPr="000C0BF9">
        <w:rPr>
          <w:rFonts w:ascii="Arial" w:hAnsi="Arial" w:cs="Arial"/>
          <w:i/>
          <w:iCs/>
          <w:sz w:val="18"/>
          <w:szCs w:val="18"/>
        </w:rPr>
        <w:t>Renzella</w:t>
      </w:r>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[21]–[25]; </w:t>
      </w:r>
      <w:r w:rsidR="000C0BF9" w:rsidRPr="000C0BF9">
        <w:rPr>
          <w:rFonts w:ascii="Arial" w:hAnsi="Arial" w:cs="Arial"/>
          <w:i/>
          <w:iCs/>
          <w:sz w:val="20"/>
        </w:rPr>
        <w:t>McElroy v The Queen</w:t>
      </w:r>
      <w:r w:rsidR="000C0BF9" w:rsidRPr="003C6FD0">
        <w:rPr>
          <w:rFonts w:ascii="Arial" w:hAnsi="Arial" w:cs="Arial"/>
          <w:sz w:val="20"/>
        </w:rPr>
        <w:t xml:space="preserve"> [2018] VSCA 126, [191]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r w:rsidRPr="000C0BF9">
        <w:rPr>
          <w:rFonts w:ascii="Arial" w:hAnsi="Arial" w:cs="Arial"/>
          <w:i/>
          <w:iCs/>
          <w:sz w:val="20"/>
        </w:rPr>
        <w:t>Renzella</w:t>
      </w:r>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069184E7" w14:textId="77777777" w:rsidR="00510C5E" w:rsidRDefault="00510C5E" w:rsidP="00510C5E">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744" w:name="_11.3.5_Exercise_of"/>
      <w:bookmarkEnd w:id="744"/>
      <w:r w:rsidRPr="001C6E0E">
        <w:rPr>
          <w:rFonts w:ascii="Arial" w:hAnsi="Arial" w:cs="Arial"/>
          <w:b/>
          <w:bCs/>
          <w:color w:val="000000"/>
          <w:sz w:val="20"/>
        </w:rPr>
        <w:lastRenderedPageBreak/>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[48] “It is particularly important that this court should not devalue or deny the right of a sentencing judge to act mercifully in a case where it seems to the judge to be an instance where an opportunity for reformation of an offender ought be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R v Markovic &amp; Pantelic</w:t>
      </w:r>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Osenkowski</w:t>
      </w:r>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Hanh Lam; R v Thanh Thuan Tran</w:t>
      </w:r>
      <w:r w:rsidRPr="001C6E0E">
        <w:rPr>
          <w:rFonts w:ascii="Arial" w:hAnsi="Arial" w:cs="Arial"/>
          <w:color w:val="000000"/>
          <w:sz w:val="20"/>
        </w:rPr>
        <w:t xml:space="preserve"> [2007] VSCA 246 Curtain AJA (with whom Buchanan &amp; Chernov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R v Barci and Asling</w:t>
      </w:r>
      <w:r w:rsidR="00EE1DFF" w:rsidRPr="001C6E0E">
        <w:rPr>
          <w:rFonts w:ascii="Arial" w:hAnsi="Arial" w:cs="Arial"/>
          <w:color w:val="000000"/>
          <w:sz w:val="20"/>
        </w:rPr>
        <w:t xml:space="preserve"> (1994) 76 A Crim R 103, 104 (Southwell, Hampel and Hansen JJ).”</w:t>
      </w:r>
    </w:p>
    <w:p w14:paraId="4030EB46" w14:textId="77777777" w:rsidR="0022107B" w:rsidRDefault="0022107B" w:rsidP="00576C38">
      <w:pPr>
        <w:jc w:val="both"/>
        <w:rPr>
          <w:rFonts w:ascii="Arial" w:hAnsi="Arial" w:cs="Arial"/>
          <w:color w:val="000000"/>
          <w:sz w:val="20"/>
        </w:rPr>
      </w:pPr>
    </w:p>
    <w:p w14:paraId="2FBEAB7B" w14:textId="4CF1BAEC" w:rsidR="007B3D8A" w:rsidRDefault="00EA4F61" w:rsidP="00576C38">
      <w:pPr>
        <w:jc w:val="both"/>
        <w:rPr>
          <w:rFonts w:ascii="Arial" w:hAnsi="Arial" w:cs="Arial"/>
          <w:color w:val="000000"/>
          <w:sz w:val="20"/>
        </w:rPr>
      </w:pPr>
      <w:r>
        <w:rPr>
          <w:rFonts w:ascii="Arial" w:hAnsi="Arial" w:cs="Arial"/>
          <w:color w:val="000000"/>
          <w:sz w:val="20"/>
        </w:rPr>
        <w:t>See also</w:t>
      </w:r>
      <w:r w:rsidR="007B3D8A">
        <w:rPr>
          <w:rFonts w:ascii="Arial" w:hAnsi="Arial" w:cs="Arial"/>
          <w:color w:val="000000"/>
          <w:sz w:val="20"/>
        </w:rPr>
        <w:t xml:space="preserve"> </w:t>
      </w:r>
      <w:r w:rsidR="007B3D8A" w:rsidRPr="00E330C1">
        <w:rPr>
          <w:rFonts w:ascii="Arial" w:hAnsi="Arial" w:cs="Arial"/>
          <w:i/>
          <w:iCs/>
          <w:color w:val="000000"/>
          <w:sz w:val="20"/>
          <w:szCs w:val="20"/>
        </w:rPr>
        <w:t>DPP v Michaela Snow (a</w:t>
      </w:r>
      <w:r w:rsidR="007B3D8A">
        <w:rPr>
          <w:rFonts w:ascii="Arial" w:hAnsi="Arial" w:cs="Arial"/>
          <w:i/>
          <w:iCs/>
          <w:color w:val="000000"/>
          <w:sz w:val="20"/>
          <w:szCs w:val="20"/>
        </w:rPr>
        <w:t> </w:t>
      </w:r>
      <w:r w:rsidR="007B3D8A" w:rsidRPr="00E330C1">
        <w:rPr>
          <w:rFonts w:ascii="Arial" w:hAnsi="Arial" w:cs="Arial"/>
          <w:i/>
          <w:iCs/>
          <w:color w:val="000000"/>
          <w:sz w:val="20"/>
          <w:szCs w:val="20"/>
        </w:rPr>
        <w:t>pseudonym)</w:t>
      </w:r>
      <w:r w:rsidR="007B3D8A" w:rsidRPr="00E330C1">
        <w:rPr>
          <w:rFonts w:ascii="Arial" w:hAnsi="Arial" w:cs="Arial"/>
          <w:color w:val="000000"/>
          <w:sz w:val="20"/>
          <w:szCs w:val="20"/>
        </w:rPr>
        <w:t xml:space="preserve"> [2020] VSCA 6</w:t>
      </w:r>
      <w:r w:rsidR="007B3D8A">
        <w:rPr>
          <w:rFonts w:ascii="Arial" w:hAnsi="Arial" w:cs="Arial"/>
          <w:color w:val="000000"/>
          <w:sz w:val="20"/>
          <w:szCs w:val="20"/>
        </w:rPr>
        <w:t>7 at [80]-[89], esp. at [</w:t>
      </w:r>
      <w:r w:rsidR="0088592A">
        <w:rPr>
          <w:rFonts w:ascii="Arial" w:hAnsi="Arial" w:cs="Arial"/>
          <w:color w:val="000000"/>
          <w:sz w:val="20"/>
          <w:szCs w:val="20"/>
        </w:rPr>
        <w:t>86</w:t>
      </w:r>
      <w:r w:rsidR="007B3D8A">
        <w:rPr>
          <w:rFonts w:ascii="Arial" w:hAnsi="Arial" w:cs="Arial"/>
          <w:color w:val="000000"/>
          <w:sz w:val="20"/>
          <w:szCs w:val="20"/>
        </w:rPr>
        <w:t xml:space="preserve">] where </w:t>
      </w:r>
      <w:r>
        <w:rPr>
          <w:rFonts w:ascii="Arial" w:hAnsi="Arial" w:cs="Arial"/>
          <w:color w:val="000000"/>
          <w:sz w:val="20"/>
          <w:szCs w:val="20"/>
        </w:rPr>
        <w:t>Maxwell P, Beach JA &amp; Crocuher AJA said:</w:t>
      </w:r>
    </w:p>
    <w:p w14:paraId="40C5595D" w14:textId="3056960C"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5A33E1" w:rsidRPr="005A33E1">
        <w:rPr>
          <w:rFonts w:ascii="Arial" w:hAnsi="Arial" w:cs="Arial"/>
          <w:sz w:val="20"/>
        </w:rPr>
        <w:t>The existence of this discretion has been criticised, on the ground that its exercise is idiosyncratic and unpredictable. In our view, this criticism is unjustified.</w:t>
      </w:r>
      <w:r w:rsidR="005A33E1">
        <w:rPr>
          <w:rFonts w:ascii="Arial" w:hAnsi="Arial" w:cs="Arial"/>
          <w:sz w:val="20"/>
        </w:rPr>
        <w:t xml:space="preserve">  </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xml:space="preserve">: </w:t>
      </w:r>
      <w:r w:rsidR="0088592A" w:rsidRPr="005A33E1">
        <w:rPr>
          <w:rFonts w:ascii="Arial" w:hAnsi="Arial" w:cs="Arial"/>
          <w:i/>
          <w:iCs/>
          <w:color w:val="000000"/>
          <w:sz w:val="20"/>
        </w:rPr>
        <w:t>O’Neill</w:t>
      </w:r>
      <w:r w:rsidR="0088592A">
        <w:rPr>
          <w:rFonts w:ascii="Arial" w:hAnsi="Arial" w:cs="Arial"/>
          <w:color w:val="000000"/>
          <w:sz w:val="20"/>
        </w:rPr>
        <w:t xml:space="preserve">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4B1EC188" w:rsidR="007B3D8A" w:rsidRPr="005A33E1" w:rsidRDefault="007B3D8A" w:rsidP="00576C38">
      <w:pPr>
        <w:jc w:val="both"/>
        <w:rPr>
          <w:rFonts w:ascii="Arial" w:hAnsi="Arial" w:cs="Arial"/>
          <w:color w:val="000000"/>
          <w:sz w:val="20"/>
        </w:rPr>
      </w:pPr>
    </w:p>
    <w:p w14:paraId="5438FA5C" w14:textId="365B1A61" w:rsidR="003C0B14" w:rsidRDefault="00EA4F61" w:rsidP="00576C38">
      <w:pPr>
        <w:jc w:val="both"/>
        <w:rPr>
          <w:rFonts w:ascii="Arial" w:hAnsi="Arial" w:cs="Arial"/>
          <w:color w:val="000000"/>
          <w:sz w:val="20"/>
        </w:rPr>
      </w:pPr>
      <w:r>
        <w:rPr>
          <w:rFonts w:ascii="Arial" w:hAnsi="Arial" w:cs="Arial"/>
          <w:color w:val="000000"/>
          <w:sz w:val="20"/>
        </w:rPr>
        <w:lastRenderedPageBreak/>
        <w:t xml:space="preserve">In </w:t>
      </w:r>
      <w:r w:rsidRPr="00DC165C">
        <w:rPr>
          <w:rFonts w:ascii="Arial" w:hAnsi="Arial" w:cs="Arial"/>
          <w:i/>
          <w:iCs/>
          <w:color w:val="000000"/>
          <w:sz w:val="20"/>
        </w:rPr>
        <w:t>DPP v Payne</w:t>
      </w:r>
      <w:r>
        <w:rPr>
          <w:rFonts w:ascii="Arial" w:hAnsi="Arial" w:cs="Arial"/>
          <w:color w:val="000000"/>
          <w:sz w:val="20"/>
        </w:rPr>
        <w:t xml:space="preserve"> [2023] VSC </w:t>
      </w:r>
      <w:r w:rsidR="00DC165C">
        <w:rPr>
          <w:rFonts w:ascii="Arial" w:hAnsi="Arial" w:cs="Arial"/>
          <w:color w:val="000000"/>
          <w:sz w:val="20"/>
        </w:rPr>
        <w:t>2</w:t>
      </w:r>
      <w:r w:rsidR="00080E96">
        <w:rPr>
          <w:rFonts w:ascii="Arial" w:hAnsi="Arial" w:cs="Arial"/>
          <w:color w:val="000000"/>
          <w:sz w:val="20"/>
        </w:rPr>
        <w:t>86</w:t>
      </w:r>
      <w:r w:rsidR="00DC165C">
        <w:rPr>
          <w:rFonts w:ascii="Arial" w:hAnsi="Arial" w:cs="Arial"/>
          <w:color w:val="000000"/>
          <w:sz w:val="20"/>
        </w:rPr>
        <w:t xml:space="preserve"> – in imposing a sentence of IMP16y/10y </w:t>
      </w:r>
      <w:r w:rsidR="00B531E2">
        <w:rPr>
          <w:rFonts w:ascii="Arial" w:hAnsi="Arial" w:cs="Arial"/>
          <w:color w:val="000000"/>
          <w:sz w:val="20"/>
        </w:rPr>
        <w:t xml:space="preserve">after a jury verdict of guilty of murder of her husband in the circumstances detailed in </w:t>
      </w:r>
      <w:r w:rsidR="00B531E2" w:rsidRPr="00E94F6B">
        <w:rPr>
          <w:rFonts w:ascii="Arial" w:hAnsi="Arial" w:cs="Arial"/>
          <w:b/>
          <w:bCs/>
          <w:color w:val="000000"/>
          <w:sz w:val="20"/>
          <w:shd w:val="clear" w:color="auto" w:fill="C5E0B3" w:themeFill="accent6" w:themeFillTint="66"/>
        </w:rPr>
        <w:t xml:space="preserve">subsection </w:t>
      </w:r>
      <w:r w:rsidR="00080E96" w:rsidRPr="00E94F6B">
        <w:rPr>
          <w:rFonts w:ascii="Arial" w:hAnsi="Arial" w:cs="Arial"/>
          <w:b/>
          <w:bCs/>
          <w:color w:val="000000"/>
          <w:sz w:val="20"/>
          <w:shd w:val="clear" w:color="auto" w:fill="C5E0B3" w:themeFill="accent6" w:themeFillTint="66"/>
        </w:rPr>
        <w:t>11.</w:t>
      </w:r>
      <w:r w:rsidR="00B531E2" w:rsidRPr="00E94F6B">
        <w:rPr>
          <w:rFonts w:ascii="Arial" w:hAnsi="Arial" w:cs="Arial"/>
          <w:b/>
          <w:bCs/>
          <w:color w:val="000000"/>
          <w:sz w:val="20"/>
          <w:shd w:val="clear" w:color="auto" w:fill="C5E0B3" w:themeFill="accent6" w:themeFillTint="66"/>
        </w:rPr>
        <w:t>2.2</w:t>
      </w:r>
      <w:r w:rsidR="00080E96" w:rsidRPr="00E94F6B">
        <w:rPr>
          <w:rFonts w:ascii="Arial" w:hAnsi="Arial" w:cs="Arial"/>
          <w:b/>
          <w:bCs/>
          <w:color w:val="000000"/>
          <w:sz w:val="20"/>
          <w:shd w:val="clear" w:color="auto" w:fill="C5E0B3" w:themeFill="accent6" w:themeFillTint="66"/>
        </w:rPr>
        <w:t>2</w:t>
      </w:r>
      <w:r w:rsidR="00B531E2" w:rsidRPr="00E94F6B">
        <w:rPr>
          <w:rFonts w:ascii="Arial" w:hAnsi="Arial" w:cs="Arial"/>
          <w:b/>
          <w:bCs/>
          <w:color w:val="000000"/>
          <w:sz w:val="20"/>
          <w:shd w:val="clear" w:color="auto" w:fill="C5E0B3" w:themeFill="accent6" w:themeFillTint="66"/>
        </w:rPr>
        <w:t>.</w:t>
      </w:r>
      <w:r w:rsidR="00080E96" w:rsidRPr="00E94F6B">
        <w:rPr>
          <w:rFonts w:ascii="Arial" w:hAnsi="Arial" w:cs="Arial"/>
          <w:b/>
          <w:bCs/>
          <w:color w:val="000000"/>
          <w:sz w:val="20"/>
          <w:shd w:val="clear" w:color="auto" w:fill="C5E0B3" w:themeFill="accent6" w:themeFillTint="66"/>
        </w:rPr>
        <w:t>4</w:t>
      </w:r>
      <w:r w:rsidR="00B531E2">
        <w:rPr>
          <w:rFonts w:ascii="Arial" w:hAnsi="Arial" w:cs="Arial"/>
          <w:color w:val="000000"/>
          <w:sz w:val="20"/>
        </w:rPr>
        <w:t xml:space="preserve"> – Incerti J quoted the above dicta from </w:t>
      </w:r>
      <w:r w:rsidR="00B531E2" w:rsidRPr="00B531E2">
        <w:rPr>
          <w:rFonts w:ascii="Arial" w:hAnsi="Arial" w:cs="Arial"/>
          <w:i/>
          <w:iCs/>
          <w:color w:val="000000"/>
          <w:sz w:val="20"/>
        </w:rPr>
        <w:t>DPP v Snow</w:t>
      </w:r>
      <w:r w:rsidR="00B531E2">
        <w:rPr>
          <w:rFonts w:ascii="Arial" w:hAnsi="Arial" w:cs="Arial"/>
          <w:color w:val="000000"/>
          <w:sz w:val="20"/>
        </w:rPr>
        <w:t xml:space="preserve"> and said at [92]-[97] on the issue of mercy and parsimony-</w:t>
      </w:r>
    </w:p>
    <w:p w14:paraId="6EDC8442" w14:textId="5A8B653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[92] “</w:t>
      </w:r>
      <w:r w:rsidRPr="003C0B14">
        <w:rPr>
          <w:rFonts w:ascii="Arial" w:hAnsi="Arial" w:cs="Arial"/>
          <w:sz w:val="20"/>
        </w:rPr>
        <w:t>I regard this as an unusual case and the sentence I will impose needs to reflect the circumstances. This is a case that calls out loudly for the exercise of the discretion of mercy, to reflect the underlying sense of humanity which guides proper sentencing. I think that an element of mercy is due to you because of the circumstances in which you offended.</w:t>
      </w:r>
    </w:p>
    <w:p w14:paraId="30B73CCF" w14:textId="4672662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 xml:space="preserve">[93] </w:t>
      </w:r>
      <w:r w:rsidRPr="003C0B14">
        <w:rPr>
          <w:rFonts w:ascii="Arial" w:hAnsi="Arial" w:cs="Arial"/>
          <w:sz w:val="20"/>
        </w:rPr>
        <w:t xml:space="preserve">I consider the discretion of mercy an important factor in your case. The Court of Appeal has recently emphasised the importance of the role played by mercy in </w:t>
      </w:r>
      <w:r w:rsidRPr="00B531E2">
        <w:rPr>
          <w:rFonts w:ascii="Arial" w:hAnsi="Arial" w:cs="Arial"/>
          <w:i/>
          <w:iCs/>
          <w:sz w:val="20"/>
        </w:rPr>
        <w:t>DPP v Snow</w:t>
      </w:r>
      <w:r>
        <w:rPr>
          <w:rFonts w:ascii="Arial" w:hAnsi="Arial" w:cs="Arial"/>
          <w:sz w:val="20"/>
        </w:rPr>
        <w:t>…</w:t>
      </w:r>
    </w:p>
    <w:p w14:paraId="2DC6412F" w14:textId="0E18A281"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[94] </w:t>
      </w:r>
      <w:r w:rsidRPr="003C0B14">
        <w:rPr>
          <w:rFonts w:ascii="Arial" w:hAnsi="Arial" w:cs="Arial"/>
          <w:sz w:val="20"/>
        </w:rPr>
        <w:t>You were subjected to repeated acts of abuse, violence and humiliation at the hands of your husband. The fact that you murdered Mr Payne rather than flee can only be understood through the lens of the sustained family violence you had experienced. This was not an ordinary example of murder. This was not a dispassionate execution by a practised killer.</w:t>
      </w:r>
    </w:p>
    <w:p w14:paraId="621EECE7" w14:textId="241AA5B8"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[95] </w:t>
      </w:r>
      <w:r w:rsidRPr="003C0B14">
        <w:rPr>
          <w:rFonts w:ascii="Arial" w:hAnsi="Arial" w:cs="Arial"/>
          <w:sz w:val="20"/>
        </w:rPr>
        <w:t>Having weighed all the circumstances of this case, I consider that you are entitled to be afforded a very significant level of mercy consistent with the gravity and severity of your offending.</w:t>
      </w:r>
    </w:p>
    <w:p w14:paraId="2D5454EB" w14:textId="1DEC8B10"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[96] </w:t>
      </w:r>
      <w:r w:rsidRPr="003C0B14">
        <w:rPr>
          <w:rFonts w:ascii="Arial" w:hAnsi="Arial" w:cs="Arial"/>
          <w:sz w:val="20"/>
        </w:rPr>
        <w:t>I think your prospects of rehabilitation are excellent and that you are genuinely remorseful. Your claim for mercy is compelling. In the exceptional circumstances of</w:t>
      </w:r>
      <w:r>
        <w:rPr>
          <w:rFonts w:ascii="Arial" w:hAnsi="Arial" w:cs="Arial"/>
          <w:sz w:val="20"/>
        </w:rPr>
        <w:t xml:space="preserve"> </w:t>
      </w:r>
      <w:r w:rsidRPr="003C0B14">
        <w:rPr>
          <w:rFonts w:ascii="Arial" w:hAnsi="Arial" w:cs="Arial"/>
          <w:sz w:val="20"/>
        </w:rPr>
        <w:t>your case, I propose to fix a lower head sentence. I have given full weight to the serious damage suffered by Mr Payne’s family, as exemplified in the family victim impact statements.</w:t>
      </w:r>
    </w:p>
    <w:p w14:paraId="169FBA02" w14:textId="51CCF1F3" w:rsidR="00B531E2" w:rsidRPr="001C6E0E" w:rsidRDefault="00B531E2" w:rsidP="000B49E2">
      <w:pPr>
        <w:pStyle w:val="Quote1Char"/>
        <w:widowControl/>
        <w:spacing w:before="60" w:after="60"/>
        <w:ind w:left="567" w:right="567" w:firstLine="0"/>
        <w:rPr>
          <w:rFonts w:ascii="Arial" w:hAnsi="Arial" w:cs="Arial"/>
          <w:color w:val="000000"/>
          <w:sz w:val="20"/>
        </w:rPr>
      </w:pPr>
      <w:r>
        <w:rPr>
          <w:rFonts w:ascii="Arial" w:hAnsi="Arial" w:cs="Arial"/>
          <w:sz w:val="20"/>
        </w:rPr>
        <w:t xml:space="preserve">[97] </w:t>
      </w:r>
      <w:r w:rsidRPr="003C0B14">
        <w:rPr>
          <w:rFonts w:ascii="Arial" w:hAnsi="Arial" w:cs="Arial"/>
          <w:sz w:val="20"/>
        </w:rPr>
        <w:t>Sentencing you is a difficult task. Notwithstanding the strong mitigating factors, it remains the fact that your actions resulted in the death of a person.</w:t>
      </w:r>
      <w:r>
        <w:rPr>
          <w:rFonts w:ascii="Arial" w:hAnsi="Arial" w:cs="Arial"/>
          <w:sz w:val="20"/>
        </w:rPr>
        <w:t>”</w:t>
      </w:r>
    </w:p>
    <w:p w14:paraId="2B53C272" w14:textId="2D2FC2EB" w:rsidR="003C0B14" w:rsidRDefault="004D7921" w:rsidP="004D7921">
      <w:pPr>
        <w:spacing w:before="120"/>
        <w:jc w:val="both"/>
        <w:rPr>
          <w:rFonts w:ascii="Arial" w:hAnsi="Arial" w:cs="Arial"/>
          <w:color w:val="000000"/>
          <w:sz w:val="20"/>
        </w:rPr>
      </w:pPr>
      <w:r>
        <w:rPr>
          <w:rFonts w:ascii="Arial" w:hAnsi="Arial" w:cs="Arial"/>
          <w:color w:val="000000"/>
          <w:sz w:val="20"/>
        </w:rPr>
        <w:t xml:space="preserve">See also </w:t>
      </w:r>
      <w:bookmarkStart w:id="745" w:name="_Hlk183093537"/>
      <w:r w:rsidRPr="004D7921">
        <w:rPr>
          <w:rFonts w:ascii="Arial" w:hAnsi="Arial" w:cs="Arial"/>
          <w:i/>
          <w:iCs/>
          <w:color w:val="000000"/>
          <w:sz w:val="20"/>
        </w:rPr>
        <w:t>Payne v The King</w:t>
      </w:r>
      <w:r>
        <w:rPr>
          <w:rFonts w:ascii="Arial" w:hAnsi="Arial" w:cs="Arial"/>
          <w:color w:val="000000"/>
          <w:sz w:val="20"/>
        </w:rPr>
        <w:t xml:space="preserve"> [2024] VSCA 272 at [</w:t>
      </w:r>
      <w:r w:rsidR="00EC086F">
        <w:rPr>
          <w:rFonts w:ascii="Arial" w:hAnsi="Arial" w:cs="Arial"/>
          <w:color w:val="000000"/>
          <w:sz w:val="20"/>
        </w:rPr>
        <w:t>132</w:t>
      </w:r>
      <w:r>
        <w:rPr>
          <w:rFonts w:ascii="Arial" w:hAnsi="Arial" w:cs="Arial"/>
          <w:color w:val="000000"/>
          <w:sz w:val="20"/>
        </w:rPr>
        <w:t>]-[</w:t>
      </w:r>
      <w:r w:rsidR="00EC086F">
        <w:rPr>
          <w:rFonts w:ascii="Arial" w:hAnsi="Arial" w:cs="Arial"/>
          <w:color w:val="000000"/>
          <w:sz w:val="20"/>
        </w:rPr>
        <w:t>137</w:t>
      </w:r>
      <w:r>
        <w:rPr>
          <w:rFonts w:ascii="Arial" w:hAnsi="Arial" w:cs="Arial"/>
          <w:color w:val="000000"/>
          <w:sz w:val="20"/>
        </w:rPr>
        <w:t>].</w:t>
      </w:r>
      <w:bookmarkEnd w:id="745"/>
    </w:p>
    <w:p w14:paraId="324D4086" w14:textId="77777777" w:rsidR="004D7921" w:rsidRDefault="004D7921" w:rsidP="00EC086F">
      <w:pPr>
        <w:jc w:val="both"/>
        <w:rPr>
          <w:rFonts w:ascii="Arial" w:hAnsi="Arial" w:cs="Arial"/>
          <w:color w:val="000000"/>
          <w:sz w:val="20"/>
        </w:rPr>
      </w:pPr>
    </w:p>
    <w:p w14:paraId="3281257C" w14:textId="45A52F53" w:rsidR="008932F6" w:rsidRDefault="008932F6" w:rsidP="00576C38">
      <w:pPr>
        <w:jc w:val="both"/>
        <w:rPr>
          <w:rFonts w:ascii="Arial" w:hAnsi="Arial" w:cs="Arial"/>
          <w:color w:val="000000"/>
          <w:sz w:val="20"/>
        </w:rPr>
      </w:pPr>
      <w:r>
        <w:rPr>
          <w:rFonts w:ascii="Arial" w:hAnsi="Arial" w:cs="Arial"/>
          <w:color w:val="000000"/>
          <w:sz w:val="20"/>
        </w:rPr>
        <w:t xml:space="preserve">In </w:t>
      </w:r>
      <w:r w:rsidRPr="003960E2">
        <w:rPr>
          <w:rFonts w:ascii="Arial" w:hAnsi="Arial" w:cs="Arial"/>
          <w:i/>
          <w:iCs/>
          <w:color w:val="000000"/>
          <w:sz w:val="20"/>
        </w:rPr>
        <w:t>DPP v Richardson</w:t>
      </w:r>
      <w:r>
        <w:rPr>
          <w:rFonts w:ascii="Arial" w:hAnsi="Arial" w:cs="Arial"/>
          <w:color w:val="000000"/>
          <w:sz w:val="20"/>
        </w:rPr>
        <w:t xml:space="preserve"> [2023] VSCA </w:t>
      </w:r>
      <w:r w:rsidR="007C20F3">
        <w:rPr>
          <w:rFonts w:ascii="Arial" w:hAnsi="Arial" w:cs="Arial"/>
          <w:color w:val="000000"/>
          <w:sz w:val="20"/>
        </w:rPr>
        <w:t xml:space="preserve">241 </w:t>
      </w:r>
      <w:r w:rsidR="003960E2">
        <w:rPr>
          <w:rFonts w:ascii="Arial" w:hAnsi="Arial" w:cs="Arial"/>
          <w:color w:val="000000"/>
          <w:sz w:val="20"/>
        </w:rPr>
        <w:t xml:space="preserve">the Court of Appeal dismissed </w:t>
      </w:r>
      <w:r>
        <w:rPr>
          <w:rFonts w:ascii="Arial" w:hAnsi="Arial" w:cs="Arial"/>
          <w:color w:val="000000"/>
          <w:sz w:val="20"/>
        </w:rPr>
        <w:t xml:space="preserve">a Crown appeal against a sentence of IMP4y/3y </w:t>
      </w:r>
      <w:r w:rsidR="003960E2">
        <w:rPr>
          <w:rFonts w:ascii="Arial" w:hAnsi="Arial" w:cs="Arial"/>
          <w:color w:val="000000"/>
          <w:sz w:val="20"/>
        </w:rPr>
        <w:t xml:space="preserve">(cumulative on a sentence currently being served) </w:t>
      </w:r>
      <w:r>
        <w:rPr>
          <w:rFonts w:ascii="Arial" w:hAnsi="Arial" w:cs="Arial"/>
          <w:color w:val="000000"/>
          <w:sz w:val="20"/>
        </w:rPr>
        <w:t>on a charge of attempting to traffick in a large commercial quantity of a drug of dependence (1,4-BD)</w:t>
      </w:r>
      <w:r w:rsidR="003960E2">
        <w:rPr>
          <w:rFonts w:ascii="Arial" w:hAnsi="Arial" w:cs="Arial"/>
          <w:color w:val="000000"/>
          <w:sz w:val="20"/>
        </w:rPr>
        <w:t xml:space="preserve"> imposed on an offender who had suffered a stroke and had an acquired brain injury. In holding that the sentencing judge had not erred in application of the principle of mercy, Emerton P, Priest &amp; Taylor JJA said at [</w:t>
      </w:r>
      <w:r w:rsidR="007C20F3">
        <w:rPr>
          <w:rFonts w:ascii="Arial" w:hAnsi="Arial" w:cs="Arial"/>
          <w:color w:val="000000"/>
          <w:sz w:val="20"/>
        </w:rPr>
        <w:t>92</w:t>
      </w:r>
      <w:r w:rsidR="003960E2">
        <w:rPr>
          <w:rFonts w:ascii="Arial" w:hAnsi="Arial" w:cs="Arial"/>
          <w:color w:val="000000"/>
          <w:sz w:val="20"/>
        </w:rPr>
        <w:t>]:</w:t>
      </w:r>
    </w:p>
    <w:p w14:paraId="64666DE2" w14:textId="38B6DB84" w:rsidR="007C20F3" w:rsidRDefault="003960E2" w:rsidP="00F5765E">
      <w:pPr>
        <w:pStyle w:val="Quote1Char"/>
        <w:widowControl/>
        <w:spacing w:before="60"/>
        <w:ind w:left="567" w:right="567" w:firstLine="0"/>
        <w:rPr>
          <w:rFonts w:ascii="Arial" w:hAnsi="Arial" w:cs="Arial"/>
          <w:sz w:val="20"/>
        </w:rPr>
      </w:pPr>
      <w:r w:rsidRPr="003960E2">
        <w:rPr>
          <w:rFonts w:ascii="Arial" w:hAnsi="Arial" w:cs="Arial"/>
          <w:sz w:val="20"/>
        </w:rPr>
        <w:t xml:space="preserve">“[W]e consider that it was open for the judge to exercise mercy on the facts before him. </w:t>
      </w:r>
      <w:r w:rsidRPr="007C20F3">
        <w:rPr>
          <w:rFonts w:ascii="Arial" w:hAnsi="Arial" w:cs="Arial"/>
          <w:sz w:val="20"/>
        </w:rPr>
        <w:t>There are no metes or bounds on the exercise of mercy. This Court has observed that the exercise of mercy towards an offender forms an integral part of the sentencing discretion</w:t>
      </w:r>
      <w:r w:rsidR="007C20F3" w:rsidRPr="007C20F3">
        <w:rPr>
          <w:rFonts w:ascii="Arial" w:hAnsi="Arial" w:cs="Arial"/>
          <w:sz w:val="20"/>
        </w:rPr>
        <w:t xml:space="preserve">: </w:t>
      </w:r>
      <w:r w:rsidR="007C20F3" w:rsidRPr="007C20F3">
        <w:rPr>
          <w:rFonts w:ascii="Arial" w:hAnsi="Arial" w:cs="Arial"/>
          <w:i/>
          <w:iCs/>
          <w:sz w:val="20"/>
        </w:rPr>
        <w:t>Leach</w:t>
      </w:r>
      <w:r w:rsidR="007C20F3" w:rsidRPr="007C20F3">
        <w:rPr>
          <w:rFonts w:ascii="Arial" w:hAnsi="Arial" w:cs="Arial"/>
          <w:sz w:val="20"/>
        </w:rPr>
        <w:t xml:space="preserve"> (2003) 139 A Crim R 64, 74 [49]</w:t>
      </w:r>
      <w:r w:rsidRPr="007C20F3">
        <w:rPr>
          <w:rFonts w:ascii="Arial" w:hAnsi="Arial" w:cs="Arial"/>
          <w:sz w:val="20"/>
        </w:rPr>
        <w:t xml:space="preserve">. In </w:t>
      </w:r>
      <w:r w:rsidRPr="007C20F3">
        <w:rPr>
          <w:rFonts w:ascii="Arial" w:hAnsi="Arial" w:cs="Arial"/>
          <w:i/>
          <w:iCs/>
          <w:sz w:val="20"/>
        </w:rPr>
        <w:t>R v Clarke</w:t>
      </w:r>
      <w:r w:rsidR="007C20F3" w:rsidRPr="007C20F3">
        <w:rPr>
          <w:rFonts w:ascii="Arial" w:hAnsi="Arial" w:cs="Arial"/>
          <w:sz w:val="20"/>
        </w:rPr>
        <w:t xml:space="preserve"> [2003] VSCA 96; [1996] 2 VR 520, 523</w:t>
      </w:r>
      <w:r w:rsidRPr="007C20F3">
        <w:rPr>
          <w:rFonts w:ascii="Arial" w:hAnsi="Arial" w:cs="Arial"/>
          <w:sz w:val="20"/>
        </w:rPr>
        <w:t xml:space="preserve">, Charles JA (with whom Winneke P and Hayne JA agreed) referred with approval to the observations of King CJ in </w:t>
      </w:r>
      <w:r w:rsidRPr="007C20F3">
        <w:rPr>
          <w:rFonts w:ascii="Arial" w:hAnsi="Arial" w:cs="Arial"/>
          <w:i/>
          <w:iCs/>
          <w:sz w:val="20"/>
        </w:rPr>
        <w:t>R v Osenkowski</w:t>
      </w:r>
      <w:r w:rsidRPr="007C20F3">
        <w:rPr>
          <w:rFonts w:ascii="Arial" w:hAnsi="Arial" w:cs="Arial"/>
          <w:sz w:val="20"/>
        </w:rPr>
        <w:t xml:space="preserve"> </w:t>
      </w:r>
      <w:r w:rsidR="007C20F3" w:rsidRPr="007C20F3">
        <w:rPr>
          <w:rFonts w:ascii="Arial" w:hAnsi="Arial" w:cs="Arial"/>
          <w:sz w:val="20"/>
        </w:rPr>
        <w:t>(1982) 30 SASR 212, 212</w:t>
      </w:r>
      <w:r w:rsidR="007C20F3">
        <w:rPr>
          <w:rFonts w:ascii="Arial" w:hAnsi="Arial" w:cs="Arial"/>
          <w:sz w:val="20"/>
        </w:rPr>
        <w:noBreakHyphen/>
      </w:r>
      <w:r w:rsidR="007C20F3" w:rsidRPr="007C20F3">
        <w:rPr>
          <w:rFonts w:ascii="Arial" w:hAnsi="Arial" w:cs="Arial"/>
          <w:sz w:val="20"/>
        </w:rPr>
        <w:t>13</w:t>
      </w:r>
      <w:r w:rsidR="007C20F3">
        <w:rPr>
          <w:rFonts w:ascii="Arial" w:hAnsi="Arial" w:cs="Arial"/>
          <w:sz w:val="20"/>
        </w:rPr>
        <w:t xml:space="preserve"> </w:t>
      </w:r>
      <w:r w:rsidRPr="007C20F3">
        <w:rPr>
          <w:rFonts w:ascii="Arial" w:hAnsi="Arial" w:cs="Arial"/>
          <w:sz w:val="20"/>
        </w:rPr>
        <w:t>to the effect that the boundaries of a case in which the principle of mercy may apply are not fixed. This Court has also observed that sentencing judges have the ‘very</w:t>
      </w:r>
      <w:r w:rsidRPr="003960E2">
        <w:rPr>
          <w:rFonts w:ascii="Arial" w:hAnsi="Arial" w:cs="Arial"/>
          <w:sz w:val="20"/>
        </w:rPr>
        <w:t xml:space="preserve"> important right’ to extend leniency to an offender in a case, ‘even if it is difficult to identify precisely what it is about the offender which leads to that conclusion’</w:t>
      </w:r>
      <w:r w:rsidR="007C20F3">
        <w:rPr>
          <w:rFonts w:ascii="Arial" w:hAnsi="Arial" w:cs="Arial"/>
          <w:sz w:val="20"/>
        </w:rPr>
        <w:t xml:space="preserve">: </w:t>
      </w:r>
      <w:r w:rsidR="007C20F3" w:rsidRPr="007C20F3">
        <w:rPr>
          <w:rFonts w:ascii="Arial" w:hAnsi="Arial" w:cs="Arial"/>
          <w:i/>
          <w:iCs/>
          <w:sz w:val="20"/>
        </w:rPr>
        <w:t>Leach</w:t>
      </w:r>
      <w:r w:rsidR="007C20F3">
        <w:rPr>
          <w:rFonts w:ascii="Arial" w:hAnsi="Arial" w:cs="Arial"/>
          <w:sz w:val="20"/>
        </w:rPr>
        <w:t xml:space="preserve"> at [49].”</w:t>
      </w:r>
    </w:p>
    <w:p w14:paraId="311B1502" w14:textId="77777777" w:rsidR="007C20F3" w:rsidRDefault="007C20F3" w:rsidP="007C20F3">
      <w:pPr>
        <w:pStyle w:val="Quote1Char"/>
        <w:spacing w:before="0"/>
        <w:ind w:left="0" w:right="0" w:firstLine="0"/>
        <w:rPr>
          <w:rFonts w:ascii="Arial" w:hAnsi="Arial" w:cs="Arial"/>
          <w:sz w:val="20"/>
        </w:rPr>
      </w:pPr>
    </w:p>
    <w:p w14:paraId="5F3E95BF" w14:textId="29D43F36" w:rsidR="0046577D" w:rsidRDefault="00D70D50" w:rsidP="007C20F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Ramos, Delos Santos &amp; Herasan</w:t>
      </w:r>
      <w:r w:rsidRPr="001C6E0E">
        <w:rPr>
          <w:rFonts w:ascii="Arial" w:hAnsi="Arial" w:cs="Arial"/>
          <w:color w:val="000000"/>
          <w:sz w:val="20"/>
        </w:rPr>
        <w:t xml:space="preserve"> [2003] VSCA 215 at [38]; </w:t>
      </w:r>
      <w:r w:rsidRPr="001C6E0E">
        <w:rPr>
          <w:rFonts w:ascii="Arial" w:hAnsi="Arial" w:cs="Arial"/>
          <w:i/>
          <w:color w:val="000000"/>
          <w:sz w:val="20"/>
          <w:szCs w:val="20"/>
        </w:rPr>
        <w:t>DPP v Rzek</w:t>
      </w:r>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P in </w:t>
      </w:r>
      <w:r w:rsidRPr="001C6E0E">
        <w:rPr>
          <w:rFonts w:ascii="Arial" w:hAnsi="Arial" w:cs="Arial"/>
          <w:i/>
          <w:color w:val="000000"/>
          <w:sz w:val="20"/>
        </w:rPr>
        <w:t>R v Josefski</w:t>
      </w:r>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(Cth) v Parfrey</w:t>
      </w:r>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r w:rsidR="00354C26" w:rsidRPr="00BA4C3B">
        <w:rPr>
          <w:rFonts w:ascii="Arial" w:hAnsi="Arial" w:cs="Arial"/>
          <w:i/>
          <w:iCs/>
          <w:color w:val="000000"/>
          <w:sz w:val="20"/>
          <w:szCs w:val="20"/>
          <w:lang w:eastAsia="en-AU"/>
        </w:rPr>
        <w:t>Ramezanian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746"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746"/>
      <w:r w:rsidR="005A1559">
        <w:rPr>
          <w:rFonts w:ascii="Arial" w:hAnsi="Arial" w:cs="Arial"/>
          <w:color w:val="000000"/>
          <w:sz w:val="20"/>
        </w:rPr>
        <w:t xml:space="preserve">; </w:t>
      </w:r>
      <w:r w:rsidR="00347F98" w:rsidRPr="00F3131A">
        <w:rPr>
          <w:rFonts w:ascii="Arial" w:hAnsi="Arial" w:cs="Arial"/>
          <w:i/>
          <w:iCs/>
          <w:color w:val="000000"/>
          <w:sz w:val="20"/>
          <w:szCs w:val="20"/>
        </w:rPr>
        <w:t>Akon Guode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r w:rsidR="00B8481C">
        <w:rPr>
          <w:rFonts w:ascii="Arial" w:hAnsi="Arial" w:cs="Arial"/>
          <w:color w:val="000000"/>
          <w:sz w:val="20"/>
          <w:szCs w:val="20"/>
        </w:rPr>
        <w:t xml:space="preserve">; </w:t>
      </w:r>
      <w:r w:rsidR="00B8481C" w:rsidRPr="00B8481C">
        <w:rPr>
          <w:rFonts w:ascii="Arial" w:hAnsi="Arial" w:cs="Arial"/>
          <w:i/>
          <w:iCs/>
          <w:color w:val="000000"/>
          <w:sz w:val="20"/>
          <w:szCs w:val="20"/>
        </w:rPr>
        <w:t>Jan v DPP (Cth)</w:t>
      </w:r>
      <w:r w:rsidR="00B8481C">
        <w:rPr>
          <w:rFonts w:ascii="Arial" w:hAnsi="Arial" w:cs="Arial"/>
          <w:color w:val="000000"/>
          <w:sz w:val="20"/>
          <w:szCs w:val="20"/>
        </w:rPr>
        <w:t xml:space="preserve"> [2025] VSCA 43 at [69]</w:t>
      </w:r>
      <w:r w:rsidR="005A3DBE">
        <w:rPr>
          <w:rFonts w:ascii="Arial" w:hAnsi="Arial" w:cs="Arial"/>
          <w:color w:val="000000"/>
          <w:sz w:val="20"/>
          <w:szCs w:val="20"/>
        </w:rPr>
        <w:t>.</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747" w:name="_11.3.6_Conviction_or"/>
      <w:bookmarkEnd w:id="747"/>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lastRenderedPageBreak/>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E2967" w:rsidRDefault="00EB2643" w:rsidP="00CE40FD">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capacities,  These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It is also relevant in those cases where the are particular, identifiable consequences arising from conviction in the individual circumstances of an offender.</w:t>
      </w:r>
    </w:p>
    <w:p w14:paraId="35D99A41" w14:textId="1F8A2ABD"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p>
    <w:p w14:paraId="77FF8075" w14:textId="3836F690" w:rsidR="00D3664B" w:rsidRPr="001E2967" w:rsidRDefault="00D3664B" w:rsidP="00BB0004">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 xml:space="preserve">‘In exercising its discretion whether or not to record a conviction, a court must have regard to all the circumstances </w:t>
      </w:r>
      <w:r w:rsidR="0059482D" w:rsidRPr="001E2967">
        <w:rPr>
          <w:rFonts w:ascii="Arial" w:hAnsi="Arial" w:cs="Arial"/>
          <w:color w:val="000000"/>
          <w:sz w:val="18"/>
          <w:szCs w:val="18"/>
        </w:rPr>
        <w:t>of the case including</w:t>
      </w:r>
      <w:r w:rsidR="001E2967">
        <w:rPr>
          <w:rFonts w:ascii="Arial" w:hAnsi="Arial" w:cs="Arial"/>
          <w:color w:val="000000"/>
          <w:sz w:val="18"/>
          <w:szCs w:val="18"/>
        </w:rPr>
        <w:t>–</w:t>
      </w:r>
    </w:p>
    <w:p w14:paraId="1FF00855" w14:textId="77777777" w:rsidR="0059482D" w:rsidRPr="001E2967" w:rsidRDefault="0059482D" w:rsidP="00CE40FD">
      <w:pPr>
        <w:pStyle w:val="Normal-Indent"/>
        <w:widowControl/>
        <w:spacing w:line="240" w:lineRule="auto"/>
        <w:ind w:left="1134" w:right="1134"/>
        <w:rPr>
          <w:rFonts w:ascii="Arial" w:hAnsi="Arial" w:cs="Arial"/>
          <w:color w:val="000000"/>
          <w:sz w:val="18"/>
          <w:szCs w:val="18"/>
        </w:rPr>
      </w:pPr>
      <w:r w:rsidRPr="001E2967">
        <w:rPr>
          <w:rFonts w:ascii="Arial" w:hAnsi="Arial" w:cs="Arial"/>
          <w:color w:val="000000"/>
          <w:sz w:val="18"/>
          <w:szCs w:val="18"/>
        </w:rPr>
        <w:t>(a)</w:t>
      </w:r>
      <w:r w:rsidRPr="001E2967">
        <w:rPr>
          <w:rFonts w:ascii="Arial" w:hAnsi="Arial" w:cs="Arial"/>
          <w:color w:val="000000"/>
          <w:sz w:val="18"/>
          <w:szCs w:val="18"/>
        </w:rPr>
        <w:tab/>
        <w:t>the nature of the offence; and</w:t>
      </w:r>
    </w:p>
    <w:p w14:paraId="567C7A39" w14:textId="77777777" w:rsidR="0059482D" w:rsidRPr="001E2967" w:rsidRDefault="0059482D" w:rsidP="0059482D">
      <w:pPr>
        <w:pStyle w:val="Normal-Indent"/>
        <w:spacing w:line="240" w:lineRule="auto"/>
        <w:ind w:left="1134" w:right="1134"/>
        <w:rPr>
          <w:rFonts w:ascii="Arial" w:hAnsi="Arial" w:cs="Arial"/>
          <w:color w:val="000000"/>
          <w:sz w:val="18"/>
          <w:szCs w:val="18"/>
        </w:rPr>
      </w:pPr>
      <w:r w:rsidRPr="001E2967">
        <w:rPr>
          <w:rFonts w:ascii="Arial" w:hAnsi="Arial" w:cs="Arial"/>
          <w:color w:val="000000"/>
          <w:sz w:val="18"/>
          <w:szCs w:val="18"/>
        </w:rPr>
        <w:t>(b)</w:t>
      </w:r>
      <w:r w:rsidRPr="001E2967">
        <w:rPr>
          <w:rFonts w:ascii="Arial" w:hAnsi="Arial" w:cs="Arial"/>
          <w:color w:val="000000"/>
          <w:sz w:val="18"/>
          <w:szCs w:val="18"/>
        </w:rPr>
        <w:tab/>
        <w:t>the character and past history of the offender; and</w:t>
      </w:r>
    </w:p>
    <w:p w14:paraId="0069B248" w14:textId="77777777" w:rsidR="0059482D" w:rsidRPr="001E2967" w:rsidRDefault="0059482D" w:rsidP="0059482D">
      <w:pPr>
        <w:pStyle w:val="Normal-Indent"/>
        <w:spacing w:line="240" w:lineRule="auto"/>
        <w:ind w:left="1418" w:right="1134" w:hanging="284"/>
        <w:rPr>
          <w:rFonts w:ascii="Arial" w:hAnsi="Arial" w:cs="Arial"/>
          <w:color w:val="000000"/>
          <w:sz w:val="18"/>
          <w:szCs w:val="18"/>
        </w:rPr>
      </w:pPr>
      <w:r w:rsidRPr="001E2967">
        <w:rPr>
          <w:rFonts w:ascii="Arial" w:hAnsi="Arial" w:cs="Arial"/>
          <w:color w:val="000000"/>
          <w:sz w:val="18"/>
          <w:szCs w:val="18"/>
        </w:rPr>
        <w:t>(c)</w:t>
      </w:r>
      <w:r w:rsidRPr="001E2967">
        <w:rPr>
          <w:rFonts w:ascii="Arial" w:hAnsi="Arial" w:cs="Arial"/>
          <w:color w:val="000000"/>
          <w:sz w:val="18"/>
          <w:szCs w:val="18"/>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748" w:name="_11.3.7_Effect_of"/>
      <w:bookmarkEnd w:id="748"/>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grevious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12250C">
      <w:pPr>
        <w:pStyle w:val="Normal-Indent"/>
        <w:widowControl/>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749" w:name="_11.3.8_Effect_of"/>
      <w:bookmarkEnd w:id="749"/>
      <w:r w:rsidRPr="00F61D70">
        <w:rPr>
          <w:rFonts w:ascii="Arial" w:hAnsi="Arial" w:cs="Arial"/>
          <w:b/>
          <w:bCs/>
          <w:sz w:val="20"/>
          <w:szCs w:val="16"/>
        </w:rPr>
        <w:lastRenderedPageBreak/>
        <w:t>11.3.8</w:t>
      </w:r>
      <w:r w:rsidRPr="00F61D70">
        <w:rPr>
          <w:rFonts w:ascii="Arial" w:hAnsi="Arial" w:cs="Arial"/>
          <w:b/>
          <w:bCs/>
          <w:sz w:val="20"/>
          <w:szCs w:val="16"/>
        </w:rPr>
        <w:tab/>
        <w:t>Effect of the COVID-19 pandemic on sentencing</w:t>
      </w:r>
    </w:p>
    <w:p w14:paraId="04BBD172" w14:textId="43C02166"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DC4119">
      <w:pPr>
        <w:keepNext/>
        <w:keepLines/>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burder [hardship to the third parties: </w:t>
      </w:r>
      <w:r w:rsidRPr="00F86035">
        <w:rPr>
          <w:rFonts w:ascii="Arial" w:hAnsi="Arial" w:cs="Arial"/>
          <w:i/>
          <w:color w:val="000000"/>
          <w:sz w:val="20"/>
        </w:rPr>
        <w:t>R v Markovic &amp; Pantelic</w:t>
      </w:r>
      <w:r>
        <w:rPr>
          <w:rFonts w:ascii="Arial" w:hAnsi="Arial" w:cs="Arial"/>
          <w:color w:val="000000"/>
          <w:sz w:val="20"/>
        </w:rPr>
        <w:t xml:space="preserve"> (2010) 30 VR 589; [2010] VSCA 105] that should give rise to a ‘palpable and discernable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r w:rsidR="00AF49EE" w:rsidRPr="00AF49EE">
        <w:rPr>
          <w:rFonts w:ascii="Arial" w:hAnsi="Arial" w:cs="Arial"/>
          <w:i/>
          <w:iCs/>
          <w:color w:val="000000"/>
          <w:sz w:val="20"/>
          <w:szCs w:val="20"/>
          <w:lang w:eastAsia="en-AU"/>
        </w:rPr>
        <w:t>Sazimanoska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12250C">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12250C">
      <w:pPr>
        <w:keepNext/>
        <w:keepLines/>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R v Madex</w:t>
      </w:r>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69 year old offencer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(Cth)</w:t>
      </w:r>
      <w:r w:rsidRPr="00BB7069">
        <w:rPr>
          <w:rFonts w:ascii="Arial" w:hAnsi="Arial" w:cs="Arial"/>
          <w:i/>
          <w:iCs/>
          <w:color w:val="000000"/>
          <w:sz w:val="20"/>
        </w:rPr>
        <w:t xml:space="preserve"> v </w:t>
      </w:r>
      <w:r>
        <w:rPr>
          <w:rFonts w:ascii="Arial" w:hAnsi="Arial" w:cs="Arial"/>
          <w:i/>
          <w:iCs/>
          <w:color w:val="000000"/>
          <w:sz w:val="20"/>
        </w:rPr>
        <w:t>Politpoulos</w:t>
      </w:r>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F37DAB">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Hersi</w:t>
      </w:r>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lastRenderedPageBreak/>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r w:rsidRPr="0040208A">
        <w:rPr>
          <w:rFonts w:ascii="Arial" w:hAnsi="Arial" w:cs="Arial"/>
          <w:i/>
          <w:iCs/>
          <w:color w:val="000000"/>
          <w:sz w:val="20"/>
          <w:szCs w:val="20"/>
        </w:rPr>
        <w:t>Worboyes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r w:rsidR="007412F2" w:rsidRPr="0040208A">
        <w:rPr>
          <w:rFonts w:ascii="Arial" w:hAnsi="Arial" w:cs="Arial"/>
          <w:i/>
          <w:iCs/>
          <w:color w:val="000000"/>
          <w:sz w:val="20"/>
          <w:szCs w:val="20"/>
        </w:rPr>
        <w:t>Chenhall v The Queen</w:t>
      </w:r>
      <w:r w:rsidR="007412F2">
        <w:rPr>
          <w:rFonts w:ascii="Arial" w:hAnsi="Arial" w:cs="Arial"/>
          <w:color w:val="000000"/>
          <w:sz w:val="20"/>
          <w:szCs w:val="20"/>
        </w:rPr>
        <w:t xml:space="preserve"> [2021] VSCA 175 (Priest, Kaye &amp; T Forrest JJA)</w:t>
      </w:r>
    </w:p>
    <w:p w14:paraId="32F20802" w14:textId="694B7FEA" w:rsidR="007412F2" w:rsidRDefault="007412F2" w:rsidP="00C03F70">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 xml:space="preserve">Their Honours accepted that a plea of guilty during the COVID-19 pandemic augmented the utilitarian value of the plea.  For further details see </w:t>
      </w:r>
      <w:r w:rsidRPr="00E94F6B">
        <w:rPr>
          <w:rFonts w:ascii="Arial" w:hAnsi="Arial" w:cs="Arial"/>
          <w:b/>
          <w:bCs/>
          <w:color w:val="000000"/>
          <w:sz w:val="20"/>
          <w:szCs w:val="20"/>
          <w:shd w:val="clear" w:color="auto" w:fill="C5E0B3" w:themeFill="accent6" w:themeFillTint="66"/>
          <w:lang w:eastAsia="en-AU"/>
        </w:rPr>
        <w:t>subsection 11.2.8.2</w:t>
      </w:r>
      <w:r>
        <w:rPr>
          <w:rFonts w:ascii="Arial" w:hAnsi="Arial" w:cs="Arial"/>
          <w:color w:val="000000"/>
          <w:sz w:val="20"/>
          <w:szCs w:val="20"/>
          <w:lang w:eastAsia="en-AU"/>
        </w:rPr>
        <w:t xml:space="preserve"> above.</w:t>
      </w:r>
      <w:r w:rsidR="00C03F70">
        <w:rPr>
          <w:rFonts w:ascii="Arial" w:hAnsi="Arial" w:cs="Arial"/>
          <w:color w:val="000000"/>
          <w:sz w:val="20"/>
          <w:szCs w:val="20"/>
          <w:lang w:eastAsia="en-AU"/>
        </w:rPr>
        <w:t xml:space="preserve">  In </w:t>
      </w:r>
      <w:r w:rsidR="00C03F70" w:rsidRPr="00C03F70">
        <w:rPr>
          <w:rFonts w:ascii="Arial" w:hAnsi="Arial" w:cs="Arial"/>
          <w:i/>
          <w:iCs/>
          <w:color w:val="000000"/>
          <w:sz w:val="20"/>
          <w:szCs w:val="20"/>
          <w:lang w:eastAsia="en-AU"/>
        </w:rPr>
        <w:t>Biba v The Queen</w:t>
      </w:r>
      <w:r w:rsidR="00C03F70">
        <w:rPr>
          <w:rFonts w:ascii="Arial" w:hAnsi="Arial" w:cs="Arial"/>
          <w:color w:val="000000"/>
          <w:sz w:val="20"/>
          <w:szCs w:val="20"/>
          <w:lang w:eastAsia="en-AU"/>
        </w:rPr>
        <w:t xml:space="preserve"> [2022] VSCA 168 at [26] the Court of Appeal held that for the sake of consistency </w:t>
      </w:r>
      <w:r w:rsidR="00C03F70" w:rsidRPr="00C03F70">
        <w:rPr>
          <w:rFonts w:ascii="Arial" w:hAnsi="Arial" w:cs="Arial"/>
          <w:i/>
          <w:iCs/>
          <w:color w:val="000000"/>
          <w:sz w:val="20"/>
          <w:szCs w:val="20"/>
          <w:lang w:eastAsia="en-AU"/>
        </w:rPr>
        <w:t>Worboyes</w:t>
      </w:r>
      <w:r w:rsidR="00C03F70">
        <w:rPr>
          <w:rFonts w:ascii="Arial" w:hAnsi="Arial" w:cs="Arial"/>
          <w:color w:val="000000"/>
          <w:sz w:val="20"/>
          <w:szCs w:val="20"/>
          <w:lang w:eastAsia="en-AU"/>
        </w:rPr>
        <w:t xml:space="preserve">’ discounts (even if modest) must continue to be given in all courts for as long as any of them are experiencing pandemic-related delays: see </w:t>
      </w:r>
      <w:r w:rsidR="00C03F70" w:rsidRPr="00C03F70">
        <w:rPr>
          <w:rFonts w:ascii="Arial" w:hAnsi="Arial" w:cs="Arial"/>
          <w:i/>
          <w:iCs/>
          <w:color w:val="000000"/>
          <w:sz w:val="20"/>
          <w:szCs w:val="20"/>
          <w:lang w:eastAsia="en-AU"/>
        </w:rPr>
        <w:t>DPP v Seymour</w:t>
      </w:r>
      <w:r w:rsidR="00C03F70">
        <w:rPr>
          <w:rFonts w:ascii="Arial" w:hAnsi="Arial" w:cs="Arial"/>
          <w:color w:val="000000"/>
          <w:sz w:val="20"/>
          <w:szCs w:val="20"/>
          <w:lang w:eastAsia="en-AU"/>
        </w:rPr>
        <w:t xml:space="preserve"> [2023] VSC 324 at [60].</w:t>
      </w:r>
    </w:p>
    <w:p w14:paraId="7AFBFF8E" w14:textId="77777777" w:rsidR="00DC4119" w:rsidRPr="00DC4119" w:rsidRDefault="00DC4119" w:rsidP="00DC4119">
      <w:pPr>
        <w:jc w:val="both"/>
        <w:rPr>
          <w:rFonts w:ascii="Arial" w:hAnsi="Arial" w:cs="Arial"/>
          <w:color w:val="000000"/>
          <w:sz w:val="20"/>
        </w:rPr>
      </w:pPr>
    </w:p>
    <w:p w14:paraId="30B4D804" w14:textId="77777777" w:rsidR="006146E3" w:rsidRPr="001E6BE9" w:rsidRDefault="006146E3" w:rsidP="006146E3">
      <w:pPr>
        <w:jc w:val="center"/>
        <w:rPr>
          <w:rFonts w:ascii="Arial" w:hAnsi="Arial" w:cs="Arial"/>
          <w:b/>
          <w:bCs/>
          <w:color w:val="000000"/>
          <w:sz w:val="22"/>
          <w:szCs w:val="22"/>
          <w:lang w:val="en-US"/>
        </w:rPr>
      </w:pPr>
      <w:bookmarkStart w:id="750" w:name="_11.4_Material_admissible"/>
      <w:bookmarkStart w:id="751" w:name="_11.4_Material_admissible_1"/>
      <w:bookmarkStart w:id="752" w:name="_Toc107101771"/>
      <w:bookmarkEnd w:id="750"/>
      <w:bookmarkEnd w:id="751"/>
      <w:r w:rsidRPr="001E6BE9">
        <w:rPr>
          <w:rFonts w:ascii="Arial" w:hAnsi="Arial" w:cs="Arial"/>
          <w:b/>
          <w:bCs/>
          <w:color w:val="000000"/>
          <w:sz w:val="22"/>
          <w:szCs w:val="22"/>
          <w:lang w:val="en-US"/>
        </w:rPr>
        <w:t>THE REST OF THIS PAGE IS BLANK</w:t>
      </w:r>
    </w:p>
    <w:p w14:paraId="24CFF064" w14:textId="77777777" w:rsidR="006146E3" w:rsidRPr="00102D2A" w:rsidRDefault="006146E3" w:rsidP="006146E3">
      <w:pPr>
        <w:rPr>
          <w:rFonts w:ascii="Arial" w:hAnsi="Arial" w:cs="Arial"/>
          <w:color w:val="000000"/>
          <w:sz w:val="20"/>
        </w:rPr>
      </w:pPr>
    </w:p>
    <w:p w14:paraId="4ADCBA83" w14:textId="77777777" w:rsidR="008468A0" w:rsidRDefault="008468A0">
      <w:pPr>
        <w:rPr>
          <w:rFonts w:ascii="Arial" w:hAnsi="Arial" w:cs="Arial"/>
          <w:b/>
          <w:bCs/>
          <w:color w:val="000000"/>
          <w:kern w:val="28"/>
          <w:szCs w:val="20"/>
          <w:lang w:val="en-GB"/>
        </w:rPr>
      </w:pPr>
      <w:r>
        <w:rPr>
          <w:rFonts w:ascii="Arial" w:hAnsi="Arial" w:cs="Arial"/>
          <w:b/>
          <w:bCs/>
          <w:color w:val="000000"/>
        </w:rPr>
        <w:br w:type="page"/>
      </w:r>
    </w:p>
    <w:p w14:paraId="7490CB8E" w14:textId="1C1ACAA4"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752"/>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8E7451">
      <w:pPr>
        <w:pStyle w:val="Heading3"/>
        <w:keepNext/>
        <w:keepLines/>
        <w:widowControl/>
        <w:spacing w:after="120" w:line="240" w:lineRule="auto"/>
        <w:rPr>
          <w:rFonts w:ascii="Arial" w:hAnsi="Arial" w:cs="Arial"/>
          <w:b/>
          <w:bCs/>
          <w:color w:val="000000"/>
          <w:sz w:val="20"/>
        </w:rPr>
      </w:pPr>
      <w:bookmarkStart w:id="753" w:name="_11.4.1_Pre-sentence_&amp;"/>
      <w:bookmarkEnd w:id="753"/>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26232C46" w14:textId="59A9F0CE" w:rsidR="0058561A" w:rsidRDefault="0058561A" w:rsidP="00B53DCC">
      <w:pPr>
        <w:keepNext/>
        <w:keepLines/>
        <w:jc w:val="both"/>
        <w:rPr>
          <w:rFonts w:ascii="Arial" w:hAnsi="Arial" w:cs="Arial"/>
          <w:color w:val="000000"/>
          <w:sz w:val="20"/>
        </w:rPr>
      </w:pPr>
      <w:r>
        <w:rPr>
          <w:rFonts w:ascii="Arial" w:hAnsi="Arial" w:cs="Arial"/>
          <w:color w:val="000000"/>
          <w:sz w:val="20"/>
        </w:rPr>
        <w:t xml:space="preserve">Section 571 </w:t>
      </w:r>
      <w:r w:rsidR="00B13542">
        <w:rPr>
          <w:rFonts w:ascii="Arial" w:hAnsi="Arial" w:cs="Arial"/>
          <w:color w:val="000000"/>
          <w:sz w:val="20"/>
        </w:rPr>
        <w:t xml:space="preserve">of the CYFA </w:t>
      </w:r>
      <w:r>
        <w:rPr>
          <w:rFonts w:ascii="Arial" w:hAnsi="Arial" w:cs="Arial"/>
          <w:color w:val="000000"/>
          <w:sz w:val="20"/>
        </w:rPr>
        <w:t>provides:</w:t>
      </w:r>
    </w:p>
    <w:p w14:paraId="7FA99CD7" w14:textId="3E621D99"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Criminal Division finds a child guilty of an offence it </w:t>
      </w:r>
      <w:r w:rsidRPr="0058561A">
        <w:rPr>
          <w:rFonts w:ascii="Arial" w:hAnsi="Arial" w:cs="Arial"/>
          <w:b/>
          <w:bCs/>
          <w:color w:val="000000"/>
          <w:sz w:val="20"/>
        </w:rPr>
        <w:t>may</w:t>
      </w:r>
      <w:r>
        <w:rPr>
          <w:rFonts w:ascii="Arial" w:hAnsi="Arial" w:cs="Arial"/>
          <w:color w:val="000000"/>
          <w:sz w:val="20"/>
        </w:rPr>
        <w:t>, before passing sentence, order a pre-sentence report in respect of the child and adjourn the proceeding to enable the report to be prepared.</w:t>
      </w:r>
    </w:p>
    <w:p w14:paraId="2E70EE8E" w14:textId="5F0140D4"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The Criminal Division </w:t>
      </w:r>
      <w:r w:rsidRPr="0058561A">
        <w:rPr>
          <w:rFonts w:ascii="Arial" w:hAnsi="Arial" w:cs="Arial"/>
          <w:b/>
          <w:bCs/>
          <w:color w:val="000000"/>
          <w:sz w:val="20"/>
        </w:rPr>
        <w:t>must</w:t>
      </w:r>
      <w:r>
        <w:rPr>
          <w:rFonts w:ascii="Arial" w:hAnsi="Arial" w:cs="Arial"/>
          <w:color w:val="000000"/>
          <w:sz w:val="20"/>
        </w:rPr>
        <w:t xml:space="preserve"> order a pre-sentence report if it is considering making a youth residential centre order [s.410(1)(e)] or a youth justice centre order [s.412(1)(e)].</w:t>
      </w:r>
    </w:p>
    <w:p w14:paraId="4E20FD33" w14:textId="15CDFDEF"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it appears to the Court that a child found guilty of an offence is intellectually disabled, the Court </w:t>
      </w:r>
      <w:r w:rsidRPr="0058561A">
        <w:rPr>
          <w:rFonts w:ascii="Arial" w:hAnsi="Arial" w:cs="Arial"/>
          <w:b/>
          <w:bCs/>
          <w:color w:val="000000"/>
          <w:sz w:val="20"/>
        </w:rPr>
        <w:t>must</w:t>
      </w:r>
      <w:r>
        <w:rPr>
          <w:rFonts w:ascii="Arial" w:hAnsi="Arial" w:cs="Arial"/>
          <w:color w:val="000000"/>
          <w:sz w:val="20"/>
        </w:rPr>
        <w:t>, before passing sentence, order a pre-sentence report in respect of the child and adjourn the proceeding to enable the report to be prepared.</w:t>
      </w:r>
    </w:p>
    <w:p w14:paraId="1A937878" w14:textId="67DECF01" w:rsidR="0058561A" w:rsidRP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Secretary has issued a statement in respect of the child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a pre-sentence </w:t>
      </w:r>
      <w:r w:rsidR="0006724B">
        <w:rPr>
          <w:rFonts w:ascii="Arial" w:hAnsi="Arial" w:cs="Arial"/>
          <w:color w:val="000000"/>
          <w:sz w:val="20"/>
        </w:rPr>
        <w:t xml:space="preserve">report prepared in accordance with an order under subsection (3) </w:t>
      </w:r>
      <w:r w:rsidR="0006724B" w:rsidRPr="0006724B">
        <w:rPr>
          <w:rFonts w:ascii="Arial" w:hAnsi="Arial" w:cs="Arial"/>
          <w:b/>
          <w:bCs/>
          <w:color w:val="000000"/>
          <w:sz w:val="20"/>
        </w:rPr>
        <w:t>must</w:t>
      </w:r>
      <w:r w:rsidR="0006724B">
        <w:rPr>
          <w:rFonts w:ascii="Arial" w:hAnsi="Arial" w:cs="Arial"/>
          <w:color w:val="000000"/>
          <w:sz w:val="20"/>
        </w:rPr>
        <w:t>-</w:t>
      </w:r>
    </w:p>
    <w:p w14:paraId="0A97AC28" w14:textId="5905E892" w:rsidR="0058561A"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include a copy of the statement; and</w:t>
      </w:r>
    </w:p>
    <w:p w14:paraId="40E0CE98" w14:textId="67A04F83" w:rsidR="0006724B" w:rsidRPr="0006724B"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specify disability services which are-</w:t>
      </w:r>
    </w:p>
    <w:p w14:paraId="543C4C95" w14:textId="04F2AC06" w:rsidR="0058561A"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available under that Act and appropriate for the child; and</w:t>
      </w:r>
    </w:p>
    <w:p w14:paraId="6CBE162D" w14:textId="45236081" w:rsidR="0006724B" w:rsidRPr="0006724B"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designed to reduce the likelihood of the child committing further offences.</w:t>
      </w:r>
    </w:p>
    <w:p w14:paraId="23FA6DBE" w14:textId="77777777" w:rsidR="0058561A" w:rsidRDefault="0058561A" w:rsidP="00DB1D13">
      <w:pPr>
        <w:jc w:val="both"/>
        <w:rPr>
          <w:rFonts w:ascii="Arial" w:hAnsi="Arial" w:cs="Arial"/>
          <w:color w:val="000000"/>
          <w:sz w:val="20"/>
        </w:rPr>
      </w:pPr>
    </w:p>
    <w:p w14:paraId="4B68B996" w14:textId="2E6641E3"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O’Blein</w:t>
      </w:r>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54" w:name="_11.4.2_Report,_submission"/>
      <w:bookmarkEnd w:id="754"/>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55" w:name="_11.4.3_Prior_findings"/>
      <w:bookmarkEnd w:id="755"/>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0499BBB9" w:rsidR="00A07B3C" w:rsidRPr="001C6E0E" w:rsidRDefault="00A07B3C" w:rsidP="00A07B3C">
      <w:pPr>
        <w:pStyle w:val="Heading3"/>
        <w:keepNext/>
        <w:keepLines/>
        <w:spacing w:after="120" w:line="240" w:lineRule="auto"/>
        <w:rPr>
          <w:rFonts w:ascii="Arial" w:hAnsi="Arial" w:cs="Arial"/>
          <w:b/>
          <w:bCs/>
          <w:color w:val="000000"/>
          <w:sz w:val="20"/>
        </w:rPr>
      </w:pPr>
      <w:bookmarkStart w:id="756" w:name="_11.4.4_Prosecutor’s_submissions"/>
      <w:bookmarkStart w:id="757" w:name="_11.4.4A_Submissions_&amp;"/>
      <w:bookmarkEnd w:id="756"/>
      <w:bookmarkEnd w:id="757"/>
      <w:r w:rsidRPr="001C6E0E">
        <w:rPr>
          <w:rFonts w:ascii="Arial" w:hAnsi="Arial" w:cs="Arial"/>
          <w:b/>
          <w:bCs/>
          <w:color w:val="000000"/>
          <w:sz w:val="20"/>
        </w:rPr>
        <w:t>11.4.4</w:t>
      </w:r>
      <w:r w:rsidR="00DC4119">
        <w:rPr>
          <w:rFonts w:ascii="Arial" w:hAnsi="Arial" w:cs="Arial"/>
          <w:b/>
          <w:bCs/>
          <w:color w:val="000000"/>
          <w:sz w:val="20"/>
        </w:rPr>
        <w:t>A</w:t>
      </w:r>
      <w:r w:rsidRPr="001C6E0E">
        <w:rPr>
          <w:rFonts w:ascii="Arial" w:hAnsi="Arial" w:cs="Arial"/>
          <w:b/>
          <w:bCs/>
          <w:color w:val="000000"/>
          <w:sz w:val="20"/>
        </w:rPr>
        <w:tab/>
      </w:r>
      <w:r w:rsidR="00836FA4">
        <w:rPr>
          <w:rFonts w:ascii="Arial" w:hAnsi="Arial" w:cs="Arial"/>
          <w:b/>
          <w:bCs/>
          <w:color w:val="000000"/>
          <w:sz w:val="20"/>
        </w:rPr>
        <w:t>S</w:t>
      </w:r>
      <w:r w:rsidR="00E23482" w:rsidRPr="001C6E0E">
        <w:rPr>
          <w:rFonts w:ascii="Arial" w:hAnsi="Arial" w:cs="Arial"/>
          <w:b/>
          <w:bCs/>
          <w:color w:val="000000"/>
          <w:sz w:val="20"/>
        </w:rPr>
        <w:t>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r w:rsidR="00836FA4">
        <w:rPr>
          <w:rFonts w:ascii="Arial" w:hAnsi="Arial" w:cs="Arial"/>
          <w:b/>
          <w:bCs/>
          <w:color w:val="000000"/>
          <w:sz w:val="20"/>
        </w:rPr>
        <w:t xml:space="preserve"> of prosecutor</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Rumpf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Avci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00BB4EA1"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 xml:space="preserve">Director of Public Prosecutions (Cth) v Barbaro &amp; Zirilli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lastRenderedPageBreak/>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Barbaro v The Queen; Zirilli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French CJ, Hayne, Kiefel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The majority in the High Court gave the following reasons wby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“stating the bounds of an ‘available range’ of sentences is apt to mislead:;</w:t>
      </w:r>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Tuyet Thi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r w:rsidR="000F7BC4" w:rsidRPr="00BA4C3B">
        <w:rPr>
          <w:rFonts w:ascii="Arial" w:hAnsi="Arial" w:cs="Arial"/>
          <w:i/>
          <w:color w:val="000000"/>
          <w:sz w:val="20"/>
        </w:rPr>
        <w:t>Barbaro’s Case</w:t>
      </w:r>
      <w:r w:rsidR="000F7BC4" w:rsidRPr="00BA4C3B">
        <w:rPr>
          <w:rFonts w:ascii="Arial" w:hAnsi="Arial" w:cs="Arial"/>
          <w:color w:val="000000"/>
          <w:sz w:val="20"/>
        </w:rPr>
        <w:t xml:space="preserve"> was handed down] will not vitiate the sentencing </w:t>
      </w:r>
      <w:r w:rsidR="000F7BC4" w:rsidRPr="00BA4C3B">
        <w:rPr>
          <w:rFonts w:ascii="Arial" w:hAnsi="Arial" w:cs="Arial"/>
          <w:color w:val="000000"/>
          <w:sz w:val="20"/>
        </w:rPr>
        <w:lastRenderedPageBreak/>
        <w:t>discretion unless it can be demonstrated that the sentencing judge was influenced by the submission 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Babaro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r w:rsidRPr="00BA4C3B">
        <w:rPr>
          <w:rFonts w:ascii="Arial" w:hAnsi="Arial" w:cs="Arial"/>
          <w:i/>
          <w:color w:val="000000"/>
          <w:sz w:val="20"/>
        </w:rPr>
        <w:t>Barbaro</w:t>
      </w:r>
      <w:r w:rsidRPr="00BA4C3B">
        <w:rPr>
          <w:rFonts w:ascii="Arial" w:hAnsi="Arial" w:cs="Arial"/>
          <w:color w:val="000000"/>
          <w:sz w:val="20"/>
        </w:rPr>
        <w:t xml:space="preserve"> has not changed any of the pre-existing practice.  Nothing said in </w:t>
      </w:r>
      <w:r w:rsidRPr="00BA4C3B">
        <w:rPr>
          <w:rFonts w:ascii="Arial" w:hAnsi="Arial" w:cs="Arial"/>
          <w:i/>
          <w:color w:val="000000"/>
          <w:sz w:val="20"/>
        </w:rPr>
        <w:t>Barbaro</w:t>
      </w:r>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R v Rumpf</w:t>
      </w:r>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r w:rsidRPr="00BA4C3B">
        <w:rPr>
          <w:rFonts w:ascii="Arial" w:hAnsi="Arial" w:cs="Arial"/>
          <w:i/>
          <w:color w:val="000000"/>
          <w:sz w:val="20"/>
        </w:rPr>
        <w:t>Hili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r w:rsidRPr="00BA4C3B">
        <w:rPr>
          <w:rFonts w:ascii="Arial" w:hAnsi="Arial" w:cs="Arial"/>
          <w:i/>
          <w:color w:val="000000"/>
          <w:sz w:val="20"/>
        </w:rPr>
        <w:t>Malvaso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Campisi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Hilder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R v A Mokbel (sentence)</w:t>
      </w:r>
      <w:r w:rsidR="004A1B84" w:rsidRPr="001C6E0E">
        <w:rPr>
          <w:rFonts w:ascii="Arial" w:hAnsi="Arial" w:cs="Arial"/>
          <w:color w:val="000000"/>
          <w:sz w:val="20"/>
          <w:szCs w:val="20"/>
        </w:rPr>
        <w:t xml:space="preserve"> [2012] VSC 255 at [44]-[48].</w:t>
      </w:r>
    </w:p>
    <w:p w14:paraId="19D862E8" w14:textId="455CFD64" w:rsidR="00DB0809" w:rsidRDefault="00DB0809" w:rsidP="00DB0809">
      <w:pPr>
        <w:jc w:val="both"/>
        <w:rPr>
          <w:rFonts w:ascii="Arial" w:hAnsi="Arial" w:cs="Arial"/>
          <w:color w:val="000000"/>
          <w:sz w:val="20"/>
        </w:rPr>
      </w:pPr>
    </w:p>
    <w:p w14:paraId="271BED74" w14:textId="58C9D60C" w:rsidR="00DC4119" w:rsidRPr="001C6E0E" w:rsidRDefault="00DC4119" w:rsidP="00DC4119">
      <w:pPr>
        <w:pStyle w:val="Heading3"/>
        <w:keepNext/>
        <w:keepLines/>
        <w:spacing w:after="120" w:line="240" w:lineRule="auto"/>
        <w:rPr>
          <w:rFonts w:ascii="Arial" w:hAnsi="Arial" w:cs="Arial"/>
          <w:b/>
          <w:bCs/>
          <w:color w:val="000000"/>
          <w:sz w:val="20"/>
        </w:rPr>
      </w:pPr>
      <w:bookmarkStart w:id="758" w:name="_11.4.4B_Duty_of"/>
      <w:bookmarkEnd w:id="758"/>
      <w:r w:rsidRPr="001C6E0E">
        <w:rPr>
          <w:rFonts w:ascii="Arial" w:hAnsi="Arial" w:cs="Arial"/>
          <w:b/>
          <w:bCs/>
          <w:color w:val="000000"/>
          <w:sz w:val="20"/>
        </w:rPr>
        <w:t>11.4.4</w:t>
      </w:r>
      <w:r>
        <w:rPr>
          <w:rFonts w:ascii="Arial" w:hAnsi="Arial" w:cs="Arial"/>
          <w:b/>
          <w:bCs/>
          <w:color w:val="000000"/>
          <w:sz w:val="20"/>
        </w:rPr>
        <w:t>B</w:t>
      </w:r>
      <w:r w:rsidRPr="001C6E0E">
        <w:rPr>
          <w:rFonts w:ascii="Arial" w:hAnsi="Arial" w:cs="Arial"/>
          <w:b/>
          <w:bCs/>
          <w:color w:val="000000"/>
          <w:sz w:val="20"/>
        </w:rPr>
        <w:tab/>
      </w:r>
      <w:r w:rsidR="00CB034C">
        <w:rPr>
          <w:rFonts w:ascii="Arial" w:hAnsi="Arial" w:cs="Arial"/>
          <w:b/>
          <w:bCs/>
          <w:color w:val="000000"/>
          <w:sz w:val="20"/>
        </w:rPr>
        <w:t>Submissions</w:t>
      </w:r>
      <w:r>
        <w:rPr>
          <w:rFonts w:ascii="Arial" w:hAnsi="Arial" w:cs="Arial"/>
          <w:b/>
          <w:bCs/>
          <w:color w:val="000000"/>
          <w:sz w:val="20"/>
        </w:rPr>
        <w:t xml:space="preserve"> of accused</w:t>
      </w:r>
    </w:p>
    <w:p w14:paraId="4D919F0C" w14:textId="39B8510B" w:rsidR="00CB034C" w:rsidRDefault="00CB034C" w:rsidP="00CB034C">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two counts of indecent assault on a female and three counts of carnal knowledge of a girl aged between 10 &amp; 16.  Three of the five charges were ‘rolled up’ charges.  The offending </w:t>
      </w:r>
      <w:r w:rsidR="00EB0E10">
        <w:rPr>
          <w:rFonts w:ascii="Arial" w:hAnsi="Arial" w:cs="Arial"/>
          <w:color w:val="000000"/>
          <w:sz w:val="20"/>
          <w:szCs w:val="20"/>
        </w:rPr>
        <w:t>– described by the Court of Appeal as “</w:t>
      </w:r>
      <w:r w:rsidR="00EB0E10" w:rsidRPr="00DD3B62">
        <w:rPr>
          <w:rFonts w:ascii="Arial" w:hAnsi="Arial" w:cs="Arial"/>
          <w:sz w:val="20"/>
        </w:rPr>
        <w:t>predatory, opportunistic and depraved</w:t>
      </w:r>
      <w:r w:rsidR="00EB0E10">
        <w:rPr>
          <w:rFonts w:ascii="Arial" w:hAnsi="Arial" w:cs="Arial"/>
          <w:sz w:val="20"/>
        </w:rPr>
        <w:t>” –</w:t>
      </w:r>
      <w:r w:rsidR="00EB0E10">
        <w:rPr>
          <w:rFonts w:ascii="Arial" w:hAnsi="Arial" w:cs="Arial"/>
          <w:color w:val="000000"/>
          <w:sz w:val="20"/>
          <w:szCs w:val="20"/>
        </w:rPr>
        <w:t xml:space="preserve"> </w:t>
      </w:r>
      <w:r>
        <w:rPr>
          <w:rFonts w:ascii="Arial" w:hAnsi="Arial" w:cs="Arial"/>
          <w:color w:val="000000"/>
          <w:sz w:val="20"/>
          <w:szCs w:val="20"/>
        </w:rPr>
        <w:t>had</w:t>
      </w:r>
      <w:r w:rsidR="00EB0E10">
        <w:rPr>
          <w:rFonts w:ascii="Arial" w:hAnsi="Arial" w:cs="Arial"/>
          <w:color w:val="000000"/>
          <w:sz w:val="20"/>
          <w:szCs w:val="20"/>
        </w:rPr>
        <w:t xml:space="preserve"> </w:t>
      </w:r>
      <w:r>
        <w:rPr>
          <w:rFonts w:ascii="Arial" w:hAnsi="Arial" w:cs="Arial"/>
          <w:color w:val="000000"/>
          <w:sz w:val="20"/>
          <w:szCs w:val="20"/>
        </w:rPr>
        <w:t>occurred between 1975 &amp; 1978 when the complainant was aged between 12 &amp; 15 and the applicant was aged between 27 &amp; 30.  The complainant was the applicant’s niece by marriage.  A TES IMP8y/5y9m had been imposed.  In</w:t>
      </w:r>
      <w:r w:rsidR="00EB0E10">
        <w:rPr>
          <w:rFonts w:ascii="Arial" w:hAnsi="Arial" w:cs="Arial"/>
          <w:color w:val="000000"/>
          <w:sz w:val="20"/>
          <w:szCs w:val="20"/>
        </w:rPr>
        <w:t> </w:t>
      </w:r>
      <w:r>
        <w:rPr>
          <w:rFonts w:ascii="Arial" w:hAnsi="Arial" w:cs="Arial"/>
          <w:color w:val="000000"/>
          <w:sz w:val="20"/>
          <w:szCs w:val="20"/>
        </w:rPr>
        <w:t xml:space="preserve">refusing leave to appeal, the Court of Appeal (Niall &amp; T Forrest JJA) was critical </w:t>
      </w:r>
      <w:r w:rsidR="00263B71">
        <w:rPr>
          <w:rFonts w:ascii="Arial" w:hAnsi="Arial" w:cs="Arial"/>
          <w:color w:val="000000"/>
          <w:sz w:val="20"/>
          <w:szCs w:val="20"/>
        </w:rPr>
        <w:t xml:space="preserve">at [31] </w:t>
      </w:r>
      <w:r>
        <w:rPr>
          <w:rFonts w:ascii="Arial" w:hAnsi="Arial" w:cs="Arial"/>
          <w:color w:val="000000"/>
          <w:sz w:val="20"/>
          <w:szCs w:val="20"/>
        </w:rPr>
        <w:t xml:space="preserve">of the </w:t>
      </w:r>
      <w:r w:rsidR="00263B71">
        <w:rPr>
          <w:rFonts w:ascii="Arial" w:hAnsi="Arial" w:cs="Arial"/>
          <w:color w:val="000000"/>
          <w:sz w:val="20"/>
          <w:szCs w:val="20"/>
        </w:rPr>
        <w:t xml:space="preserve">unrealistically optimistic </w:t>
      </w:r>
      <w:r>
        <w:rPr>
          <w:rFonts w:ascii="Arial" w:hAnsi="Arial" w:cs="Arial"/>
          <w:color w:val="000000"/>
          <w:sz w:val="20"/>
          <w:szCs w:val="20"/>
        </w:rPr>
        <w:t>submisson made by the applicant’s counsel at the plea hearing:</w:t>
      </w:r>
    </w:p>
    <w:p w14:paraId="53F0F645" w14:textId="7B00AA66" w:rsidR="00CB034C" w:rsidRPr="00CB034C" w:rsidRDefault="00CB034C" w:rsidP="00CB034C">
      <w:pPr>
        <w:spacing w:before="60"/>
        <w:ind w:left="567" w:right="567"/>
        <w:jc w:val="both"/>
        <w:rPr>
          <w:rFonts w:ascii="Arial" w:hAnsi="Arial" w:cs="Arial"/>
          <w:sz w:val="20"/>
          <w:szCs w:val="20"/>
        </w:rPr>
      </w:pPr>
      <w:r>
        <w:rPr>
          <w:rFonts w:ascii="Arial" w:hAnsi="Arial" w:cs="Arial"/>
          <w:sz w:val="20"/>
          <w:szCs w:val="20"/>
        </w:rPr>
        <w:t>“</w:t>
      </w:r>
      <w:r w:rsidRPr="00CB034C">
        <w:rPr>
          <w:rFonts w:ascii="Arial" w:hAnsi="Arial" w:cs="Arial"/>
          <w:sz w:val="20"/>
          <w:szCs w:val="20"/>
        </w:rPr>
        <w:t>We would only add that at the plea hearing the applicant’s then counsel argued for a wholly suspended sentence</w:t>
      </w:r>
      <w:r>
        <w:rPr>
          <w:rFonts w:ascii="Arial" w:hAnsi="Arial" w:cs="Arial"/>
          <w:sz w:val="20"/>
          <w:szCs w:val="20"/>
        </w:rPr>
        <w:t xml:space="preserve">, the </w:t>
      </w:r>
      <w:r w:rsidRPr="00CB034C">
        <w:rPr>
          <w:rFonts w:ascii="Arial" w:hAnsi="Arial" w:cs="Arial"/>
          <w:sz w:val="20"/>
          <w:szCs w:val="20"/>
        </w:rPr>
        <w:t xml:space="preserve">offences </w:t>
      </w:r>
      <w:r>
        <w:rPr>
          <w:rFonts w:ascii="Arial" w:hAnsi="Arial" w:cs="Arial"/>
          <w:sz w:val="20"/>
          <w:szCs w:val="20"/>
        </w:rPr>
        <w:t>[having been]</w:t>
      </w:r>
      <w:r w:rsidRPr="00CB034C">
        <w:rPr>
          <w:rFonts w:ascii="Arial" w:hAnsi="Arial" w:cs="Arial"/>
          <w:sz w:val="20"/>
          <w:szCs w:val="20"/>
        </w:rPr>
        <w:t xml:space="preserve"> committed at a time when this type of disposition was theoretically available.  Such a submission was entirely unrealistic. </w:t>
      </w:r>
      <w:r>
        <w:rPr>
          <w:rFonts w:ascii="Arial" w:hAnsi="Arial" w:cs="Arial"/>
          <w:sz w:val="20"/>
          <w:szCs w:val="20"/>
        </w:rPr>
        <w:t xml:space="preserve"> </w:t>
      </w:r>
      <w:r w:rsidRPr="00CB034C">
        <w:rPr>
          <w:rFonts w:ascii="Arial" w:hAnsi="Arial" w:cs="Arial"/>
          <w:sz w:val="20"/>
          <w:szCs w:val="20"/>
        </w:rPr>
        <w:t>Advocates are entitled to canvass all sentencing options open when pleading on behalf of a criminal offender, but for their submissions to carry any force, unrealistic optimism should be avoided. It can cause unnecessary anxiety and disappointment to an accused and his or her family, and may lead to sentencing error that will require correction by this Court — on occasions to an applicant’s ultimate disadvantage.</w:t>
      </w:r>
      <w:r>
        <w:rPr>
          <w:rFonts w:ascii="Arial" w:hAnsi="Arial" w:cs="Arial"/>
          <w:sz w:val="20"/>
          <w:szCs w:val="20"/>
        </w:rPr>
        <w:t>”</w:t>
      </w:r>
    </w:p>
    <w:p w14:paraId="50937EC6" w14:textId="77777777" w:rsidR="00CB034C" w:rsidRDefault="00CB034C" w:rsidP="00CB034C">
      <w:pPr>
        <w:jc w:val="both"/>
        <w:rPr>
          <w:rFonts w:ascii="Arial" w:hAnsi="Arial" w:cs="Arial"/>
          <w:color w:val="000000"/>
          <w:sz w:val="20"/>
          <w:szCs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59" w:name="_11.4.5_Victim_impact"/>
      <w:bookmarkEnd w:id="759"/>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Bongiorno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DPP v Prasoeur</w:t>
      </w:r>
      <w:r w:rsidRPr="001C6E0E">
        <w:rPr>
          <w:rFonts w:ascii="Arial" w:hAnsi="Arial" w:cs="Arial"/>
          <w:color w:val="000000"/>
          <w:sz w:val="20"/>
        </w:rPr>
        <w:t xml:space="preserve"> [2006] VSC 41 at [22]-[24] Bell J refused to admit a statement made by a person who had suffered as a consequence of false allegations which the offender made about </w:t>
      </w:r>
      <w:r w:rsidRPr="001C6E0E">
        <w:rPr>
          <w:rFonts w:ascii="Arial" w:hAnsi="Arial" w:cs="Arial"/>
          <w:color w:val="000000"/>
          <w:sz w:val="20"/>
        </w:rPr>
        <w:lastRenderedPageBreak/>
        <w:t xml:space="preserve">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6D2097D9" w:rsidR="0060533F" w:rsidRDefault="0060533F" w:rsidP="00A148DC">
      <w:pPr>
        <w:jc w:val="both"/>
        <w:rPr>
          <w:rFonts w:ascii="Arial" w:hAnsi="Arial" w:cs="Arial"/>
          <w:color w:val="000000"/>
          <w:sz w:val="20"/>
        </w:rPr>
      </w:pPr>
    </w:p>
    <w:p w14:paraId="166E510D" w14:textId="372CE5CB" w:rsidR="00CB7C96" w:rsidRDefault="00CB7C96" w:rsidP="00A148DC">
      <w:pPr>
        <w:jc w:val="both"/>
        <w:rPr>
          <w:rFonts w:ascii="Arial" w:hAnsi="Arial" w:cs="Arial"/>
          <w:color w:val="000000"/>
          <w:sz w:val="20"/>
        </w:rPr>
      </w:pPr>
      <w:r>
        <w:rPr>
          <w:rFonts w:ascii="Arial" w:hAnsi="Arial" w:cs="Arial"/>
          <w:color w:val="000000"/>
          <w:sz w:val="20"/>
        </w:rPr>
        <w:t xml:space="preserve">In </w:t>
      </w:r>
      <w:r w:rsidRPr="00CB7C96">
        <w:rPr>
          <w:rFonts w:ascii="Arial" w:hAnsi="Arial" w:cs="Arial"/>
          <w:i/>
          <w:iCs/>
          <w:color w:val="000000"/>
          <w:sz w:val="20"/>
        </w:rPr>
        <w:t>DPP v Edmunds</w:t>
      </w:r>
      <w:r>
        <w:rPr>
          <w:rFonts w:ascii="Arial" w:hAnsi="Arial" w:cs="Arial"/>
          <w:color w:val="000000"/>
          <w:sz w:val="20"/>
        </w:rPr>
        <w:t xml:space="preserve"> [2023] VSC 581 Lasry J refused to admit victim impact statements filed by family members of a coaccused Cassidy who died in the course of committing the murder with which the accused was found to be complicit, holding at [5]: “I am unable to see how those people connected to Cassidy who have filed statements could be regarded as victims.”</w:t>
      </w:r>
    </w:p>
    <w:p w14:paraId="1C1BBEAE" w14:textId="4F8AA79C" w:rsidR="00CB7C96" w:rsidRDefault="00CB7C96" w:rsidP="00A148DC">
      <w:pPr>
        <w:jc w:val="both"/>
        <w:rPr>
          <w:rFonts w:ascii="Arial" w:hAnsi="Arial" w:cs="Arial"/>
          <w:color w:val="000000"/>
          <w:sz w:val="20"/>
        </w:rPr>
      </w:pPr>
    </w:p>
    <w:p w14:paraId="7B45CB04" w14:textId="77777777"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Katelis</w:t>
      </w:r>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6E7DD9FC" w14:textId="77777777" w:rsidR="00CB7C96" w:rsidRPr="001C6E0E" w:rsidRDefault="00CB7C96" w:rsidP="00280123">
      <w:pPr>
        <w:jc w:val="both"/>
        <w:rPr>
          <w:rFonts w:ascii="Arial" w:hAnsi="Arial" w:cs="Arial"/>
          <w:color w:val="000000"/>
          <w:sz w:val="20"/>
        </w:rPr>
      </w:pPr>
    </w:p>
    <w:p w14:paraId="34E051ED" w14:textId="15DBA981"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r w:rsidR="00070418">
        <w:rPr>
          <w:rFonts w:ascii="Arial" w:hAnsi="Arial" w:cs="Arial"/>
          <w:color w:val="000000"/>
          <w:sz w:val="20"/>
        </w:rPr>
        <w:t xml:space="preserve">  </w:t>
      </w: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399F7DCC" w14:textId="77777777" w:rsidR="00A148DC"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R v Skura</w:t>
      </w:r>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R v Dowlan</w:t>
      </w:r>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Tadgell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p>
    <w:p w14:paraId="36A9DA45" w14:textId="77777777" w:rsidR="006439FB" w:rsidRDefault="006439FB" w:rsidP="006439FB">
      <w:pPr>
        <w:jc w:val="both"/>
        <w:rPr>
          <w:rFonts w:ascii="Arial" w:hAnsi="Arial" w:cs="Arial"/>
          <w:color w:val="000000"/>
          <w:sz w:val="20"/>
        </w:rPr>
      </w:pPr>
      <w:bookmarkStart w:id="760" w:name="_Toc30674208"/>
      <w:bookmarkStart w:id="761" w:name="_Toc30691475"/>
      <w:bookmarkStart w:id="762" w:name="_Toc30691855"/>
      <w:bookmarkStart w:id="763" w:name="_Toc30692235"/>
      <w:bookmarkStart w:id="764" w:name="_Toc30692993"/>
      <w:bookmarkStart w:id="765" w:name="_Toc30693372"/>
      <w:bookmarkStart w:id="766" w:name="_Toc30693750"/>
      <w:bookmarkStart w:id="767" w:name="_Toc30694128"/>
      <w:bookmarkStart w:id="768" w:name="_Toc30694509"/>
      <w:bookmarkStart w:id="769" w:name="_Toc30699099"/>
      <w:bookmarkStart w:id="770" w:name="_Toc30699484"/>
      <w:bookmarkStart w:id="771" w:name="_Toc30699869"/>
      <w:bookmarkStart w:id="772" w:name="_Toc30701024"/>
      <w:bookmarkStart w:id="773" w:name="_Toc30701411"/>
      <w:bookmarkStart w:id="774" w:name="_Toc30744018"/>
      <w:bookmarkStart w:id="775" w:name="_Toc30754841"/>
      <w:bookmarkStart w:id="776" w:name="_Toc30757297"/>
      <w:bookmarkStart w:id="777" w:name="_Toc30757845"/>
      <w:bookmarkStart w:id="778" w:name="_Toc30758245"/>
      <w:bookmarkStart w:id="779" w:name="_Toc30763005"/>
      <w:bookmarkStart w:id="780" w:name="_Toc30767659"/>
      <w:bookmarkStart w:id="781" w:name="_Toc34823677"/>
    </w:p>
    <w:p w14:paraId="0108CF4D" w14:textId="14AFBC84" w:rsidR="00687E62" w:rsidRDefault="00687E62" w:rsidP="006439FB">
      <w:pPr>
        <w:jc w:val="both"/>
        <w:rPr>
          <w:rFonts w:ascii="Arial" w:hAnsi="Arial" w:cs="Arial"/>
          <w:color w:val="000000"/>
          <w:sz w:val="20"/>
        </w:rPr>
      </w:pPr>
      <w:r>
        <w:rPr>
          <w:rFonts w:ascii="Arial" w:hAnsi="Arial" w:cs="Arial"/>
          <w:color w:val="000000"/>
          <w:sz w:val="20"/>
        </w:rPr>
        <w:t xml:space="preserve">In </w:t>
      </w:r>
      <w:r w:rsidRPr="00687E62">
        <w:rPr>
          <w:rFonts w:ascii="Arial" w:hAnsi="Arial" w:cs="Arial"/>
          <w:i/>
          <w:iCs/>
          <w:color w:val="000000"/>
          <w:sz w:val="20"/>
        </w:rPr>
        <w:t>Kowski v The King</w:t>
      </w:r>
      <w:r>
        <w:rPr>
          <w:rFonts w:ascii="Arial" w:hAnsi="Arial" w:cs="Arial"/>
          <w:color w:val="000000"/>
          <w:sz w:val="20"/>
        </w:rPr>
        <w:t xml:space="preserve"> [2024] VSCA 3 the Court of Appeal (Niall &amp; Boyce JJA) said at [53]:</w:t>
      </w:r>
    </w:p>
    <w:p w14:paraId="2E1B3BAE" w14:textId="7F19EFFA" w:rsidR="00687E62" w:rsidRPr="00CB034C" w:rsidRDefault="00687E62" w:rsidP="00687E62">
      <w:pPr>
        <w:spacing w:before="60"/>
        <w:ind w:left="567" w:right="567"/>
        <w:jc w:val="both"/>
        <w:rPr>
          <w:rFonts w:ascii="Arial" w:hAnsi="Arial" w:cs="Arial"/>
          <w:sz w:val="20"/>
          <w:szCs w:val="20"/>
        </w:rPr>
      </w:pPr>
      <w:bookmarkStart w:id="782" w:name="_Hlk158792363"/>
      <w:r>
        <w:rPr>
          <w:rFonts w:ascii="Arial" w:hAnsi="Arial" w:cs="Arial"/>
          <w:sz w:val="20"/>
          <w:szCs w:val="20"/>
        </w:rPr>
        <w:t>“</w:t>
      </w:r>
      <w:r w:rsidRPr="00687E62">
        <w:rPr>
          <w:rFonts w:ascii="Arial" w:hAnsi="Arial" w:cs="Arial"/>
          <w:sz w:val="20"/>
          <w:szCs w:val="20"/>
        </w:rPr>
        <w:t xml:space="preserve">The absence of a victim impact statement did not mean that the judge was precluded from drawing inferences about the impact of the offence on the two victims. Nor did it compel an inference that there was no impact, or support some </w:t>
      </w:r>
      <w:r w:rsidRPr="00687E62">
        <w:rPr>
          <w:rFonts w:ascii="Arial" w:hAnsi="Arial" w:cs="Arial"/>
          <w:i/>
          <w:iCs/>
          <w:sz w:val="20"/>
          <w:szCs w:val="20"/>
        </w:rPr>
        <w:t>Jones v Dunkel</w:t>
      </w:r>
      <w:r w:rsidRPr="00687E62">
        <w:rPr>
          <w:rFonts w:ascii="Arial" w:hAnsi="Arial" w:cs="Arial"/>
          <w:sz w:val="20"/>
          <w:szCs w:val="20"/>
        </w:rPr>
        <w:t xml:space="preserve"> (1959) 101 CLR 298; [1959] HCA 8 type inference against a finding that the two victims had been in fear. The judge did not make a finding about the long term or ongoing impacts of the offending on the victims. Her findings went no further than that the victims would have been fearful. The bare facts of the offending, and the fact that when faced with an unknown man armed with a knife, using a threatening gesture towards a young girl and demanding keys to the car the victims fled, provide a firm foundation for the findings of fact that the victims would have been in fear. A contrary finding would have been perverse. In argument, counsel for the applicant conceded that the judge’s finding, referred to above, was reasonably open.</w:t>
      </w:r>
      <w:r>
        <w:rPr>
          <w:rFonts w:ascii="Arial" w:hAnsi="Arial" w:cs="Arial"/>
          <w:sz w:val="20"/>
          <w:szCs w:val="20"/>
        </w:rPr>
        <w:t>”</w:t>
      </w:r>
    </w:p>
    <w:bookmarkEnd w:id="782"/>
    <w:p w14:paraId="572AF9FA" w14:textId="77777777" w:rsidR="00687E62" w:rsidRPr="001C6E0E" w:rsidRDefault="00687E62" w:rsidP="006439FB">
      <w:pPr>
        <w:jc w:val="both"/>
        <w:rPr>
          <w:rFonts w:ascii="Arial" w:hAnsi="Arial" w:cs="Arial"/>
          <w:color w:val="000000"/>
          <w:sz w:val="20"/>
        </w:rPr>
      </w:pPr>
    </w:p>
    <w:p w14:paraId="2D2756C5" w14:textId="77777777" w:rsidR="00BF52E5" w:rsidRPr="001C6E0E" w:rsidRDefault="00BF52E5" w:rsidP="008B53FC">
      <w:pPr>
        <w:pStyle w:val="Heading2"/>
        <w:keepNext/>
        <w:tabs>
          <w:tab w:val="left" w:pos="567"/>
        </w:tabs>
        <w:spacing w:line="240" w:lineRule="auto"/>
        <w:rPr>
          <w:rFonts w:ascii="Arial" w:hAnsi="Arial" w:cs="Arial"/>
          <w:b/>
          <w:bCs/>
          <w:color w:val="000000"/>
        </w:rPr>
      </w:pPr>
      <w:bookmarkStart w:id="783" w:name="_11.5_Deferral_of"/>
      <w:bookmarkStart w:id="784" w:name="_Toc107101772"/>
      <w:bookmarkEnd w:id="783"/>
      <w:r w:rsidRPr="001C6E0E">
        <w:rPr>
          <w:rFonts w:ascii="Arial" w:hAnsi="Arial" w:cs="Arial"/>
          <w:b/>
          <w:bCs/>
          <w:color w:val="000000"/>
        </w:rPr>
        <w:t>11.</w:t>
      </w:r>
      <w:r w:rsidR="005B4175" w:rsidRPr="001C6E0E">
        <w:rPr>
          <w:rFonts w:ascii="Arial" w:hAnsi="Arial" w:cs="Arial"/>
          <w:b/>
          <w:bCs/>
          <w:color w:val="000000"/>
        </w:rPr>
        <w:t>5</w:t>
      </w:r>
      <w:r w:rsidRPr="001C6E0E">
        <w:rPr>
          <w:rFonts w:ascii="Arial" w:hAnsi="Arial" w:cs="Arial"/>
          <w:b/>
          <w:bCs/>
          <w:color w:val="000000"/>
        </w:rPr>
        <w:tab/>
        <w:t>Deferral of sentencing</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4"/>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6FB0100"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 xml:space="preserve">in the case of deferral of sentencing for the purpose of the child’s participation in a group conference [see </w:t>
      </w:r>
      <w:r w:rsidR="00E94F6B" w:rsidRPr="00E94F6B">
        <w:rPr>
          <w:rFonts w:ascii="Arial" w:hAnsi="Arial" w:cs="Arial"/>
          <w:b/>
          <w:bCs/>
          <w:color w:val="000000"/>
          <w:sz w:val="20"/>
          <w:shd w:val="clear" w:color="auto" w:fill="C5E0B3" w:themeFill="accent6" w:themeFillTint="66"/>
        </w:rPr>
        <w:t>Part</w:t>
      </w:r>
      <w:r w:rsidR="00B32778" w:rsidRPr="00E94F6B">
        <w:rPr>
          <w:rFonts w:ascii="Arial" w:hAnsi="Arial" w:cs="Arial"/>
          <w:b/>
          <w:bCs/>
          <w:color w:val="000000"/>
          <w:sz w:val="20"/>
          <w:shd w:val="clear" w:color="auto" w:fill="C5E0B3" w:themeFill="accent6" w:themeFillTint="66"/>
        </w:rPr>
        <w:t xml:space="preserve"> 11.6</w:t>
      </w:r>
      <w:r w:rsidR="00B32778">
        <w:rPr>
          <w:rFonts w:ascii="Arial" w:hAnsi="Arial" w:cs="Arial"/>
          <w:color w:val="000000"/>
          <w:sz w:val="20"/>
        </w:rPr>
        <w:t>]-</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the Court is of the opinion, after consultation with youth justice, that the child is </w:t>
      </w:r>
      <w:smartTag w:uri="urn:schemas-microsoft-com:office:smarttags" w:element="City">
        <w:smartTag w:uri="urn:schemas-microsoft-com:office:smarttags" w:element="place">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211337A" w:rsidR="00B32778" w:rsidRDefault="00B32778">
      <w:pPr>
        <w:jc w:val="both"/>
        <w:rPr>
          <w:rFonts w:ascii="Arial" w:hAnsi="Arial" w:cs="Arial"/>
          <w:color w:val="000000"/>
          <w:sz w:val="20"/>
        </w:rPr>
      </w:pPr>
    </w:p>
    <w:p w14:paraId="18F0C629" w14:textId="2FA2D473" w:rsidR="00316E8E" w:rsidRDefault="00316E8E">
      <w:pPr>
        <w:jc w:val="both"/>
        <w:rPr>
          <w:rFonts w:ascii="Arial" w:hAnsi="Arial" w:cs="Arial"/>
          <w:color w:val="000000"/>
          <w:sz w:val="20"/>
        </w:rPr>
      </w:pPr>
      <w:r>
        <w:rPr>
          <w:rFonts w:ascii="Arial" w:hAnsi="Arial" w:cs="Arial"/>
          <w:color w:val="000000"/>
          <w:sz w:val="20"/>
        </w:rPr>
        <w:lastRenderedPageBreak/>
        <w:t>The Court will often defer sentence to give the child a chance to demonstrate that it is appropriate to place him or her on a less intrusive sentencing order.</w:t>
      </w:r>
    </w:p>
    <w:p w14:paraId="4EBB767E" w14:textId="77777777" w:rsidR="00316E8E" w:rsidRDefault="00316E8E">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t xml:space="preserve">Under s.414(3)(a) the maximum period of deferral is 4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414(2)(ab)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785" w:name="_11.6_Group_Conference"/>
      <w:bookmarkStart w:id="786" w:name="_Toc30674209"/>
      <w:bookmarkStart w:id="787" w:name="_Toc30691476"/>
      <w:bookmarkStart w:id="788" w:name="_Toc30691856"/>
      <w:bookmarkStart w:id="789" w:name="_Toc30692236"/>
      <w:bookmarkStart w:id="790" w:name="_Toc30692994"/>
      <w:bookmarkStart w:id="791" w:name="_Toc30693373"/>
      <w:bookmarkStart w:id="792" w:name="_Toc30693751"/>
      <w:bookmarkStart w:id="793" w:name="_Toc30694129"/>
      <w:bookmarkStart w:id="794" w:name="_Toc30694510"/>
      <w:bookmarkStart w:id="795" w:name="_Toc30699100"/>
      <w:bookmarkStart w:id="796" w:name="_Toc30699485"/>
      <w:bookmarkStart w:id="797" w:name="_Toc30699870"/>
      <w:bookmarkStart w:id="798" w:name="_Toc30701025"/>
      <w:bookmarkStart w:id="799" w:name="_Toc30701412"/>
      <w:bookmarkStart w:id="800" w:name="_Toc30744019"/>
      <w:bookmarkStart w:id="801" w:name="_Toc30754842"/>
      <w:bookmarkStart w:id="802" w:name="_Toc30757298"/>
      <w:bookmarkStart w:id="803" w:name="_Toc30757846"/>
      <w:bookmarkStart w:id="804" w:name="_Toc30758246"/>
      <w:bookmarkStart w:id="805" w:name="_Toc30763006"/>
      <w:bookmarkStart w:id="806" w:name="_Toc30767660"/>
      <w:bookmarkStart w:id="807" w:name="_Toc34823678"/>
      <w:bookmarkStart w:id="808" w:name="_Toc107101773"/>
      <w:bookmarkEnd w:id="785"/>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809" w:name="_11.6.1_Restorative_justice"/>
      <w:bookmarkStart w:id="810" w:name="_Toc30674210"/>
      <w:bookmarkStart w:id="811" w:name="_Toc30691477"/>
      <w:bookmarkStart w:id="812" w:name="_Toc30691857"/>
      <w:bookmarkStart w:id="813" w:name="_Toc30692237"/>
      <w:bookmarkStart w:id="814" w:name="_Toc30692995"/>
      <w:bookmarkStart w:id="815" w:name="_Toc30693374"/>
      <w:bookmarkStart w:id="816" w:name="_Toc30693752"/>
      <w:bookmarkStart w:id="817" w:name="_Toc30694130"/>
      <w:bookmarkStart w:id="818" w:name="_Toc30694511"/>
      <w:bookmarkStart w:id="819" w:name="_Toc30699101"/>
      <w:bookmarkStart w:id="820" w:name="_Toc30699486"/>
      <w:bookmarkStart w:id="821" w:name="_Toc30699871"/>
      <w:bookmarkStart w:id="822" w:name="_Toc30701026"/>
      <w:bookmarkStart w:id="823" w:name="_Toc30701413"/>
      <w:bookmarkStart w:id="824" w:name="_Toc30744020"/>
      <w:bookmarkStart w:id="825" w:name="_Toc30754843"/>
      <w:bookmarkStart w:id="826" w:name="_Toc30757299"/>
      <w:bookmarkStart w:id="827" w:name="_Toc30757847"/>
      <w:bookmarkStart w:id="828" w:name="_Toc30758247"/>
      <w:bookmarkStart w:id="829" w:name="_Toc30763007"/>
      <w:bookmarkStart w:id="830" w:name="_Toc30767661"/>
      <w:bookmarkStart w:id="831" w:name="_Toc34823679"/>
      <w:bookmarkStart w:id="832" w:name="_Toc107101774"/>
      <w:bookmarkEnd w:id="809"/>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Chris Cunneen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833" w:name="_11.6.2_The_Victorian"/>
      <w:bookmarkStart w:id="834" w:name="_Toc34823680"/>
      <w:bookmarkStart w:id="835" w:name="_Toc107101775"/>
      <w:bookmarkEnd w:id="833"/>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834"/>
      <w:bookmarkEnd w:id="835"/>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77777777"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place">
        <w:smartTag w:uri="urn:schemas-microsoft-com:office:smarttags" w:element="Stat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836" w:name="_Toc30674211"/>
      <w:bookmarkStart w:id="837" w:name="_Toc30691478"/>
      <w:bookmarkStart w:id="838" w:name="_Toc30691858"/>
      <w:bookmarkStart w:id="839" w:name="_Toc30692238"/>
      <w:bookmarkStart w:id="840" w:name="_Toc30692996"/>
      <w:bookmarkStart w:id="841" w:name="_Toc30693375"/>
      <w:bookmarkStart w:id="842" w:name="_Toc30693753"/>
      <w:bookmarkStart w:id="843" w:name="_Toc30694131"/>
      <w:bookmarkStart w:id="844" w:name="_Toc30694512"/>
      <w:bookmarkStart w:id="845" w:name="_Toc30699102"/>
      <w:bookmarkStart w:id="846" w:name="_Toc30699487"/>
      <w:bookmarkStart w:id="847" w:name="_Toc30699872"/>
      <w:bookmarkStart w:id="848" w:name="_Toc30701027"/>
      <w:bookmarkStart w:id="849" w:name="_Toc30701414"/>
      <w:bookmarkStart w:id="850" w:name="_Toc30744021"/>
      <w:bookmarkStart w:id="851" w:name="_Toc30754844"/>
      <w:bookmarkStart w:id="852" w:name="_Toc30757300"/>
      <w:bookmarkStart w:id="853" w:name="_Toc30757848"/>
      <w:bookmarkStart w:id="854" w:name="_Toc30758248"/>
      <w:bookmarkStart w:id="855" w:name="_Toc30763008"/>
      <w:bookmarkStart w:id="856" w:name="_Toc30767662"/>
      <w:bookmarkStart w:id="857" w:name="_Toc34823681"/>
      <w:bookmarkStart w:id="858"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859" w:name="_11.6.3_Goal"/>
      <w:bookmarkEnd w:id="859"/>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860" w:name="_Toc30674212"/>
      <w:bookmarkStart w:id="861" w:name="_Toc30691479"/>
      <w:bookmarkStart w:id="862" w:name="_Toc30691859"/>
      <w:bookmarkStart w:id="863" w:name="_Toc30692239"/>
      <w:bookmarkStart w:id="864" w:name="_Toc30692997"/>
      <w:bookmarkStart w:id="865" w:name="_Toc30693376"/>
      <w:bookmarkStart w:id="866" w:name="_Toc30693754"/>
      <w:bookmarkStart w:id="867" w:name="_Toc30694132"/>
      <w:bookmarkStart w:id="868" w:name="_Toc30694513"/>
      <w:bookmarkStart w:id="869" w:name="_Toc30699103"/>
      <w:bookmarkStart w:id="870" w:name="_Toc30699488"/>
      <w:bookmarkStart w:id="871" w:name="_Toc30699873"/>
      <w:bookmarkStart w:id="872" w:name="_Toc30701028"/>
      <w:bookmarkStart w:id="873" w:name="_Toc30701415"/>
      <w:bookmarkStart w:id="874" w:name="_Toc30744022"/>
      <w:bookmarkStart w:id="875" w:name="_Toc30754845"/>
      <w:bookmarkStart w:id="876" w:name="_Toc30757301"/>
      <w:bookmarkStart w:id="877" w:name="_Toc30757849"/>
      <w:bookmarkStart w:id="878" w:name="_Toc30758249"/>
      <w:bookmarkStart w:id="879" w:name="_Toc30763009"/>
      <w:bookmarkStart w:id="880"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881" w:name="_11.6.4_Consultation_with"/>
      <w:bookmarkStart w:id="882" w:name="_Toc34823682"/>
      <w:bookmarkStart w:id="883" w:name="_Toc107101777"/>
      <w:bookmarkEnd w:id="881"/>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2"/>
      <w:bookmarkEnd w:id="883"/>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884" w:name="_11.6.5_Mechanics"/>
      <w:bookmarkStart w:id="885" w:name="_Toc30674213"/>
      <w:bookmarkStart w:id="886" w:name="_Toc30691480"/>
      <w:bookmarkStart w:id="887" w:name="_Toc30691860"/>
      <w:bookmarkStart w:id="888" w:name="_Toc30692240"/>
      <w:bookmarkStart w:id="889" w:name="_Toc30692998"/>
      <w:bookmarkStart w:id="890" w:name="_Toc30693377"/>
      <w:bookmarkStart w:id="891" w:name="_Toc30693755"/>
      <w:bookmarkStart w:id="892" w:name="_Toc30694133"/>
      <w:bookmarkStart w:id="893" w:name="_Toc30694514"/>
      <w:bookmarkStart w:id="894" w:name="_Toc30699104"/>
      <w:bookmarkStart w:id="895" w:name="_Toc30699489"/>
      <w:bookmarkStart w:id="896" w:name="_Toc30699874"/>
      <w:bookmarkStart w:id="897" w:name="_Toc30701029"/>
      <w:bookmarkStart w:id="898" w:name="_Toc30701416"/>
      <w:bookmarkStart w:id="899" w:name="_Toc30744023"/>
      <w:bookmarkStart w:id="900" w:name="_Toc30754846"/>
      <w:bookmarkStart w:id="901" w:name="_Toc30757302"/>
      <w:bookmarkStart w:id="902" w:name="_Toc30757850"/>
      <w:bookmarkStart w:id="903" w:name="_Toc30758250"/>
      <w:bookmarkStart w:id="904" w:name="_Toc30763010"/>
      <w:bookmarkStart w:id="905" w:name="_Toc30767664"/>
      <w:bookmarkStart w:id="906" w:name="_Toc34823683"/>
      <w:bookmarkStart w:id="907" w:name="_Toc107101778"/>
      <w:bookmarkEnd w:id="884"/>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20443E">
      <w:pPr>
        <w:keepNext/>
        <w:keepLines/>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EB0E10">
      <w:pPr>
        <w:keepNext/>
        <w:keepLines/>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908" w:name="_11.6.6_Conference_Outcomes"/>
      <w:bookmarkStart w:id="909" w:name="_Toc30674214"/>
      <w:bookmarkStart w:id="910" w:name="_Toc30691481"/>
      <w:bookmarkStart w:id="911" w:name="_Toc30691861"/>
      <w:bookmarkStart w:id="912" w:name="_Toc30692241"/>
      <w:bookmarkStart w:id="913" w:name="_Toc30692999"/>
      <w:bookmarkStart w:id="914" w:name="_Toc30693378"/>
      <w:bookmarkStart w:id="915" w:name="_Toc30693756"/>
      <w:bookmarkStart w:id="916" w:name="_Toc30694134"/>
      <w:bookmarkStart w:id="917" w:name="_Toc30694515"/>
      <w:bookmarkStart w:id="918" w:name="_Toc30699105"/>
      <w:bookmarkStart w:id="919" w:name="_Toc30699490"/>
      <w:bookmarkStart w:id="920" w:name="_Toc30699875"/>
      <w:bookmarkStart w:id="921" w:name="_Toc30701030"/>
      <w:bookmarkStart w:id="922" w:name="_Toc30701417"/>
      <w:bookmarkStart w:id="923" w:name="_Toc30744024"/>
      <w:bookmarkStart w:id="924" w:name="_Toc30754847"/>
      <w:bookmarkStart w:id="925" w:name="_Toc30757303"/>
      <w:bookmarkStart w:id="926" w:name="_Toc30757851"/>
      <w:bookmarkStart w:id="927" w:name="_Toc30758251"/>
      <w:bookmarkStart w:id="928" w:name="_Toc30763011"/>
      <w:bookmarkStart w:id="929" w:name="_Toc30767665"/>
      <w:bookmarkStart w:id="930" w:name="_Toc34823684"/>
      <w:bookmarkStart w:id="931" w:name="_Toc107101779"/>
      <w:bookmarkEnd w:id="908"/>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932" w:name="_Toc30674215"/>
      <w:bookmarkStart w:id="933" w:name="_Toc30691482"/>
      <w:bookmarkStart w:id="934" w:name="_Toc30691862"/>
      <w:bookmarkStart w:id="935" w:name="_Toc30692242"/>
      <w:bookmarkStart w:id="936" w:name="_Toc30693000"/>
      <w:bookmarkStart w:id="937" w:name="_Toc30693379"/>
      <w:bookmarkStart w:id="938" w:name="_Toc30693757"/>
      <w:bookmarkStart w:id="939" w:name="_Toc30694135"/>
      <w:bookmarkStart w:id="940" w:name="_Toc30694516"/>
      <w:bookmarkStart w:id="941" w:name="_Toc30699106"/>
      <w:bookmarkStart w:id="942" w:name="_Toc30699491"/>
      <w:bookmarkStart w:id="943" w:name="_Toc30699876"/>
      <w:bookmarkStart w:id="944" w:name="_Toc30701031"/>
      <w:bookmarkStart w:id="945" w:name="_Toc30701418"/>
      <w:bookmarkStart w:id="946" w:name="_Toc30744025"/>
      <w:bookmarkStart w:id="947" w:name="_Toc30754848"/>
      <w:bookmarkStart w:id="948" w:name="_Toc30757304"/>
      <w:bookmarkStart w:id="949" w:name="_Toc30757852"/>
      <w:bookmarkStart w:id="950" w:name="_Toc30758252"/>
      <w:bookmarkStart w:id="951" w:name="_Toc30763012"/>
      <w:bookmarkStart w:id="952" w:name="_Toc30767666"/>
      <w:bookmarkStart w:id="953" w:name="_Toc34823685"/>
    </w:p>
    <w:p w14:paraId="290CC1E6" w14:textId="77777777" w:rsidR="00DA526C" w:rsidRPr="009D021F" w:rsidRDefault="00DA526C" w:rsidP="009D021F">
      <w:pPr>
        <w:jc w:val="both"/>
        <w:rPr>
          <w:rFonts w:ascii="Arial" w:hAnsi="Arial" w:cs="Arial"/>
          <w:sz w:val="20"/>
          <w:szCs w:val="20"/>
        </w:rPr>
      </w:pPr>
      <w:r w:rsidRPr="009D021F">
        <w:rPr>
          <w:rFonts w:ascii="Arial" w:hAnsi="Arial" w:cs="Arial"/>
          <w:sz w:val="20"/>
          <w:szCs w:val="20"/>
        </w:rPr>
        <w:t>In 2019/2020 there were 186 group conferences conducted across Victoria.  Of these 49% were ultimately sentenced to a non-supervisory order, 47% to a supervisory order and 4% to YJC detention.</w:t>
      </w:r>
    </w:p>
    <w:p w14:paraId="4EAFB587" w14:textId="77777777" w:rsidR="00CB034C" w:rsidRDefault="00CB034C" w:rsidP="00CB034C">
      <w:pPr>
        <w:jc w:val="both"/>
        <w:rPr>
          <w:rFonts w:ascii="Arial" w:hAnsi="Arial" w:cs="Arial"/>
          <w:color w:val="000000"/>
          <w:sz w:val="22"/>
        </w:rPr>
      </w:pPr>
      <w:bookmarkStart w:id="954" w:name="_11.7_Criminal_Division"/>
      <w:bookmarkStart w:id="955" w:name="_Toc107101780"/>
      <w:bookmarkEnd w:id="954"/>
    </w:p>
    <w:p w14:paraId="45D3E684" w14:textId="77777777" w:rsidR="00CB034C" w:rsidRPr="001E6BE9" w:rsidRDefault="00CB034C" w:rsidP="00CB034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D3F3410" w14:textId="77777777" w:rsidR="00CB034C" w:rsidRPr="00102D2A" w:rsidRDefault="00CB034C" w:rsidP="00CB034C">
      <w:pPr>
        <w:rPr>
          <w:rFonts w:ascii="Arial" w:hAnsi="Arial" w:cs="Arial"/>
          <w:color w:val="000000"/>
          <w:sz w:val="20"/>
        </w:rPr>
      </w:pPr>
    </w:p>
    <w:p w14:paraId="2CBD290C" w14:textId="77777777" w:rsidR="00CB034C" w:rsidRDefault="00CB034C" w:rsidP="00CB034C">
      <w:pPr>
        <w:rPr>
          <w:rFonts w:ascii="Arial" w:hAnsi="Arial" w:cs="Arial"/>
          <w:b/>
          <w:bCs/>
          <w:color w:val="000000"/>
          <w:kern w:val="28"/>
          <w:sz w:val="20"/>
          <w:szCs w:val="20"/>
          <w:lang w:val="en-GB"/>
        </w:rPr>
      </w:pPr>
      <w:r>
        <w:rPr>
          <w:rFonts w:ascii="Arial" w:hAnsi="Arial" w:cs="Arial"/>
          <w:b/>
          <w:bCs/>
          <w:color w:val="000000"/>
          <w:sz w:val="20"/>
        </w:rPr>
        <w:br w:type="page"/>
      </w:r>
    </w:p>
    <w:p w14:paraId="230FCA2E" w14:textId="77777777" w:rsidR="00BF52E5" w:rsidRPr="001C6E0E" w:rsidRDefault="00BF52E5" w:rsidP="00674335">
      <w:pPr>
        <w:pStyle w:val="Heading2"/>
        <w:keepNext/>
        <w:keepLines/>
        <w:widowControl/>
        <w:tabs>
          <w:tab w:val="left" w:pos="567"/>
        </w:tabs>
        <w:spacing w:line="240" w:lineRule="auto"/>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5"/>
    </w:p>
    <w:p w14:paraId="41AB39B1" w14:textId="77777777" w:rsidR="00E22CE5" w:rsidRPr="001C6E0E" w:rsidRDefault="001F197D" w:rsidP="00544E42">
      <w:pPr>
        <w:pStyle w:val="Heading3"/>
        <w:keepNext/>
        <w:keepLines/>
        <w:widowControl/>
        <w:spacing w:before="120" w:after="120" w:line="240" w:lineRule="auto"/>
        <w:rPr>
          <w:rFonts w:ascii="Arial" w:hAnsi="Arial" w:cs="Arial"/>
          <w:b/>
          <w:bCs/>
          <w:color w:val="000000"/>
          <w:sz w:val="20"/>
        </w:rPr>
      </w:pPr>
      <w:bookmarkStart w:id="956" w:name="_11.7.1_Victorian_statistics"/>
      <w:bookmarkEnd w:id="956"/>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604254DE" w:rsidR="007D22D7" w:rsidRPr="001C6E0E" w:rsidRDefault="0046639A" w:rsidP="00AF6313">
      <w:pPr>
        <w:spacing w:before="120"/>
        <w:jc w:val="both"/>
        <w:rPr>
          <w:rFonts w:ascii="Arial" w:hAnsi="Arial" w:cs="Arial"/>
          <w:color w:val="000000"/>
          <w:sz w:val="20"/>
        </w:rPr>
      </w:pPr>
      <w:r>
        <w:rPr>
          <w:rFonts w:ascii="Arial" w:hAnsi="Arial" w:cs="Arial"/>
          <w:color w:val="000000"/>
          <w:sz w:val="20"/>
        </w:rPr>
        <w:t>Table</w:t>
      </w:r>
      <w:r w:rsidR="00BF52E5"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BF52E5" w:rsidRPr="001C6E0E">
        <w:rPr>
          <w:rFonts w:ascii="Arial" w:hAnsi="Arial" w:cs="Arial"/>
          <w:color w:val="000000"/>
          <w:sz w:val="20"/>
        </w:rPr>
        <w:t xml:space="preserve"> </w:t>
      </w:r>
      <w:r w:rsidR="007D22D7" w:rsidRPr="001C6E0E">
        <w:rPr>
          <w:rFonts w:ascii="Arial" w:hAnsi="Arial" w:cs="Arial"/>
          <w:color w:val="000000"/>
          <w:sz w:val="20"/>
        </w:rPr>
        <w:t xml:space="preserve">sets out </w:t>
      </w:r>
      <w:r w:rsidR="00AF6313">
        <w:rPr>
          <w:rFonts w:ascii="Arial" w:hAnsi="Arial" w:cs="Arial"/>
          <w:color w:val="000000"/>
          <w:sz w:val="20"/>
        </w:rPr>
        <w:t xml:space="preserve">the numbers of </w:t>
      </w:r>
      <w:r w:rsidR="007D22D7" w:rsidRPr="001C6E0E">
        <w:rPr>
          <w:rFonts w:ascii="Arial" w:hAnsi="Arial" w:cs="Arial"/>
          <w:color w:val="000000"/>
          <w:sz w:val="20"/>
        </w:rPr>
        <w:t>sentenc</w:t>
      </w:r>
      <w:r w:rsidR="00AF6313">
        <w:rPr>
          <w:rFonts w:ascii="Arial" w:hAnsi="Arial" w:cs="Arial"/>
          <w:color w:val="000000"/>
          <w:sz w:val="20"/>
        </w:rPr>
        <w:t>ing orders</w:t>
      </w:r>
      <w:r w:rsidR="007D22D7" w:rsidRPr="001C6E0E">
        <w:rPr>
          <w:rFonts w:ascii="Arial" w:hAnsi="Arial" w:cs="Arial"/>
          <w:color w:val="000000"/>
          <w:sz w:val="20"/>
        </w:rPr>
        <w:t xml:space="preserve"> </w:t>
      </w:r>
      <w:r w:rsidR="00AF6313">
        <w:rPr>
          <w:rFonts w:ascii="Arial" w:hAnsi="Arial" w:cs="Arial"/>
          <w:color w:val="000000"/>
          <w:sz w:val="20"/>
        </w:rPr>
        <w:t>made by</w:t>
      </w:r>
      <w:r w:rsidR="00033A63" w:rsidRPr="001C6E0E">
        <w:rPr>
          <w:rFonts w:ascii="Arial" w:hAnsi="Arial" w:cs="Arial"/>
          <w:color w:val="000000"/>
          <w:sz w:val="20"/>
        </w:rPr>
        <w:t xml:space="preserve"> the Criminal Division of the Children’s Court </w:t>
      </w:r>
      <w:r w:rsidR="00AF6313">
        <w:rPr>
          <w:rFonts w:ascii="Arial" w:hAnsi="Arial" w:cs="Arial"/>
          <w:color w:val="000000"/>
          <w:sz w:val="20"/>
        </w:rPr>
        <w:t>for</w:t>
      </w:r>
      <w:r w:rsidR="00033A63" w:rsidRPr="001C6E0E">
        <w:rPr>
          <w:rFonts w:ascii="Arial" w:hAnsi="Arial" w:cs="Arial"/>
          <w:color w:val="000000"/>
          <w:sz w:val="20"/>
        </w:rPr>
        <w:t xml:space="preserve">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1B76BC">
        <w:rPr>
          <w:rFonts w:ascii="Arial" w:hAnsi="Arial" w:cs="Arial"/>
          <w:color w:val="000000"/>
          <w:sz w:val="20"/>
        </w:rPr>
        <w:t>4</w:t>
      </w:r>
      <w:r w:rsidR="00F10968" w:rsidRPr="001C6E0E">
        <w:rPr>
          <w:rFonts w:ascii="Arial" w:hAnsi="Arial" w:cs="Arial"/>
          <w:color w:val="000000"/>
          <w:sz w:val="20"/>
        </w:rPr>
        <w:t xml:space="preserve">.  </w:t>
      </w:r>
      <w:r w:rsidR="0032394B" w:rsidRPr="001C6E0E">
        <w:rPr>
          <w:rFonts w:ascii="Arial" w:hAnsi="Arial" w:cs="Arial"/>
          <w:color w:val="000000"/>
          <w:sz w:val="20"/>
        </w:rPr>
        <w:t xml:space="preserve">The number of </w:t>
      </w:r>
      <w:r w:rsidR="00AF6313">
        <w:rPr>
          <w:rFonts w:ascii="Arial" w:hAnsi="Arial" w:cs="Arial"/>
          <w:color w:val="000000"/>
          <w:sz w:val="20"/>
        </w:rPr>
        <w:t>detention orders</w:t>
      </w:r>
      <w:r w:rsidR="0032394B" w:rsidRPr="001C6E0E">
        <w:rPr>
          <w:rFonts w:ascii="Arial" w:hAnsi="Arial" w:cs="Arial"/>
          <w:color w:val="000000"/>
          <w:sz w:val="20"/>
        </w:rPr>
        <w:t xml:space="preserve"> is a very small percentage of  the total.</w:t>
      </w:r>
      <w:r w:rsidR="0032394B">
        <w:rPr>
          <w:rFonts w:ascii="Arial" w:hAnsi="Arial" w:cs="Arial"/>
          <w:color w:val="000000"/>
          <w:sz w:val="20"/>
        </w:rPr>
        <w:t xml:space="preserve">  </w:t>
      </w:r>
      <w:r w:rsidR="000E3105">
        <w:rPr>
          <w:rFonts w:ascii="Arial" w:hAnsi="Arial" w:cs="Arial"/>
          <w:color w:val="000000"/>
          <w:sz w:val="20"/>
        </w:rPr>
        <w:t xml:space="preserve">The </w:t>
      </w:r>
      <w:r>
        <w:rPr>
          <w:rFonts w:ascii="Arial" w:hAnsi="Arial" w:cs="Arial"/>
          <w:color w:val="000000"/>
          <w:sz w:val="20"/>
        </w:rPr>
        <w:t>table</w:t>
      </w:r>
      <w:r w:rsidR="000E3105">
        <w:rPr>
          <w:rFonts w:ascii="Arial" w:hAnsi="Arial" w:cs="Arial"/>
          <w:color w:val="000000"/>
          <w:sz w:val="20"/>
        </w:rPr>
        <w:t xml:space="preserve"> does not include charges which were dealt with by diversion, no plea being entered and no formal finding of guilt being made in such cases.  The limitation</w:t>
      </w:r>
      <w:r w:rsidR="0032394B">
        <w:rPr>
          <w:rFonts w:ascii="Arial" w:hAnsi="Arial" w:cs="Arial"/>
          <w:color w:val="000000"/>
          <w:sz w:val="20"/>
        </w:rPr>
        <w:t>s</w:t>
      </w:r>
      <w:r w:rsidR="000E3105">
        <w:rPr>
          <w:rFonts w:ascii="Arial" w:hAnsi="Arial" w:cs="Arial"/>
          <w:color w:val="000000"/>
          <w:sz w:val="20"/>
        </w:rPr>
        <w:t xml:space="preserve"> of these statistics are detailed in </w:t>
      </w:r>
      <w:r w:rsidR="000E3105" w:rsidRPr="00E94F6B">
        <w:rPr>
          <w:rFonts w:ascii="Arial" w:hAnsi="Arial" w:cs="Arial"/>
          <w:b/>
          <w:bCs/>
          <w:color w:val="000000"/>
          <w:sz w:val="20"/>
          <w:shd w:val="clear" w:color="auto" w:fill="C5E0B3" w:themeFill="accent6" w:themeFillTint="66"/>
        </w:rPr>
        <w:t>section 7.5.7</w:t>
      </w:r>
      <w:r w:rsidR="000E3105">
        <w:rPr>
          <w:rFonts w:ascii="Arial" w:hAnsi="Arial" w:cs="Arial"/>
          <w:color w:val="000000"/>
          <w:sz w:val="20"/>
        </w:rPr>
        <w:t xml:space="preserve"> of these Research Materials.</w:t>
      </w:r>
      <w:r w:rsidR="0032394B">
        <w:rPr>
          <w:rFonts w:ascii="Arial" w:hAnsi="Arial" w:cs="Arial"/>
          <w:color w:val="000000"/>
          <w:sz w:val="20"/>
        </w:rPr>
        <w:t xml:space="preserve">  For instance, t</w:t>
      </w:r>
      <w:r w:rsidR="00F10968" w:rsidRPr="001C6E0E">
        <w:rPr>
          <w:rFonts w:ascii="Arial" w:hAnsi="Arial" w:cs="Arial"/>
          <w:color w:val="000000"/>
          <w:sz w:val="20"/>
        </w:rPr>
        <w:t xml:space="preserve">he </w:t>
      </w:r>
      <w:r w:rsidR="00604AB4">
        <w:rPr>
          <w:rFonts w:ascii="Arial" w:hAnsi="Arial" w:cs="Arial"/>
          <w:color w:val="000000"/>
          <w:sz w:val="20"/>
        </w:rPr>
        <w:t>table</w:t>
      </w:r>
      <w:r w:rsidR="00F10968" w:rsidRPr="001C6E0E">
        <w:rPr>
          <w:rFonts w:ascii="Arial" w:hAnsi="Arial" w:cs="Arial"/>
          <w:color w:val="000000"/>
          <w:sz w:val="20"/>
        </w:rPr>
        <w:t xml:space="preserve"> contains a count of sentencing orders, not of individual charges</w:t>
      </w:r>
      <w:r w:rsidR="0032394B">
        <w:rPr>
          <w:rFonts w:ascii="Arial" w:hAnsi="Arial" w:cs="Arial"/>
          <w:color w:val="000000"/>
          <w:sz w:val="20"/>
        </w:rPr>
        <w:t xml:space="preserve"> and </w:t>
      </w:r>
      <w:r w:rsidR="004B0741" w:rsidRPr="001C6E0E">
        <w:rPr>
          <w:rFonts w:ascii="Arial" w:hAnsi="Arial" w:cs="Arial"/>
          <w:color w:val="000000"/>
          <w:sz w:val="20"/>
        </w:rPr>
        <w:t>includes only the most intensive sentencing order made in a particular case</w:t>
      </w:r>
      <w:r w:rsidR="00AF6313">
        <w:rPr>
          <w:rFonts w:ascii="Arial" w:hAnsi="Arial" w:cs="Arial"/>
          <w:color w:val="000000"/>
          <w:sz w:val="20"/>
        </w:rPr>
        <w:t xml:space="preserve"> or supercase</w:t>
      </w:r>
      <w:r w:rsidR="004B0741" w:rsidRPr="001C6E0E">
        <w:rPr>
          <w:rFonts w:ascii="Arial" w:hAnsi="Arial" w:cs="Arial"/>
          <w:color w:val="000000"/>
          <w:sz w:val="20"/>
        </w:rPr>
        <w:t xml:space="preserve">, not </w:t>
      </w:r>
      <w:r w:rsidR="00AF6313">
        <w:rPr>
          <w:rFonts w:ascii="Arial" w:hAnsi="Arial" w:cs="Arial"/>
          <w:color w:val="000000"/>
          <w:sz w:val="20"/>
        </w:rPr>
        <w:t xml:space="preserve">of </w:t>
      </w:r>
      <w:r w:rsidR="004B0741" w:rsidRPr="001C6E0E">
        <w:rPr>
          <w:rFonts w:ascii="Arial" w:hAnsi="Arial" w:cs="Arial"/>
          <w:color w:val="000000"/>
          <w:sz w:val="20"/>
        </w:rPr>
        <w:t xml:space="preserve">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p>
    <w:p w14:paraId="1A3D3B9C" w14:textId="77777777" w:rsidR="007D22D7" w:rsidRPr="001C6E0E" w:rsidRDefault="007D22D7" w:rsidP="008B53FC">
      <w:pPr>
        <w:jc w:val="both"/>
        <w:rPr>
          <w:rFonts w:ascii="Arial" w:hAnsi="Arial" w:cs="Arial"/>
          <w:color w:val="000000"/>
          <w:sz w:val="20"/>
        </w:rPr>
      </w:pPr>
    </w:p>
    <w:p w14:paraId="3A2497AE" w14:textId="202BAE0B" w:rsidR="009F5B7C" w:rsidRPr="001C6E0E" w:rsidRDefault="00D02E0F" w:rsidP="00544E42">
      <w:pPr>
        <w:spacing w:after="120"/>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w:t>
      </w:r>
      <w:r w:rsidR="0046639A">
        <w:rPr>
          <w:rFonts w:ascii="Arial" w:hAnsi="Arial" w:cs="Arial"/>
          <w:color w:val="000000"/>
          <w:sz w:val="20"/>
        </w:rPr>
        <w:t>table</w:t>
      </w:r>
      <w:r w:rsidR="009F5B7C"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w:t>
      </w:r>
      <w:r w:rsidR="002A6AB3">
        <w:rPr>
          <w:rFonts w:ascii="Arial" w:hAnsi="Arial" w:cs="Arial"/>
          <w:color w:val="000000"/>
          <w:sz w:val="20"/>
        </w:rPr>
        <w:t>we</w:t>
      </w:r>
      <w:r w:rsidR="009F5B7C" w:rsidRPr="001C6E0E">
        <w:rPr>
          <w:rFonts w:ascii="Arial" w:hAnsi="Arial" w:cs="Arial"/>
          <w:color w:val="000000"/>
          <w:sz w:val="20"/>
        </w:rPr>
        <w:t xml:space="preserve">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 xml:space="preserve">as to which see </w:t>
      </w:r>
      <w:r w:rsidR="00AF6313" w:rsidRPr="00E94F6B">
        <w:rPr>
          <w:rFonts w:ascii="Arial" w:hAnsi="Arial" w:cs="Arial"/>
          <w:b/>
          <w:bCs/>
          <w:color w:val="000000"/>
          <w:sz w:val="20"/>
          <w:szCs w:val="20"/>
          <w:shd w:val="clear" w:color="auto" w:fill="C5E0B3" w:themeFill="accent6" w:themeFillTint="66"/>
        </w:rPr>
        <w:t>Part</w:t>
      </w:r>
      <w:r w:rsidR="00791889" w:rsidRPr="00E94F6B">
        <w:rPr>
          <w:rFonts w:ascii="Arial" w:hAnsi="Arial" w:cs="Arial"/>
          <w:b/>
          <w:bCs/>
          <w:color w:val="000000"/>
          <w:sz w:val="20"/>
          <w:szCs w:val="20"/>
          <w:shd w:val="clear" w:color="auto" w:fill="C5E0B3" w:themeFill="accent6" w:themeFillTint="66"/>
        </w:rPr>
        <w:t xml:space="preserve"> 7</w:t>
      </w:r>
      <w:r w:rsidR="009769F7" w:rsidRPr="00E94F6B">
        <w:rPr>
          <w:rFonts w:ascii="Arial" w:hAnsi="Arial" w:cs="Arial"/>
          <w:b/>
          <w:bCs/>
          <w:color w:val="000000"/>
          <w:sz w:val="20"/>
          <w:szCs w:val="20"/>
          <w:shd w:val="clear" w:color="auto" w:fill="C5E0B3" w:themeFill="accent6" w:themeFillTint="66"/>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w:t>
      </w:r>
      <w:r w:rsidR="0046639A">
        <w:rPr>
          <w:rFonts w:ascii="Arial" w:hAnsi="Arial" w:cs="Arial"/>
          <w:color w:val="000000"/>
          <w:sz w:val="20"/>
        </w:rPr>
        <w:t>table</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1</w:t>
      </w:r>
      <w:r w:rsidR="00C16D20" w:rsidRPr="001C6E0E">
        <w:rPr>
          <w:rFonts w:ascii="Arial" w:hAnsi="Arial" w:cs="Arial"/>
          <w:color w:val="000000"/>
          <w:sz w:val="20"/>
        </w:rPr>
        <w:t xml:space="preserve"> or </w:t>
      </w:r>
      <w:r w:rsidR="00563DEC" w:rsidRPr="00A81683">
        <w:rPr>
          <w:rFonts w:ascii="Arial" w:hAnsi="Arial" w:cs="Arial"/>
          <w:b/>
          <w:bCs/>
          <w:color w:val="FFFFFF" w:themeColor="background1"/>
          <w:sz w:val="20"/>
          <w:bdr w:val="single" w:sz="4" w:space="0" w:color="000000"/>
          <w:shd w:val="clear" w:color="auto" w:fill="000000" w:themeFill="text1"/>
        </w:rPr>
        <w:t>2</w:t>
      </w:r>
      <w:r w:rsidR="003B7DD4" w:rsidRPr="001C6E0E">
        <w:rPr>
          <w:rFonts w:ascii="Arial" w:hAnsi="Arial" w:cs="Arial"/>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913"/>
        <w:gridCol w:w="931"/>
        <w:gridCol w:w="917"/>
        <w:gridCol w:w="917"/>
        <w:gridCol w:w="917"/>
        <w:gridCol w:w="917"/>
        <w:gridCol w:w="917"/>
        <w:gridCol w:w="927"/>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bookmarkStart w:id="957" w:name="_Hlk147729154"/>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544E42">
        <w:trPr>
          <w:trHeight w:val="284"/>
        </w:trPr>
        <w:tc>
          <w:tcPr>
            <w:tcW w:w="1033"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1"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7"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544E42">
        <w:tc>
          <w:tcPr>
            <w:tcW w:w="1033" w:type="pct"/>
            <w:tcBorders>
              <w:top w:val="single" w:sz="18" w:space="0" w:color="auto"/>
              <w:left w:val="single" w:sz="18" w:space="0" w:color="auto"/>
            </w:tcBorders>
            <w:shd w:val="clear" w:color="auto" w:fill="auto"/>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1" w:type="pct"/>
            <w:tcBorders>
              <w:top w:val="single" w:sz="18" w:space="0" w:color="auto"/>
              <w:left w:val="single" w:sz="18" w:space="0" w:color="auto"/>
            </w:tcBorders>
            <w:shd w:val="clear" w:color="auto" w:fill="auto"/>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7"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544E42">
        <w:tc>
          <w:tcPr>
            <w:tcW w:w="1033" w:type="pct"/>
            <w:tcBorders>
              <w:left w:val="single" w:sz="18" w:space="0" w:color="auto"/>
            </w:tcBorders>
            <w:shd w:val="clear" w:color="auto" w:fill="auto"/>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1" w:type="pct"/>
            <w:tcBorders>
              <w:left w:val="single" w:sz="18" w:space="0" w:color="auto"/>
            </w:tcBorders>
            <w:shd w:val="clear" w:color="auto" w:fill="auto"/>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7"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544E42">
        <w:tc>
          <w:tcPr>
            <w:tcW w:w="1033" w:type="pct"/>
            <w:tcBorders>
              <w:left w:val="single" w:sz="18" w:space="0" w:color="auto"/>
            </w:tcBorders>
            <w:shd w:val="clear" w:color="auto" w:fill="auto"/>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1" w:type="pct"/>
            <w:tcBorders>
              <w:left w:val="single" w:sz="18" w:space="0" w:color="auto"/>
            </w:tcBorders>
            <w:shd w:val="clear" w:color="auto" w:fill="auto"/>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7"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544E42">
        <w:tc>
          <w:tcPr>
            <w:tcW w:w="1033" w:type="pct"/>
            <w:tcBorders>
              <w:left w:val="single" w:sz="18" w:space="0" w:color="auto"/>
            </w:tcBorders>
            <w:shd w:val="clear" w:color="auto" w:fill="auto"/>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1" w:type="pct"/>
            <w:tcBorders>
              <w:left w:val="single" w:sz="18" w:space="0" w:color="auto"/>
            </w:tcBorders>
            <w:shd w:val="clear" w:color="auto" w:fill="auto"/>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7"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544E42">
        <w:tc>
          <w:tcPr>
            <w:tcW w:w="1033" w:type="pct"/>
            <w:tcBorders>
              <w:left w:val="single" w:sz="18" w:space="0" w:color="auto"/>
            </w:tcBorders>
            <w:shd w:val="clear" w:color="auto" w:fill="auto"/>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1" w:type="pct"/>
            <w:tcBorders>
              <w:left w:val="single" w:sz="18" w:space="0" w:color="auto"/>
            </w:tcBorders>
            <w:shd w:val="clear" w:color="auto" w:fill="auto"/>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7"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544E42">
        <w:tc>
          <w:tcPr>
            <w:tcW w:w="1033" w:type="pct"/>
            <w:tcBorders>
              <w:left w:val="single" w:sz="18" w:space="0" w:color="auto"/>
            </w:tcBorders>
            <w:shd w:val="clear" w:color="auto" w:fill="auto"/>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1" w:type="pct"/>
            <w:tcBorders>
              <w:left w:val="single" w:sz="18" w:space="0" w:color="auto"/>
            </w:tcBorders>
            <w:shd w:val="clear" w:color="auto" w:fill="auto"/>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7"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544E42">
        <w:tc>
          <w:tcPr>
            <w:tcW w:w="1033" w:type="pct"/>
            <w:tcBorders>
              <w:left w:val="single" w:sz="18" w:space="0" w:color="auto"/>
            </w:tcBorders>
            <w:shd w:val="clear" w:color="auto" w:fill="auto"/>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1" w:type="pct"/>
            <w:tcBorders>
              <w:left w:val="single" w:sz="18" w:space="0" w:color="auto"/>
            </w:tcBorders>
            <w:shd w:val="clear" w:color="auto" w:fill="auto"/>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7"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544E42">
        <w:tc>
          <w:tcPr>
            <w:tcW w:w="1033" w:type="pct"/>
            <w:tcBorders>
              <w:left w:val="single" w:sz="18" w:space="0" w:color="auto"/>
            </w:tcBorders>
            <w:shd w:val="clear" w:color="auto" w:fill="auto"/>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1" w:type="pct"/>
            <w:tcBorders>
              <w:left w:val="single" w:sz="18" w:space="0" w:color="auto"/>
            </w:tcBorders>
            <w:shd w:val="clear" w:color="auto" w:fill="auto"/>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7"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544E42">
        <w:tc>
          <w:tcPr>
            <w:tcW w:w="1033" w:type="pct"/>
            <w:tcBorders>
              <w:left w:val="single" w:sz="18" w:space="0" w:color="auto"/>
              <w:bottom w:val="single" w:sz="18" w:space="0" w:color="auto"/>
            </w:tcBorders>
            <w:shd w:val="clear" w:color="auto" w:fill="auto"/>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1" w:type="pct"/>
            <w:tcBorders>
              <w:left w:val="single" w:sz="18" w:space="0" w:color="auto"/>
              <w:bottom w:val="single" w:sz="18" w:space="0" w:color="auto"/>
            </w:tcBorders>
            <w:shd w:val="clear" w:color="auto" w:fill="auto"/>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7"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544E42">
        <w:tc>
          <w:tcPr>
            <w:tcW w:w="1033"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1"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7"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Pr="00CE3766" w:rsidRDefault="007F6EE8" w:rsidP="007F6EE8">
      <w:pPr>
        <w:jc w:val="both"/>
        <w:rPr>
          <w:rFonts w:ascii="Arial" w:hAnsi="Arial" w:cs="Arial"/>
          <w:color w:val="000000"/>
          <w:sz w:val="8"/>
          <w:szCs w:val="1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06724B">
            <w:pPr>
              <w:keepNext/>
              <w:keepLines/>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06724B">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06724B">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shd w:val="clear" w:color="auto" w:fill="auto"/>
          </w:tcPr>
          <w:p w14:paraId="03A7CF76"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57CE86BB"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shd w:val="clear" w:color="auto" w:fill="auto"/>
          </w:tcPr>
          <w:p w14:paraId="3370C297"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07E5DBA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shd w:val="clear" w:color="auto" w:fill="auto"/>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shd w:val="clear" w:color="auto" w:fill="auto"/>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shd w:val="clear" w:color="auto" w:fill="auto"/>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shd w:val="clear" w:color="auto" w:fill="auto"/>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shd w:val="clear" w:color="auto" w:fill="auto"/>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shd w:val="clear" w:color="auto" w:fill="auto"/>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shd w:val="clear" w:color="auto" w:fill="auto"/>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shd w:val="clear" w:color="auto" w:fill="auto"/>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lastRenderedPageBreak/>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6A672B72" w14:textId="77777777" w:rsidR="00544E42" w:rsidRPr="00A81683" w:rsidRDefault="00544E42" w:rsidP="00544E42">
      <w:pPr>
        <w:jc w:val="both"/>
        <w:rPr>
          <w:rFonts w:ascii="Arial" w:hAnsi="Arial" w:cs="Arial"/>
          <w:color w:val="000000"/>
          <w:sz w:val="12"/>
          <w:szCs w:val="16"/>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A81683" w:rsidRPr="001C6E0E" w14:paraId="393156DD" w14:textId="77777777" w:rsidTr="00A81683">
        <w:trPr>
          <w:trHeight w:val="284"/>
        </w:trPr>
        <w:tc>
          <w:tcPr>
            <w:tcW w:w="1031" w:type="pct"/>
            <w:tcBorders>
              <w:top w:val="single" w:sz="18" w:space="0" w:color="auto"/>
              <w:left w:val="single" w:sz="18" w:space="0" w:color="auto"/>
              <w:bottom w:val="single" w:sz="18" w:space="0" w:color="auto"/>
            </w:tcBorders>
            <w:shd w:val="clear" w:color="auto" w:fill="DDDDDD"/>
          </w:tcPr>
          <w:p w14:paraId="37591CF3" w14:textId="77777777" w:rsidR="00A81683" w:rsidRPr="001C6E0E" w:rsidRDefault="00A81683" w:rsidP="0095573F">
            <w:pPr>
              <w:spacing w:before="40"/>
              <w:jc w:val="center"/>
              <w:rPr>
                <w:rFonts w:ascii="Arial" w:hAnsi="Arial" w:cs="Arial"/>
                <w:b/>
                <w:color w:val="000000"/>
                <w:sz w:val="18"/>
              </w:rPr>
            </w:pPr>
            <w:bookmarkStart w:id="958" w:name="_Hlk188957658"/>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70B866F9" w14:textId="6EEDB870" w:rsidR="00A81683" w:rsidRPr="001C6E0E" w:rsidRDefault="00A81683" w:rsidP="0095573F">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21/22</w:t>
            </w:r>
          </w:p>
        </w:tc>
        <w:tc>
          <w:tcPr>
            <w:tcW w:w="502" w:type="pct"/>
            <w:tcBorders>
              <w:top w:val="single" w:sz="18" w:space="0" w:color="auto"/>
              <w:bottom w:val="single" w:sz="18" w:space="0" w:color="auto"/>
            </w:tcBorders>
            <w:shd w:val="clear" w:color="auto" w:fill="DDDDDD"/>
          </w:tcPr>
          <w:p w14:paraId="6D535058" w14:textId="4D9AB439" w:rsidR="00A81683" w:rsidRPr="001C6E0E" w:rsidRDefault="00CF4206" w:rsidP="0095573F">
            <w:pPr>
              <w:keepNext/>
              <w:keepLines/>
              <w:spacing w:before="60"/>
              <w:jc w:val="center"/>
              <w:rPr>
                <w:rFonts w:ascii="Arial" w:hAnsi="Arial" w:cs="Arial"/>
                <w:b/>
                <w:color w:val="000000"/>
                <w:sz w:val="18"/>
              </w:rPr>
            </w:pPr>
            <w:r>
              <w:rPr>
                <w:rFonts w:ascii="Arial" w:hAnsi="Arial" w:cs="Arial"/>
                <w:b/>
                <w:color w:val="000000"/>
                <w:sz w:val="18"/>
              </w:rPr>
              <w:t>2022/23</w:t>
            </w:r>
          </w:p>
        </w:tc>
        <w:tc>
          <w:tcPr>
            <w:tcW w:w="494" w:type="pct"/>
            <w:tcBorders>
              <w:top w:val="single" w:sz="18" w:space="0" w:color="auto"/>
              <w:bottom w:val="single" w:sz="18" w:space="0" w:color="auto"/>
            </w:tcBorders>
            <w:shd w:val="clear" w:color="auto" w:fill="DDDDDD"/>
          </w:tcPr>
          <w:p w14:paraId="303E43C5" w14:textId="5FE1C2BE" w:rsidR="00A81683" w:rsidRPr="001C6E0E" w:rsidRDefault="001C6C72" w:rsidP="0095573F">
            <w:pPr>
              <w:keepNext/>
              <w:keepLines/>
              <w:spacing w:before="60"/>
              <w:jc w:val="center"/>
              <w:rPr>
                <w:rFonts w:ascii="Arial" w:hAnsi="Arial" w:cs="Arial"/>
                <w:b/>
                <w:color w:val="000000"/>
                <w:sz w:val="18"/>
              </w:rPr>
            </w:pPr>
            <w:r>
              <w:rPr>
                <w:rFonts w:ascii="Arial" w:hAnsi="Arial" w:cs="Arial"/>
                <w:b/>
                <w:color w:val="000000"/>
                <w:sz w:val="18"/>
              </w:rPr>
              <w:t>2023/24</w:t>
            </w:r>
          </w:p>
        </w:tc>
        <w:tc>
          <w:tcPr>
            <w:tcW w:w="494" w:type="pct"/>
            <w:tcBorders>
              <w:top w:val="single" w:sz="18" w:space="0" w:color="auto"/>
              <w:bottom w:val="single" w:sz="18" w:space="0" w:color="auto"/>
            </w:tcBorders>
            <w:shd w:val="clear" w:color="auto" w:fill="DDDDDD"/>
          </w:tcPr>
          <w:p w14:paraId="5FBAA386" w14:textId="42281CB3"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1620260C" w14:textId="01DE246D"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6A605015" w14:textId="38ADE2AF"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right w:val="single" w:sz="4" w:space="0" w:color="auto"/>
            </w:tcBorders>
            <w:shd w:val="clear" w:color="auto" w:fill="DDDDDD"/>
          </w:tcPr>
          <w:p w14:paraId="0BED188A" w14:textId="2ACA9474" w:rsidR="00A81683" w:rsidRPr="001C6E0E" w:rsidRDefault="00A81683" w:rsidP="0095573F">
            <w:pPr>
              <w:keepNext/>
              <w:keepLines/>
              <w:spacing w:before="60"/>
              <w:jc w:val="center"/>
              <w:rPr>
                <w:rFonts w:ascii="Arial" w:hAnsi="Arial" w:cs="Arial"/>
                <w:b/>
                <w:color w:val="000000"/>
                <w:sz w:val="18"/>
              </w:rPr>
            </w:pPr>
          </w:p>
        </w:tc>
        <w:tc>
          <w:tcPr>
            <w:tcW w:w="503" w:type="pct"/>
            <w:tcBorders>
              <w:top w:val="single" w:sz="18" w:space="0" w:color="auto"/>
              <w:left w:val="single" w:sz="4" w:space="0" w:color="auto"/>
              <w:bottom w:val="single" w:sz="18" w:space="0" w:color="auto"/>
              <w:right w:val="single" w:sz="18" w:space="0" w:color="auto"/>
            </w:tcBorders>
            <w:shd w:val="clear" w:color="auto" w:fill="DDDDDD"/>
          </w:tcPr>
          <w:p w14:paraId="21D3109F" w14:textId="0976BA02" w:rsidR="00A81683" w:rsidRPr="001C6E0E" w:rsidRDefault="00A81683" w:rsidP="0095573F">
            <w:pPr>
              <w:keepNext/>
              <w:keepLines/>
              <w:spacing w:before="60"/>
              <w:jc w:val="center"/>
              <w:rPr>
                <w:rFonts w:ascii="Arial" w:hAnsi="Arial" w:cs="Arial"/>
                <w:b/>
                <w:color w:val="000000"/>
                <w:sz w:val="18"/>
              </w:rPr>
            </w:pPr>
          </w:p>
        </w:tc>
      </w:tr>
      <w:tr w:rsidR="00A81683" w:rsidRPr="001C6E0E" w14:paraId="4AE63CD3" w14:textId="77777777" w:rsidTr="00A81683">
        <w:tc>
          <w:tcPr>
            <w:tcW w:w="1031" w:type="pct"/>
            <w:tcBorders>
              <w:top w:val="single" w:sz="18" w:space="0" w:color="auto"/>
              <w:left w:val="single" w:sz="18" w:space="0" w:color="auto"/>
            </w:tcBorders>
            <w:shd w:val="clear" w:color="auto" w:fill="auto"/>
          </w:tcPr>
          <w:p w14:paraId="34DE317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4B1D0351" w14:textId="113EA0F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10</w:t>
            </w:r>
          </w:p>
        </w:tc>
        <w:tc>
          <w:tcPr>
            <w:tcW w:w="502" w:type="pct"/>
            <w:tcBorders>
              <w:top w:val="single" w:sz="18" w:space="0" w:color="auto"/>
            </w:tcBorders>
          </w:tcPr>
          <w:p w14:paraId="331506C7" w14:textId="2CE10AC0"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48B1DDA7" w14:textId="41D2C220"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4</w:t>
            </w:r>
          </w:p>
        </w:tc>
        <w:tc>
          <w:tcPr>
            <w:tcW w:w="494" w:type="pct"/>
            <w:tcBorders>
              <w:top w:val="single" w:sz="18" w:space="0" w:color="auto"/>
            </w:tcBorders>
          </w:tcPr>
          <w:p w14:paraId="6A9135F1" w14:textId="180748A1"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5FCF5C6E" w14:textId="03B6D49D"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3119C7CC" w14:textId="3247B350"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right w:val="single" w:sz="4" w:space="0" w:color="auto"/>
            </w:tcBorders>
          </w:tcPr>
          <w:p w14:paraId="45129CCC" w14:textId="57F377CC" w:rsidR="00A81683" w:rsidRPr="001C6E0E" w:rsidRDefault="00A81683" w:rsidP="0095573F">
            <w:pPr>
              <w:keepNext/>
              <w:keepLines/>
              <w:jc w:val="right"/>
              <w:rPr>
                <w:rFonts w:ascii="Arial" w:hAnsi="Arial" w:cs="Arial"/>
                <w:color w:val="000000"/>
                <w:sz w:val="20"/>
              </w:rPr>
            </w:pPr>
          </w:p>
        </w:tc>
        <w:tc>
          <w:tcPr>
            <w:tcW w:w="503" w:type="pct"/>
            <w:tcBorders>
              <w:top w:val="single" w:sz="18" w:space="0" w:color="auto"/>
              <w:left w:val="single" w:sz="4" w:space="0" w:color="auto"/>
              <w:right w:val="single" w:sz="18" w:space="0" w:color="auto"/>
            </w:tcBorders>
          </w:tcPr>
          <w:p w14:paraId="76162715" w14:textId="454A8C41" w:rsidR="00A81683" w:rsidRPr="001C6E0E" w:rsidRDefault="00A81683" w:rsidP="0095573F">
            <w:pPr>
              <w:keepNext/>
              <w:keepLines/>
              <w:jc w:val="right"/>
              <w:rPr>
                <w:rFonts w:ascii="Arial" w:hAnsi="Arial" w:cs="Arial"/>
                <w:color w:val="000000"/>
                <w:sz w:val="20"/>
              </w:rPr>
            </w:pPr>
          </w:p>
        </w:tc>
      </w:tr>
      <w:tr w:rsidR="00A81683" w:rsidRPr="001C6E0E" w14:paraId="2A95F29F" w14:textId="77777777" w:rsidTr="00A81683">
        <w:tc>
          <w:tcPr>
            <w:tcW w:w="1031" w:type="pct"/>
            <w:tcBorders>
              <w:left w:val="single" w:sz="18" w:space="0" w:color="auto"/>
            </w:tcBorders>
            <w:shd w:val="clear" w:color="auto" w:fill="auto"/>
          </w:tcPr>
          <w:p w14:paraId="7DB84F94"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22D1D44F" w14:textId="03D91B16"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69</w:t>
            </w:r>
          </w:p>
        </w:tc>
        <w:tc>
          <w:tcPr>
            <w:tcW w:w="502" w:type="pct"/>
          </w:tcPr>
          <w:p w14:paraId="66CA91C5" w14:textId="7C961F0B"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66</w:t>
            </w:r>
          </w:p>
        </w:tc>
        <w:tc>
          <w:tcPr>
            <w:tcW w:w="494" w:type="pct"/>
          </w:tcPr>
          <w:p w14:paraId="04471FD1" w14:textId="55243F4A"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65</w:t>
            </w:r>
          </w:p>
        </w:tc>
        <w:tc>
          <w:tcPr>
            <w:tcW w:w="494" w:type="pct"/>
          </w:tcPr>
          <w:p w14:paraId="379C41F5" w14:textId="6096F73C" w:rsidR="00A81683" w:rsidRPr="001C6E0E" w:rsidRDefault="00A81683" w:rsidP="0095573F">
            <w:pPr>
              <w:keepNext/>
              <w:keepLines/>
              <w:jc w:val="right"/>
              <w:rPr>
                <w:rFonts w:ascii="Arial" w:hAnsi="Arial" w:cs="Arial"/>
                <w:color w:val="000000"/>
                <w:sz w:val="20"/>
              </w:rPr>
            </w:pPr>
          </w:p>
        </w:tc>
        <w:tc>
          <w:tcPr>
            <w:tcW w:w="494" w:type="pct"/>
          </w:tcPr>
          <w:p w14:paraId="009B3437" w14:textId="2D52E7E5" w:rsidR="00A81683" w:rsidRPr="001C6E0E" w:rsidRDefault="00A81683" w:rsidP="0095573F">
            <w:pPr>
              <w:keepNext/>
              <w:keepLines/>
              <w:jc w:val="right"/>
              <w:rPr>
                <w:rFonts w:ascii="Arial" w:hAnsi="Arial" w:cs="Arial"/>
                <w:color w:val="000000"/>
                <w:sz w:val="20"/>
              </w:rPr>
            </w:pPr>
          </w:p>
        </w:tc>
        <w:tc>
          <w:tcPr>
            <w:tcW w:w="494" w:type="pct"/>
          </w:tcPr>
          <w:p w14:paraId="5D2EDE25" w14:textId="5BF050A6"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6A0D2C2C" w14:textId="01169F77"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16648D85" w14:textId="5E5F1788" w:rsidR="00A81683" w:rsidRPr="001C6E0E" w:rsidRDefault="00A81683" w:rsidP="0095573F">
            <w:pPr>
              <w:keepNext/>
              <w:keepLines/>
              <w:jc w:val="right"/>
              <w:rPr>
                <w:rFonts w:ascii="Arial" w:hAnsi="Arial" w:cs="Arial"/>
                <w:color w:val="000000"/>
                <w:sz w:val="20"/>
              </w:rPr>
            </w:pPr>
          </w:p>
        </w:tc>
      </w:tr>
      <w:tr w:rsidR="00A81683" w:rsidRPr="001C6E0E" w14:paraId="4A19490D" w14:textId="77777777" w:rsidTr="00A81683">
        <w:tc>
          <w:tcPr>
            <w:tcW w:w="1031" w:type="pct"/>
            <w:tcBorders>
              <w:left w:val="single" w:sz="18" w:space="0" w:color="auto"/>
            </w:tcBorders>
            <w:shd w:val="clear" w:color="auto" w:fill="auto"/>
          </w:tcPr>
          <w:p w14:paraId="5589864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17F1BE7F" w14:textId="140DD61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547</w:t>
            </w:r>
          </w:p>
        </w:tc>
        <w:tc>
          <w:tcPr>
            <w:tcW w:w="502" w:type="pct"/>
          </w:tcPr>
          <w:p w14:paraId="3025BA0C" w14:textId="2751617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431</w:t>
            </w:r>
          </w:p>
        </w:tc>
        <w:tc>
          <w:tcPr>
            <w:tcW w:w="494" w:type="pct"/>
          </w:tcPr>
          <w:p w14:paraId="325F22C5" w14:textId="695F9991"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373</w:t>
            </w:r>
          </w:p>
        </w:tc>
        <w:tc>
          <w:tcPr>
            <w:tcW w:w="494" w:type="pct"/>
          </w:tcPr>
          <w:p w14:paraId="06C5B331" w14:textId="2FF6D4AC" w:rsidR="00A81683" w:rsidRPr="001C6E0E" w:rsidRDefault="00A81683" w:rsidP="0095573F">
            <w:pPr>
              <w:keepNext/>
              <w:keepLines/>
              <w:jc w:val="right"/>
              <w:rPr>
                <w:rFonts w:ascii="Arial" w:hAnsi="Arial" w:cs="Arial"/>
                <w:color w:val="000000"/>
                <w:sz w:val="20"/>
              </w:rPr>
            </w:pPr>
          </w:p>
        </w:tc>
        <w:tc>
          <w:tcPr>
            <w:tcW w:w="494" w:type="pct"/>
          </w:tcPr>
          <w:p w14:paraId="6978072F" w14:textId="14522F8C" w:rsidR="00A81683" w:rsidRPr="001C6E0E" w:rsidRDefault="00A81683" w:rsidP="0095573F">
            <w:pPr>
              <w:keepNext/>
              <w:keepLines/>
              <w:jc w:val="right"/>
              <w:rPr>
                <w:rFonts w:ascii="Arial" w:hAnsi="Arial" w:cs="Arial"/>
                <w:color w:val="000000"/>
                <w:sz w:val="20"/>
              </w:rPr>
            </w:pPr>
          </w:p>
        </w:tc>
        <w:tc>
          <w:tcPr>
            <w:tcW w:w="494" w:type="pct"/>
          </w:tcPr>
          <w:p w14:paraId="3CB8929B" w14:textId="02ABCFDE"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0FDD19CE" w14:textId="2650BE93"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3033B0FB" w14:textId="7F6A266A" w:rsidR="00A81683" w:rsidRPr="001C6E0E" w:rsidRDefault="00A81683" w:rsidP="0095573F">
            <w:pPr>
              <w:keepNext/>
              <w:keepLines/>
              <w:jc w:val="right"/>
              <w:rPr>
                <w:rFonts w:ascii="Arial" w:hAnsi="Arial" w:cs="Arial"/>
                <w:color w:val="000000"/>
                <w:sz w:val="20"/>
              </w:rPr>
            </w:pPr>
          </w:p>
        </w:tc>
      </w:tr>
      <w:tr w:rsidR="00A81683" w:rsidRPr="001C6E0E" w14:paraId="2072BA74" w14:textId="77777777" w:rsidTr="00A81683">
        <w:tc>
          <w:tcPr>
            <w:tcW w:w="1031" w:type="pct"/>
            <w:tcBorders>
              <w:left w:val="single" w:sz="18" w:space="0" w:color="auto"/>
            </w:tcBorders>
            <w:shd w:val="clear" w:color="auto" w:fill="auto"/>
          </w:tcPr>
          <w:p w14:paraId="47145695"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724A6A51" w14:textId="745D9FD1"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32</w:t>
            </w:r>
          </w:p>
        </w:tc>
        <w:tc>
          <w:tcPr>
            <w:tcW w:w="502" w:type="pct"/>
          </w:tcPr>
          <w:p w14:paraId="2BDD9D9D" w14:textId="3B1D525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33</w:t>
            </w:r>
          </w:p>
        </w:tc>
        <w:tc>
          <w:tcPr>
            <w:tcW w:w="494" w:type="pct"/>
          </w:tcPr>
          <w:p w14:paraId="6FF450FF" w14:textId="02AD60A7"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26</w:t>
            </w:r>
          </w:p>
        </w:tc>
        <w:tc>
          <w:tcPr>
            <w:tcW w:w="494" w:type="pct"/>
          </w:tcPr>
          <w:p w14:paraId="0AD432FD" w14:textId="21AD7843" w:rsidR="00A81683" w:rsidRPr="001C6E0E" w:rsidRDefault="00A81683" w:rsidP="0095573F">
            <w:pPr>
              <w:keepNext/>
              <w:keepLines/>
              <w:jc w:val="right"/>
              <w:rPr>
                <w:rFonts w:ascii="Arial" w:hAnsi="Arial" w:cs="Arial"/>
                <w:color w:val="000000"/>
                <w:sz w:val="20"/>
              </w:rPr>
            </w:pPr>
          </w:p>
        </w:tc>
        <w:tc>
          <w:tcPr>
            <w:tcW w:w="494" w:type="pct"/>
          </w:tcPr>
          <w:p w14:paraId="09B4BA34" w14:textId="2F3BBC24" w:rsidR="00A81683" w:rsidRPr="001C6E0E" w:rsidRDefault="00A81683" w:rsidP="0095573F">
            <w:pPr>
              <w:keepNext/>
              <w:keepLines/>
              <w:jc w:val="right"/>
              <w:rPr>
                <w:rFonts w:ascii="Arial" w:hAnsi="Arial" w:cs="Arial"/>
                <w:color w:val="000000"/>
                <w:sz w:val="20"/>
              </w:rPr>
            </w:pPr>
          </w:p>
        </w:tc>
        <w:tc>
          <w:tcPr>
            <w:tcW w:w="494" w:type="pct"/>
          </w:tcPr>
          <w:p w14:paraId="75580965" w14:textId="232DCDC5"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4D6D63D9" w14:textId="18EEFB5D"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789C54EB" w14:textId="00460308" w:rsidR="00A81683" w:rsidRPr="001C6E0E" w:rsidRDefault="00A81683" w:rsidP="0095573F">
            <w:pPr>
              <w:keepNext/>
              <w:keepLines/>
              <w:jc w:val="right"/>
              <w:rPr>
                <w:rFonts w:ascii="Arial" w:hAnsi="Arial" w:cs="Arial"/>
                <w:color w:val="000000"/>
                <w:sz w:val="20"/>
              </w:rPr>
            </w:pPr>
          </w:p>
        </w:tc>
      </w:tr>
      <w:tr w:rsidR="00A81683" w:rsidRPr="001C6E0E" w14:paraId="406A4FC6" w14:textId="77777777" w:rsidTr="00A81683">
        <w:tc>
          <w:tcPr>
            <w:tcW w:w="1031" w:type="pct"/>
            <w:tcBorders>
              <w:left w:val="single" w:sz="18" w:space="0" w:color="auto"/>
            </w:tcBorders>
            <w:shd w:val="clear" w:color="auto" w:fill="auto"/>
          </w:tcPr>
          <w:p w14:paraId="6C67AA0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5FF225EE" w14:textId="15EFBDC7" w:rsidR="00A81683" w:rsidRPr="001C6E0E" w:rsidRDefault="00A81683" w:rsidP="0095573F">
            <w:pPr>
              <w:jc w:val="right"/>
              <w:rPr>
                <w:rFonts w:ascii="Arial" w:hAnsi="Arial" w:cs="Arial"/>
                <w:color w:val="000000"/>
                <w:sz w:val="20"/>
              </w:rPr>
            </w:pPr>
            <w:r>
              <w:rPr>
                <w:rFonts w:ascii="Arial" w:hAnsi="Arial" w:cs="Arial"/>
                <w:color w:val="000000"/>
                <w:sz w:val="20"/>
              </w:rPr>
              <w:t>201</w:t>
            </w:r>
          </w:p>
        </w:tc>
        <w:tc>
          <w:tcPr>
            <w:tcW w:w="502" w:type="pct"/>
          </w:tcPr>
          <w:p w14:paraId="67A60A94" w14:textId="74C35F05" w:rsidR="00A81683" w:rsidRPr="001C6E0E" w:rsidRDefault="00CD0FD9" w:rsidP="0095573F">
            <w:pPr>
              <w:jc w:val="right"/>
              <w:rPr>
                <w:rFonts w:ascii="Arial" w:hAnsi="Arial" w:cs="Arial"/>
                <w:color w:val="000000"/>
                <w:sz w:val="20"/>
              </w:rPr>
            </w:pPr>
            <w:r>
              <w:rPr>
                <w:rFonts w:ascii="Arial" w:hAnsi="Arial" w:cs="Arial"/>
                <w:color w:val="000000"/>
                <w:sz w:val="20"/>
              </w:rPr>
              <w:t>135</w:t>
            </w:r>
          </w:p>
        </w:tc>
        <w:tc>
          <w:tcPr>
            <w:tcW w:w="494" w:type="pct"/>
          </w:tcPr>
          <w:p w14:paraId="67F0B7EA" w14:textId="3C703245" w:rsidR="00A81683" w:rsidRPr="001C6E0E" w:rsidRDefault="001B76BC" w:rsidP="0095573F">
            <w:pPr>
              <w:jc w:val="right"/>
              <w:rPr>
                <w:rFonts w:ascii="Arial" w:hAnsi="Arial" w:cs="Arial"/>
                <w:color w:val="000000"/>
                <w:sz w:val="20"/>
              </w:rPr>
            </w:pPr>
            <w:r>
              <w:rPr>
                <w:rFonts w:ascii="Arial" w:hAnsi="Arial" w:cs="Arial"/>
                <w:color w:val="000000"/>
                <w:sz w:val="20"/>
              </w:rPr>
              <w:t>154</w:t>
            </w:r>
          </w:p>
        </w:tc>
        <w:tc>
          <w:tcPr>
            <w:tcW w:w="494" w:type="pct"/>
          </w:tcPr>
          <w:p w14:paraId="18CC7848" w14:textId="414BE5D5" w:rsidR="00A81683" w:rsidRPr="001C6E0E" w:rsidRDefault="00A81683" w:rsidP="0095573F">
            <w:pPr>
              <w:jc w:val="right"/>
              <w:rPr>
                <w:rFonts w:ascii="Arial" w:hAnsi="Arial" w:cs="Arial"/>
                <w:color w:val="000000"/>
                <w:sz w:val="20"/>
              </w:rPr>
            </w:pPr>
          </w:p>
        </w:tc>
        <w:tc>
          <w:tcPr>
            <w:tcW w:w="494" w:type="pct"/>
          </w:tcPr>
          <w:p w14:paraId="772F27B0" w14:textId="2F8CA2BC" w:rsidR="00A81683" w:rsidRPr="001C6E0E" w:rsidRDefault="00A81683" w:rsidP="0095573F">
            <w:pPr>
              <w:jc w:val="right"/>
              <w:rPr>
                <w:rFonts w:ascii="Arial" w:hAnsi="Arial" w:cs="Arial"/>
                <w:color w:val="000000"/>
                <w:sz w:val="20"/>
              </w:rPr>
            </w:pPr>
          </w:p>
        </w:tc>
        <w:tc>
          <w:tcPr>
            <w:tcW w:w="494" w:type="pct"/>
          </w:tcPr>
          <w:p w14:paraId="67127A5B" w14:textId="284D10D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4AECD2CB" w14:textId="5A55CAAC"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7A5F9880" w14:textId="618F87B3" w:rsidR="00A81683" w:rsidRPr="001C6E0E" w:rsidRDefault="00A81683" w:rsidP="0095573F">
            <w:pPr>
              <w:jc w:val="right"/>
              <w:rPr>
                <w:rFonts w:ascii="Arial" w:hAnsi="Arial" w:cs="Arial"/>
                <w:color w:val="000000"/>
                <w:sz w:val="20"/>
              </w:rPr>
            </w:pPr>
          </w:p>
        </w:tc>
      </w:tr>
      <w:tr w:rsidR="00A81683" w:rsidRPr="001C6E0E" w14:paraId="371FAF43" w14:textId="77777777" w:rsidTr="00A81683">
        <w:tc>
          <w:tcPr>
            <w:tcW w:w="1031" w:type="pct"/>
            <w:tcBorders>
              <w:left w:val="single" w:sz="18" w:space="0" w:color="auto"/>
            </w:tcBorders>
            <w:shd w:val="clear" w:color="auto" w:fill="auto"/>
          </w:tcPr>
          <w:p w14:paraId="498340B6"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4B566188" w14:textId="65283B26" w:rsidR="00A81683" w:rsidRPr="001C6E0E" w:rsidRDefault="00A81683" w:rsidP="0095573F">
            <w:pPr>
              <w:jc w:val="right"/>
              <w:rPr>
                <w:rFonts w:ascii="Arial" w:hAnsi="Arial" w:cs="Arial"/>
                <w:color w:val="000000"/>
                <w:sz w:val="20"/>
              </w:rPr>
            </w:pPr>
            <w:r>
              <w:rPr>
                <w:rFonts w:ascii="Arial" w:hAnsi="Arial" w:cs="Arial"/>
                <w:color w:val="000000"/>
                <w:sz w:val="20"/>
              </w:rPr>
              <w:t>148</w:t>
            </w:r>
          </w:p>
        </w:tc>
        <w:tc>
          <w:tcPr>
            <w:tcW w:w="502" w:type="pct"/>
          </w:tcPr>
          <w:p w14:paraId="4BE868F6" w14:textId="4AD968F8" w:rsidR="00A81683" w:rsidRPr="001C6E0E" w:rsidRDefault="00CD0FD9" w:rsidP="0095573F">
            <w:pPr>
              <w:jc w:val="right"/>
              <w:rPr>
                <w:rFonts w:ascii="Arial" w:hAnsi="Arial" w:cs="Arial"/>
                <w:color w:val="000000"/>
                <w:sz w:val="20"/>
              </w:rPr>
            </w:pPr>
            <w:r>
              <w:rPr>
                <w:rFonts w:ascii="Arial" w:hAnsi="Arial" w:cs="Arial"/>
                <w:color w:val="000000"/>
                <w:sz w:val="20"/>
              </w:rPr>
              <w:t>144</w:t>
            </w:r>
          </w:p>
        </w:tc>
        <w:tc>
          <w:tcPr>
            <w:tcW w:w="494" w:type="pct"/>
          </w:tcPr>
          <w:p w14:paraId="2E0F74F1" w14:textId="34478387" w:rsidR="00A81683" w:rsidRPr="001C6E0E" w:rsidRDefault="001B76BC" w:rsidP="0095573F">
            <w:pPr>
              <w:jc w:val="right"/>
              <w:rPr>
                <w:rFonts w:ascii="Arial" w:hAnsi="Arial" w:cs="Arial"/>
                <w:color w:val="000000"/>
                <w:sz w:val="20"/>
              </w:rPr>
            </w:pPr>
            <w:r>
              <w:rPr>
                <w:rFonts w:ascii="Arial" w:hAnsi="Arial" w:cs="Arial"/>
                <w:color w:val="000000"/>
                <w:sz w:val="20"/>
              </w:rPr>
              <w:t>108</w:t>
            </w:r>
          </w:p>
        </w:tc>
        <w:tc>
          <w:tcPr>
            <w:tcW w:w="494" w:type="pct"/>
          </w:tcPr>
          <w:p w14:paraId="220617A5" w14:textId="147BB370" w:rsidR="00A81683" w:rsidRPr="001C6E0E" w:rsidRDefault="00A81683" w:rsidP="0095573F">
            <w:pPr>
              <w:jc w:val="right"/>
              <w:rPr>
                <w:rFonts w:ascii="Arial" w:hAnsi="Arial" w:cs="Arial"/>
                <w:color w:val="000000"/>
                <w:sz w:val="20"/>
              </w:rPr>
            </w:pPr>
          </w:p>
        </w:tc>
        <w:tc>
          <w:tcPr>
            <w:tcW w:w="494" w:type="pct"/>
          </w:tcPr>
          <w:p w14:paraId="5EC5E377" w14:textId="12B06768" w:rsidR="00A81683" w:rsidRPr="001C6E0E" w:rsidRDefault="00A81683" w:rsidP="0095573F">
            <w:pPr>
              <w:jc w:val="right"/>
              <w:rPr>
                <w:rFonts w:ascii="Arial" w:hAnsi="Arial" w:cs="Arial"/>
                <w:color w:val="000000"/>
                <w:sz w:val="20"/>
              </w:rPr>
            </w:pPr>
          </w:p>
        </w:tc>
        <w:tc>
          <w:tcPr>
            <w:tcW w:w="494" w:type="pct"/>
          </w:tcPr>
          <w:p w14:paraId="68B433DB" w14:textId="425A064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64363A6A" w14:textId="4C145051"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0F6BD6E4" w14:textId="3F44C3B2" w:rsidR="00A81683" w:rsidRPr="001C6E0E" w:rsidRDefault="00A81683" w:rsidP="0095573F">
            <w:pPr>
              <w:jc w:val="right"/>
              <w:rPr>
                <w:rFonts w:ascii="Arial" w:hAnsi="Arial" w:cs="Arial"/>
                <w:color w:val="000000"/>
                <w:sz w:val="20"/>
              </w:rPr>
            </w:pPr>
          </w:p>
        </w:tc>
      </w:tr>
      <w:tr w:rsidR="00A81683" w:rsidRPr="001C6E0E" w14:paraId="48076762" w14:textId="77777777" w:rsidTr="00A81683">
        <w:tc>
          <w:tcPr>
            <w:tcW w:w="1031" w:type="pct"/>
            <w:tcBorders>
              <w:left w:val="single" w:sz="18" w:space="0" w:color="auto"/>
            </w:tcBorders>
            <w:shd w:val="clear" w:color="auto" w:fill="auto"/>
          </w:tcPr>
          <w:p w14:paraId="55936D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3D48275" w14:textId="5B2FC97E" w:rsidR="00A81683" w:rsidRPr="001C6E0E" w:rsidRDefault="00A81683" w:rsidP="0095573F">
            <w:pPr>
              <w:jc w:val="right"/>
              <w:rPr>
                <w:rFonts w:ascii="Arial" w:hAnsi="Arial" w:cs="Arial"/>
                <w:color w:val="000000"/>
                <w:sz w:val="20"/>
              </w:rPr>
            </w:pPr>
            <w:r>
              <w:rPr>
                <w:rFonts w:ascii="Arial" w:hAnsi="Arial" w:cs="Arial"/>
                <w:color w:val="000000"/>
                <w:sz w:val="20"/>
              </w:rPr>
              <w:t>36</w:t>
            </w:r>
          </w:p>
        </w:tc>
        <w:tc>
          <w:tcPr>
            <w:tcW w:w="502" w:type="pct"/>
          </w:tcPr>
          <w:p w14:paraId="5A9D7C6C" w14:textId="49480A7A" w:rsidR="00A81683" w:rsidRPr="001C6E0E" w:rsidRDefault="00CD0FD9" w:rsidP="0095573F">
            <w:pPr>
              <w:jc w:val="right"/>
              <w:rPr>
                <w:rFonts w:ascii="Arial" w:hAnsi="Arial" w:cs="Arial"/>
                <w:color w:val="000000"/>
                <w:sz w:val="20"/>
              </w:rPr>
            </w:pPr>
            <w:r>
              <w:rPr>
                <w:rFonts w:ascii="Arial" w:hAnsi="Arial" w:cs="Arial"/>
                <w:color w:val="000000"/>
                <w:sz w:val="20"/>
              </w:rPr>
              <w:t>15</w:t>
            </w:r>
          </w:p>
        </w:tc>
        <w:tc>
          <w:tcPr>
            <w:tcW w:w="494" w:type="pct"/>
          </w:tcPr>
          <w:p w14:paraId="66BB24BB" w14:textId="1048FD37" w:rsidR="00A81683" w:rsidRPr="001C6E0E" w:rsidRDefault="001B76BC" w:rsidP="0095573F">
            <w:pPr>
              <w:jc w:val="right"/>
              <w:rPr>
                <w:rFonts w:ascii="Arial" w:hAnsi="Arial" w:cs="Arial"/>
                <w:color w:val="000000"/>
                <w:sz w:val="20"/>
              </w:rPr>
            </w:pPr>
            <w:r>
              <w:rPr>
                <w:rFonts w:ascii="Arial" w:hAnsi="Arial" w:cs="Arial"/>
                <w:color w:val="000000"/>
                <w:sz w:val="20"/>
              </w:rPr>
              <w:t>16</w:t>
            </w:r>
          </w:p>
        </w:tc>
        <w:tc>
          <w:tcPr>
            <w:tcW w:w="494" w:type="pct"/>
          </w:tcPr>
          <w:p w14:paraId="347D108C" w14:textId="2E09E6AB" w:rsidR="00A81683" w:rsidRPr="001C6E0E" w:rsidRDefault="00A81683" w:rsidP="0095573F">
            <w:pPr>
              <w:jc w:val="right"/>
              <w:rPr>
                <w:rFonts w:ascii="Arial" w:hAnsi="Arial" w:cs="Arial"/>
                <w:color w:val="000000"/>
                <w:sz w:val="20"/>
              </w:rPr>
            </w:pPr>
          </w:p>
        </w:tc>
        <w:tc>
          <w:tcPr>
            <w:tcW w:w="494" w:type="pct"/>
          </w:tcPr>
          <w:p w14:paraId="3CF092F1" w14:textId="22C300FE" w:rsidR="00A81683" w:rsidRPr="001C6E0E" w:rsidRDefault="00A81683" w:rsidP="0095573F">
            <w:pPr>
              <w:jc w:val="right"/>
              <w:rPr>
                <w:rFonts w:ascii="Arial" w:hAnsi="Arial" w:cs="Arial"/>
                <w:color w:val="000000"/>
                <w:sz w:val="20"/>
              </w:rPr>
            </w:pPr>
          </w:p>
        </w:tc>
        <w:tc>
          <w:tcPr>
            <w:tcW w:w="494" w:type="pct"/>
          </w:tcPr>
          <w:p w14:paraId="7441F759" w14:textId="56B96E22"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1BAFC55" w14:textId="2F2FC586"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1D6F0B0B" w14:textId="6789DEA8" w:rsidR="00A81683" w:rsidRPr="001C6E0E" w:rsidRDefault="00A81683" w:rsidP="0095573F">
            <w:pPr>
              <w:jc w:val="right"/>
              <w:rPr>
                <w:rFonts w:ascii="Arial" w:hAnsi="Arial" w:cs="Arial"/>
                <w:color w:val="000000"/>
                <w:sz w:val="20"/>
              </w:rPr>
            </w:pPr>
          </w:p>
        </w:tc>
      </w:tr>
      <w:tr w:rsidR="00A81683" w:rsidRPr="001C6E0E" w14:paraId="28D5B14D" w14:textId="77777777" w:rsidTr="0095573F">
        <w:tc>
          <w:tcPr>
            <w:tcW w:w="1031" w:type="pct"/>
            <w:tcBorders>
              <w:left w:val="single" w:sz="18" w:space="0" w:color="auto"/>
            </w:tcBorders>
            <w:shd w:val="clear" w:color="auto" w:fill="auto"/>
          </w:tcPr>
          <w:p w14:paraId="7995F595" w14:textId="49447D9C" w:rsidR="00A81683" w:rsidRPr="001C6E0E" w:rsidRDefault="00A81683" w:rsidP="0095573F">
            <w:pPr>
              <w:rPr>
                <w:rFonts w:ascii="Arial" w:hAnsi="Arial" w:cs="Arial"/>
                <w:b/>
                <w:color w:val="000000"/>
                <w:sz w:val="18"/>
              </w:rPr>
            </w:pPr>
            <w:r w:rsidRPr="001C6E0E">
              <w:rPr>
                <w:rFonts w:ascii="Arial" w:hAnsi="Arial" w:cs="Arial"/>
                <w:b/>
                <w:color w:val="000000"/>
                <w:sz w:val="18"/>
              </w:rPr>
              <w:t xml:space="preserve">Youth </w:t>
            </w:r>
            <w:r>
              <w:rPr>
                <w:rFonts w:ascii="Arial" w:hAnsi="Arial" w:cs="Arial"/>
                <w:b/>
                <w:color w:val="000000"/>
                <w:sz w:val="18"/>
              </w:rPr>
              <w:t>control</w:t>
            </w:r>
            <w:r w:rsidRPr="001C6E0E">
              <w:rPr>
                <w:rFonts w:ascii="Arial" w:hAnsi="Arial" w:cs="Arial"/>
                <w:b/>
                <w:color w:val="000000"/>
                <w:sz w:val="18"/>
              </w:rPr>
              <w:t xml:space="preserve"> order</w:t>
            </w:r>
          </w:p>
        </w:tc>
        <w:tc>
          <w:tcPr>
            <w:tcW w:w="494" w:type="pct"/>
            <w:tcBorders>
              <w:left w:val="single" w:sz="18" w:space="0" w:color="auto"/>
            </w:tcBorders>
            <w:shd w:val="clear" w:color="auto" w:fill="auto"/>
          </w:tcPr>
          <w:p w14:paraId="08FB58DB" w14:textId="5351DB5C" w:rsidR="00A81683" w:rsidRPr="001C6E0E" w:rsidRDefault="00A81683" w:rsidP="0095573F">
            <w:pPr>
              <w:jc w:val="right"/>
              <w:rPr>
                <w:rFonts w:ascii="Arial" w:hAnsi="Arial" w:cs="Arial"/>
                <w:color w:val="000000"/>
                <w:sz w:val="20"/>
              </w:rPr>
            </w:pPr>
            <w:r>
              <w:rPr>
                <w:rFonts w:ascii="Arial" w:hAnsi="Arial" w:cs="Arial"/>
                <w:color w:val="000000"/>
                <w:sz w:val="20"/>
              </w:rPr>
              <w:t>4</w:t>
            </w:r>
          </w:p>
        </w:tc>
        <w:tc>
          <w:tcPr>
            <w:tcW w:w="502" w:type="pct"/>
          </w:tcPr>
          <w:p w14:paraId="2D8C89A0" w14:textId="6BC6BF10" w:rsidR="00A81683" w:rsidRPr="001C6E0E" w:rsidRDefault="00CD0FD9" w:rsidP="0095573F">
            <w:pPr>
              <w:jc w:val="right"/>
              <w:rPr>
                <w:rFonts w:ascii="Arial" w:hAnsi="Arial" w:cs="Arial"/>
                <w:color w:val="000000"/>
                <w:sz w:val="20"/>
              </w:rPr>
            </w:pPr>
            <w:r>
              <w:rPr>
                <w:rFonts w:ascii="Arial" w:hAnsi="Arial" w:cs="Arial"/>
                <w:color w:val="000000"/>
                <w:sz w:val="20"/>
              </w:rPr>
              <w:t>2</w:t>
            </w:r>
          </w:p>
        </w:tc>
        <w:tc>
          <w:tcPr>
            <w:tcW w:w="494" w:type="pct"/>
          </w:tcPr>
          <w:p w14:paraId="03887E38" w14:textId="26E9557E" w:rsidR="00A81683" w:rsidRPr="001C6E0E" w:rsidRDefault="001B76BC" w:rsidP="0095573F">
            <w:pPr>
              <w:jc w:val="right"/>
              <w:rPr>
                <w:rFonts w:ascii="Arial" w:hAnsi="Arial" w:cs="Arial"/>
                <w:color w:val="000000"/>
                <w:sz w:val="20"/>
              </w:rPr>
            </w:pPr>
            <w:r>
              <w:rPr>
                <w:rFonts w:ascii="Arial" w:hAnsi="Arial" w:cs="Arial"/>
                <w:color w:val="000000"/>
                <w:sz w:val="20"/>
              </w:rPr>
              <w:t>0</w:t>
            </w:r>
          </w:p>
        </w:tc>
        <w:tc>
          <w:tcPr>
            <w:tcW w:w="494" w:type="pct"/>
          </w:tcPr>
          <w:p w14:paraId="265EDB93" w14:textId="77777777" w:rsidR="00A81683" w:rsidRPr="001C6E0E" w:rsidRDefault="00A81683" w:rsidP="0095573F">
            <w:pPr>
              <w:jc w:val="right"/>
              <w:rPr>
                <w:rFonts w:ascii="Arial" w:hAnsi="Arial" w:cs="Arial"/>
                <w:color w:val="000000"/>
                <w:sz w:val="20"/>
              </w:rPr>
            </w:pPr>
          </w:p>
        </w:tc>
        <w:tc>
          <w:tcPr>
            <w:tcW w:w="494" w:type="pct"/>
          </w:tcPr>
          <w:p w14:paraId="201A56D8" w14:textId="77777777" w:rsidR="00A81683" w:rsidRPr="001C6E0E" w:rsidRDefault="00A81683" w:rsidP="0095573F">
            <w:pPr>
              <w:jc w:val="right"/>
              <w:rPr>
                <w:rFonts w:ascii="Arial" w:hAnsi="Arial" w:cs="Arial"/>
                <w:color w:val="000000"/>
                <w:sz w:val="20"/>
              </w:rPr>
            </w:pPr>
          </w:p>
        </w:tc>
        <w:tc>
          <w:tcPr>
            <w:tcW w:w="494" w:type="pct"/>
          </w:tcPr>
          <w:p w14:paraId="2D82580A" w14:textId="77777777"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7C783A9E" w14:textId="77777777"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B6DA813" w14:textId="77777777" w:rsidR="00A81683" w:rsidRPr="001C6E0E" w:rsidRDefault="00A81683" w:rsidP="0095573F">
            <w:pPr>
              <w:jc w:val="right"/>
              <w:rPr>
                <w:rFonts w:ascii="Arial" w:hAnsi="Arial" w:cs="Arial"/>
                <w:color w:val="000000"/>
                <w:sz w:val="20"/>
              </w:rPr>
            </w:pPr>
          </w:p>
        </w:tc>
      </w:tr>
      <w:tr w:rsidR="00A81683" w:rsidRPr="001C6E0E" w14:paraId="523F35BF" w14:textId="77777777" w:rsidTr="00A81683">
        <w:tc>
          <w:tcPr>
            <w:tcW w:w="1031" w:type="pct"/>
            <w:tcBorders>
              <w:left w:val="single" w:sz="18" w:space="0" w:color="auto"/>
            </w:tcBorders>
            <w:shd w:val="clear" w:color="auto" w:fill="auto"/>
          </w:tcPr>
          <w:p w14:paraId="469722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2F0B5284" w14:textId="06594A8B" w:rsidR="00A81683" w:rsidRPr="001C6E0E" w:rsidRDefault="00A81683" w:rsidP="0095573F">
            <w:pPr>
              <w:jc w:val="right"/>
              <w:rPr>
                <w:rFonts w:ascii="Arial" w:hAnsi="Arial" w:cs="Arial"/>
                <w:color w:val="000000"/>
                <w:sz w:val="20"/>
              </w:rPr>
            </w:pPr>
            <w:r>
              <w:rPr>
                <w:rFonts w:ascii="Arial" w:hAnsi="Arial" w:cs="Arial"/>
                <w:color w:val="000000"/>
                <w:sz w:val="20"/>
              </w:rPr>
              <w:t>2</w:t>
            </w:r>
          </w:p>
        </w:tc>
        <w:tc>
          <w:tcPr>
            <w:tcW w:w="502" w:type="pct"/>
          </w:tcPr>
          <w:p w14:paraId="60695F6D" w14:textId="429CB35C" w:rsidR="00A81683" w:rsidRPr="001C6E0E" w:rsidRDefault="00CD0FD9" w:rsidP="0095573F">
            <w:pPr>
              <w:jc w:val="right"/>
              <w:rPr>
                <w:rFonts w:ascii="Arial" w:hAnsi="Arial" w:cs="Arial"/>
                <w:color w:val="000000"/>
                <w:sz w:val="20"/>
              </w:rPr>
            </w:pPr>
            <w:r>
              <w:rPr>
                <w:rFonts w:ascii="Arial" w:hAnsi="Arial" w:cs="Arial"/>
                <w:color w:val="000000"/>
                <w:sz w:val="20"/>
              </w:rPr>
              <w:t>0</w:t>
            </w:r>
          </w:p>
        </w:tc>
        <w:tc>
          <w:tcPr>
            <w:tcW w:w="494" w:type="pct"/>
          </w:tcPr>
          <w:p w14:paraId="457ED1C2" w14:textId="1C7B29EF" w:rsidR="00A81683" w:rsidRPr="001C6E0E" w:rsidRDefault="001B76BC" w:rsidP="0095573F">
            <w:pPr>
              <w:jc w:val="right"/>
              <w:rPr>
                <w:rFonts w:ascii="Arial" w:hAnsi="Arial" w:cs="Arial"/>
                <w:color w:val="000000"/>
                <w:sz w:val="20"/>
              </w:rPr>
            </w:pPr>
            <w:r>
              <w:rPr>
                <w:rFonts w:ascii="Arial" w:hAnsi="Arial" w:cs="Arial"/>
                <w:color w:val="000000"/>
                <w:sz w:val="20"/>
              </w:rPr>
              <w:t>1</w:t>
            </w:r>
          </w:p>
        </w:tc>
        <w:tc>
          <w:tcPr>
            <w:tcW w:w="494" w:type="pct"/>
          </w:tcPr>
          <w:p w14:paraId="2D41CE4D" w14:textId="4292AC95" w:rsidR="00A81683" w:rsidRPr="001C6E0E" w:rsidRDefault="00A81683" w:rsidP="0095573F">
            <w:pPr>
              <w:jc w:val="right"/>
              <w:rPr>
                <w:rFonts w:ascii="Arial" w:hAnsi="Arial" w:cs="Arial"/>
                <w:color w:val="000000"/>
                <w:sz w:val="20"/>
              </w:rPr>
            </w:pPr>
          </w:p>
        </w:tc>
        <w:tc>
          <w:tcPr>
            <w:tcW w:w="494" w:type="pct"/>
          </w:tcPr>
          <w:p w14:paraId="50943D1C" w14:textId="6B01E3F2" w:rsidR="00A81683" w:rsidRPr="001C6E0E" w:rsidRDefault="00A81683" w:rsidP="0095573F">
            <w:pPr>
              <w:jc w:val="right"/>
              <w:rPr>
                <w:rFonts w:ascii="Arial" w:hAnsi="Arial" w:cs="Arial"/>
                <w:color w:val="000000"/>
                <w:sz w:val="20"/>
              </w:rPr>
            </w:pPr>
          </w:p>
        </w:tc>
        <w:tc>
          <w:tcPr>
            <w:tcW w:w="494" w:type="pct"/>
          </w:tcPr>
          <w:p w14:paraId="61F92C8B" w14:textId="58EBD973"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F2EB460" w14:textId="34771EF8"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DCAA596" w14:textId="46332DF6" w:rsidR="00A81683" w:rsidRPr="001C6E0E" w:rsidRDefault="00A81683" w:rsidP="0095573F">
            <w:pPr>
              <w:jc w:val="right"/>
              <w:rPr>
                <w:rFonts w:ascii="Arial" w:hAnsi="Arial" w:cs="Arial"/>
                <w:color w:val="000000"/>
                <w:sz w:val="20"/>
              </w:rPr>
            </w:pPr>
          </w:p>
        </w:tc>
      </w:tr>
      <w:tr w:rsidR="00A81683" w:rsidRPr="001C6E0E" w14:paraId="3B26186C" w14:textId="77777777" w:rsidTr="00A81683">
        <w:tc>
          <w:tcPr>
            <w:tcW w:w="1031" w:type="pct"/>
            <w:tcBorders>
              <w:left w:val="single" w:sz="18" w:space="0" w:color="auto"/>
              <w:bottom w:val="single" w:sz="18" w:space="0" w:color="auto"/>
            </w:tcBorders>
            <w:shd w:val="clear" w:color="auto" w:fill="auto"/>
          </w:tcPr>
          <w:p w14:paraId="5DFDBA7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69E6B45A" w14:textId="0C137F0F" w:rsidR="00A81683" w:rsidRPr="001C6E0E" w:rsidRDefault="00A81683" w:rsidP="0095573F">
            <w:pPr>
              <w:jc w:val="right"/>
              <w:rPr>
                <w:rFonts w:ascii="Arial" w:hAnsi="Arial" w:cs="Arial"/>
                <w:color w:val="000000"/>
                <w:sz w:val="20"/>
              </w:rPr>
            </w:pPr>
            <w:r>
              <w:rPr>
                <w:rFonts w:ascii="Arial" w:hAnsi="Arial" w:cs="Arial"/>
                <w:color w:val="000000"/>
                <w:sz w:val="20"/>
              </w:rPr>
              <w:t>88</w:t>
            </w:r>
          </w:p>
        </w:tc>
        <w:tc>
          <w:tcPr>
            <w:tcW w:w="502" w:type="pct"/>
            <w:tcBorders>
              <w:bottom w:val="single" w:sz="18" w:space="0" w:color="auto"/>
            </w:tcBorders>
          </w:tcPr>
          <w:p w14:paraId="52A1D416" w14:textId="73DA8A5A" w:rsidR="00A81683" w:rsidRPr="001C6E0E" w:rsidRDefault="00CD0FD9" w:rsidP="0095573F">
            <w:pPr>
              <w:jc w:val="right"/>
              <w:rPr>
                <w:rFonts w:ascii="Arial" w:hAnsi="Arial" w:cs="Arial"/>
                <w:color w:val="000000"/>
                <w:sz w:val="20"/>
              </w:rPr>
            </w:pPr>
            <w:r>
              <w:rPr>
                <w:rFonts w:ascii="Arial" w:hAnsi="Arial" w:cs="Arial"/>
                <w:color w:val="000000"/>
                <w:sz w:val="20"/>
              </w:rPr>
              <w:t>48</w:t>
            </w:r>
          </w:p>
        </w:tc>
        <w:tc>
          <w:tcPr>
            <w:tcW w:w="494" w:type="pct"/>
            <w:tcBorders>
              <w:bottom w:val="single" w:sz="18" w:space="0" w:color="auto"/>
            </w:tcBorders>
          </w:tcPr>
          <w:p w14:paraId="25521F58" w14:textId="7115E4EE" w:rsidR="00A81683" w:rsidRPr="001C6E0E" w:rsidRDefault="001B76BC" w:rsidP="0095573F">
            <w:pPr>
              <w:jc w:val="right"/>
              <w:rPr>
                <w:rFonts w:ascii="Arial" w:hAnsi="Arial" w:cs="Arial"/>
                <w:color w:val="000000"/>
                <w:sz w:val="20"/>
              </w:rPr>
            </w:pPr>
            <w:r>
              <w:rPr>
                <w:rFonts w:ascii="Arial" w:hAnsi="Arial" w:cs="Arial"/>
                <w:color w:val="000000"/>
                <w:sz w:val="20"/>
              </w:rPr>
              <w:t>56</w:t>
            </w:r>
          </w:p>
        </w:tc>
        <w:tc>
          <w:tcPr>
            <w:tcW w:w="494" w:type="pct"/>
            <w:tcBorders>
              <w:bottom w:val="single" w:sz="18" w:space="0" w:color="auto"/>
            </w:tcBorders>
          </w:tcPr>
          <w:p w14:paraId="5A893428" w14:textId="0DEB7DF1"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5CA2BD6B" w14:textId="0572531F"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6A49985F" w14:textId="36235B4C" w:rsidR="00A81683" w:rsidRPr="001C6E0E" w:rsidRDefault="00A81683" w:rsidP="0095573F">
            <w:pPr>
              <w:jc w:val="right"/>
              <w:rPr>
                <w:rFonts w:ascii="Arial" w:hAnsi="Arial" w:cs="Arial"/>
                <w:color w:val="000000"/>
                <w:sz w:val="20"/>
              </w:rPr>
            </w:pPr>
          </w:p>
        </w:tc>
        <w:tc>
          <w:tcPr>
            <w:tcW w:w="494" w:type="pct"/>
            <w:tcBorders>
              <w:bottom w:val="single" w:sz="18" w:space="0" w:color="auto"/>
              <w:right w:val="single" w:sz="4" w:space="0" w:color="auto"/>
            </w:tcBorders>
          </w:tcPr>
          <w:p w14:paraId="246760EF" w14:textId="43913ECF" w:rsidR="00A81683" w:rsidRPr="001C6E0E" w:rsidRDefault="00A81683" w:rsidP="0095573F">
            <w:pPr>
              <w:jc w:val="right"/>
              <w:rPr>
                <w:rFonts w:ascii="Arial" w:hAnsi="Arial" w:cs="Arial"/>
                <w:color w:val="000000"/>
                <w:sz w:val="20"/>
              </w:rPr>
            </w:pPr>
          </w:p>
        </w:tc>
        <w:tc>
          <w:tcPr>
            <w:tcW w:w="503" w:type="pct"/>
            <w:tcBorders>
              <w:left w:val="single" w:sz="4" w:space="0" w:color="auto"/>
              <w:bottom w:val="single" w:sz="18" w:space="0" w:color="auto"/>
              <w:right w:val="single" w:sz="18" w:space="0" w:color="auto"/>
            </w:tcBorders>
          </w:tcPr>
          <w:p w14:paraId="2CFE844C" w14:textId="5565F5BD" w:rsidR="00A81683" w:rsidRPr="001C6E0E" w:rsidRDefault="00A81683" w:rsidP="0095573F">
            <w:pPr>
              <w:jc w:val="right"/>
              <w:rPr>
                <w:rFonts w:ascii="Arial" w:hAnsi="Arial" w:cs="Arial"/>
                <w:color w:val="000000"/>
                <w:sz w:val="20"/>
              </w:rPr>
            </w:pPr>
          </w:p>
        </w:tc>
      </w:tr>
      <w:tr w:rsidR="00A81683" w:rsidRPr="004155EA" w14:paraId="4C879BF4" w14:textId="77777777" w:rsidTr="00A81683">
        <w:tc>
          <w:tcPr>
            <w:tcW w:w="1031" w:type="pct"/>
            <w:tcBorders>
              <w:top w:val="single" w:sz="18" w:space="0" w:color="auto"/>
              <w:left w:val="single" w:sz="18" w:space="0" w:color="auto"/>
              <w:bottom w:val="single" w:sz="18" w:space="0" w:color="auto"/>
            </w:tcBorders>
            <w:shd w:val="pct10" w:color="auto" w:fill="auto"/>
          </w:tcPr>
          <w:p w14:paraId="3F83C5A5" w14:textId="77777777" w:rsidR="00A81683" w:rsidRPr="00B7523B" w:rsidRDefault="00A81683" w:rsidP="0095573F">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3D421FB0" w14:textId="0A7192D6" w:rsidR="00A81683" w:rsidRPr="00B7523B" w:rsidRDefault="00A81683" w:rsidP="0095573F">
            <w:pPr>
              <w:spacing w:before="40" w:after="40"/>
              <w:jc w:val="right"/>
              <w:rPr>
                <w:rFonts w:ascii="Arial" w:hAnsi="Arial" w:cs="Arial"/>
                <w:b/>
                <w:color w:val="000000"/>
                <w:sz w:val="22"/>
                <w:szCs w:val="22"/>
              </w:rPr>
            </w:pPr>
            <w:r>
              <w:rPr>
                <w:rFonts w:ascii="Arial" w:hAnsi="Arial" w:cs="Arial"/>
                <w:b/>
                <w:color w:val="000000"/>
                <w:sz w:val="22"/>
                <w:szCs w:val="22"/>
              </w:rPr>
              <w:t>1137</w:t>
            </w:r>
          </w:p>
        </w:tc>
        <w:tc>
          <w:tcPr>
            <w:tcW w:w="502" w:type="pct"/>
            <w:tcBorders>
              <w:top w:val="single" w:sz="18" w:space="0" w:color="auto"/>
              <w:bottom w:val="single" w:sz="18" w:space="0" w:color="auto"/>
            </w:tcBorders>
            <w:shd w:val="pct10" w:color="auto" w:fill="auto"/>
          </w:tcPr>
          <w:p w14:paraId="2CC66720" w14:textId="22AC045B" w:rsidR="00A81683" w:rsidRPr="00B7523B" w:rsidRDefault="00CD0FD9" w:rsidP="0095573F">
            <w:pPr>
              <w:spacing w:before="40" w:after="40"/>
              <w:jc w:val="right"/>
              <w:rPr>
                <w:rFonts w:ascii="Arial" w:hAnsi="Arial" w:cs="Arial"/>
                <w:b/>
                <w:color w:val="000000"/>
                <w:sz w:val="22"/>
                <w:szCs w:val="22"/>
              </w:rPr>
            </w:pPr>
            <w:r>
              <w:rPr>
                <w:rFonts w:ascii="Arial" w:hAnsi="Arial" w:cs="Arial"/>
                <w:b/>
                <w:color w:val="000000"/>
                <w:sz w:val="22"/>
                <w:szCs w:val="22"/>
              </w:rPr>
              <w:t>886</w:t>
            </w:r>
          </w:p>
        </w:tc>
        <w:tc>
          <w:tcPr>
            <w:tcW w:w="494" w:type="pct"/>
            <w:tcBorders>
              <w:top w:val="single" w:sz="18" w:space="0" w:color="auto"/>
              <w:bottom w:val="single" w:sz="18" w:space="0" w:color="auto"/>
            </w:tcBorders>
            <w:shd w:val="pct10" w:color="auto" w:fill="auto"/>
          </w:tcPr>
          <w:p w14:paraId="526EF557" w14:textId="50CA7847" w:rsidR="00A81683" w:rsidRPr="00B7523B" w:rsidRDefault="001B76BC" w:rsidP="0095573F">
            <w:pPr>
              <w:spacing w:before="40" w:after="40"/>
              <w:jc w:val="right"/>
              <w:rPr>
                <w:rFonts w:ascii="Arial" w:hAnsi="Arial" w:cs="Arial"/>
                <w:b/>
                <w:color w:val="000000"/>
                <w:sz w:val="22"/>
                <w:szCs w:val="22"/>
              </w:rPr>
            </w:pPr>
            <w:r>
              <w:rPr>
                <w:rFonts w:ascii="Arial" w:hAnsi="Arial" w:cs="Arial"/>
                <w:b/>
                <w:color w:val="000000"/>
                <w:sz w:val="22"/>
                <w:szCs w:val="22"/>
              </w:rPr>
              <w:t>803</w:t>
            </w:r>
          </w:p>
        </w:tc>
        <w:tc>
          <w:tcPr>
            <w:tcW w:w="494" w:type="pct"/>
            <w:tcBorders>
              <w:top w:val="single" w:sz="18" w:space="0" w:color="auto"/>
              <w:bottom w:val="single" w:sz="18" w:space="0" w:color="auto"/>
            </w:tcBorders>
            <w:shd w:val="pct10" w:color="auto" w:fill="auto"/>
          </w:tcPr>
          <w:p w14:paraId="05C6E5B9" w14:textId="32FB2EA6"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A6798E3" w14:textId="4EDDEDDE"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3611C86" w14:textId="380FBD4C"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right w:val="single" w:sz="4" w:space="0" w:color="auto"/>
            </w:tcBorders>
            <w:shd w:val="pct10" w:color="auto" w:fill="auto"/>
          </w:tcPr>
          <w:p w14:paraId="2F901546" w14:textId="2D087225" w:rsidR="00A81683" w:rsidRPr="005A52B4" w:rsidRDefault="00A81683" w:rsidP="0095573F">
            <w:pPr>
              <w:spacing w:before="40" w:after="40"/>
              <w:jc w:val="right"/>
              <w:rPr>
                <w:rFonts w:ascii="Arial" w:hAnsi="Arial" w:cs="Arial"/>
                <w:b/>
                <w:color w:val="000000"/>
                <w:sz w:val="22"/>
              </w:rPr>
            </w:pPr>
          </w:p>
        </w:tc>
        <w:tc>
          <w:tcPr>
            <w:tcW w:w="503" w:type="pct"/>
            <w:tcBorders>
              <w:top w:val="single" w:sz="18" w:space="0" w:color="auto"/>
              <w:left w:val="single" w:sz="4" w:space="0" w:color="auto"/>
              <w:bottom w:val="single" w:sz="18" w:space="0" w:color="auto"/>
              <w:right w:val="single" w:sz="18" w:space="0" w:color="auto"/>
            </w:tcBorders>
            <w:shd w:val="pct10" w:color="auto" w:fill="auto"/>
          </w:tcPr>
          <w:p w14:paraId="458CFB0B" w14:textId="6D31DD6C" w:rsidR="00A81683" w:rsidRPr="004155EA" w:rsidRDefault="00A81683" w:rsidP="0095573F">
            <w:pPr>
              <w:spacing w:before="40" w:after="40"/>
              <w:jc w:val="right"/>
              <w:rPr>
                <w:rFonts w:ascii="Arial" w:hAnsi="Arial" w:cs="Arial"/>
                <w:b/>
                <w:color w:val="000000"/>
                <w:sz w:val="22"/>
              </w:rPr>
            </w:pPr>
          </w:p>
        </w:tc>
      </w:tr>
      <w:bookmarkEnd w:id="957"/>
      <w:bookmarkEnd w:id="958"/>
    </w:tbl>
    <w:p w14:paraId="2194F426" w14:textId="77777777" w:rsidR="00544E42" w:rsidRPr="001C6E0E" w:rsidRDefault="00544E42" w:rsidP="007F6EE8">
      <w:pPr>
        <w:jc w:val="both"/>
        <w:rPr>
          <w:rFonts w:ascii="Arial" w:hAnsi="Arial" w:cs="Arial"/>
          <w:color w:val="000000"/>
          <w:sz w:val="20"/>
        </w:rPr>
      </w:pPr>
    </w:p>
    <w:p w14:paraId="5AE7F47C" w14:textId="141FE951" w:rsidR="001F197D" w:rsidRPr="001C6E0E" w:rsidRDefault="0046639A" w:rsidP="001F197D">
      <w:pPr>
        <w:jc w:val="both"/>
        <w:rPr>
          <w:rFonts w:ascii="Arial" w:hAnsi="Arial" w:cs="Arial"/>
          <w:color w:val="000000"/>
          <w:sz w:val="20"/>
        </w:rPr>
      </w:pPr>
      <w:r>
        <w:rPr>
          <w:rFonts w:ascii="Arial" w:hAnsi="Arial" w:cs="Arial"/>
          <w:color w:val="000000"/>
          <w:sz w:val="20"/>
        </w:rPr>
        <w:t>Table</w:t>
      </w:r>
      <w:r w:rsidR="007F6EE8"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2</w:t>
      </w:r>
      <w:r w:rsidR="007F6EE8"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w:t>
      </w:r>
      <w:r w:rsidR="00CE3766">
        <w:rPr>
          <w:rFonts w:ascii="Arial" w:hAnsi="Arial" w:cs="Arial"/>
          <w:color w:val="000000"/>
          <w:sz w:val="20"/>
        </w:rPr>
        <w:t>,</w:t>
      </w:r>
      <w:r w:rsidR="003633D7" w:rsidRPr="001C6E0E">
        <w:rPr>
          <w:rFonts w:ascii="Arial" w:hAnsi="Arial" w:cs="Arial"/>
          <w:color w:val="000000"/>
          <w:sz w:val="20"/>
        </w:rPr>
        <w:t xml:space="preserve"> youth attendance orders</w:t>
      </w:r>
      <w:r w:rsidR="00CE3766">
        <w:rPr>
          <w:rFonts w:ascii="Arial" w:hAnsi="Arial" w:cs="Arial"/>
          <w:color w:val="000000"/>
          <w:sz w:val="20"/>
        </w:rPr>
        <w:t xml:space="preserve"> and youth control orders</w:t>
      </w:r>
      <w:r w:rsidR="003633D7" w:rsidRPr="001C6E0E">
        <w:rPr>
          <w:rFonts w:ascii="Arial" w:hAnsi="Arial" w:cs="Arial"/>
          <w:color w:val="000000"/>
          <w:sz w:val="20"/>
        </w:rPr>
        <w:t>.  “</w:t>
      </w:r>
      <w:r w:rsidR="008E3D18">
        <w:rPr>
          <w:rFonts w:ascii="Arial" w:hAnsi="Arial" w:cs="Arial"/>
          <w:color w:val="000000"/>
          <w:sz w:val="20"/>
        </w:rPr>
        <w:t>D</w:t>
      </w:r>
      <w:r w:rsidR="003633D7" w:rsidRPr="001C6E0E">
        <w:rPr>
          <w:rFonts w:ascii="Arial" w:hAnsi="Arial" w:cs="Arial"/>
          <w:color w:val="000000"/>
          <w:sz w:val="20"/>
        </w:rPr>
        <w:t xml:space="preserve">etention orders” are youth justice centre orders and youth </w:t>
      </w:r>
      <w:r w:rsidR="00CE3766">
        <w:rPr>
          <w:rFonts w:ascii="Arial" w:hAnsi="Arial" w:cs="Arial"/>
          <w:color w:val="000000"/>
          <w:sz w:val="20"/>
        </w:rPr>
        <w:t>residential</w:t>
      </w:r>
      <w:r w:rsidR="003633D7" w:rsidRPr="001C6E0E">
        <w:rPr>
          <w:rFonts w:ascii="Arial" w:hAnsi="Arial" w:cs="Arial"/>
          <w:color w:val="000000"/>
          <w:sz w:val="20"/>
        </w:rPr>
        <w:t xml:space="preserve">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shd w:val="clear" w:color="auto" w:fill="auto"/>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CD0FD9">
            <w:pPr>
              <w:keepNext/>
              <w:keepLines/>
              <w:spacing w:before="2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shd w:val="clear" w:color="auto" w:fill="auto"/>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shd w:val="clear" w:color="auto" w:fill="auto"/>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shd w:val="clear" w:color="auto" w:fill="auto"/>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5F815CE5" w:rsidR="00B24720" w:rsidRPr="00A81683" w:rsidRDefault="00B24720" w:rsidP="001F197D">
      <w:pPr>
        <w:jc w:val="both"/>
        <w:rPr>
          <w:rFonts w:ascii="Arial" w:hAnsi="Arial" w:cs="Arial"/>
          <w:color w:val="000000"/>
          <w:sz w:val="12"/>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A81683" w:rsidRPr="001C6E0E" w14:paraId="145F65D4" w14:textId="77777777" w:rsidTr="0095573F">
        <w:trPr>
          <w:trHeight w:val="284"/>
        </w:trPr>
        <w:tc>
          <w:tcPr>
            <w:tcW w:w="1757" w:type="dxa"/>
            <w:tcBorders>
              <w:top w:val="single" w:sz="18" w:space="0" w:color="auto"/>
              <w:left w:val="single" w:sz="18" w:space="0" w:color="auto"/>
              <w:bottom w:val="single" w:sz="18" w:space="0" w:color="auto"/>
            </w:tcBorders>
            <w:shd w:val="clear" w:color="auto" w:fill="auto"/>
          </w:tcPr>
          <w:p w14:paraId="2D0D4B7B" w14:textId="77777777" w:rsidR="00A81683" w:rsidRPr="008E3D18" w:rsidRDefault="00A81683" w:rsidP="0095573F">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72158340" w14:textId="56814034" w:rsidR="00A81683" w:rsidRDefault="00A81683" w:rsidP="00CD0FD9">
            <w:pPr>
              <w:keepNext/>
              <w:keepLines/>
              <w:spacing w:before="2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w:t>
            </w:r>
            <w:r w:rsidRPr="001C6E0E">
              <w:rPr>
                <w:rFonts w:ascii="Arial" w:hAnsi="Arial" w:cs="Arial"/>
                <w:b/>
                <w:color w:val="000000"/>
                <w:sz w:val="18"/>
              </w:rPr>
              <w:t>0</w:t>
            </w:r>
          </w:p>
          <w:p w14:paraId="3E5918B9" w14:textId="18BBD71E" w:rsidR="00A81683" w:rsidRPr="001C6E0E" w:rsidRDefault="00A81683" w:rsidP="0095573F">
            <w:pPr>
              <w:keepNext/>
              <w:keepLines/>
              <w:jc w:val="center"/>
              <w:rPr>
                <w:rFonts w:ascii="Arial" w:hAnsi="Arial" w:cs="Arial"/>
                <w:b/>
                <w:color w:val="000000"/>
                <w:sz w:val="18"/>
              </w:rPr>
            </w:pPr>
            <w:r w:rsidRPr="001C6E0E">
              <w:rPr>
                <w:rFonts w:ascii="Arial" w:hAnsi="Arial" w:cs="Arial"/>
                <w:b/>
                <w:color w:val="000000"/>
                <w:sz w:val="18"/>
              </w:rPr>
              <w:t>/</w:t>
            </w:r>
            <w:r>
              <w:rPr>
                <w:rFonts w:ascii="Arial" w:hAnsi="Arial" w:cs="Arial"/>
                <w:b/>
                <w:color w:val="000000"/>
                <w:sz w:val="18"/>
              </w:rPr>
              <w:t>2</w:t>
            </w:r>
            <w:r w:rsidRPr="001C6E0E">
              <w:rPr>
                <w:rFonts w:ascii="Arial" w:hAnsi="Arial" w:cs="Arial"/>
                <w:b/>
                <w:color w:val="000000"/>
                <w:sz w:val="18"/>
              </w:rPr>
              <w:t>1</w:t>
            </w:r>
          </w:p>
        </w:tc>
        <w:tc>
          <w:tcPr>
            <w:tcW w:w="737" w:type="dxa"/>
            <w:tcBorders>
              <w:top w:val="single" w:sz="18" w:space="0" w:color="auto"/>
              <w:bottom w:val="single" w:sz="18" w:space="0" w:color="auto"/>
            </w:tcBorders>
            <w:shd w:val="clear" w:color="auto" w:fill="DDDDDD"/>
          </w:tcPr>
          <w:p w14:paraId="7B164F63" w14:textId="0324E936" w:rsidR="00A81683" w:rsidRDefault="00A81683" w:rsidP="00CD0FD9">
            <w:pPr>
              <w:keepNext/>
              <w:keepLines/>
              <w:spacing w:before="20"/>
              <w:jc w:val="center"/>
              <w:rPr>
                <w:rFonts w:ascii="Arial" w:hAnsi="Arial" w:cs="Arial"/>
                <w:b/>
                <w:color w:val="000000"/>
                <w:sz w:val="18"/>
              </w:rPr>
            </w:pPr>
            <w:r>
              <w:rPr>
                <w:rFonts w:ascii="Arial" w:hAnsi="Arial" w:cs="Arial"/>
                <w:b/>
                <w:color w:val="000000"/>
                <w:sz w:val="18"/>
              </w:rPr>
              <w:t>2021</w:t>
            </w:r>
          </w:p>
          <w:p w14:paraId="21F09588" w14:textId="15A0A754" w:rsidR="00A81683" w:rsidRPr="001C6E0E" w:rsidRDefault="00A81683" w:rsidP="0095573F">
            <w:pPr>
              <w:keepNext/>
              <w:keepLines/>
              <w:jc w:val="center"/>
              <w:rPr>
                <w:rFonts w:ascii="Arial" w:hAnsi="Arial" w:cs="Arial"/>
                <w:b/>
                <w:color w:val="000000"/>
                <w:sz w:val="18"/>
              </w:rPr>
            </w:pPr>
            <w:r>
              <w:rPr>
                <w:rFonts w:ascii="Arial" w:hAnsi="Arial" w:cs="Arial"/>
                <w:b/>
                <w:color w:val="000000"/>
                <w:sz w:val="18"/>
              </w:rPr>
              <w:t>/22</w:t>
            </w:r>
          </w:p>
        </w:tc>
        <w:tc>
          <w:tcPr>
            <w:tcW w:w="737" w:type="dxa"/>
            <w:tcBorders>
              <w:top w:val="single" w:sz="18" w:space="0" w:color="auto"/>
              <w:bottom w:val="single" w:sz="18" w:space="0" w:color="auto"/>
            </w:tcBorders>
            <w:shd w:val="clear" w:color="auto" w:fill="DDDDDD"/>
          </w:tcPr>
          <w:p w14:paraId="11061022" w14:textId="77777777" w:rsidR="00A81683" w:rsidRDefault="00CD0FD9" w:rsidP="001B76BC">
            <w:pPr>
              <w:keepNext/>
              <w:keepLines/>
              <w:spacing w:before="20"/>
              <w:jc w:val="center"/>
              <w:rPr>
                <w:rFonts w:ascii="Arial" w:hAnsi="Arial" w:cs="Arial"/>
                <w:b/>
                <w:color w:val="000000"/>
                <w:sz w:val="18"/>
              </w:rPr>
            </w:pPr>
            <w:r>
              <w:rPr>
                <w:rFonts w:ascii="Arial" w:hAnsi="Arial" w:cs="Arial"/>
                <w:b/>
                <w:color w:val="000000"/>
                <w:sz w:val="18"/>
              </w:rPr>
              <w:t>2022</w:t>
            </w:r>
          </w:p>
          <w:p w14:paraId="526C3E98" w14:textId="4C497396" w:rsidR="00CD0FD9" w:rsidRPr="001C6E0E" w:rsidRDefault="00CD0FD9" w:rsidP="00CD0FD9">
            <w:pPr>
              <w:keepNext/>
              <w:keepLines/>
              <w:jc w:val="center"/>
              <w:rPr>
                <w:rFonts w:ascii="Arial" w:hAnsi="Arial" w:cs="Arial"/>
                <w:b/>
                <w:color w:val="000000"/>
                <w:sz w:val="18"/>
              </w:rPr>
            </w:pPr>
            <w:r>
              <w:rPr>
                <w:rFonts w:ascii="Arial" w:hAnsi="Arial" w:cs="Arial"/>
                <w:b/>
                <w:color w:val="000000"/>
                <w:sz w:val="18"/>
              </w:rPr>
              <w:t>/23</w:t>
            </w:r>
          </w:p>
        </w:tc>
        <w:tc>
          <w:tcPr>
            <w:tcW w:w="737" w:type="dxa"/>
            <w:tcBorders>
              <w:top w:val="single" w:sz="18" w:space="0" w:color="auto"/>
              <w:bottom w:val="single" w:sz="18" w:space="0" w:color="auto"/>
            </w:tcBorders>
            <w:shd w:val="clear" w:color="auto" w:fill="DDDDDD"/>
          </w:tcPr>
          <w:p w14:paraId="07D6ADDF" w14:textId="77777777" w:rsidR="00A81683" w:rsidRDefault="001B76BC" w:rsidP="001B76BC">
            <w:pPr>
              <w:keepNext/>
              <w:keepLines/>
              <w:spacing w:before="20"/>
              <w:jc w:val="center"/>
              <w:rPr>
                <w:rFonts w:ascii="Arial" w:hAnsi="Arial" w:cs="Arial"/>
                <w:b/>
                <w:color w:val="000000"/>
                <w:sz w:val="18"/>
              </w:rPr>
            </w:pPr>
            <w:r>
              <w:rPr>
                <w:rFonts w:ascii="Arial" w:hAnsi="Arial" w:cs="Arial"/>
                <w:b/>
                <w:color w:val="000000"/>
                <w:sz w:val="18"/>
              </w:rPr>
              <w:t>2023</w:t>
            </w:r>
          </w:p>
          <w:p w14:paraId="256F67B1" w14:textId="5211835D" w:rsidR="001B76BC" w:rsidRPr="001C6E0E" w:rsidRDefault="001B76BC" w:rsidP="001B76BC">
            <w:pPr>
              <w:keepNext/>
              <w:keepLines/>
              <w:spacing w:before="20"/>
              <w:jc w:val="center"/>
              <w:rPr>
                <w:rFonts w:ascii="Arial" w:hAnsi="Arial" w:cs="Arial"/>
                <w:b/>
                <w:color w:val="000000"/>
                <w:sz w:val="18"/>
              </w:rPr>
            </w:pPr>
            <w:r>
              <w:rPr>
                <w:rFonts w:ascii="Arial" w:hAnsi="Arial" w:cs="Arial"/>
                <w:b/>
                <w:color w:val="000000"/>
                <w:sz w:val="18"/>
              </w:rPr>
              <w:t>/24</w:t>
            </w:r>
          </w:p>
        </w:tc>
        <w:tc>
          <w:tcPr>
            <w:tcW w:w="794" w:type="dxa"/>
            <w:tcBorders>
              <w:top w:val="single" w:sz="18" w:space="0" w:color="auto"/>
              <w:bottom w:val="single" w:sz="18" w:space="0" w:color="auto"/>
            </w:tcBorders>
            <w:shd w:val="clear" w:color="auto" w:fill="DDDDDD"/>
          </w:tcPr>
          <w:p w14:paraId="477A36EE" w14:textId="01A27758"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tcBorders>
            <w:shd w:val="clear" w:color="auto" w:fill="DDDDDD"/>
          </w:tcPr>
          <w:p w14:paraId="52E06D1C" w14:textId="5E0BB16C"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right w:val="single" w:sz="4" w:space="0" w:color="auto"/>
            </w:tcBorders>
            <w:shd w:val="clear" w:color="auto" w:fill="DDDDDD"/>
          </w:tcPr>
          <w:p w14:paraId="0D1FBC7D" w14:textId="5C8E66D4"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22F1821E" w14:textId="52E955D3"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3AB555A6" w14:textId="658C5016"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727883A6" w14:textId="4F4001A7" w:rsidR="00A81683" w:rsidRDefault="00A81683" w:rsidP="00CD0FD9">
            <w:pPr>
              <w:keepNext/>
              <w:keepLines/>
              <w:spacing w:before="40"/>
              <w:jc w:val="center"/>
              <w:rPr>
                <w:rFonts w:ascii="Arial" w:hAnsi="Arial" w:cs="Arial"/>
                <w:b/>
                <w:color w:val="000000"/>
                <w:sz w:val="18"/>
              </w:rPr>
            </w:pPr>
          </w:p>
        </w:tc>
      </w:tr>
      <w:tr w:rsidR="00A81683" w:rsidRPr="001C6E0E" w14:paraId="2C695807" w14:textId="77777777" w:rsidTr="0095573F">
        <w:tc>
          <w:tcPr>
            <w:tcW w:w="1757" w:type="dxa"/>
            <w:tcBorders>
              <w:top w:val="single" w:sz="18" w:space="0" w:color="auto"/>
              <w:left w:val="single" w:sz="18" w:space="0" w:color="auto"/>
            </w:tcBorders>
            <w:shd w:val="clear" w:color="auto" w:fill="auto"/>
          </w:tcPr>
          <w:p w14:paraId="2AD2267F"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5B1B9D9E" w14:textId="56F88D79"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47</w:t>
            </w:r>
            <w:r w:rsidR="00A81683" w:rsidRPr="001C6E0E">
              <w:rPr>
                <w:rFonts w:ascii="Arial" w:hAnsi="Arial" w:cs="Arial"/>
                <w:color w:val="000000"/>
                <w:sz w:val="20"/>
              </w:rPr>
              <w:t>%</w:t>
            </w:r>
          </w:p>
        </w:tc>
        <w:tc>
          <w:tcPr>
            <w:tcW w:w="737" w:type="dxa"/>
            <w:tcBorders>
              <w:top w:val="single" w:sz="18" w:space="0" w:color="auto"/>
            </w:tcBorders>
          </w:tcPr>
          <w:p w14:paraId="4D7A9B2D" w14:textId="18484587"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58</w:t>
            </w:r>
            <w:r w:rsidR="00A81683">
              <w:rPr>
                <w:rFonts w:ascii="Arial" w:hAnsi="Arial" w:cs="Arial"/>
                <w:color w:val="000000"/>
                <w:sz w:val="20"/>
              </w:rPr>
              <w:t>%</w:t>
            </w:r>
          </w:p>
        </w:tc>
        <w:tc>
          <w:tcPr>
            <w:tcW w:w="737" w:type="dxa"/>
            <w:tcBorders>
              <w:top w:val="single" w:sz="18" w:space="0" w:color="auto"/>
            </w:tcBorders>
          </w:tcPr>
          <w:p w14:paraId="739FF2F3" w14:textId="3FAE4A5D"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61%</w:t>
            </w:r>
          </w:p>
        </w:tc>
        <w:tc>
          <w:tcPr>
            <w:tcW w:w="737" w:type="dxa"/>
            <w:tcBorders>
              <w:top w:val="single" w:sz="18" w:space="0" w:color="auto"/>
            </w:tcBorders>
          </w:tcPr>
          <w:p w14:paraId="5A3839CE" w14:textId="07815404"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58%</w:t>
            </w:r>
          </w:p>
        </w:tc>
        <w:tc>
          <w:tcPr>
            <w:tcW w:w="794" w:type="dxa"/>
            <w:tcBorders>
              <w:top w:val="single" w:sz="18" w:space="0" w:color="auto"/>
            </w:tcBorders>
          </w:tcPr>
          <w:p w14:paraId="3A0E7279" w14:textId="2D9A794C" w:rsidR="00A81683" w:rsidRDefault="00A81683" w:rsidP="0095573F">
            <w:pPr>
              <w:keepNext/>
              <w:keepLines/>
              <w:jc w:val="center"/>
              <w:rPr>
                <w:rFonts w:ascii="Arial" w:hAnsi="Arial" w:cs="Arial"/>
                <w:color w:val="000000"/>
                <w:sz w:val="20"/>
              </w:rPr>
            </w:pPr>
          </w:p>
        </w:tc>
        <w:tc>
          <w:tcPr>
            <w:tcW w:w="737" w:type="dxa"/>
            <w:tcBorders>
              <w:top w:val="single" w:sz="18" w:space="0" w:color="auto"/>
            </w:tcBorders>
          </w:tcPr>
          <w:p w14:paraId="574A4F3E" w14:textId="4EA1BB47" w:rsidR="00A81683" w:rsidRDefault="00A81683" w:rsidP="0095573F">
            <w:pPr>
              <w:keepNext/>
              <w:keepLines/>
              <w:jc w:val="center"/>
              <w:rPr>
                <w:rFonts w:ascii="Arial" w:hAnsi="Arial" w:cs="Arial"/>
                <w:color w:val="000000"/>
                <w:sz w:val="20"/>
              </w:rPr>
            </w:pPr>
          </w:p>
        </w:tc>
        <w:tc>
          <w:tcPr>
            <w:tcW w:w="737" w:type="dxa"/>
            <w:tcBorders>
              <w:top w:val="single" w:sz="18" w:space="0" w:color="auto"/>
              <w:right w:val="single" w:sz="4" w:space="0" w:color="auto"/>
            </w:tcBorders>
          </w:tcPr>
          <w:p w14:paraId="58CEDBB5" w14:textId="071513B5"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12CF94F6" w14:textId="6536EC53"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40924B8D" w14:textId="5B0B8D41"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18" w:space="0" w:color="auto"/>
            </w:tcBorders>
          </w:tcPr>
          <w:p w14:paraId="4769442D" w14:textId="3F9BE777" w:rsidR="00A81683" w:rsidRDefault="00A81683" w:rsidP="0095573F">
            <w:pPr>
              <w:keepNext/>
              <w:keepLines/>
              <w:jc w:val="center"/>
              <w:rPr>
                <w:rFonts w:ascii="Arial" w:hAnsi="Arial" w:cs="Arial"/>
                <w:color w:val="000000"/>
                <w:sz w:val="20"/>
              </w:rPr>
            </w:pPr>
          </w:p>
        </w:tc>
      </w:tr>
      <w:tr w:rsidR="00A81683" w:rsidRPr="001C6E0E" w14:paraId="234A15FB" w14:textId="77777777" w:rsidTr="0095573F">
        <w:tc>
          <w:tcPr>
            <w:tcW w:w="1757" w:type="dxa"/>
            <w:tcBorders>
              <w:left w:val="single" w:sz="18" w:space="0" w:color="auto"/>
            </w:tcBorders>
            <w:shd w:val="clear" w:color="auto" w:fill="auto"/>
          </w:tcPr>
          <w:p w14:paraId="6062CAAD"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49062949" w14:textId="65C33EB3"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43</w:t>
            </w:r>
            <w:r w:rsidR="00A81683" w:rsidRPr="001C6E0E">
              <w:rPr>
                <w:rFonts w:ascii="Arial" w:hAnsi="Arial" w:cs="Arial"/>
                <w:color w:val="000000"/>
                <w:sz w:val="20"/>
              </w:rPr>
              <w:t>%</w:t>
            </w:r>
          </w:p>
        </w:tc>
        <w:tc>
          <w:tcPr>
            <w:tcW w:w="737" w:type="dxa"/>
            <w:tcBorders>
              <w:bottom w:val="single" w:sz="4" w:space="0" w:color="auto"/>
            </w:tcBorders>
          </w:tcPr>
          <w:p w14:paraId="0C6AB894" w14:textId="44D90020"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34</w:t>
            </w:r>
            <w:r w:rsidR="00A81683">
              <w:rPr>
                <w:rFonts w:ascii="Arial" w:hAnsi="Arial" w:cs="Arial"/>
                <w:color w:val="000000"/>
                <w:sz w:val="20"/>
              </w:rPr>
              <w:t>%</w:t>
            </w:r>
          </w:p>
        </w:tc>
        <w:tc>
          <w:tcPr>
            <w:tcW w:w="737" w:type="dxa"/>
            <w:tcBorders>
              <w:bottom w:val="single" w:sz="4" w:space="0" w:color="auto"/>
            </w:tcBorders>
          </w:tcPr>
          <w:p w14:paraId="7537BE2F" w14:textId="10B04DA0" w:rsidR="00A81683" w:rsidRPr="001C6E0E" w:rsidRDefault="00CD0FD9" w:rsidP="0095573F">
            <w:pPr>
              <w:keepNext/>
              <w:keepLines/>
              <w:spacing w:before="80"/>
              <w:jc w:val="center"/>
              <w:rPr>
                <w:rFonts w:ascii="Arial" w:hAnsi="Arial" w:cs="Arial"/>
                <w:color w:val="000000"/>
                <w:sz w:val="20"/>
              </w:rPr>
            </w:pPr>
            <w:r>
              <w:rPr>
                <w:rFonts w:ascii="Arial" w:hAnsi="Arial" w:cs="Arial"/>
                <w:color w:val="000000"/>
                <w:sz w:val="20"/>
              </w:rPr>
              <w:t>33%</w:t>
            </w:r>
          </w:p>
        </w:tc>
        <w:tc>
          <w:tcPr>
            <w:tcW w:w="737" w:type="dxa"/>
            <w:tcBorders>
              <w:bottom w:val="single" w:sz="4" w:space="0" w:color="auto"/>
            </w:tcBorders>
          </w:tcPr>
          <w:p w14:paraId="768808A8" w14:textId="734C5299" w:rsidR="00A81683" w:rsidRPr="001C6E0E" w:rsidRDefault="001B76BC" w:rsidP="0095573F">
            <w:pPr>
              <w:keepNext/>
              <w:keepLines/>
              <w:spacing w:before="80"/>
              <w:jc w:val="center"/>
              <w:rPr>
                <w:rFonts w:ascii="Arial" w:hAnsi="Arial" w:cs="Arial"/>
                <w:color w:val="000000"/>
                <w:sz w:val="20"/>
              </w:rPr>
            </w:pPr>
            <w:r>
              <w:rPr>
                <w:rFonts w:ascii="Arial" w:hAnsi="Arial" w:cs="Arial"/>
                <w:color w:val="000000"/>
                <w:sz w:val="20"/>
              </w:rPr>
              <w:t>35%</w:t>
            </w:r>
          </w:p>
        </w:tc>
        <w:tc>
          <w:tcPr>
            <w:tcW w:w="794" w:type="dxa"/>
            <w:tcBorders>
              <w:bottom w:val="single" w:sz="4" w:space="0" w:color="auto"/>
            </w:tcBorders>
          </w:tcPr>
          <w:p w14:paraId="5BC11156" w14:textId="4DBDE408"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tcBorders>
          </w:tcPr>
          <w:p w14:paraId="18C2F745" w14:textId="0F7D1C93"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right w:val="single" w:sz="4" w:space="0" w:color="auto"/>
            </w:tcBorders>
          </w:tcPr>
          <w:p w14:paraId="0A94E28B" w14:textId="61081E3E"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0CC3A51F" w14:textId="40B7AA2C"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48A259B2" w14:textId="728A5A50"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18" w:space="0" w:color="auto"/>
            </w:tcBorders>
          </w:tcPr>
          <w:p w14:paraId="1757EDCA" w14:textId="2DF6DD08" w:rsidR="00A81683" w:rsidRDefault="00A81683" w:rsidP="0095573F">
            <w:pPr>
              <w:keepNext/>
              <w:keepLines/>
              <w:spacing w:before="80"/>
              <w:jc w:val="center"/>
              <w:rPr>
                <w:rFonts w:ascii="Arial" w:hAnsi="Arial" w:cs="Arial"/>
                <w:color w:val="000000"/>
                <w:sz w:val="20"/>
              </w:rPr>
            </w:pPr>
          </w:p>
        </w:tc>
      </w:tr>
      <w:tr w:rsidR="00A81683" w:rsidRPr="001C6E0E" w14:paraId="5324AB2F" w14:textId="77777777" w:rsidTr="0095573F">
        <w:tc>
          <w:tcPr>
            <w:tcW w:w="1757" w:type="dxa"/>
            <w:tcBorders>
              <w:left w:val="single" w:sz="18" w:space="0" w:color="auto"/>
              <w:bottom w:val="single" w:sz="18" w:space="0" w:color="auto"/>
            </w:tcBorders>
            <w:shd w:val="clear" w:color="auto" w:fill="auto"/>
          </w:tcPr>
          <w:p w14:paraId="6C3A0F7A"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0A70BE99" w14:textId="3A3BD82C"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10</w:t>
            </w:r>
            <w:r w:rsidR="00A81683" w:rsidRPr="001C6E0E">
              <w:rPr>
                <w:rFonts w:ascii="Arial" w:hAnsi="Arial" w:cs="Arial"/>
                <w:color w:val="000000"/>
                <w:sz w:val="20"/>
              </w:rPr>
              <w:t>%</w:t>
            </w:r>
          </w:p>
        </w:tc>
        <w:tc>
          <w:tcPr>
            <w:tcW w:w="737" w:type="dxa"/>
            <w:tcBorders>
              <w:bottom w:val="single" w:sz="18" w:space="0" w:color="auto"/>
            </w:tcBorders>
          </w:tcPr>
          <w:p w14:paraId="224CB00D" w14:textId="528076BD"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8</w:t>
            </w:r>
            <w:r w:rsidR="00A81683">
              <w:rPr>
                <w:rFonts w:ascii="Arial" w:hAnsi="Arial" w:cs="Arial"/>
                <w:color w:val="000000"/>
                <w:sz w:val="20"/>
              </w:rPr>
              <w:t>%</w:t>
            </w:r>
          </w:p>
        </w:tc>
        <w:tc>
          <w:tcPr>
            <w:tcW w:w="737" w:type="dxa"/>
            <w:tcBorders>
              <w:bottom w:val="single" w:sz="18" w:space="0" w:color="auto"/>
            </w:tcBorders>
          </w:tcPr>
          <w:p w14:paraId="730AAC99" w14:textId="223BB329"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w:t>
            </w:r>
          </w:p>
        </w:tc>
        <w:tc>
          <w:tcPr>
            <w:tcW w:w="737" w:type="dxa"/>
            <w:tcBorders>
              <w:bottom w:val="single" w:sz="18" w:space="0" w:color="auto"/>
            </w:tcBorders>
          </w:tcPr>
          <w:p w14:paraId="7B8C6D87" w14:textId="2DE7726D"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7%</w:t>
            </w:r>
          </w:p>
        </w:tc>
        <w:tc>
          <w:tcPr>
            <w:tcW w:w="794" w:type="dxa"/>
            <w:tcBorders>
              <w:bottom w:val="single" w:sz="18" w:space="0" w:color="auto"/>
            </w:tcBorders>
          </w:tcPr>
          <w:p w14:paraId="5552CF4D" w14:textId="72B5B39C" w:rsidR="00A81683" w:rsidRDefault="00A81683" w:rsidP="0095573F">
            <w:pPr>
              <w:keepNext/>
              <w:keepLines/>
              <w:jc w:val="center"/>
              <w:rPr>
                <w:rFonts w:ascii="Arial" w:hAnsi="Arial" w:cs="Arial"/>
                <w:color w:val="000000"/>
                <w:sz w:val="20"/>
              </w:rPr>
            </w:pPr>
          </w:p>
        </w:tc>
        <w:tc>
          <w:tcPr>
            <w:tcW w:w="737" w:type="dxa"/>
            <w:tcBorders>
              <w:bottom w:val="single" w:sz="18" w:space="0" w:color="auto"/>
            </w:tcBorders>
          </w:tcPr>
          <w:p w14:paraId="64E78F2B" w14:textId="29EFE1C9" w:rsidR="00A81683" w:rsidRDefault="00A81683" w:rsidP="0095573F">
            <w:pPr>
              <w:keepNext/>
              <w:keepLines/>
              <w:jc w:val="center"/>
              <w:rPr>
                <w:rFonts w:ascii="Arial" w:hAnsi="Arial" w:cs="Arial"/>
                <w:color w:val="000000"/>
                <w:sz w:val="20"/>
              </w:rPr>
            </w:pPr>
          </w:p>
        </w:tc>
        <w:tc>
          <w:tcPr>
            <w:tcW w:w="737" w:type="dxa"/>
            <w:tcBorders>
              <w:bottom w:val="single" w:sz="18" w:space="0" w:color="auto"/>
              <w:right w:val="single" w:sz="4" w:space="0" w:color="auto"/>
            </w:tcBorders>
          </w:tcPr>
          <w:p w14:paraId="226C486D" w14:textId="08C5DE5A"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2F235557" w14:textId="1A7800D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798DB8FA" w14:textId="69025B5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18" w:space="0" w:color="auto"/>
            </w:tcBorders>
          </w:tcPr>
          <w:p w14:paraId="4CFE4EDF" w14:textId="11619E4B" w:rsidR="00A81683" w:rsidRDefault="00A81683" w:rsidP="0095573F">
            <w:pPr>
              <w:keepNext/>
              <w:keepLines/>
              <w:jc w:val="center"/>
              <w:rPr>
                <w:rFonts w:ascii="Arial" w:hAnsi="Arial" w:cs="Arial"/>
                <w:color w:val="000000"/>
                <w:sz w:val="20"/>
              </w:rPr>
            </w:pPr>
          </w:p>
        </w:tc>
      </w:tr>
    </w:tbl>
    <w:p w14:paraId="3713BBAE" w14:textId="031DB1A7" w:rsidR="00AF6313" w:rsidRDefault="00AF6313" w:rsidP="00AF6313">
      <w:pPr>
        <w:jc w:val="both"/>
        <w:rPr>
          <w:rFonts w:ascii="Arial" w:hAnsi="Arial" w:cs="Arial"/>
          <w:color w:val="000000"/>
          <w:sz w:val="20"/>
        </w:rPr>
      </w:pPr>
    </w:p>
    <w:p w14:paraId="5B4EF2B3" w14:textId="72A57DB6" w:rsidR="0046639A" w:rsidRDefault="0046639A" w:rsidP="0046639A">
      <w:pPr>
        <w:jc w:val="both"/>
        <w:rPr>
          <w:rFonts w:ascii="Arial" w:hAnsi="Arial" w:cs="Arial"/>
          <w:sz w:val="20"/>
          <w:szCs w:val="20"/>
        </w:rPr>
      </w:pPr>
      <w:r>
        <w:rPr>
          <w:rFonts w:ascii="Arial" w:hAnsi="Arial" w:cs="Arial"/>
          <w:sz w:val="20"/>
          <w:szCs w:val="20"/>
        </w:rPr>
        <w:t>However, although the limitations of Table</w:t>
      </w:r>
      <w:r w:rsidR="00604AB4">
        <w:rPr>
          <w:rFonts w:ascii="Arial" w:hAnsi="Arial" w:cs="Arial"/>
          <w:sz w:val="20"/>
          <w:szCs w:val="20"/>
        </w:rPr>
        <w:t>s</w:t>
      </w:r>
      <w:r>
        <w:rPr>
          <w:rFonts w:ascii="Arial" w:hAnsi="Arial" w:cs="Arial"/>
          <w:sz w:val="20"/>
          <w:szCs w:val="20"/>
        </w:rPr>
        <w:t xml:space="preserve"> </w:t>
      </w:r>
      <w:r w:rsidR="00604AB4">
        <w:rPr>
          <w:rFonts w:ascii="Arial" w:hAnsi="Arial" w:cs="Arial"/>
          <w:sz w:val="20"/>
          <w:szCs w:val="20"/>
        </w:rPr>
        <w:t xml:space="preserve">1 &amp; </w:t>
      </w:r>
      <w:r>
        <w:rPr>
          <w:rFonts w:ascii="Arial" w:hAnsi="Arial" w:cs="Arial"/>
          <w:sz w:val="20"/>
          <w:szCs w:val="20"/>
        </w:rPr>
        <w:t xml:space="preserve">2 and the associated </w:t>
      </w:r>
      <w:r w:rsidR="00604AB4">
        <w:rPr>
          <w:rFonts w:ascii="Arial" w:hAnsi="Arial" w:cs="Arial"/>
          <w:sz w:val="20"/>
          <w:szCs w:val="20"/>
        </w:rPr>
        <w:t>composite</w:t>
      </w:r>
      <w:r>
        <w:rPr>
          <w:rFonts w:ascii="Arial" w:hAnsi="Arial" w:cs="Arial"/>
          <w:sz w:val="20"/>
          <w:szCs w:val="20"/>
        </w:rPr>
        <w:t xml:space="preserve"> statistics in </w:t>
      </w:r>
      <w:r w:rsidRPr="00E94F6B">
        <w:rPr>
          <w:rFonts w:ascii="Arial" w:hAnsi="Arial" w:cs="Arial"/>
          <w:b/>
          <w:bCs/>
          <w:sz w:val="20"/>
          <w:szCs w:val="20"/>
          <w:shd w:val="clear" w:color="auto" w:fill="C5E0B3" w:themeFill="accent6" w:themeFillTint="66"/>
        </w:rPr>
        <w:t>section 7.</w:t>
      </w:r>
      <w:r w:rsidR="00604AB4" w:rsidRPr="00E94F6B">
        <w:rPr>
          <w:rFonts w:ascii="Arial" w:hAnsi="Arial" w:cs="Arial"/>
          <w:b/>
          <w:bCs/>
          <w:sz w:val="20"/>
          <w:szCs w:val="20"/>
          <w:shd w:val="clear" w:color="auto" w:fill="C5E0B3" w:themeFill="accent6" w:themeFillTint="66"/>
        </w:rPr>
        <w:t>5.7</w:t>
      </w:r>
      <w:r>
        <w:rPr>
          <w:rFonts w:ascii="Arial" w:hAnsi="Arial" w:cs="Arial"/>
          <w:sz w:val="20"/>
          <w:szCs w:val="20"/>
        </w:rPr>
        <w:t xml:space="preserve"> mean that they are not an exact measure of the output of the Criminal Division, the writer believes that they provide an accurate enough measure of the operation of the Division to make them worthwhile including in these Research Materials.</w:t>
      </w:r>
    </w:p>
    <w:p w14:paraId="2535141C" w14:textId="005131BF" w:rsidR="0046639A" w:rsidRDefault="0046639A" w:rsidP="00AF6313">
      <w:pPr>
        <w:jc w:val="both"/>
        <w:rPr>
          <w:rFonts w:ascii="Arial" w:hAnsi="Arial" w:cs="Arial"/>
          <w:color w:val="000000"/>
          <w:sz w:val="20"/>
        </w:rPr>
      </w:pPr>
    </w:p>
    <w:p w14:paraId="45EE2003" w14:textId="77777777" w:rsidR="0046639A" w:rsidRDefault="0046639A" w:rsidP="00604AB4">
      <w:pPr>
        <w:pBdr>
          <w:top w:val="thinThickThinSmallGap" w:sz="24" w:space="1" w:color="auto"/>
        </w:pBdr>
        <w:jc w:val="both"/>
        <w:rPr>
          <w:rFonts w:ascii="Arial" w:hAnsi="Arial" w:cs="Arial"/>
          <w:color w:val="000000"/>
          <w:sz w:val="20"/>
        </w:rPr>
      </w:pPr>
    </w:p>
    <w:p w14:paraId="0B13DD8D" w14:textId="77777777" w:rsidR="00AF6313" w:rsidRPr="001C6E0E" w:rsidRDefault="00AF6313" w:rsidP="00AF6313">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  The highest decreases in numbers of youth offenders were for the principal offences of Miscellaneous offences (down 28% or 290 offenders) and Theft (down 7% or 162 offenders).</w:t>
      </w:r>
    </w:p>
    <w:p w14:paraId="7E86E856" w14:textId="77777777" w:rsidR="00AF6313" w:rsidRDefault="00AF6313"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 xml:space="preserve">Further, in the </w:t>
      </w:r>
      <w:r w:rsidR="000D2EBD">
        <w:rPr>
          <w:rFonts w:ascii="Arial" w:hAnsi="Arial" w:cs="Arial"/>
          <w:color w:val="000000"/>
          <w:sz w:val="20"/>
        </w:rPr>
        <w:lastRenderedPageBreak/>
        <w:t>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By contrast, the offender incident rates for alleged offenders aged 18 and over increased by 35.0% from 2,276 to 3,072 incidents per 100,000 population.</w:t>
      </w:r>
    </w:p>
    <w:p w14:paraId="6D929FC8" w14:textId="2CF80532" w:rsidR="008B3341" w:rsidRPr="008B3341" w:rsidRDefault="00E378B2" w:rsidP="00846241">
      <w:pPr>
        <w:pBdr>
          <w:bottom w:val="single" w:sz="4" w:space="1" w:color="auto"/>
        </w:pBdr>
        <w:rPr>
          <w:rFonts w:ascii="Helvetica" w:hAnsi="Helvetica"/>
          <w:color w:val="132A4A"/>
          <w:lang w:val="en-US" w:eastAsia="en-AU"/>
        </w:rPr>
      </w:pPr>
      <w:r>
        <w:rPr>
          <w:rFonts w:ascii="Helvetica" w:hAnsi="Helvetica"/>
          <w:noProof/>
          <w:color w:val="132A4A"/>
          <w:lang w:val="en-US" w:eastAsia="en-AU"/>
        </w:rPr>
        <w:drawing>
          <wp:inline distT="0" distB="0" distL="0" distR="0" wp14:anchorId="4F3F396A" wp14:editId="7946D220">
            <wp:extent cx="5762625" cy="3580765"/>
            <wp:effectExtent l="19050" t="1905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l="24774" t="17696" r="20033" b="17787"/>
                    <a:stretch>
                      <a:fillRect/>
                    </a:stretch>
                  </pic:blipFill>
                  <pic:spPr bwMode="auto">
                    <a:xfrm>
                      <a:off x="0" y="0"/>
                      <a:ext cx="5762625" cy="3580765"/>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959" w:name="_11.7.2_Australian_&amp;"/>
      <w:bookmarkEnd w:id="959"/>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1D67D50B"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 xml:space="preserve">The data contained in </w:t>
      </w:r>
      <w:r w:rsidR="0046639A">
        <w:rPr>
          <w:rFonts w:ascii="Arial" w:hAnsi="Arial" w:cs="Arial"/>
          <w:color w:val="000000"/>
          <w:sz w:val="20"/>
        </w:rPr>
        <w:t>table</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51"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w:t>
      </w:r>
      <w:r w:rsidR="0046639A">
        <w:rPr>
          <w:rFonts w:ascii="Arial" w:hAnsi="Arial" w:cs="Arial"/>
          <w:color w:val="000000"/>
          <w:sz w:val="20"/>
        </w:rPr>
        <w:t>table</w:t>
      </w:r>
      <w:r w:rsidR="00BC2C28" w:rsidRPr="00102D2A">
        <w:rPr>
          <w:rFonts w:ascii="Arial" w:hAnsi="Arial" w:cs="Arial"/>
          <w:color w:val="000000"/>
          <w:sz w:val="20"/>
        </w:rPr>
        <w:t xml:space="preserve">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rate of detention of persons aged 10-17 in Juvenile Corrective Institutions – both as sentenced detainees and as remandees</w:t>
      </w:r>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 xml:space="preserve">Data formatted as in </w:t>
      </w:r>
      <w:r w:rsidR="00604AB4">
        <w:rPr>
          <w:rFonts w:ascii="Arial" w:hAnsi="Arial" w:cs="Arial"/>
          <w:color w:val="000000"/>
          <w:sz w:val="20"/>
        </w:rPr>
        <w:t>table</w:t>
      </w:r>
      <w:r w:rsidR="00C16D20" w:rsidRPr="00102D2A">
        <w:rPr>
          <w:rFonts w:ascii="Arial" w:hAnsi="Arial" w:cs="Arial"/>
          <w:color w:val="000000"/>
          <w:sz w:val="20"/>
        </w:rPr>
        <w:t> </w:t>
      </w:r>
      <w:r w:rsidR="00563DEC" w:rsidRPr="00A81683">
        <w:rPr>
          <w:rFonts w:ascii="Arial" w:hAnsi="Arial" w:cs="Arial"/>
          <w:b/>
          <w:bCs/>
          <w:color w:val="FFFFFF" w:themeColor="background1"/>
          <w:sz w:val="20"/>
          <w:bdr w:val="single" w:sz="4" w:space="0" w:color="000000"/>
          <w:shd w:val="clear" w:color="auto" w:fill="000000" w:themeFill="text1"/>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w:t>
      </w:r>
      <w:r w:rsidR="00604AB4">
        <w:rPr>
          <w:rFonts w:ascii="Arial" w:hAnsi="Arial" w:cs="Arial"/>
          <w:color w:val="000000"/>
          <w:sz w:val="20"/>
        </w:rPr>
        <w:t>table</w:t>
      </w:r>
      <w:r w:rsidR="00C16D20"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4AEC2563" w:rsidR="00DA04FA" w:rsidRPr="00102D2A" w:rsidRDefault="00604AB4" w:rsidP="00DA04FA">
      <w:pPr>
        <w:jc w:val="both"/>
        <w:rPr>
          <w:rFonts w:ascii="Arial" w:hAnsi="Arial" w:cs="Arial"/>
          <w:color w:val="000000"/>
          <w:sz w:val="20"/>
        </w:rPr>
      </w:pPr>
      <w:r>
        <w:rPr>
          <w:rFonts w:ascii="Arial" w:hAnsi="Arial" w:cs="Arial"/>
          <w:color w:val="000000"/>
          <w:sz w:val="20"/>
        </w:rPr>
        <w:t>Table</w:t>
      </w:r>
      <w:r w:rsidR="00DA04FA"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A04FA"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00DA04FA" w:rsidRPr="00102D2A">
            <w:rPr>
              <w:rFonts w:ascii="Arial" w:hAnsi="Arial" w:cs="Arial"/>
              <w:color w:val="000000"/>
              <w:sz w:val="20"/>
            </w:rPr>
            <w:t>Australian</w:t>
          </w:r>
        </w:smartTag>
        <w:r w:rsidR="00DA04FA" w:rsidRPr="00102D2A">
          <w:rPr>
            <w:rFonts w:ascii="Arial" w:hAnsi="Arial" w:cs="Arial"/>
            <w:color w:val="000000"/>
            <w:sz w:val="20"/>
          </w:rPr>
          <w:t xml:space="preserve"> </w:t>
        </w:r>
        <w:smartTag w:uri="urn:schemas-microsoft-com:office:smarttags" w:element="PlaceType">
          <w:r w:rsidR="00DA04FA" w:rsidRPr="00102D2A">
            <w:rPr>
              <w:rFonts w:ascii="Arial" w:hAnsi="Arial" w:cs="Arial"/>
              <w:color w:val="000000"/>
              <w:sz w:val="20"/>
            </w:rPr>
            <w:t>States</w:t>
          </w:r>
        </w:smartTag>
      </w:smartTag>
      <w:r w:rsidR="00DA04FA"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FD69C3">
        <w:tc>
          <w:tcPr>
            <w:tcW w:w="885" w:type="dxa"/>
            <w:tcBorders>
              <w:top w:val="single" w:sz="4" w:space="0" w:color="auto"/>
              <w:bottom w:val="single" w:sz="18"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18"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18"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18"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18"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18"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18"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18"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18"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18"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FD69C3">
        <w:tc>
          <w:tcPr>
            <w:tcW w:w="885" w:type="dxa"/>
            <w:tcBorders>
              <w:top w:val="single" w:sz="18"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18"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18"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18"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18"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18"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18"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18"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18"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18"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B309AA">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lastRenderedPageBreak/>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B309AA">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D953ED">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Borders>
              <w:bottom w:val="single" w:sz="4" w:space="0" w:color="auto"/>
            </w:tcBorders>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tcBorders>
              <w:bottom w:val="single" w:sz="4" w:space="0" w:color="auto"/>
            </w:tcBorders>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Borders>
              <w:bottom w:val="single" w:sz="4" w:space="0" w:color="auto"/>
            </w:tcBorders>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Borders>
              <w:bottom w:val="single" w:sz="4" w:space="0" w:color="auto"/>
            </w:tcBorders>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Borders>
              <w:bottom w:val="single" w:sz="4" w:space="0" w:color="auto"/>
            </w:tcBorders>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Borders>
              <w:bottom w:val="single" w:sz="4" w:space="0" w:color="auto"/>
            </w:tcBorders>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Borders>
              <w:bottom w:val="single" w:sz="4" w:space="0" w:color="auto"/>
            </w:tcBorders>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Borders>
              <w:bottom w:val="single" w:sz="4" w:space="0" w:color="auto"/>
            </w:tcBorders>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Borders>
              <w:bottom w:val="single" w:sz="4" w:space="0" w:color="auto"/>
            </w:tcBorders>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D953ED">
        <w:tc>
          <w:tcPr>
            <w:tcW w:w="885" w:type="dxa"/>
            <w:tcBorders>
              <w:top w:val="single" w:sz="4" w:space="0" w:color="auto"/>
              <w:bottom w:val="single" w:sz="18"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Borders>
              <w:top w:val="single" w:sz="4" w:space="0" w:color="auto"/>
              <w:bottom w:val="single" w:sz="18" w:space="0" w:color="auto"/>
            </w:tcBorders>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tcBorders>
              <w:top w:val="single" w:sz="4" w:space="0" w:color="auto"/>
              <w:bottom w:val="single" w:sz="18" w:space="0" w:color="auto"/>
            </w:tcBorders>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Borders>
              <w:top w:val="single" w:sz="4" w:space="0" w:color="auto"/>
              <w:bottom w:val="single" w:sz="18" w:space="0" w:color="auto"/>
            </w:tcBorders>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Borders>
              <w:top w:val="single" w:sz="4" w:space="0" w:color="auto"/>
              <w:bottom w:val="single" w:sz="18" w:space="0" w:color="auto"/>
            </w:tcBorders>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Borders>
              <w:top w:val="single" w:sz="4" w:space="0" w:color="auto"/>
              <w:bottom w:val="single" w:sz="18" w:space="0" w:color="auto"/>
            </w:tcBorders>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Borders>
              <w:top w:val="single" w:sz="4" w:space="0" w:color="auto"/>
              <w:bottom w:val="single" w:sz="18" w:space="0" w:color="auto"/>
            </w:tcBorders>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Borders>
              <w:top w:val="single" w:sz="4" w:space="0" w:color="auto"/>
              <w:bottom w:val="single" w:sz="18" w:space="0" w:color="auto"/>
            </w:tcBorders>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Borders>
              <w:top w:val="single" w:sz="4" w:space="0" w:color="auto"/>
              <w:bottom w:val="single" w:sz="18" w:space="0" w:color="auto"/>
            </w:tcBorders>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Borders>
              <w:top w:val="single" w:sz="4" w:space="0" w:color="auto"/>
              <w:bottom w:val="single" w:sz="18" w:space="0" w:color="auto"/>
            </w:tcBorders>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F938C9" w:rsidRPr="000A0968" w14:paraId="0FCB08B2" w14:textId="77777777" w:rsidTr="00D953ED">
        <w:tc>
          <w:tcPr>
            <w:tcW w:w="885" w:type="dxa"/>
            <w:tcBorders>
              <w:top w:val="single" w:sz="18"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1995</w:t>
            </w:r>
          </w:p>
        </w:tc>
        <w:tc>
          <w:tcPr>
            <w:tcW w:w="885" w:type="dxa"/>
            <w:tcBorders>
              <w:top w:val="single" w:sz="18" w:space="0" w:color="auto"/>
            </w:tcBorders>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tcBorders>
              <w:top w:val="single" w:sz="18" w:space="0" w:color="auto"/>
            </w:tcBorders>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Borders>
              <w:top w:val="single" w:sz="18" w:space="0" w:color="auto"/>
            </w:tcBorders>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Borders>
              <w:top w:val="single" w:sz="18" w:space="0" w:color="auto"/>
            </w:tcBorders>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Borders>
              <w:top w:val="single" w:sz="18" w:space="0" w:color="auto"/>
            </w:tcBorders>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Borders>
              <w:top w:val="single" w:sz="18" w:space="0" w:color="auto"/>
            </w:tcBorders>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Borders>
              <w:top w:val="single" w:sz="18" w:space="0" w:color="auto"/>
            </w:tcBorders>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Borders>
              <w:top w:val="single" w:sz="18" w:space="0" w:color="auto"/>
            </w:tcBorders>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Borders>
              <w:top w:val="single" w:sz="18" w:space="0" w:color="auto"/>
            </w:tcBorders>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D953ED">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CD0FD9">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B309AA">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shd w:val="clear" w:color="auto" w:fill="auto"/>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shd w:val="clear" w:color="auto" w:fill="auto"/>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shd w:val="clear" w:color="auto" w:fill="auto"/>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shd w:val="clear" w:color="auto" w:fill="auto"/>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shd w:val="clear" w:color="auto" w:fill="auto"/>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shd w:val="clear" w:color="auto" w:fill="auto"/>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shd w:val="clear" w:color="auto" w:fill="auto"/>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shd w:val="clear" w:color="auto" w:fill="auto"/>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shd w:val="clear" w:color="auto" w:fill="auto"/>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shd w:val="clear" w:color="auto" w:fill="auto"/>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shd w:val="clear" w:color="auto" w:fill="auto"/>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shd w:val="clear" w:color="auto" w:fill="auto"/>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shd w:val="clear" w:color="auto" w:fill="auto"/>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shd w:val="clear" w:color="auto" w:fill="auto"/>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shd w:val="clear" w:color="auto" w:fill="auto"/>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shd w:val="clear" w:color="auto" w:fill="auto"/>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B2147">
        <w:tc>
          <w:tcPr>
            <w:tcW w:w="885" w:type="dxa"/>
            <w:tcBorders>
              <w:top w:val="single" w:sz="4" w:space="0" w:color="auto"/>
              <w:left w:val="single" w:sz="18" w:space="0" w:color="auto"/>
              <w:bottom w:val="single" w:sz="18"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18" w:space="0" w:color="auto"/>
              <w:right w:val="single" w:sz="18" w:space="0" w:color="auto"/>
            </w:tcBorders>
            <w:shd w:val="clear" w:color="auto" w:fill="auto"/>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B309AA">
        <w:tc>
          <w:tcPr>
            <w:tcW w:w="885" w:type="dxa"/>
            <w:tcBorders>
              <w:top w:val="single" w:sz="18"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18"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61DB8D1A" w:rsidR="00F938C9" w:rsidRPr="00102D2A" w:rsidRDefault="00604AB4" w:rsidP="00442484">
      <w:pPr>
        <w:ind w:right="170"/>
        <w:jc w:val="both"/>
        <w:rPr>
          <w:rFonts w:ascii="Arial" w:hAnsi="Arial" w:cs="Arial"/>
          <w:color w:val="000000"/>
          <w:sz w:val="20"/>
        </w:rPr>
      </w:pPr>
      <w:r>
        <w:rPr>
          <w:rFonts w:ascii="Arial" w:hAnsi="Arial" w:cs="Arial"/>
          <w:color w:val="000000"/>
          <w:sz w:val="20"/>
        </w:rPr>
        <w:t>Table</w:t>
      </w:r>
      <w:r w:rsidR="00F938C9"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3</w:t>
      </w:r>
      <w:r w:rsidR="00F938C9" w:rsidRPr="00102D2A">
        <w:rPr>
          <w:rFonts w:ascii="Arial" w:hAnsi="Arial" w:cs="Arial"/>
          <w:color w:val="000000"/>
          <w:sz w:val="20"/>
        </w:rPr>
        <w:t xml:space="preserve"> shows some int</w:t>
      </w:r>
      <w:r w:rsidR="007C5371">
        <w:rPr>
          <w:rFonts w:ascii="Arial" w:hAnsi="Arial" w:cs="Arial"/>
          <w:color w:val="000000"/>
          <w:sz w:val="20"/>
        </w:rPr>
        <w:t xml:space="preserve">eresting </w:t>
      </w:r>
      <w:r w:rsidR="00F938C9" w:rsidRPr="00102D2A">
        <w:rPr>
          <w:rFonts w:ascii="Arial" w:hAnsi="Arial" w:cs="Arial"/>
          <w:color w:val="000000"/>
          <w:sz w:val="20"/>
        </w:rPr>
        <w:t xml:space="preserve">things about incarceration of 10-17 year olds in </w:t>
      </w:r>
      <w:smartTag w:uri="urn:schemas-microsoft-com:office:smarttags" w:element="place">
        <w:smartTag w:uri="urn:schemas-microsoft-com:office:smarttags" w:element="State">
          <w:r w:rsidR="00F938C9"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F81B35">
      <w:pPr>
        <w:pBdr>
          <w:top w:val="single" w:sz="4" w:space="1" w:color="auto"/>
          <w:left w:val="single" w:sz="4" w:space="4" w:color="auto"/>
          <w:bottom w:val="single" w:sz="4" w:space="1" w:color="auto"/>
          <w:right w:val="single" w:sz="4" w:space="4" w:color="auto"/>
        </w:pBdr>
        <w:spacing w:before="60"/>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country-region">
        <w:smartTag w:uri="urn:schemas-microsoft-com:office:smarttags" w:element="place">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place">
        <w:smartTag w:uri="urn:schemas-microsoft-com:office:smarttags" w:element="country-region">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324BAC09" w14:textId="5AF11DC3" w:rsidR="00F81B35" w:rsidRDefault="00E378B2" w:rsidP="00442484">
      <w:pPr>
        <w:keepNext/>
        <w:keepLines/>
        <w:jc w:val="both"/>
        <w:rPr>
          <w:rFonts w:ascii="Arial" w:hAnsi="Arial" w:cs="Arial"/>
          <w:color w:val="000000"/>
          <w:sz w:val="20"/>
        </w:rPr>
      </w:pPr>
      <w:r>
        <w:rPr>
          <w:noProof/>
        </w:rPr>
        <w:lastRenderedPageBreak/>
        <w:drawing>
          <wp:inline distT="0" distB="0" distL="0" distR="0" wp14:anchorId="478A7D7C" wp14:editId="1E4F154E">
            <wp:extent cx="5726430" cy="2828925"/>
            <wp:effectExtent l="19050" t="1905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4122C7FA" w14:textId="5A1C6C5A" w:rsidR="006D2043" w:rsidRDefault="00604AB4" w:rsidP="006D2043">
      <w:pPr>
        <w:autoSpaceDE w:val="0"/>
        <w:autoSpaceDN w:val="0"/>
        <w:adjustRightInd w:val="0"/>
        <w:jc w:val="both"/>
        <w:rPr>
          <w:rFonts w:ascii="Arial" w:hAnsi="Arial" w:cs="Arial"/>
          <w:color w:val="000000"/>
          <w:sz w:val="20"/>
        </w:rPr>
      </w:pPr>
      <w:r>
        <w:rPr>
          <w:rFonts w:ascii="Arial" w:hAnsi="Arial" w:cs="Arial"/>
          <w:color w:val="000000"/>
          <w:sz w:val="20"/>
        </w:rPr>
        <w:t>Table</w:t>
      </w:r>
      <w:r w:rsidR="0021670C"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4</w:t>
      </w:r>
      <w:r w:rsidR="0021670C"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0021670C" w:rsidRPr="00102D2A">
            <w:rPr>
              <w:rFonts w:ascii="Arial" w:hAnsi="Arial" w:cs="Arial"/>
              <w:color w:val="000000"/>
              <w:sz w:val="20"/>
            </w:rPr>
            <w:t>Australian</w:t>
          </w:r>
        </w:smartTag>
        <w:r w:rsidR="0021670C" w:rsidRPr="00102D2A">
          <w:rPr>
            <w:rFonts w:ascii="Arial" w:hAnsi="Arial" w:cs="Arial"/>
            <w:color w:val="000000"/>
            <w:sz w:val="20"/>
          </w:rPr>
          <w:t xml:space="preserve"> </w:t>
        </w:r>
        <w:smartTag w:uri="urn:schemas-microsoft-com:office:smarttags" w:element="PlaceType">
          <w:r w:rsidR="0021670C" w:rsidRPr="00102D2A">
            <w:rPr>
              <w:rFonts w:ascii="Arial" w:hAnsi="Arial" w:cs="Arial"/>
              <w:color w:val="000000"/>
              <w:sz w:val="20"/>
            </w:rPr>
            <w:t>States</w:t>
          </w:r>
        </w:smartTag>
      </w:smartTag>
      <w:r w:rsidR="0021670C"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rate of indigenous detention in </w:t>
      </w:r>
      <w:smartTag w:uri="urn:schemas-microsoft-com:office:smarttags" w:element="place">
        <w:smartTag w:uri="urn:schemas-microsoft-com:office:smarttags" w:element="Stat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w:t>
      </w:r>
      <w:r w:rsidR="006D2043">
        <w:rPr>
          <w:rFonts w:ascii="Arial" w:hAnsi="Arial" w:cs="Arial"/>
          <w:color w:val="000000"/>
          <w:sz w:val="20"/>
        </w:rPr>
        <w:t>was still</w:t>
      </w:r>
      <w:r w:rsidR="00C11D7C" w:rsidRPr="00102D2A">
        <w:rPr>
          <w:rFonts w:ascii="Arial" w:hAnsi="Arial" w:cs="Arial"/>
          <w:color w:val="000000"/>
          <w:sz w:val="20"/>
        </w:rPr>
        <w:t xml:space="preserve">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r w:rsidR="006D2043">
        <w:rPr>
          <w:rFonts w:ascii="Arial" w:hAnsi="Arial" w:cs="Arial"/>
          <w:color w:val="000000"/>
          <w:sz w:val="20"/>
        </w:rPr>
        <w:t xml:space="preserve">  By 2020/21 the over-representation had reduced a bit but was still unacceptably high: indigenous young people made up 1.7% of those aged 10-17 in the general population but 10% of those in detention].</w:t>
      </w:r>
    </w:p>
    <w:p w14:paraId="0ED544B9" w14:textId="77777777" w:rsidR="006D2043" w:rsidRPr="00102D2A" w:rsidRDefault="006D2043"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shd w:val="clear" w:color="auto" w:fill="auto"/>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shd w:val="clear" w:color="auto" w:fill="auto"/>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shd w:val="clear" w:color="auto" w:fill="auto"/>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shd w:val="clear" w:color="auto" w:fill="auto"/>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shd w:val="clear" w:color="auto" w:fill="auto"/>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shd w:val="clear" w:color="auto" w:fill="auto"/>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shd w:val="clear" w:color="auto" w:fill="auto"/>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shd w:val="clear" w:color="auto" w:fill="auto"/>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shd w:val="clear" w:color="auto" w:fill="auto"/>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shd w:val="clear" w:color="auto" w:fill="auto"/>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shd w:val="clear" w:color="auto" w:fill="auto"/>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shd w:val="clear" w:color="auto" w:fill="auto"/>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shd w:val="clear" w:color="auto" w:fill="auto"/>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shd w:val="clear" w:color="auto" w:fill="auto"/>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shd w:val="clear" w:color="auto" w:fill="auto"/>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shd w:val="clear" w:color="auto" w:fill="auto"/>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shd w:val="clear" w:color="auto" w:fill="auto"/>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shd w:val="clear" w:color="auto" w:fill="auto"/>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shd w:val="clear" w:color="auto" w:fill="auto"/>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shd w:val="clear" w:color="auto" w:fill="auto"/>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shd w:val="clear" w:color="auto" w:fill="auto"/>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shd w:val="clear" w:color="auto" w:fill="auto"/>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shd w:val="clear" w:color="auto" w:fill="auto"/>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shd w:val="clear" w:color="auto" w:fill="auto"/>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shd w:val="clear" w:color="auto" w:fill="auto"/>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shd w:val="clear" w:color="auto" w:fill="auto"/>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shd w:val="clear" w:color="auto" w:fill="auto"/>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shd w:val="clear" w:color="auto" w:fill="auto"/>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shd w:val="clear" w:color="auto" w:fill="auto"/>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shd w:val="clear" w:color="auto" w:fill="auto"/>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shd w:val="clear" w:color="auto" w:fill="auto"/>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shd w:val="clear" w:color="auto" w:fill="auto"/>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shd w:val="clear" w:color="auto" w:fill="auto"/>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shd w:val="clear" w:color="auto" w:fill="auto"/>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shd w:val="clear" w:color="auto" w:fill="auto"/>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shd w:val="clear" w:color="auto" w:fill="auto"/>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shd w:val="clear" w:color="auto" w:fill="auto"/>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shd w:val="clear" w:color="auto" w:fill="auto"/>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shd w:val="clear" w:color="auto" w:fill="auto"/>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shd w:val="clear" w:color="auto" w:fill="auto"/>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shd w:val="clear" w:color="auto" w:fill="auto"/>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shd w:val="clear" w:color="auto" w:fill="auto"/>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shd w:val="clear" w:color="auto" w:fill="auto"/>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shd w:val="clear" w:color="auto" w:fill="auto"/>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shd w:val="clear" w:color="auto" w:fill="auto"/>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shd w:val="clear" w:color="auto" w:fill="auto"/>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shd w:val="clear" w:color="auto" w:fill="auto"/>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shd w:val="clear" w:color="auto" w:fill="auto"/>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shd w:val="clear" w:color="auto" w:fill="auto"/>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shd w:val="clear" w:color="auto" w:fill="auto"/>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960" w:name="_Toc30691483"/>
      <w:bookmarkStart w:id="961" w:name="_Toc30691863"/>
      <w:bookmarkStart w:id="962" w:name="_Toc30692243"/>
      <w:bookmarkStart w:id="963" w:name="_Toc30693001"/>
      <w:bookmarkStart w:id="964" w:name="_Toc30693380"/>
      <w:bookmarkStart w:id="965" w:name="_Toc30693758"/>
      <w:bookmarkStart w:id="966" w:name="_Toc30694136"/>
      <w:bookmarkStart w:id="967" w:name="_Toc30694517"/>
      <w:bookmarkStart w:id="968" w:name="_Toc30699107"/>
      <w:bookmarkStart w:id="969" w:name="_Toc30699492"/>
      <w:bookmarkStart w:id="970" w:name="_Toc30699877"/>
      <w:bookmarkStart w:id="971" w:name="_Toc30701032"/>
      <w:bookmarkStart w:id="972" w:name="_Toc30701419"/>
      <w:bookmarkStart w:id="973" w:name="_Toc30744026"/>
      <w:bookmarkStart w:id="974" w:name="_Toc30754849"/>
      <w:bookmarkStart w:id="975" w:name="_Toc30757305"/>
      <w:bookmarkStart w:id="976" w:name="_Toc30757853"/>
      <w:bookmarkStart w:id="977" w:name="_Toc30758253"/>
      <w:bookmarkStart w:id="978" w:name="_Toc30763013"/>
      <w:bookmarkStart w:id="979" w:name="_Toc30767667"/>
      <w:bookmarkStart w:id="980" w:name="_Toc34823686"/>
      <w:bookmarkStart w:id="981"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country-region">
        <w:smartTag w:uri="urn:schemas-microsoft-com:office:smarttags" w:element="place">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lastRenderedPageBreak/>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State">
        <w:smartTag w:uri="urn:schemas-microsoft-com:office:smarttags" w:element="plac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place">
        <w:smartTag w:uri="urn:schemas-microsoft-com:office:smarttags" w:element="country-region">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country-region">
        <w:smartTag w:uri="urn:schemas-microsoft-com:office:smarttags" w:element="place">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State">
        <w:smartTag w:uri="urn:schemas-microsoft-com:office:smarttags" w:element="plac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State">
        <w:smartTag w:uri="urn:schemas-microsoft-com:office:smarttags" w:element="plac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State">
        <w:smartTag w:uri="urn:schemas-microsoft-com:office:smarttags" w:element="plac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Overall 10 to 19 year olds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6D2043">
      <w:pPr>
        <w:keepNext/>
        <w:keepLines/>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6D2043">
      <w:pPr>
        <w:keepNext/>
        <w:keepLines/>
        <w:jc w:val="both"/>
        <w:rPr>
          <w:rFonts w:ascii="Arial" w:hAnsi="Arial" w:cs="Arial"/>
          <w:color w:val="000000"/>
          <w:sz w:val="20"/>
        </w:rPr>
      </w:pPr>
    </w:p>
    <w:p w14:paraId="7545F3AA" w14:textId="77777777" w:rsidR="001C6775" w:rsidRPr="00102D2A" w:rsidRDefault="00150255" w:rsidP="00CB034C">
      <w:pPr>
        <w:keepNext/>
        <w:keepLines/>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has by far the lowest youth detention rate – also has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6FAB189E" w:rsidR="00C11D7C" w:rsidRPr="00B07D41" w:rsidRDefault="00E378B2" w:rsidP="0036094E">
      <w:pPr>
        <w:shd w:val="clear" w:color="auto" w:fill="000000"/>
        <w:jc w:val="center"/>
        <w:rPr>
          <w:rFonts w:ascii="Arial" w:hAnsi="Arial" w:cs="Arial"/>
          <w:sz w:val="20"/>
        </w:rPr>
      </w:pPr>
      <w:r>
        <w:rPr>
          <w:rFonts w:ascii="Arial" w:hAnsi="Arial" w:cs="Arial"/>
          <w:noProof/>
          <w:sz w:val="20"/>
        </w:rPr>
        <w:drawing>
          <wp:inline distT="0" distB="0" distL="0" distR="0" wp14:anchorId="73401C2F" wp14:editId="2BB591E7">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77777777" w:rsidR="003E6E24" w:rsidRPr="00102D2A" w:rsidRDefault="003E6E24" w:rsidP="007A4942">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 xml:space="preserve">demonstrate a decrease in the Australia-wide youth offender rate for the seventh </w:t>
      </w:r>
      <w:r w:rsidR="007111CC">
        <w:rPr>
          <w:rFonts w:ascii="Arial" w:hAnsi="Arial" w:cs="Arial"/>
          <w:color w:val="000000"/>
          <w:sz w:val="20"/>
        </w:rPr>
        <w:lastRenderedPageBreak/>
        <w:t>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77777777" w:rsidR="00D017DC" w:rsidRDefault="00D017DC" w:rsidP="00D017DC">
      <w:pPr>
        <w:jc w:val="both"/>
        <w:rPr>
          <w:rFonts w:ascii="Arial" w:hAnsi="Arial" w:cs="Arial"/>
          <w:color w:val="000000"/>
          <w:sz w:val="20"/>
        </w:rPr>
      </w:pPr>
    </w:p>
    <w:p w14:paraId="3A1E6218" w14:textId="51B310C9" w:rsidR="00D017DC" w:rsidRDefault="00000000" w:rsidP="0036094E">
      <w:pPr>
        <w:shd w:val="clear" w:color="auto" w:fill="000000"/>
        <w:jc w:val="center"/>
        <w:rPr>
          <w:rFonts w:ascii="Arial" w:hAnsi="Arial" w:cs="Arial"/>
          <w:color w:val="000000"/>
          <w:sz w:val="20"/>
        </w:rPr>
      </w:pPr>
      <w:r>
        <w:rPr>
          <w:noProof/>
        </w:rPr>
        <w:pict w14:anchorId="74B15266">
          <v:shapetype id="_x0000_t202" coordsize="21600,21600" o:spt="202" path="m,l,21600r21600,l21600,xe">
            <v:stroke joinstyle="miter"/>
            <v:path gradientshapeok="t" o:connecttype="rect"/>
          </v:shapetype>
          <v:shape id="Text Box 2" o:spid="_x0000_s2050" type="#_x0000_t202" style="position:absolute;left:0;text-align:left;margin-left:150.45pt;margin-top:16.4pt;width:149.25pt;height:15.6pt;z-index: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w:r>
      <w:r w:rsidR="00E378B2">
        <w:rPr>
          <w:noProof/>
        </w:rPr>
        <w:drawing>
          <wp:inline distT="0" distB="0" distL="0" distR="0" wp14:anchorId="26FCE00E" wp14:editId="1C5CD94C">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54">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02A1BE66" w:rsidR="00D017DC" w:rsidRDefault="00D017DC" w:rsidP="00D017DC">
      <w:pPr>
        <w:jc w:val="both"/>
        <w:rPr>
          <w:rFonts w:ascii="Arial" w:hAnsi="Arial" w:cs="Arial"/>
          <w:color w:val="000000" w:themeColor="text1"/>
          <w:sz w:val="20"/>
        </w:rPr>
      </w:pPr>
    </w:p>
    <w:p w14:paraId="0E9DCF58" w14:textId="7C080D41" w:rsidR="004E25D9" w:rsidRPr="00102D2A" w:rsidRDefault="004E25D9" w:rsidP="004E25D9">
      <w:pPr>
        <w:keepNext/>
        <w:keepLines/>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Australian youth offender rates</w:t>
      </w:r>
      <w:r w:rsidR="00511D57">
        <w:rPr>
          <w:rFonts w:ascii="Arial" w:hAnsi="Arial" w:cs="Arial"/>
          <w:b/>
          <w:bCs/>
          <w:i/>
          <w:iCs/>
          <w:color w:val="000000"/>
          <w:sz w:val="32"/>
          <w:szCs w:val="36"/>
          <w:u w:val="single"/>
        </w:rPr>
        <w:t xml:space="preserve"> </w:t>
      </w:r>
      <w:r>
        <w:rPr>
          <w:rFonts w:ascii="Arial" w:hAnsi="Arial" w:cs="Arial"/>
          <w:b/>
          <w:bCs/>
          <w:i/>
          <w:iCs/>
          <w:color w:val="000000"/>
          <w:sz w:val="32"/>
          <w:szCs w:val="36"/>
          <w:u w:val="single"/>
        </w:rPr>
        <w:t xml:space="preserve">in </w:t>
      </w:r>
      <w:r w:rsidR="00511D57">
        <w:rPr>
          <w:rFonts w:ascii="Arial" w:hAnsi="Arial" w:cs="Arial"/>
          <w:b/>
          <w:bCs/>
          <w:i/>
          <w:iCs/>
          <w:color w:val="000000"/>
          <w:sz w:val="32"/>
          <w:szCs w:val="36"/>
          <w:u w:val="single"/>
        </w:rPr>
        <w:t xml:space="preserve">2020/21 &amp; </w:t>
      </w:r>
      <w:r>
        <w:rPr>
          <w:rFonts w:ascii="Arial" w:hAnsi="Arial" w:cs="Arial"/>
          <w:b/>
          <w:bCs/>
          <w:i/>
          <w:iCs/>
          <w:color w:val="000000"/>
          <w:sz w:val="32"/>
          <w:szCs w:val="36"/>
          <w:u w:val="single"/>
        </w:rPr>
        <w:t>202</w:t>
      </w:r>
      <w:r w:rsidR="00511D57">
        <w:rPr>
          <w:rFonts w:ascii="Arial" w:hAnsi="Arial" w:cs="Arial"/>
          <w:b/>
          <w:bCs/>
          <w:i/>
          <w:iCs/>
          <w:color w:val="000000"/>
          <w:sz w:val="32"/>
          <w:szCs w:val="36"/>
          <w:u w:val="single"/>
        </w:rPr>
        <w:t>1</w:t>
      </w:r>
      <w:r>
        <w:rPr>
          <w:rFonts w:ascii="Arial" w:hAnsi="Arial" w:cs="Arial"/>
          <w:b/>
          <w:bCs/>
          <w:i/>
          <w:iCs/>
          <w:color w:val="000000"/>
          <w:sz w:val="32"/>
          <w:szCs w:val="36"/>
          <w:u w:val="single"/>
        </w:rPr>
        <w:t>/2</w:t>
      </w:r>
      <w:r w:rsidR="00511D57">
        <w:rPr>
          <w:rFonts w:ascii="Arial" w:hAnsi="Arial" w:cs="Arial"/>
          <w:b/>
          <w:bCs/>
          <w:i/>
          <w:iCs/>
          <w:color w:val="000000"/>
          <w:sz w:val="32"/>
          <w:szCs w:val="36"/>
          <w:u w:val="single"/>
        </w:rPr>
        <w:t>2</w:t>
      </w:r>
    </w:p>
    <w:p w14:paraId="5728122C" w14:textId="77777777" w:rsidR="004E25D9" w:rsidRPr="00102D2A" w:rsidRDefault="004E25D9" w:rsidP="004E25D9">
      <w:pPr>
        <w:jc w:val="both"/>
        <w:rPr>
          <w:rFonts w:ascii="Arial" w:hAnsi="Arial" w:cs="Arial"/>
          <w:color w:val="000000"/>
          <w:sz w:val="20"/>
        </w:rPr>
      </w:pPr>
    </w:p>
    <w:p w14:paraId="07201D7D" w14:textId="20819457" w:rsidR="004E25D9" w:rsidRDefault="004E25D9" w:rsidP="00511D57">
      <w:pPr>
        <w:jc w:val="both"/>
        <w:rPr>
          <w:rFonts w:ascii="Open Sans" w:hAnsi="Open Sans" w:cs="Open Sans"/>
          <w:color w:val="000000"/>
        </w:rPr>
      </w:pPr>
      <w:r>
        <w:rPr>
          <w:rFonts w:ascii="Arial" w:hAnsi="Arial" w:cs="Arial"/>
          <w:color w:val="000000"/>
          <w:sz w:val="20"/>
        </w:rPr>
        <w:t xml:space="preserve">Youth offending rates published by the </w:t>
      </w:r>
      <w:hyperlink r:id="rId55" w:anchor="youth-offenders" w:history="1">
        <w:r w:rsidRPr="00511D57">
          <w:rPr>
            <w:rStyle w:val="Hyperlink"/>
            <w:rFonts w:ascii="Arial" w:hAnsi="Arial" w:cs="Arial"/>
            <w:sz w:val="20"/>
          </w:rPr>
          <w:t xml:space="preserve">Australian Bureau of Statistics on </w:t>
        </w:r>
        <w:r w:rsidR="00511D57" w:rsidRPr="00511D57">
          <w:rPr>
            <w:rStyle w:val="Hyperlink"/>
            <w:rFonts w:ascii="Arial" w:hAnsi="Arial" w:cs="Arial"/>
            <w:sz w:val="20"/>
          </w:rPr>
          <w:t>09</w:t>
        </w:r>
        <w:r w:rsidRPr="00511D57">
          <w:rPr>
            <w:rStyle w:val="Hyperlink"/>
            <w:rFonts w:ascii="Arial" w:hAnsi="Arial" w:cs="Arial"/>
            <w:sz w:val="20"/>
          </w:rPr>
          <w:t>/02/20</w:t>
        </w:r>
        <w:r w:rsidR="00511D57" w:rsidRPr="00511D57">
          <w:rPr>
            <w:rStyle w:val="Hyperlink"/>
            <w:rFonts w:ascii="Arial" w:hAnsi="Arial" w:cs="Arial"/>
            <w:sz w:val="20"/>
          </w:rPr>
          <w:t>23</w:t>
        </w:r>
      </w:hyperlink>
      <w:r>
        <w:rPr>
          <w:rFonts w:ascii="Arial" w:hAnsi="Arial" w:cs="Arial"/>
          <w:color w:val="000000"/>
          <w:sz w:val="20"/>
        </w:rPr>
        <w:t xml:space="preserve"> </w:t>
      </w:r>
      <w:r w:rsidR="00511D57">
        <w:rPr>
          <w:rFonts w:ascii="Arial" w:hAnsi="Arial" w:cs="Arial"/>
          <w:color w:val="000000"/>
          <w:sz w:val="20"/>
        </w:rPr>
        <w:t xml:space="preserve">show that </w:t>
      </w:r>
      <w:r w:rsidR="00511D57">
        <w:rPr>
          <w:rFonts w:ascii="Arial" w:hAnsi="Arial" w:cs="Arial"/>
          <w:sz w:val="20"/>
          <w:szCs w:val="20"/>
        </w:rPr>
        <w:t>t</w:t>
      </w:r>
      <w:r w:rsidRPr="00511D57">
        <w:rPr>
          <w:rFonts w:ascii="Arial" w:hAnsi="Arial" w:cs="Arial"/>
          <w:color w:val="000000"/>
          <w:sz w:val="20"/>
          <w:szCs w:val="20"/>
        </w:rPr>
        <w:t>here were 45,210 offenders aged between 10 and 17 years proceeded against by police in Australia</w:t>
      </w:r>
      <w:r w:rsidR="005E7EB4">
        <w:rPr>
          <w:rFonts w:ascii="Arial" w:hAnsi="Arial" w:cs="Arial"/>
          <w:color w:val="000000"/>
          <w:sz w:val="20"/>
          <w:szCs w:val="20"/>
        </w:rPr>
        <w:t xml:space="preserve"> in 2021/22</w:t>
      </w:r>
      <w:r w:rsidRPr="00511D57">
        <w:rPr>
          <w:rFonts w:ascii="Arial" w:hAnsi="Arial" w:cs="Arial"/>
          <w:color w:val="000000"/>
          <w:sz w:val="20"/>
          <w:szCs w:val="20"/>
        </w:rPr>
        <w:t>, an increase of 2% from 202</w:t>
      </w:r>
      <w:r w:rsidR="005E7EB4">
        <w:rPr>
          <w:rFonts w:ascii="Arial" w:hAnsi="Arial" w:cs="Arial"/>
          <w:color w:val="000000"/>
          <w:sz w:val="20"/>
          <w:szCs w:val="20"/>
        </w:rPr>
        <w:t>0/21</w:t>
      </w:r>
      <w:r w:rsidRPr="00511D57">
        <w:rPr>
          <w:rFonts w:ascii="Arial" w:hAnsi="Arial" w:cs="Arial"/>
          <w:color w:val="000000"/>
          <w:sz w:val="20"/>
          <w:szCs w:val="20"/>
        </w:rPr>
        <w:t>.</w:t>
      </w:r>
      <w:r w:rsidR="00511D57">
        <w:rPr>
          <w:rFonts w:ascii="Arial" w:hAnsi="Arial" w:cs="Arial"/>
          <w:color w:val="000000"/>
          <w:sz w:val="20"/>
          <w:szCs w:val="20"/>
        </w:rPr>
        <w:t xml:space="preserve">  </w:t>
      </w:r>
      <w:r w:rsidR="005E7EB4">
        <w:rPr>
          <w:rFonts w:ascii="Arial" w:hAnsi="Arial" w:cs="Arial"/>
          <w:color w:val="000000"/>
          <w:sz w:val="20"/>
          <w:szCs w:val="20"/>
        </w:rPr>
        <w:t>H</w:t>
      </w:r>
      <w:r w:rsidRPr="00511D57">
        <w:rPr>
          <w:rFonts w:ascii="Arial" w:hAnsi="Arial" w:cs="Arial"/>
          <w:color w:val="000000"/>
          <w:sz w:val="20"/>
          <w:szCs w:val="20"/>
        </w:rPr>
        <w:t>owever, after accounting for population change in that time, the youth offender rate decreased slightly from 1,785 offenders in 2020</w:t>
      </w:r>
      <w:r w:rsidR="00511D57">
        <w:rPr>
          <w:rFonts w:ascii="Arial" w:hAnsi="Arial" w:cs="Arial"/>
          <w:color w:val="000000"/>
          <w:sz w:val="20"/>
          <w:szCs w:val="20"/>
        </w:rPr>
        <w:t>/</w:t>
      </w:r>
      <w:r w:rsidRPr="00511D57">
        <w:rPr>
          <w:rFonts w:ascii="Arial" w:hAnsi="Arial" w:cs="Arial"/>
          <w:color w:val="000000"/>
          <w:sz w:val="20"/>
          <w:szCs w:val="20"/>
        </w:rPr>
        <w:t>21 to 1,778 offenders per 100,000 persons aged between 10 and 17 years in 2021</w:t>
      </w:r>
      <w:r w:rsidR="00511D57">
        <w:rPr>
          <w:rFonts w:ascii="Arial" w:hAnsi="Arial" w:cs="Arial"/>
          <w:color w:val="000000"/>
          <w:sz w:val="20"/>
          <w:szCs w:val="20"/>
        </w:rPr>
        <w:t>/</w:t>
      </w:r>
      <w:r w:rsidRPr="00511D57">
        <w:rPr>
          <w:rFonts w:ascii="Arial" w:hAnsi="Arial" w:cs="Arial"/>
          <w:color w:val="000000"/>
          <w:sz w:val="20"/>
          <w:szCs w:val="20"/>
        </w:rPr>
        <w:t>22.</w:t>
      </w:r>
    </w:p>
    <w:p w14:paraId="1018727F" w14:textId="77777777" w:rsidR="004E25D9" w:rsidRPr="00C60E34" w:rsidRDefault="004E25D9" w:rsidP="00D017DC">
      <w:pPr>
        <w:jc w:val="both"/>
        <w:rPr>
          <w:rFonts w:ascii="Arial" w:hAnsi="Arial" w:cs="Arial"/>
          <w:color w:val="000000" w:themeColor="text1"/>
          <w:sz w:val="20"/>
        </w:rPr>
      </w:pPr>
    </w:p>
    <w:p w14:paraId="6A90F029" w14:textId="653109E1" w:rsidR="00CE3766" w:rsidRPr="00102D2A" w:rsidRDefault="00CE3766" w:rsidP="00CB034C">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2020/21</w:t>
      </w:r>
    </w:p>
    <w:p w14:paraId="555A388C" w14:textId="77777777" w:rsidR="00CE3766" w:rsidRPr="00102D2A" w:rsidRDefault="00CE3766" w:rsidP="00CE3766">
      <w:pPr>
        <w:jc w:val="both"/>
        <w:rPr>
          <w:rFonts w:ascii="Arial" w:hAnsi="Arial" w:cs="Arial"/>
          <w:color w:val="000000"/>
          <w:sz w:val="20"/>
        </w:rPr>
      </w:pPr>
    </w:p>
    <w:p w14:paraId="38602851" w14:textId="0C344399" w:rsidR="00E447BA" w:rsidRDefault="00000000" w:rsidP="00E447BA">
      <w:pPr>
        <w:jc w:val="center"/>
        <w:rPr>
          <w:rFonts w:ascii="Arial" w:hAnsi="Arial" w:cs="Arial"/>
          <w:color w:val="000000"/>
          <w:sz w:val="20"/>
        </w:rPr>
      </w:pPr>
      <w:r>
        <w:rPr>
          <w:rFonts w:ascii="Arial" w:hAnsi="Arial" w:cs="Arial"/>
          <w:noProof/>
          <w:color w:val="000000"/>
          <w:sz w:val="20"/>
        </w:rPr>
        <w:lastRenderedPageBreak/>
        <w:pict w14:anchorId="780C97E9">
          <v:rect id="_x0000_s2052" style="position:absolute;left:0;text-align:left;margin-left:101.75pt;margin-top:37.05pt;width:39.7pt;height:306.15pt;z-index:251658240" filled="f" strokecolor="#f30" strokeweight="1.5pt"/>
        </w:pict>
      </w:r>
      <w:r w:rsidR="00E447BA" w:rsidRPr="00C60E34">
        <w:rPr>
          <w:rFonts w:ascii="Arial" w:hAnsi="Arial" w:cs="Arial"/>
          <w:noProof/>
          <w:color w:val="000000"/>
          <w:sz w:val="20"/>
          <w:bdr w:val="single" w:sz="8" w:space="0" w:color="auto"/>
        </w:rPr>
        <w:drawing>
          <wp:inline distT="0" distB="0" distL="0" distR="0" wp14:anchorId="1B36B038" wp14:editId="0F9B88B0">
            <wp:extent cx="4971600" cy="4971600"/>
            <wp:effectExtent l="0" t="0" r="0" b="0"/>
            <wp:docPr id="97282" name="Picture 2" descr="Youth justice - Australian Institute of Health and Welfare">
              <a:extLst xmlns:a="http://schemas.openxmlformats.org/drawingml/2006/main">
                <a:ext uri="{FF2B5EF4-FFF2-40B4-BE49-F238E27FC236}">
                  <a16:creationId xmlns:a16="http://schemas.microsoft.com/office/drawing/2014/main" id="{9D21978B-5471-415D-A6BF-5F4F4C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Youth justice - Australian Institute of Health and Welfare">
                      <a:extLst>
                        <a:ext uri="{FF2B5EF4-FFF2-40B4-BE49-F238E27FC236}">
                          <a16:creationId xmlns:a16="http://schemas.microsoft.com/office/drawing/2014/main" id="{9D21978B-5471-415D-A6BF-5F4F4CAA2D25}"/>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71600" cy="4971600"/>
                    </a:xfrm>
                    <a:prstGeom prst="rect">
                      <a:avLst/>
                    </a:prstGeom>
                    <a:noFill/>
                    <a:ln>
                      <a:noFill/>
                    </a:ln>
                  </pic:spPr>
                </pic:pic>
              </a:graphicData>
            </a:graphic>
          </wp:inline>
        </w:drawing>
      </w:r>
    </w:p>
    <w:p w14:paraId="606FF819" w14:textId="4B77F16D" w:rsidR="00E447BA" w:rsidRDefault="00E447BA" w:rsidP="00D017DC">
      <w:pPr>
        <w:jc w:val="both"/>
        <w:rPr>
          <w:rFonts w:ascii="Arial" w:hAnsi="Arial" w:cs="Arial"/>
          <w:color w:val="000000"/>
          <w:sz w:val="20"/>
        </w:rPr>
      </w:pPr>
    </w:p>
    <w:p w14:paraId="187252AE" w14:textId="14CA4804" w:rsidR="00C60E34" w:rsidRDefault="00C7592A" w:rsidP="00C60E34">
      <w:pPr>
        <w:jc w:val="both"/>
        <w:rPr>
          <w:rFonts w:ascii="Arial" w:hAnsi="Arial" w:cs="Arial"/>
          <w:color w:val="000000"/>
          <w:sz w:val="20"/>
        </w:rPr>
      </w:pPr>
      <w:r>
        <w:rPr>
          <w:rFonts w:ascii="Arial" w:hAnsi="Arial" w:cs="Arial"/>
          <w:color w:val="000000"/>
          <w:sz w:val="20"/>
        </w:rPr>
        <w:t xml:space="preserve">As </w:t>
      </w:r>
      <w:r w:rsidR="00AB37DA">
        <w:rPr>
          <w:rFonts w:ascii="Arial" w:hAnsi="Arial" w:cs="Arial"/>
          <w:color w:val="000000"/>
          <w:sz w:val="20"/>
        </w:rPr>
        <w:t xml:space="preserve">the </w:t>
      </w:r>
      <w:r>
        <w:rPr>
          <w:rFonts w:ascii="Arial" w:hAnsi="Arial" w:cs="Arial"/>
          <w:color w:val="000000"/>
          <w:sz w:val="20"/>
        </w:rPr>
        <w:t xml:space="preserve">above </w:t>
      </w:r>
      <w:r w:rsidR="00AB37DA">
        <w:rPr>
          <w:rFonts w:ascii="Arial" w:hAnsi="Arial" w:cs="Arial"/>
          <w:color w:val="000000"/>
          <w:sz w:val="20"/>
        </w:rPr>
        <w:t xml:space="preserve">chart </w:t>
      </w:r>
      <w:r w:rsidR="00E655CC">
        <w:rPr>
          <w:rFonts w:ascii="Arial" w:hAnsi="Arial" w:cs="Arial"/>
          <w:color w:val="000000"/>
          <w:sz w:val="20"/>
        </w:rPr>
        <w:t xml:space="preserve">partly </w:t>
      </w:r>
      <w:r>
        <w:rPr>
          <w:rFonts w:ascii="Arial" w:hAnsi="Arial" w:cs="Arial"/>
          <w:color w:val="000000"/>
          <w:sz w:val="20"/>
        </w:rPr>
        <w:t>demonstrates, i</w:t>
      </w:r>
      <w:r w:rsidR="00C60E34">
        <w:rPr>
          <w:rFonts w:ascii="Arial" w:hAnsi="Arial" w:cs="Arial"/>
          <w:color w:val="000000"/>
          <w:sz w:val="20"/>
        </w:rPr>
        <w:t>n 2020/21 Victoria had:</w:t>
      </w:r>
    </w:p>
    <w:p w14:paraId="74DA910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community-based supervision: 5.7 per 10,000 aged 10-17;</w:t>
      </w:r>
    </w:p>
    <w:p w14:paraId="7FFBE0F6" w14:textId="50FB0586"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one of the lowest rates of young people in </w:t>
      </w:r>
      <w:r w:rsidR="00CE3766">
        <w:rPr>
          <w:rFonts w:ascii="Arial" w:hAnsi="Arial" w:cs="Arial"/>
          <w:color w:val="000000"/>
          <w:sz w:val="20"/>
        </w:rPr>
        <w:t>detention</w:t>
      </w:r>
      <w:r>
        <w:rPr>
          <w:rFonts w:ascii="Arial" w:hAnsi="Arial" w:cs="Arial"/>
          <w:color w:val="000000"/>
          <w:sz w:val="20"/>
        </w:rPr>
        <w:t>: 1.6 per 10,000 aged 10-17;</w:t>
      </w:r>
    </w:p>
    <w:p w14:paraId="7CF22896"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Youth Justice supervision (community-based and in detention): 7.3 per 10,000 aged 10-17; and</w:t>
      </w:r>
    </w:p>
    <w:p w14:paraId="710BFFF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return to sentenced supervision rate since 2014/15: 49.6% return following release from custody which is below the national average of 55%.</w:t>
      </w:r>
    </w:p>
    <w:p w14:paraId="7468BD10" w14:textId="77777777" w:rsidR="00C60E34" w:rsidRDefault="00C60E34" w:rsidP="00C60E34">
      <w:pPr>
        <w:jc w:val="both"/>
        <w:rPr>
          <w:rFonts w:ascii="Arial" w:hAnsi="Arial" w:cs="Arial"/>
          <w:color w:val="000000"/>
          <w:sz w:val="20"/>
        </w:rPr>
      </w:pPr>
    </w:p>
    <w:p w14:paraId="5375BF95" w14:textId="5762F059" w:rsidR="00E447BA" w:rsidRDefault="00C60E34" w:rsidP="00D017DC">
      <w:pPr>
        <w:jc w:val="both"/>
        <w:rPr>
          <w:rFonts w:ascii="Arial" w:hAnsi="Arial" w:cs="Arial"/>
          <w:color w:val="000000"/>
          <w:sz w:val="20"/>
        </w:rPr>
      </w:pPr>
      <w:r>
        <w:rPr>
          <w:rFonts w:ascii="Arial" w:hAnsi="Arial" w:cs="Arial"/>
          <w:color w:val="000000"/>
          <w:sz w:val="20"/>
        </w:rPr>
        <w:t>However, despite these positive results, two sad problems remain a ‘work in progress’:</w:t>
      </w:r>
    </w:p>
    <w:p w14:paraId="0DE8D16B" w14:textId="4D837AE3" w:rsidR="00C60E34"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Indigenous young people ma</w:t>
      </w:r>
      <w:r w:rsidR="00AB37DA">
        <w:rPr>
          <w:rFonts w:ascii="Arial" w:hAnsi="Arial" w:cs="Arial"/>
          <w:color w:val="000000"/>
          <w:sz w:val="20"/>
        </w:rPr>
        <w:t>d</w:t>
      </w:r>
      <w:r>
        <w:rPr>
          <w:rFonts w:ascii="Arial" w:hAnsi="Arial" w:cs="Arial"/>
          <w:color w:val="000000"/>
          <w:sz w:val="20"/>
        </w:rPr>
        <w:t xml:space="preserve">e up 1.7% of those aged 10-17 in the general population </w:t>
      </w:r>
      <w:r w:rsidR="00731107">
        <w:rPr>
          <w:rFonts w:ascii="Arial" w:hAnsi="Arial" w:cs="Arial"/>
          <w:color w:val="000000"/>
          <w:sz w:val="20"/>
        </w:rPr>
        <w:t>but 16% (or 71) of those under supervision [17% (or 61) community-based and 10% (or 10) in detention].  Indigenous young people aged 10-17 were 11 times as likely as non-indigenous young people to be under supervision [68 per 10,000 cf. 7.3 per 10,000].  Indigenous over-representation in community-based supervision was 12 times the non-indigenous rate but was lower in detention (6</w:t>
      </w:r>
      <w:r w:rsidR="00E655CC">
        <w:rPr>
          <w:rFonts w:ascii="Arial" w:hAnsi="Arial" w:cs="Arial"/>
          <w:color w:val="000000"/>
          <w:sz w:val="20"/>
        </w:rPr>
        <w:t> </w:t>
      </w:r>
      <w:r w:rsidR="00731107">
        <w:rPr>
          <w:rFonts w:ascii="Arial" w:hAnsi="Arial" w:cs="Arial"/>
          <w:color w:val="000000"/>
          <w:sz w:val="20"/>
        </w:rPr>
        <w:t>times the non-indigenous rate).</w:t>
      </w:r>
    </w:p>
    <w:p w14:paraId="5823615C" w14:textId="25FAD146" w:rsidR="00731107" w:rsidRPr="00102D2A" w:rsidRDefault="00731107"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Young people of South Sudanese ancestry </w:t>
      </w:r>
      <w:r w:rsidR="00AB37DA">
        <w:rPr>
          <w:rFonts w:ascii="Arial" w:hAnsi="Arial" w:cs="Arial"/>
          <w:color w:val="000000"/>
          <w:sz w:val="20"/>
        </w:rPr>
        <w:t>we</w:t>
      </w:r>
      <w:r>
        <w:rPr>
          <w:rFonts w:ascii="Arial" w:hAnsi="Arial" w:cs="Arial"/>
          <w:color w:val="000000"/>
          <w:sz w:val="20"/>
        </w:rPr>
        <w:t>re also grossly over-represented in both community-based supervision and in detention.</w:t>
      </w:r>
    </w:p>
    <w:p w14:paraId="6A77835D" w14:textId="77777777" w:rsidR="00AB37DA" w:rsidRPr="00C60E34" w:rsidRDefault="00AB37DA" w:rsidP="00AB37DA">
      <w:pPr>
        <w:jc w:val="both"/>
        <w:rPr>
          <w:rFonts w:ascii="Arial" w:hAnsi="Arial" w:cs="Arial"/>
          <w:color w:val="000000" w:themeColor="text1"/>
          <w:sz w:val="20"/>
        </w:rPr>
      </w:pPr>
      <w:bookmarkStart w:id="982" w:name="_11.8_Parole_&amp;"/>
      <w:bookmarkStart w:id="983" w:name="_Hlk16848916"/>
      <w:bookmarkEnd w:id="982"/>
    </w:p>
    <w:p w14:paraId="05F77096" w14:textId="19E4D05A" w:rsidR="00AB37DA" w:rsidRPr="00102D2A" w:rsidRDefault="00AB37DA" w:rsidP="00AB37DA">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2021/22</w:t>
      </w:r>
    </w:p>
    <w:p w14:paraId="00A6F041" w14:textId="77777777" w:rsidR="00AB37DA" w:rsidRPr="00102D2A" w:rsidRDefault="00AB37DA" w:rsidP="00AB37DA">
      <w:pPr>
        <w:jc w:val="both"/>
        <w:rPr>
          <w:rFonts w:ascii="Arial" w:hAnsi="Arial" w:cs="Arial"/>
          <w:color w:val="000000"/>
          <w:sz w:val="20"/>
        </w:rPr>
      </w:pPr>
    </w:p>
    <w:p w14:paraId="6DDD193B" w14:textId="0913FF8D" w:rsidR="00AB37DA" w:rsidRDefault="00000000" w:rsidP="0010187C">
      <w:pPr>
        <w:jc w:val="both"/>
        <w:rPr>
          <w:rFonts w:ascii="Arial" w:hAnsi="Arial" w:cs="Arial"/>
          <w:color w:val="000000"/>
          <w:sz w:val="22"/>
        </w:rPr>
      </w:pPr>
      <w:r>
        <w:rPr>
          <w:rFonts w:ascii="Arial" w:hAnsi="Arial" w:cs="Arial"/>
          <w:noProof/>
          <w:color w:val="000000"/>
          <w:sz w:val="22"/>
        </w:rPr>
        <w:lastRenderedPageBreak/>
        <w:pict w14:anchorId="780C97E9">
          <v:rect id="_x0000_s2054" style="position:absolute;left:0;text-align:left;margin-left:85pt;margin-top:64.5pt;width:39.7pt;height:337.45pt;z-index:251659264" filled="f" strokecolor="#f30" strokeweight="1.5pt"/>
        </w:pict>
      </w:r>
      <w:r w:rsidR="00AB37DA" w:rsidRPr="00AB37DA">
        <w:rPr>
          <w:rFonts w:ascii="Arial" w:hAnsi="Arial" w:cs="Arial"/>
          <w:noProof/>
          <w:color w:val="000000"/>
          <w:sz w:val="22"/>
        </w:rPr>
        <w:drawing>
          <wp:inline distT="0" distB="0" distL="0" distR="0" wp14:anchorId="5D418091" wp14:editId="70785754">
            <wp:extent cx="5759450" cy="5405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5405755"/>
                    </a:xfrm>
                    <a:prstGeom prst="rect">
                      <a:avLst/>
                    </a:prstGeom>
                  </pic:spPr>
                </pic:pic>
              </a:graphicData>
            </a:graphic>
          </wp:inline>
        </w:drawing>
      </w:r>
    </w:p>
    <w:p w14:paraId="544883C1" w14:textId="7CF36F28" w:rsidR="00AB37DA" w:rsidRPr="00AB37DA" w:rsidRDefault="00AB37DA" w:rsidP="0010187C">
      <w:pPr>
        <w:jc w:val="both"/>
        <w:rPr>
          <w:rFonts w:ascii="Arial" w:hAnsi="Arial" w:cs="Arial"/>
          <w:color w:val="000000"/>
          <w:sz w:val="20"/>
          <w:szCs w:val="22"/>
        </w:rPr>
      </w:pPr>
    </w:p>
    <w:p w14:paraId="21FC4EE3" w14:textId="7E7AFFFE" w:rsidR="00AB37DA" w:rsidRPr="00AB37DA" w:rsidRDefault="00AB37DA" w:rsidP="0010187C">
      <w:pPr>
        <w:jc w:val="both"/>
        <w:rPr>
          <w:rFonts w:ascii="Arial" w:hAnsi="Arial" w:cs="Arial"/>
          <w:color w:val="000000"/>
          <w:sz w:val="20"/>
          <w:szCs w:val="22"/>
        </w:rPr>
      </w:pPr>
      <w:r w:rsidRPr="00AB37DA">
        <w:rPr>
          <w:rFonts w:ascii="Arial" w:hAnsi="Arial" w:cs="Arial"/>
          <w:color w:val="000000"/>
          <w:sz w:val="20"/>
          <w:szCs w:val="22"/>
        </w:rPr>
        <w:t xml:space="preserve">The above chart </w:t>
      </w:r>
      <w:r>
        <w:rPr>
          <w:rFonts w:ascii="Arial" w:hAnsi="Arial" w:cs="Arial"/>
          <w:color w:val="000000"/>
          <w:sz w:val="20"/>
          <w:szCs w:val="22"/>
        </w:rPr>
        <w:t xml:space="preserve">– deriving from the Australian Institute of Health and Welfare Youth Justice report dated 31/03/2023 – demonstrates that Victoria </w:t>
      </w:r>
      <w:r w:rsidR="00FC6401">
        <w:rPr>
          <w:rFonts w:ascii="Arial" w:hAnsi="Arial" w:cs="Arial"/>
          <w:color w:val="000000"/>
          <w:sz w:val="20"/>
          <w:szCs w:val="22"/>
        </w:rPr>
        <w:t xml:space="preserve">is </w:t>
      </w:r>
      <w:r>
        <w:rPr>
          <w:rFonts w:ascii="Arial" w:hAnsi="Arial" w:cs="Arial"/>
          <w:color w:val="000000"/>
          <w:sz w:val="20"/>
          <w:szCs w:val="22"/>
        </w:rPr>
        <w:t xml:space="preserve">the Australia state/territory with the lowest </w:t>
      </w:r>
      <w:r w:rsidR="00FC6401">
        <w:rPr>
          <w:rFonts w:ascii="Arial" w:hAnsi="Arial" w:cs="Arial"/>
          <w:color w:val="000000"/>
          <w:sz w:val="20"/>
          <w:szCs w:val="22"/>
        </w:rPr>
        <w:t xml:space="preserve">average </w:t>
      </w:r>
      <w:r>
        <w:rPr>
          <w:rFonts w:ascii="Arial" w:hAnsi="Arial" w:cs="Arial"/>
          <w:color w:val="000000"/>
          <w:sz w:val="20"/>
          <w:szCs w:val="22"/>
        </w:rPr>
        <w:t xml:space="preserve">rate of </w:t>
      </w:r>
      <w:r w:rsidR="005A2898">
        <w:rPr>
          <w:rFonts w:ascii="Arial" w:hAnsi="Arial" w:cs="Arial"/>
          <w:color w:val="000000"/>
          <w:sz w:val="20"/>
          <w:szCs w:val="22"/>
        </w:rPr>
        <w:t xml:space="preserve">10-17 year old </w:t>
      </w:r>
      <w:r>
        <w:rPr>
          <w:rFonts w:ascii="Arial" w:hAnsi="Arial" w:cs="Arial"/>
          <w:color w:val="000000"/>
          <w:sz w:val="20"/>
          <w:szCs w:val="22"/>
        </w:rPr>
        <w:t>children in detention</w:t>
      </w:r>
      <w:r w:rsidR="00511B4D">
        <w:rPr>
          <w:rFonts w:ascii="Arial" w:hAnsi="Arial" w:cs="Arial"/>
          <w:color w:val="000000"/>
          <w:sz w:val="20"/>
          <w:szCs w:val="22"/>
        </w:rPr>
        <w:t xml:space="preserve">, the lowest </w:t>
      </w:r>
      <w:r w:rsidR="00FC6401">
        <w:rPr>
          <w:rFonts w:ascii="Arial" w:hAnsi="Arial" w:cs="Arial"/>
          <w:color w:val="000000"/>
          <w:sz w:val="20"/>
          <w:szCs w:val="22"/>
        </w:rPr>
        <w:t xml:space="preserve">average </w:t>
      </w:r>
      <w:r w:rsidR="00511B4D">
        <w:rPr>
          <w:rFonts w:ascii="Arial" w:hAnsi="Arial" w:cs="Arial"/>
          <w:color w:val="000000"/>
          <w:sz w:val="20"/>
          <w:szCs w:val="22"/>
        </w:rPr>
        <w:t xml:space="preserve">rate of children under community-based supervision and the lowest </w:t>
      </w:r>
      <w:r w:rsidR="00FC6401">
        <w:rPr>
          <w:rFonts w:ascii="Arial" w:hAnsi="Arial" w:cs="Arial"/>
          <w:color w:val="000000"/>
          <w:sz w:val="20"/>
          <w:szCs w:val="22"/>
        </w:rPr>
        <w:t xml:space="preserve">average </w:t>
      </w:r>
      <w:r w:rsidR="00511B4D">
        <w:rPr>
          <w:rFonts w:ascii="Arial" w:hAnsi="Arial" w:cs="Arial"/>
          <w:color w:val="000000"/>
          <w:sz w:val="20"/>
          <w:szCs w:val="22"/>
        </w:rPr>
        <w:t>rate of children under any type of supervision.</w:t>
      </w:r>
    </w:p>
    <w:p w14:paraId="0E525C45" w14:textId="77777777" w:rsidR="00AB37DA" w:rsidRPr="00AB37DA" w:rsidRDefault="00AB37DA" w:rsidP="0010187C">
      <w:pPr>
        <w:jc w:val="both"/>
        <w:rPr>
          <w:rFonts w:ascii="Arial" w:hAnsi="Arial" w:cs="Arial"/>
          <w:color w:val="000000"/>
          <w:sz w:val="20"/>
          <w:szCs w:val="22"/>
        </w:rPr>
      </w:pPr>
    </w:p>
    <w:p w14:paraId="13CEDC53" w14:textId="77777777" w:rsidR="0010187C" w:rsidRPr="001E6BE9" w:rsidRDefault="0010187C" w:rsidP="0010187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1E725D0" w14:textId="77777777" w:rsidR="0010187C" w:rsidRPr="00102D2A" w:rsidRDefault="0010187C" w:rsidP="0010187C">
      <w:pPr>
        <w:rPr>
          <w:rFonts w:ascii="Arial" w:hAnsi="Arial" w:cs="Arial"/>
          <w:color w:val="000000"/>
          <w:sz w:val="20"/>
        </w:rPr>
      </w:pPr>
    </w:p>
    <w:p w14:paraId="1BA23EE2" w14:textId="77777777" w:rsidR="0010187C" w:rsidRDefault="0010187C" w:rsidP="0010187C">
      <w:pPr>
        <w:rPr>
          <w:rFonts w:ascii="Arial" w:hAnsi="Arial" w:cs="Arial"/>
          <w:b/>
          <w:bCs/>
          <w:color w:val="000000"/>
          <w:kern w:val="28"/>
          <w:sz w:val="20"/>
          <w:szCs w:val="20"/>
          <w:lang w:val="en-GB"/>
        </w:rPr>
      </w:pPr>
      <w:r>
        <w:rPr>
          <w:rFonts w:ascii="Arial" w:hAnsi="Arial" w:cs="Arial"/>
          <w:b/>
          <w:bCs/>
          <w:color w:val="000000"/>
          <w:sz w:val="20"/>
        </w:rPr>
        <w:br w:type="page"/>
      </w: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r w:rsidRPr="00102D2A">
        <w:rPr>
          <w:rFonts w:ascii="Arial" w:hAnsi="Arial" w:cs="Arial"/>
          <w:b/>
          <w:bCs/>
          <w:color w:val="000000"/>
        </w:rPr>
        <w:lastRenderedPageBreak/>
        <w:t>11.</w:t>
      </w:r>
      <w:r w:rsidR="005B4175" w:rsidRPr="00102D2A">
        <w:rPr>
          <w:rFonts w:ascii="Arial" w:hAnsi="Arial" w:cs="Arial"/>
          <w:b/>
          <w:bCs/>
          <w:color w:val="000000"/>
        </w:rPr>
        <w:t>8</w:t>
      </w:r>
      <w:r w:rsidRPr="00102D2A">
        <w:rPr>
          <w:rFonts w:ascii="Arial" w:hAnsi="Arial" w:cs="Arial"/>
          <w:b/>
          <w:bCs/>
          <w:color w:val="000000"/>
        </w:rPr>
        <w:tab/>
        <w:t>Parole &amp; Remissions</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14:paraId="196A4D9F" w14:textId="3C44CF4F" w:rsidR="00BF52E5" w:rsidRDefault="00BF52E5" w:rsidP="00C11D7C">
      <w:pPr>
        <w:jc w:val="both"/>
        <w:rPr>
          <w:rFonts w:ascii="Arial" w:hAnsi="Arial" w:cs="Arial"/>
          <w:color w:val="000000"/>
          <w:sz w:val="20"/>
        </w:rPr>
      </w:pPr>
    </w:p>
    <w:p w14:paraId="36D1DCCC" w14:textId="7423F9C3" w:rsidR="005A0986" w:rsidRDefault="005A0986" w:rsidP="00C11D7C">
      <w:pPr>
        <w:jc w:val="both"/>
        <w:rPr>
          <w:rFonts w:ascii="Arial" w:hAnsi="Arial" w:cs="Arial"/>
          <w:color w:val="000000"/>
          <w:sz w:val="20"/>
        </w:rPr>
      </w:pPr>
      <w:r w:rsidRPr="00102D2A">
        <w:rPr>
          <w:rFonts w:ascii="Arial" w:hAnsi="Arial" w:cs="Arial"/>
          <w:color w:val="000000"/>
          <w:sz w:val="20"/>
        </w:rPr>
        <w:t>The purpose of parole is to mitigat</w:t>
      </w:r>
      <w:r>
        <w:rPr>
          <w:rFonts w:ascii="Arial" w:hAnsi="Arial" w:cs="Arial"/>
          <w:color w:val="000000"/>
          <w:sz w:val="20"/>
        </w:rPr>
        <w:t>e</w:t>
      </w:r>
      <w:r w:rsidRPr="00102D2A">
        <w:rPr>
          <w:rFonts w:ascii="Arial" w:hAnsi="Arial" w:cs="Arial"/>
          <w:color w:val="000000"/>
          <w:sz w:val="20"/>
        </w:rPr>
        <w:t xml:space="preserve"> </w:t>
      </w:r>
      <w:r>
        <w:rPr>
          <w:rFonts w:ascii="Arial" w:hAnsi="Arial" w:cs="Arial"/>
          <w:color w:val="000000"/>
          <w:sz w:val="20"/>
        </w:rPr>
        <w:t xml:space="preserve">the child’s </w:t>
      </w:r>
      <w:r w:rsidRPr="00102D2A">
        <w:rPr>
          <w:rFonts w:ascii="Arial" w:hAnsi="Arial" w:cs="Arial"/>
          <w:color w:val="000000"/>
          <w:sz w:val="20"/>
        </w:rPr>
        <w:t xml:space="preserve">punishment in favour of </w:t>
      </w:r>
      <w:r>
        <w:rPr>
          <w:rFonts w:ascii="Arial" w:hAnsi="Arial" w:cs="Arial"/>
          <w:color w:val="000000"/>
          <w:sz w:val="20"/>
        </w:rPr>
        <w:t>his or her</w:t>
      </w:r>
      <w:r w:rsidRPr="00102D2A">
        <w:rPr>
          <w:rFonts w:ascii="Arial" w:hAnsi="Arial" w:cs="Arial"/>
          <w:color w:val="000000"/>
          <w:sz w:val="20"/>
        </w:rPr>
        <w:t xml:space="preserve"> rehabilitation through conditional freedo</w:t>
      </w:r>
      <w:r>
        <w:rPr>
          <w:rFonts w:ascii="Arial" w:hAnsi="Arial" w:cs="Arial"/>
          <w:color w:val="000000"/>
          <w:sz w:val="20"/>
        </w:rPr>
        <w:t>m and thereby assist his or her reintegration into the community</w:t>
      </w:r>
      <w:r w:rsidRPr="00102D2A">
        <w:rPr>
          <w:rFonts w:ascii="Arial" w:hAnsi="Arial" w:cs="Arial"/>
          <w:color w:val="000000"/>
          <w:sz w:val="20"/>
        </w:rPr>
        <w:t>.</w:t>
      </w:r>
    </w:p>
    <w:p w14:paraId="06D1DC12" w14:textId="77777777" w:rsidR="005A0986" w:rsidRPr="00102D2A" w:rsidRDefault="005A0986" w:rsidP="00C11D7C">
      <w:pPr>
        <w:jc w:val="both"/>
        <w:rPr>
          <w:rFonts w:ascii="Arial" w:hAnsi="Arial" w:cs="Arial"/>
          <w:color w:val="000000"/>
          <w:sz w:val="20"/>
        </w:rPr>
      </w:pPr>
    </w:p>
    <w:p w14:paraId="1E308842" w14:textId="77777777" w:rsidR="00BF52E5" w:rsidRPr="00102D2A" w:rsidRDefault="005B4175" w:rsidP="006D2043">
      <w:pPr>
        <w:pStyle w:val="Heading3"/>
        <w:keepNext/>
        <w:keepLines/>
        <w:widowControl/>
        <w:spacing w:after="120" w:line="240" w:lineRule="auto"/>
        <w:rPr>
          <w:rFonts w:ascii="Arial" w:hAnsi="Arial" w:cs="Arial"/>
          <w:b/>
          <w:bCs/>
          <w:color w:val="000000"/>
          <w:sz w:val="16"/>
        </w:rPr>
      </w:pPr>
      <w:bookmarkStart w:id="984" w:name="_11.8.1_Parole"/>
      <w:bookmarkStart w:id="985" w:name="_Toc30674216"/>
      <w:bookmarkStart w:id="986" w:name="_Toc30691484"/>
      <w:bookmarkStart w:id="987" w:name="_Toc30691864"/>
      <w:bookmarkStart w:id="988" w:name="_Toc30692244"/>
      <w:bookmarkStart w:id="989" w:name="_Toc30693002"/>
      <w:bookmarkStart w:id="990" w:name="_Toc30693381"/>
      <w:bookmarkStart w:id="991" w:name="_Toc30693759"/>
      <w:bookmarkStart w:id="992" w:name="_Toc30694137"/>
      <w:bookmarkStart w:id="993" w:name="_Toc30694518"/>
      <w:bookmarkStart w:id="994" w:name="_Toc30699108"/>
      <w:bookmarkStart w:id="995" w:name="_Toc30699493"/>
      <w:bookmarkStart w:id="996" w:name="_Toc30699878"/>
      <w:bookmarkStart w:id="997" w:name="_Toc30701033"/>
      <w:bookmarkStart w:id="998" w:name="_Toc30701420"/>
      <w:bookmarkStart w:id="999" w:name="_Toc30744027"/>
      <w:bookmarkStart w:id="1000" w:name="_Toc30754850"/>
      <w:bookmarkStart w:id="1001" w:name="_Toc30757306"/>
      <w:bookmarkStart w:id="1002" w:name="_Toc30757854"/>
      <w:bookmarkStart w:id="1003" w:name="_Toc30758254"/>
      <w:bookmarkStart w:id="1004" w:name="_Toc30763014"/>
      <w:bookmarkStart w:id="1005" w:name="_Toc30767668"/>
      <w:bookmarkStart w:id="1006" w:name="_Toc34823687"/>
      <w:bookmarkStart w:id="1007" w:name="_Toc107101782"/>
      <w:bookmarkEnd w:id="984"/>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p w14:paraId="19B507D2" w14:textId="055F3FCE" w:rsidR="00381A57" w:rsidRPr="00381A57" w:rsidRDefault="00381A57" w:rsidP="00381A57">
      <w:pPr>
        <w:shd w:val="clear" w:color="auto" w:fill="000000" w:themeFill="text1"/>
        <w:jc w:val="center"/>
        <w:rPr>
          <w:rFonts w:ascii="Arial" w:hAnsi="Arial" w:cs="Arial"/>
          <w:b/>
          <w:bCs/>
          <w:color w:val="FFFFFF" w:themeColor="background1"/>
        </w:rPr>
      </w:pPr>
      <w:r w:rsidRPr="00381A57">
        <w:rPr>
          <w:rFonts w:ascii="Arial" w:hAnsi="Arial" w:cs="Arial"/>
          <w:b/>
          <w:bCs/>
          <w:color w:val="FFFFFF" w:themeColor="background1"/>
        </w:rPr>
        <w:t>PAROLE</w:t>
      </w:r>
      <w:r>
        <w:rPr>
          <w:rFonts w:ascii="Arial" w:hAnsi="Arial" w:cs="Arial"/>
          <w:b/>
          <w:bCs/>
          <w:color w:val="FFFFFF" w:themeColor="background1"/>
        </w:rPr>
        <w:t xml:space="preserve"> PURSUANT TO A </w:t>
      </w:r>
      <w:r w:rsidRPr="00381A57">
        <w:rPr>
          <w:rFonts w:ascii="Arial" w:hAnsi="Arial" w:cs="Arial"/>
          <w:b/>
          <w:bCs/>
          <w:i/>
          <w:iCs/>
          <w:color w:val="FFFFFF" w:themeColor="background1"/>
        </w:rPr>
        <w:t>SENTENCING ACT</w:t>
      </w:r>
      <w:r>
        <w:rPr>
          <w:rFonts w:ascii="Arial" w:hAnsi="Arial" w:cs="Arial"/>
          <w:b/>
          <w:bCs/>
          <w:color w:val="FFFFFF" w:themeColor="background1"/>
        </w:rPr>
        <w:t xml:space="preserve"> IMPRISONMENT ORDER</w:t>
      </w:r>
    </w:p>
    <w:p w14:paraId="1A4687F3" w14:textId="77777777" w:rsidR="00381A57" w:rsidRDefault="00381A57" w:rsidP="00FB68EA">
      <w:pPr>
        <w:jc w:val="both"/>
        <w:rPr>
          <w:rFonts w:ascii="Arial" w:hAnsi="Arial" w:cs="Arial"/>
          <w:color w:val="000000"/>
          <w:sz w:val="20"/>
        </w:rPr>
      </w:pPr>
    </w:p>
    <w:p w14:paraId="46E807FE" w14:textId="50D41214"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r w:rsidR="00381A57">
        <w:rPr>
          <w:rFonts w:ascii="Arial" w:hAnsi="Arial" w:cs="Arial"/>
          <w:color w:val="000000"/>
          <w:sz w:val="20"/>
        </w:rPr>
        <w:t xml:space="preserve">This same power – and obligation – applies to a </w:t>
      </w:r>
      <w:r w:rsidR="00381A57" w:rsidRPr="00381A57">
        <w:rPr>
          <w:rFonts w:ascii="Arial" w:hAnsi="Arial" w:cs="Arial"/>
          <w:b/>
          <w:bCs/>
          <w:color w:val="000000"/>
          <w:sz w:val="20"/>
          <w:u w:val="single"/>
        </w:rPr>
        <w:t>CHILD</w:t>
      </w:r>
      <w:r w:rsidR="00381A57">
        <w:rPr>
          <w:rFonts w:ascii="Arial" w:hAnsi="Arial" w:cs="Arial"/>
          <w:color w:val="000000"/>
          <w:sz w:val="20"/>
        </w:rPr>
        <w:t xml:space="preserve"> being sentenced to a term of imprisonment of 12 months or more by the County Court or the Supreme Court.</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Josefski</w:t>
      </w:r>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Chernov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R v Harkness &amp; Ors</w:t>
      </w:r>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R v Kotzmann</w:t>
      </w:r>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R v Alparslan</w:t>
      </w:r>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R v Detenamo</w:t>
      </w:r>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59 year old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r w:rsidRPr="004341DF">
        <w:rPr>
          <w:rFonts w:ascii="Arial" w:hAnsi="Arial" w:cs="Arial"/>
          <w:i/>
          <w:iCs/>
          <w:sz w:val="20"/>
          <w:szCs w:val="20"/>
        </w:rPr>
        <w:t xml:space="preserve">Kumova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lastRenderedPageBreak/>
        <w:t xml:space="preserve">[38] </w:t>
      </w:r>
      <w:r w:rsidR="00ED2FC4" w:rsidRPr="00B002D0">
        <w:rPr>
          <w:rFonts w:ascii="Arial" w:hAnsi="Arial" w:cs="Arial"/>
          <w:sz w:val="20"/>
          <w:szCs w:val="20"/>
        </w:rPr>
        <w:t>While in the present case we are of the view that there was nothing manifestly excessive about the head sentence imposed by the judge, we have come to a different conclusion with respect to the non-parole period. In our view, when regard is had to all of the circumstances of the offending and the offender, the non-parole period is wholly outside (above) the permissible range. Not only is the absolute length of the non-parole period too long (manifestly excessive) in all the circumstances, it fails to give effect to the 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r w:rsidR="00ED2FC4" w:rsidRPr="00136B26">
        <w:rPr>
          <w:rFonts w:ascii="Arial" w:hAnsi="Arial" w:cs="Arial"/>
          <w:i/>
          <w:iCs/>
          <w:sz w:val="20"/>
          <w:szCs w:val="20"/>
        </w:rPr>
        <w:t>Kumova</w:t>
      </w:r>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17A2CFDF"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n JJ) at 154-155;</w:t>
      </w:r>
      <w:r w:rsidR="00A64B09">
        <w:rPr>
          <w:rFonts w:ascii="Arial" w:hAnsi="Arial" w:cs="Arial"/>
          <w:color w:val="000000"/>
          <w:sz w:val="20"/>
          <w:szCs w:val="20"/>
        </w:rPr>
        <w:t xml:space="preserve"> </w:t>
      </w:r>
      <w:r w:rsidR="00A64B09" w:rsidRPr="00A64B09">
        <w:rPr>
          <w:rFonts w:ascii="Arial" w:hAnsi="Arial" w:cs="Arial"/>
          <w:i/>
          <w:iCs/>
          <w:color w:val="000000"/>
          <w:sz w:val="20"/>
          <w:szCs w:val="20"/>
        </w:rPr>
        <w:t xml:space="preserve">Gray v R </w:t>
      </w:r>
      <w:r w:rsidR="00A64B09">
        <w:rPr>
          <w:rFonts w:ascii="Arial" w:hAnsi="Arial" w:cs="Arial"/>
          <w:color w:val="000000"/>
          <w:sz w:val="20"/>
          <w:szCs w:val="20"/>
        </w:rPr>
        <w:t>[2010] VSCA 312 at [20]-[21];</w:t>
      </w:r>
      <w:r w:rsidR="00A07983" w:rsidRPr="00136B26">
        <w:rPr>
          <w:rFonts w:ascii="Arial" w:hAnsi="Arial" w:cs="Arial"/>
          <w:color w:val="000000"/>
          <w:sz w:val="20"/>
          <w:szCs w:val="20"/>
        </w:rPr>
        <w:t xml:space="preserve">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Milkins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R v Rintoull</w:t>
      </w:r>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r w:rsidR="00DD5297" w:rsidRPr="00136B26">
        <w:rPr>
          <w:rFonts w:ascii="Arial" w:hAnsi="Arial" w:cs="Arial"/>
          <w:i/>
          <w:color w:val="000000"/>
          <w:sz w:val="20"/>
          <w:szCs w:val="20"/>
        </w:rPr>
        <w:t>Felicite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DPP v Kumova</w:t>
      </w:r>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A64B09" w:rsidRPr="00A64B09">
        <w:rPr>
          <w:rFonts w:ascii="Arial" w:hAnsi="Arial" w:cs="Arial"/>
          <w:i/>
          <w:iCs/>
          <w:color w:val="000000"/>
          <w:sz w:val="20"/>
          <w:szCs w:val="20"/>
        </w:rPr>
        <w:t>Cummins (a pseudonym) v The Queen</w:t>
      </w:r>
      <w:r w:rsidR="00A64B09">
        <w:rPr>
          <w:rFonts w:ascii="Arial" w:hAnsi="Arial" w:cs="Arial"/>
          <w:color w:val="000000"/>
          <w:sz w:val="20"/>
          <w:szCs w:val="20"/>
        </w:rPr>
        <w:t xml:space="preserve"> [2013] VSCA 352 at [80];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r w:rsidR="00F83BFF" w:rsidRPr="00136B26">
        <w:rPr>
          <w:rFonts w:ascii="Arial" w:hAnsi="Arial" w:cs="Arial"/>
          <w:i/>
          <w:iCs/>
          <w:sz w:val="20"/>
          <w:szCs w:val="20"/>
          <w:lang w:val="en-US"/>
        </w:rPr>
        <w:t>Bidong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64B09">
        <w:rPr>
          <w:rFonts w:ascii="Arial" w:hAnsi="Arial" w:cs="Arial"/>
          <w:sz w:val="20"/>
          <w:szCs w:val="20"/>
          <w:lang w:val="en-US"/>
        </w:rPr>
        <w:t xml:space="preserve">; </w:t>
      </w:r>
      <w:r w:rsidR="00A64B09" w:rsidRPr="00A64B09">
        <w:rPr>
          <w:rFonts w:ascii="Arial" w:hAnsi="Arial" w:cs="Arial"/>
          <w:i/>
          <w:iCs/>
          <w:sz w:val="20"/>
          <w:szCs w:val="20"/>
          <w:lang w:val="en-US"/>
        </w:rPr>
        <w:t>Stefani v The Queen</w:t>
      </w:r>
      <w:r w:rsidR="00A64B09">
        <w:rPr>
          <w:rFonts w:ascii="Arial" w:hAnsi="Arial" w:cs="Arial"/>
          <w:sz w:val="20"/>
          <w:szCs w:val="20"/>
          <w:lang w:val="en-US"/>
        </w:rPr>
        <w:t xml:space="preserve"> [2023] VSCA 183 at [38]-[41]</w:t>
      </w:r>
      <w:r w:rsidR="00EA37A1">
        <w:rPr>
          <w:rFonts w:ascii="Arial" w:hAnsi="Arial" w:cs="Arial"/>
          <w:sz w:val="20"/>
          <w:szCs w:val="20"/>
          <w:lang w:val="en-US"/>
        </w:rPr>
        <w:t>; [2024] VSCA 29 at [</w:t>
      </w:r>
      <w:r w:rsidR="0057128C">
        <w:rPr>
          <w:rFonts w:ascii="Arial" w:hAnsi="Arial" w:cs="Arial"/>
          <w:sz w:val="20"/>
          <w:szCs w:val="20"/>
          <w:lang w:val="en-US"/>
        </w:rPr>
        <w:t>42</w:t>
      </w:r>
      <w:r w:rsidR="00EA37A1">
        <w:rPr>
          <w:rFonts w:ascii="Arial" w:hAnsi="Arial" w:cs="Arial"/>
          <w:sz w:val="20"/>
          <w:szCs w:val="20"/>
          <w:lang w:val="en-US"/>
        </w:rPr>
        <w:t>]-[</w:t>
      </w:r>
      <w:r w:rsidR="0057128C">
        <w:rPr>
          <w:rFonts w:ascii="Arial" w:hAnsi="Arial" w:cs="Arial"/>
          <w:sz w:val="20"/>
          <w:szCs w:val="20"/>
          <w:lang w:val="en-US"/>
        </w:rPr>
        <w:t>52</w:t>
      </w:r>
      <w:r w:rsidR="00EA37A1">
        <w:rPr>
          <w:rFonts w:ascii="Arial" w:hAnsi="Arial" w:cs="Arial"/>
          <w:sz w:val="20"/>
          <w:szCs w:val="20"/>
          <w:lang w:val="en-US"/>
        </w:rPr>
        <w:t>]</w:t>
      </w:r>
      <w:r w:rsidR="007F43B9">
        <w:rPr>
          <w:rFonts w:ascii="Arial" w:hAnsi="Arial" w:cs="Arial"/>
          <w:sz w:val="20"/>
          <w:szCs w:val="20"/>
          <w:lang w:val="en-US"/>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 at [124]-[135]</w:t>
      </w:r>
      <w:r w:rsidR="00A05B8C">
        <w:rPr>
          <w:rFonts w:ascii="Arial" w:hAnsi="Arial" w:cs="Arial"/>
          <w:sz w:val="20"/>
          <w:szCs w:val="20"/>
          <w:lang w:val="en-US"/>
        </w:rPr>
        <w:t xml:space="preserve">; </w:t>
      </w:r>
      <w:r w:rsidR="00A05B8C" w:rsidRPr="008B65FD">
        <w:rPr>
          <w:rFonts w:ascii="Arial" w:hAnsi="Arial" w:cs="Arial"/>
          <w:i/>
          <w:iCs/>
          <w:color w:val="000000"/>
          <w:sz w:val="20"/>
        </w:rPr>
        <w:t>The King v Hatahet</w:t>
      </w:r>
      <w:r w:rsidR="00A05B8C">
        <w:rPr>
          <w:rFonts w:ascii="Arial" w:hAnsi="Arial" w:cs="Arial"/>
          <w:color w:val="000000"/>
          <w:sz w:val="20"/>
        </w:rPr>
        <w:t xml:space="preserve"> [2024] HCA 23 at [19]-[28].</w:t>
      </w:r>
    </w:p>
    <w:p w14:paraId="71E9150C" w14:textId="4BC1935E"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r w:rsidR="00906B97" w:rsidRPr="00906B97">
        <w:rPr>
          <w:rFonts w:ascii="Arial" w:hAnsi="Arial" w:cs="Arial"/>
          <w:i/>
          <w:iCs/>
          <w:color w:val="000000"/>
          <w:sz w:val="20"/>
          <w:szCs w:val="20"/>
        </w:rPr>
        <w:t>Rahmani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r w:rsidR="0097285F" w:rsidRPr="0097285F">
        <w:rPr>
          <w:rFonts w:ascii="Arial" w:eastAsia="Book Antiqua" w:hAnsi="Arial" w:cs="Arial"/>
          <w:i/>
          <w:sz w:val="20"/>
          <w:szCs w:val="20"/>
        </w:rPr>
        <w:t>Dosen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r w:rsidRPr="0097285F">
        <w:rPr>
          <w:rFonts w:ascii="Arial" w:eastAsia="Book Antiqua" w:hAnsi="Arial" w:cs="Arial"/>
          <w:i/>
          <w:sz w:val="20"/>
          <w:szCs w:val="20"/>
        </w:rPr>
        <w:t>Tutchell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Dosen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lastRenderedPageBreak/>
        <w:t xml:space="preserve">The Court in </w:t>
      </w:r>
      <w:r w:rsidRPr="0097285F">
        <w:rPr>
          <w:rFonts w:ascii="Arial" w:eastAsia="Book Antiqua" w:hAnsi="Arial" w:cs="Arial"/>
          <w:i/>
          <w:sz w:val="18"/>
          <w:szCs w:val="20"/>
        </w:rPr>
        <w:t xml:space="preserve">Dosen </w:t>
      </w:r>
      <w:r w:rsidRPr="0097285F">
        <w:rPr>
          <w:rFonts w:ascii="Arial" w:hAnsi="Arial" w:cs="Arial"/>
          <w:sz w:val="18"/>
          <w:szCs w:val="20"/>
        </w:rPr>
        <w:t xml:space="preserve">held that it was reasonably open for the sentencing judge to fix a non-parole period which represented 67 per cent of the head sentence, in circumstances 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497828">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r w:rsidR="00AA6F62" w:rsidRPr="00102D2A">
        <w:rPr>
          <w:rFonts w:ascii="Arial" w:hAnsi="Arial" w:cs="Arial"/>
          <w:i/>
          <w:color w:val="000000"/>
          <w:sz w:val="20"/>
          <w:szCs w:val="20"/>
        </w:rPr>
        <w:t>Guden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R v Strestha</w:t>
      </w:r>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2EE5D36F"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Dodds-Streeton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E084A" w:rsidRDefault="00C102B7" w:rsidP="00C102B7">
      <w:pPr>
        <w:spacing w:before="60" w:after="60"/>
        <w:ind w:left="1134" w:right="1134"/>
        <w:jc w:val="both"/>
        <w:rPr>
          <w:rFonts w:ascii="Arial" w:hAnsi="Arial" w:cs="Arial"/>
          <w:color w:val="000000"/>
          <w:sz w:val="18"/>
          <w:szCs w:val="22"/>
        </w:rPr>
      </w:pPr>
      <w:r w:rsidRPr="001E084A">
        <w:rPr>
          <w:rFonts w:ascii="Arial" w:hAnsi="Arial" w:cs="Arial"/>
          <w:color w:val="000000"/>
          <w:sz w:val="18"/>
          <w:szCs w:val="22"/>
        </w:rPr>
        <w:t>‘</w:t>
      </w:r>
      <w:r w:rsidRPr="001E084A">
        <w:rPr>
          <w:rFonts w:ascii="Arial" w:hAnsi="Arial" w:cs="Arial"/>
          <w:color w:val="000000"/>
          <w:sz w:val="18"/>
          <w:szCs w:val="18"/>
        </w:rPr>
        <w:t>[C]onfinement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R v Heazlewood</w:t>
      </w:r>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R v Adenopo</w:t>
      </w:r>
      <w:r w:rsidR="007631D3" w:rsidRPr="00102D2A">
        <w:rPr>
          <w:rFonts w:ascii="Arial" w:hAnsi="Arial" w:cs="Arial"/>
          <w:color w:val="000000"/>
          <w:sz w:val="20"/>
        </w:rPr>
        <w:t xml:space="preserve"> [2011] VSCA 269.</w:t>
      </w:r>
    </w:p>
    <w:p w14:paraId="6A1CB8CE" w14:textId="77777777" w:rsidR="00441934" w:rsidRDefault="00441934" w:rsidP="00441934">
      <w:pPr>
        <w:jc w:val="both"/>
        <w:rPr>
          <w:rFonts w:ascii="Arial" w:hAnsi="Arial" w:cs="Arial"/>
          <w:color w:val="000000"/>
          <w:sz w:val="20"/>
        </w:rPr>
      </w:pPr>
    </w:p>
    <w:p w14:paraId="6917C589" w14:textId="1C8BACB0" w:rsidR="001E084A" w:rsidRDefault="001E084A" w:rsidP="00441934">
      <w:pPr>
        <w:jc w:val="both"/>
        <w:rPr>
          <w:rFonts w:ascii="Arial" w:hAnsi="Arial" w:cs="Arial"/>
          <w:color w:val="000000"/>
          <w:sz w:val="20"/>
        </w:rPr>
      </w:pPr>
      <w:bookmarkStart w:id="1008" w:name="_Hlk158792552"/>
      <w:r>
        <w:rPr>
          <w:rFonts w:ascii="Arial" w:hAnsi="Arial" w:cs="Arial"/>
          <w:color w:val="000000"/>
          <w:sz w:val="20"/>
        </w:rPr>
        <w:t xml:space="preserve">In </w:t>
      </w:r>
      <w:r w:rsidRPr="001E084A">
        <w:rPr>
          <w:rFonts w:ascii="Arial" w:hAnsi="Arial" w:cs="Arial"/>
          <w:i/>
          <w:iCs/>
          <w:color w:val="000000"/>
          <w:sz w:val="20"/>
        </w:rPr>
        <w:t>Kowski v The King</w:t>
      </w:r>
      <w:r>
        <w:rPr>
          <w:rFonts w:ascii="Arial" w:hAnsi="Arial" w:cs="Arial"/>
          <w:color w:val="000000"/>
          <w:sz w:val="20"/>
        </w:rPr>
        <w:t xml:space="preserve"> [2024] VSCA 3 the Court of Appeal rejected the applicant’s submission that the sentencing judge erred in fixing a non-parole period rather than imposing a combined sentence of imprisonment and a CCO.  In so submitting the applicant had asserted </w:t>
      </w:r>
      <w:r w:rsidR="00D45A5F">
        <w:rPr>
          <w:rFonts w:ascii="Arial" w:hAnsi="Arial" w:cs="Arial"/>
          <w:color w:val="000000"/>
          <w:sz w:val="20"/>
        </w:rPr>
        <w:t xml:space="preserve">{see [66]} </w:t>
      </w:r>
      <w:r>
        <w:rPr>
          <w:rFonts w:ascii="Arial" w:hAnsi="Arial" w:cs="Arial"/>
          <w:color w:val="000000"/>
          <w:sz w:val="20"/>
        </w:rPr>
        <w:t>that “</w:t>
      </w:r>
      <w:r w:rsidRPr="001E084A">
        <w:rPr>
          <w:rFonts w:ascii="Arial" w:hAnsi="Arial" w:cs="Arial"/>
          <w:sz w:val="20"/>
          <w:szCs w:val="20"/>
        </w:rPr>
        <w:t>he had offended in the past and that periods of parole had not prevented further offending, the judge should have proceeded on the basis that he would not get parole and that a CCO with conditions was the only way the court could ensure supervision once the applicant was released from prison.</w:t>
      </w:r>
      <w:r>
        <w:rPr>
          <w:rFonts w:ascii="Arial" w:hAnsi="Arial" w:cs="Arial"/>
          <w:sz w:val="20"/>
          <w:szCs w:val="20"/>
        </w:rPr>
        <w:t>”  In</w:t>
      </w:r>
      <w:r w:rsidR="00D45A5F">
        <w:rPr>
          <w:rFonts w:ascii="Arial" w:hAnsi="Arial" w:cs="Arial"/>
          <w:sz w:val="20"/>
          <w:szCs w:val="20"/>
        </w:rPr>
        <w:t> </w:t>
      </w:r>
      <w:r>
        <w:rPr>
          <w:rFonts w:ascii="Arial" w:hAnsi="Arial" w:cs="Arial"/>
          <w:sz w:val="20"/>
          <w:szCs w:val="20"/>
        </w:rPr>
        <w:t>response Niall &amp; Boyce JJA said at [7</w:t>
      </w:r>
      <w:r w:rsidR="0085611B">
        <w:rPr>
          <w:rFonts w:ascii="Arial" w:hAnsi="Arial" w:cs="Arial"/>
          <w:sz w:val="20"/>
          <w:szCs w:val="20"/>
        </w:rPr>
        <w:t>0]-[7</w:t>
      </w:r>
      <w:r>
        <w:rPr>
          <w:rFonts w:ascii="Arial" w:hAnsi="Arial" w:cs="Arial"/>
          <w:sz w:val="20"/>
          <w:szCs w:val="20"/>
        </w:rPr>
        <w:t>1]:</w:t>
      </w:r>
    </w:p>
    <w:p w14:paraId="20B567F5" w14:textId="28BB9990" w:rsidR="0085611B" w:rsidRPr="0085611B" w:rsidRDefault="001E084A" w:rsidP="001E084A">
      <w:pPr>
        <w:spacing w:before="60" w:after="60"/>
        <w:ind w:left="567" w:right="567"/>
        <w:jc w:val="both"/>
        <w:rPr>
          <w:rFonts w:ascii="Arial" w:hAnsi="Arial" w:cs="Arial"/>
          <w:color w:val="000000"/>
          <w:sz w:val="20"/>
          <w:szCs w:val="20"/>
        </w:rPr>
      </w:pPr>
      <w:r w:rsidRPr="0085611B">
        <w:rPr>
          <w:rFonts w:ascii="Arial" w:hAnsi="Arial" w:cs="Arial"/>
          <w:color w:val="000000"/>
          <w:sz w:val="20"/>
          <w:szCs w:val="20"/>
        </w:rPr>
        <w:t>“</w:t>
      </w:r>
      <w:r w:rsidR="0085611B" w:rsidRPr="0085611B">
        <w:rPr>
          <w:rFonts w:ascii="Arial" w:hAnsi="Arial" w:cs="Arial"/>
          <w:sz w:val="20"/>
          <w:szCs w:val="20"/>
        </w:rPr>
        <w:t>The judge was plainly of the view that the offending was too serious for a combination sentence. That conclusion was well open. The judge was required to fix a non-parole period. That did not mean that the judge ignored rehabilitation. The judge was plainly alive to the need for rehabilitative support to be provided to the applicant outside prison.</w:t>
      </w:r>
    </w:p>
    <w:p w14:paraId="72451D4F" w14:textId="356C8EF7" w:rsidR="001E084A" w:rsidRPr="009D6526" w:rsidRDefault="00442773" w:rsidP="001E084A">
      <w:pPr>
        <w:spacing w:before="60" w:after="60"/>
        <w:ind w:left="567" w:right="567"/>
        <w:jc w:val="both"/>
        <w:rPr>
          <w:rFonts w:ascii="Arial" w:hAnsi="Arial" w:cs="Arial"/>
          <w:color w:val="000000"/>
          <w:sz w:val="20"/>
          <w:szCs w:val="20"/>
        </w:rPr>
      </w:pPr>
      <w:r w:rsidRPr="009D6526">
        <w:rPr>
          <w:rFonts w:ascii="Arial" w:hAnsi="Arial" w:cs="Arial"/>
          <w:sz w:val="20"/>
          <w:szCs w:val="20"/>
        </w:rPr>
        <w:t xml:space="preserve">Contrary to the applicant’s submission, the judge was not permitted to take into account whether or not he would get parole. Rather, the judge determined to allow a relatively lengthy period for parole. Whether he gets parole is a matter for the executive and irrelevant to the sentencing exercise: </w:t>
      </w:r>
      <w:r w:rsidR="009D6526" w:rsidRPr="009D6526">
        <w:rPr>
          <w:rFonts w:ascii="Arial" w:hAnsi="Arial" w:cs="Arial"/>
          <w:i/>
          <w:iCs/>
          <w:sz w:val="20"/>
          <w:szCs w:val="20"/>
        </w:rPr>
        <w:t>Sentencing Act 1991</w:t>
      </w:r>
      <w:r w:rsidR="009D6526" w:rsidRPr="009D6526">
        <w:rPr>
          <w:rFonts w:ascii="Arial" w:hAnsi="Arial" w:cs="Arial"/>
          <w:sz w:val="20"/>
          <w:szCs w:val="20"/>
        </w:rPr>
        <w:t>, s 5(2AA)(a).”</w:t>
      </w:r>
    </w:p>
    <w:bookmarkEnd w:id="1008"/>
    <w:p w14:paraId="6226FB37" w14:textId="77777777" w:rsidR="001E084A" w:rsidRPr="00102D2A" w:rsidRDefault="001E084A"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Yik Lun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Lasry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lastRenderedPageBreak/>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parole period. To the contrary, there was good reason to give the appellant the opportunity of a significant period for rehabilitation under strict supervision in the community. While the appellant is not a young offender and has a relevant criminal record, this is the first time he 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r w:rsidRPr="00C54581">
        <w:rPr>
          <w:rFonts w:ascii="Arial" w:hAnsi="Arial" w:cs="Arial"/>
          <w:i/>
          <w:iCs/>
          <w:sz w:val="20"/>
          <w:szCs w:val="20"/>
        </w:rPr>
        <w:t>Bugmy v The Queen</w:t>
      </w:r>
      <w:r w:rsidRPr="00C54581">
        <w:rPr>
          <w:rFonts w:ascii="Arial" w:hAnsi="Arial" w:cs="Arial"/>
          <w:sz w:val="20"/>
          <w:szCs w:val="20"/>
        </w:rPr>
        <w:t xml:space="preserve"> (1990) 169 CLR 525, 536 (Dawson, Toohey and Gaudron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R v Mulvale</w:t>
      </w:r>
      <w:r w:rsidRPr="00C54581">
        <w:rPr>
          <w:rFonts w:ascii="Arial" w:hAnsi="Arial" w:cs="Arial"/>
          <w:sz w:val="20"/>
          <w:szCs w:val="20"/>
        </w:rPr>
        <w:t xml:space="preserve"> (Unreported, Court of Appeal, Winneke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r w:rsidR="00531994" w:rsidRPr="00764965">
        <w:rPr>
          <w:rFonts w:ascii="Arial" w:hAnsi="Arial" w:cs="Arial"/>
          <w:i/>
          <w:iCs/>
          <w:sz w:val="20"/>
          <w:szCs w:val="20"/>
        </w:rPr>
        <w:t>Kumova v The Queen</w:t>
      </w:r>
      <w:r w:rsidR="00531994" w:rsidRPr="00531994">
        <w:rPr>
          <w:rFonts w:ascii="Arial" w:hAnsi="Arial" w:cs="Arial"/>
          <w:sz w:val="20"/>
          <w:szCs w:val="20"/>
        </w:rPr>
        <w:t xml:space="preserve"> (2012) 37 VR 538, 541–3 [10]–[15]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r w:rsidRPr="00F863B1">
        <w:rPr>
          <w:rFonts w:ascii="Arial" w:hAnsi="Arial" w:cs="Arial"/>
          <w:i/>
          <w:iCs/>
          <w:color w:val="000000"/>
          <w:sz w:val="20"/>
        </w:rPr>
        <w:t>Dieni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eg,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lastRenderedPageBreak/>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t>[53] “</w:t>
      </w:r>
      <w:r w:rsidRPr="00764965">
        <w:rPr>
          <w:rFonts w:ascii="Arial" w:hAnsi="Arial" w:cs="Arial"/>
          <w:sz w:val="20"/>
          <w:szCs w:val="20"/>
        </w:rPr>
        <w:t xml:space="preserve">At the time the murder was committed, the offence was a standard offence, with a standard sentence of 25 years’ imprisonment. Section 11A(4)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reasons, the judge said that the circumstances of the case, particularly the respondent’s 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Winneke P explained in </w:t>
      </w:r>
      <w:r w:rsidRPr="00764965">
        <w:rPr>
          <w:rFonts w:ascii="Arial" w:hAnsi="Arial" w:cs="Arial"/>
          <w:i/>
          <w:sz w:val="20"/>
          <w:szCs w:val="20"/>
        </w:rPr>
        <w:t>R v Mulvale</w:t>
      </w:r>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FC6401">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CB034C">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5D548CF3" w14:textId="73ED9891" w:rsidR="000B69E4" w:rsidRDefault="000B69E4" w:rsidP="00E75388">
      <w:pPr>
        <w:jc w:val="both"/>
        <w:rPr>
          <w:rFonts w:ascii="Arial" w:hAnsi="Arial" w:cs="Arial"/>
          <w:color w:val="000000"/>
          <w:sz w:val="20"/>
        </w:rPr>
      </w:pPr>
      <w:r>
        <w:rPr>
          <w:rFonts w:ascii="Arial" w:hAnsi="Arial" w:cs="Arial"/>
          <w:color w:val="000000"/>
          <w:sz w:val="20"/>
        </w:rPr>
        <w:t xml:space="preserve">See also </w:t>
      </w:r>
      <w:r w:rsidRPr="000B69E4">
        <w:rPr>
          <w:rFonts w:ascii="Arial" w:hAnsi="Arial" w:cs="Arial"/>
          <w:i/>
          <w:iCs/>
          <w:color w:val="000000"/>
          <w:sz w:val="20"/>
        </w:rPr>
        <w:t>DPP v Brown</w:t>
      </w:r>
      <w:r>
        <w:rPr>
          <w:rFonts w:ascii="Arial" w:hAnsi="Arial" w:cs="Arial"/>
          <w:color w:val="000000"/>
          <w:sz w:val="20"/>
        </w:rPr>
        <w:t xml:space="preserve"> [2023] VSC 311 at [135]-[139]</w:t>
      </w:r>
      <w:r w:rsidR="008B65FD">
        <w:rPr>
          <w:rFonts w:ascii="Arial" w:hAnsi="Arial" w:cs="Arial"/>
          <w:color w:val="000000"/>
          <w:sz w:val="20"/>
        </w:rPr>
        <w:t>.</w:t>
      </w:r>
    </w:p>
    <w:p w14:paraId="72799451" w14:textId="68FDFDF1" w:rsidR="000B69E4" w:rsidRDefault="000B69E4" w:rsidP="00E75388">
      <w:pPr>
        <w:jc w:val="both"/>
        <w:rPr>
          <w:rFonts w:ascii="Arial" w:hAnsi="Arial" w:cs="Arial"/>
          <w:color w:val="000000"/>
          <w:sz w:val="20"/>
        </w:rPr>
      </w:pPr>
    </w:p>
    <w:p w14:paraId="39EDDE07" w14:textId="6B89F81B" w:rsidR="00381A57" w:rsidRPr="00381A57" w:rsidRDefault="00381A57" w:rsidP="00381A57">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NO POWER TO ORDER A NON-PAROLE PERIOD FOR A CHILD SENTENCED TO DETENTION UNDER THE CYFA</w:t>
      </w:r>
    </w:p>
    <w:p w14:paraId="021D5260" w14:textId="77777777" w:rsidR="00381A57" w:rsidRDefault="00381A57" w:rsidP="00E75388">
      <w:pPr>
        <w:jc w:val="both"/>
        <w:rPr>
          <w:rFonts w:ascii="Arial" w:hAnsi="Arial" w:cs="Arial"/>
          <w:color w:val="000000"/>
          <w:sz w:val="20"/>
        </w:rPr>
      </w:pPr>
    </w:p>
    <w:p w14:paraId="7C6120E3" w14:textId="0FB01DF2"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 xml:space="preserve">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w:t>
      </w:r>
      <w:r>
        <w:rPr>
          <w:rFonts w:ascii="Arial" w:hAnsi="Arial" w:cs="Arial"/>
          <w:color w:val="000000"/>
          <w:sz w:val="20"/>
        </w:rPr>
        <w:lastRenderedPageBreak/>
        <w:t>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694CCF82" w14:textId="77777777" w:rsidR="006E59EC" w:rsidRDefault="006E59EC" w:rsidP="006E59EC">
      <w:pPr>
        <w:jc w:val="both"/>
        <w:rPr>
          <w:rFonts w:ascii="Arial" w:hAnsi="Arial" w:cs="Arial"/>
          <w:color w:val="000000"/>
          <w:sz w:val="20"/>
        </w:rPr>
      </w:pPr>
    </w:p>
    <w:p w14:paraId="42C19661" w14:textId="13753086" w:rsidR="006E59EC" w:rsidRPr="00381A57" w:rsidRDefault="006E59EC" w:rsidP="006E59EC">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A STATE MAY VALIDLY CHANGE THE CONDITIONS FOR A GRANT OF PAROLE WITHOUT THIS BEING AN IMPERMISSIBLE INTERFERENCE WITH JUDICIAL POWER</w:t>
      </w:r>
    </w:p>
    <w:p w14:paraId="17B2CD26" w14:textId="431BE909" w:rsidR="006E59EC" w:rsidRDefault="006E59EC" w:rsidP="006E59EC">
      <w:pPr>
        <w:jc w:val="both"/>
        <w:rPr>
          <w:rFonts w:ascii="Arial" w:hAnsi="Arial" w:cs="Arial"/>
          <w:color w:val="000000"/>
          <w:sz w:val="20"/>
        </w:rPr>
      </w:pPr>
    </w:p>
    <w:p w14:paraId="20716412" w14:textId="02BF99EA" w:rsidR="00D4174C" w:rsidRDefault="00D4174C" w:rsidP="006E59EC">
      <w:pPr>
        <w:jc w:val="both"/>
        <w:rPr>
          <w:rFonts w:ascii="Arial" w:hAnsi="Arial" w:cs="Arial"/>
          <w:color w:val="000000"/>
          <w:sz w:val="20"/>
        </w:rPr>
      </w:pPr>
      <w:r w:rsidRPr="00D4174C">
        <w:rPr>
          <w:rFonts w:ascii="Arial" w:hAnsi="Arial" w:cs="Arial"/>
          <w:color w:val="000000"/>
          <w:sz w:val="20"/>
        </w:rPr>
        <w:t xml:space="preserve">In </w:t>
      </w:r>
      <w:r w:rsidRPr="00D4174C">
        <w:rPr>
          <w:rFonts w:ascii="Arial" w:hAnsi="Arial" w:cs="Arial"/>
          <w:i/>
          <w:iCs/>
          <w:color w:val="000000"/>
          <w:sz w:val="20"/>
        </w:rPr>
        <w:t>Cherry v Queensland</w:t>
      </w:r>
      <w:r>
        <w:rPr>
          <w:rFonts w:ascii="Arial" w:hAnsi="Arial" w:cs="Arial"/>
          <w:color w:val="000000"/>
          <w:sz w:val="20"/>
        </w:rPr>
        <w:t xml:space="preserve"> [2025] HCA 14</w:t>
      </w:r>
      <w:r w:rsidRPr="00D4174C">
        <w:rPr>
          <w:rFonts w:ascii="Arial" w:hAnsi="Arial" w:cs="Arial"/>
          <w:color w:val="000000"/>
          <w:sz w:val="20"/>
        </w:rPr>
        <w:t xml:space="preserve"> the plaintiff </w:t>
      </w:r>
      <w:r>
        <w:rPr>
          <w:rFonts w:ascii="Arial" w:hAnsi="Arial" w:cs="Arial"/>
          <w:color w:val="000000"/>
          <w:sz w:val="20"/>
        </w:rPr>
        <w:t>had been</w:t>
      </w:r>
      <w:r w:rsidRPr="00D4174C">
        <w:rPr>
          <w:rFonts w:ascii="Arial" w:hAnsi="Arial" w:cs="Arial"/>
          <w:color w:val="000000"/>
          <w:sz w:val="20"/>
        </w:rPr>
        <w:t xml:space="preserve"> convicted</w:t>
      </w:r>
      <w:r>
        <w:rPr>
          <w:rFonts w:ascii="Arial" w:hAnsi="Arial" w:cs="Arial"/>
          <w:color w:val="000000"/>
          <w:sz w:val="20"/>
        </w:rPr>
        <w:t xml:space="preserve"> in 2002</w:t>
      </w:r>
      <w:r w:rsidRPr="00D4174C">
        <w:rPr>
          <w:rFonts w:ascii="Arial" w:hAnsi="Arial" w:cs="Arial"/>
          <w:color w:val="000000"/>
          <w:sz w:val="20"/>
        </w:rPr>
        <w:t>, following trial by jury in the Supreme Court of Queensland, of two counts of murder. He was sentenced to life imprisonment for each count. The sentencing judge ordered that the plaintiff not be released from imprisonment until he had served a minimum of 20 years in gaol (unless released sooner under exceptional circumstances parole). An appeal against conviction was unsuccessful. The body of one of the murder victims has never been found.</w:t>
      </w:r>
      <w:r>
        <w:rPr>
          <w:rFonts w:ascii="Arial" w:hAnsi="Arial" w:cs="Arial"/>
          <w:color w:val="000000"/>
          <w:sz w:val="20"/>
        </w:rPr>
        <w:t xml:space="preserve"> Subsequently in 2006 the Queensland parliament passed </w:t>
      </w:r>
      <w:r w:rsidRPr="00D4174C">
        <w:rPr>
          <w:rFonts w:ascii="Arial" w:hAnsi="Arial" w:cs="Arial"/>
          <w:color w:val="000000"/>
          <w:sz w:val="20"/>
        </w:rPr>
        <w:t xml:space="preserve">the </w:t>
      </w:r>
      <w:r w:rsidRPr="00D4174C">
        <w:rPr>
          <w:rFonts w:ascii="Arial" w:hAnsi="Arial" w:cs="Arial"/>
          <w:i/>
          <w:iCs/>
          <w:color w:val="000000"/>
          <w:sz w:val="20"/>
        </w:rPr>
        <w:t>Corrective Services Act 2006</w:t>
      </w:r>
      <w:r w:rsidRPr="00D4174C">
        <w:rPr>
          <w:rFonts w:ascii="Arial" w:hAnsi="Arial" w:cs="Arial"/>
          <w:color w:val="000000"/>
          <w:sz w:val="20"/>
        </w:rPr>
        <w:t xml:space="preserve"> (Qld)</w:t>
      </w:r>
      <w:r>
        <w:rPr>
          <w:rFonts w:ascii="Arial" w:hAnsi="Arial" w:cs="Arial"/>
          <w:color w:val="000000"/>
          <w:sz w:val="20"/>
        </w:rPr>
        <w:t xml:space="preserve">. Under </w:t>
      </w:r>
      <w:r w:rsidR="00984B6A">
        <w:rPr>
          <w:rFonts w:ascii="Arial" w:hAnsi="Arial" w:cs="Arial"/>
          <w:color w:val="000000"/>
          <w:sz w:val="20"/>
        </w:rPr>
        <w:t xml:space="preserve">s.175L of </w:t>
      </w:r>
      <w:r>
        <w:rPr>
          <w:rFonts w:ascii="Arial" w:hAnsi="Arial" w:cs="Arial"/>
          <w:color w:val="000000"/>
          <w:sz w:val="20"/>
        </w:rPr>
        <w:t>the CSAQ the Queensland parole board may make a “no</w:t>
      </w:r>
      <w:r w:rsidR="00884B26">
        <w:rPr>
          <w:rFonts w:ascii="Arial" w:hAnsi="Arial" w:cs="Arial"/>
          <w:color w:val="000000"/>
          <w:sz w:val="20"/>
        </w:rPr>
        <w:noBreakHyphen/>
      </w:r>
      <w:r>
        <w:rPr>
          <w:rFonts w:ascii="Arial" w:hAnsi="Arial" w:cs="Arial"/>
          <w:color w:val="000000"/>
          <w:sz w:val="20"/>
        </w:rPr>
        <w:t>cooperation declaration” about a “no-body-no parole” prisoner where the remains of the victim have not been found and where the parole board is not satisfied that the prisoner has given “satisfactory cooperation”. The effect of such declaration is that the prisoner may not apply for parole notwithstanding the expiration of the non-parole period.</w:t>
      </w:r>
    </w:p>
    <w:p w14:paraId="2B053DDD" w14:textId="24F5A67C" w:rsidR="00884B26" w:rsidRDefault="00D4174C" w:rsidP="00884B26">
      <w:pPr>
        <w:spacing w:before="120"/>
        <w:jc w:val="both"/>
        <w:rPr>
          <w:rFonts w:ascii="Arial" w:hAnsi="Arial" w:cs="Arial"/>
          <w:color w:val="000000"/>
          <w:sz w:val="20"/>
        </w:rPr>
      </w:pPr>
      <w:r>
        <w:rPr>
          <w:rFonts w:ascii="Arial" w:hAnsi="Arial" w:cs="Arial"/>
          <w:color w:val="000000"/>
          <w:sz w:val="20"/>
        </w:rPr>
        <w:t>The plaintiff commenced a proceeding in the original jurisdiction of the High Court challenging the constitutional validity of ss.175L &amp; 175E of the CSAQ</w:t>
      </w:r>
      <w:r w:rsidR="00884B26">
        <w:rPr>
          <w:rFonts w:ascii="Arial" w:hAnsi="Arial" w:cs="Arial"/>
          <w:color w:val="000000"/>
          <w:sz w:val="20"/>
        </w:rPr>
        <w:t xml:space="preserve"> and submitting that ss.175L &amp; 175E permit the executive branch of the State government to interfere with the exercise of judicial power by the Supreme Court of Queensland contrary to the </w:t>
      </w:r>
      <w:r w:rsidR="00F64B83">
        <w:rPr>
          <w:rFonts w:ascii="Arial" w:hAnsi="Arial" w:cs="Arial"/>
          <w:color w:val="000000"/>
          <w:sz w:val="20"/>
        </w:rPr>
        <w:t xml:space="preserve">“separation of powers” </w:t>
      </w:r>
      <w:r w:rsidR="00884B26">
        <w:rPr>
          <w:rFonts w:ascii="Arial" w:hAnsi="Arial" w:cs="Arial"/>
          <w:color w:val="000000"/>
          <w:sz w:val="20"/>
        </w:rPr>
        <w:t xml:space="preserve">principle established by the High Court in </w:t>
      </w:r>
      <w:r w:rsidRPr="00884B26">
        <w:rPr>
          <w:rFonts w:ascii="Arial" w:hAnsi="Arial" w:cs="Arial"/>
          <w:i/>
          <w:iCs/>
          <w:color w:val="000000"/>
          <w:sz w:val="20"/>
        </w:rPr>
        <w:t>Kable v Director of Public Prosecutions (NSW)</w:t>
      </w:r>
      <w:r w:rsidR="00884B26">
        <w:rPr>
          <w:rFonts w:ascii="Arial" w:hAnsi="Arial" w:cs="Arial"/>
          <w:color w:val="000000"/>
          <w:sz w:val="20"/>
        </w:rPr>
        <w:t xml:space="preserve"> </w:t>
      </w:r>
      <w:r w:rsidR="00884B26" w:rsidRPr="00884B26">
        <w:rPr>
          <w:rFonts w:ascii="Arial" w:hAnsi="Arial" w:cs="Arial"/>
          <w:color w:val="000000"/>
          <w:sz w:val="20"/>
        </w:rPr>
        <w:t>(1996) 189 CLR 51.</w:t>
      </w:r>
      <w:r w:rsidR="00884B26">
        <w:rPr>
          <w:rFonts w:ascii="Arial" w:hAnsi="Arial" w:cs="Arial"/>
          <w:color w:val="000000"/>
          <w:sz w:val="20"/>
        </w:rPr>
        <w:t xml:space="preserve"> In holding that s.175L was not invalid – and </w:t>
      </w:r>
      <w:r w:rsidR="00984B6A">
        <w:rPr>
          <w:rFonts w:ascii="Arial" w:hAnsi="Arial" w:cs="Arial"/>
          <w:color w:val="000000"/>
          <w:sz w:val="20"/>
        </w:rPr>
        <w:t>consequently</w:t>
      </w:r>
      <w:r w:rsidR="00884B26">
        <w:rPr>
          <w:rFonts w:ascii="Arial" w:hAnsi="Arial" w:cs="Arial"/>
          <w:color w:val="000000"/>
          <w:sz w:val="20"/>
        </w:rPr>
        <w:t xml:space="preserve"> finding that no answer was required in relation to s.175E – G</w:t>
      </w:r>
      <w:r w:rsidR="00884B26" w:rsidRPr="00884B26">
        <w:rPr>
          <w:rFonts w:ascii="Arial" w:hAnsi="Arial" w:cs="Arial"/>
          <w:color w:val="000000"/>
          <w:sz w:val="20"/>
        </w:rPr>
        <w:t xml:space="preserve">ageler </w:t>
      </w:r>
      <w:r w:rsidR="00884B26">
        <w:rPr>
          <w:rFonts w:ascii="Arial" w:hAnsi="Arial" w:cs="Arial"/>
          <w:color w:val="000000"/>
          <w:sz w:val="20"/>
        </w:rPr>
        <w:t>CJ</w:t>
      </w:r>
      <w:r w:rsidR="00884B26" w:rsidRPr="00884B26">
        <w:rPr>
          <w:rFonts w:ascii="Arial" w:hAnsi="Arial" w:cs="Arial"/>
          <w:color w:val="000000"/>
          <w:sz w:val="20"/>
        </w:rPr>
        <w:t xml:space="preserve">, </w:t>
      </w:r>
      <w:r w:rsidR="00884B26">
        <w:rPr>
          <w:rFonts w:ascii="Arial" w:hAnsi="Arial" w:cs="Arial"/>
          <w:color w:val="000000"/>
          <w:sz w:val="20"/>
        </w:rPr>
        <w:t>G</w:t>
      </w:r>
      <w:r w:rsidR="00884B26" w:rsidRPr="00884B26">
        <w:rPr>
          <w:rFonts w:ascii="Arial" w:hAnsi="Arial" w:cs="Arial"/>
          <w:color w:val="000000"/>
          <w:sz w:val="20"/>
        </w:rPr>
        <w:t xml:space="preserve">ordon, </w:t>
      </w:r>
      <w:r w:rsidR="00884B26">
        <w:rPr>
          <w:rFonts w:ascii="Arial" w:hAnsi="Arial" w:cs="Arial"/>
          <w:color w:val="000000"/>
          <w:sz w:val="20"/>
        </w:rPr>
        <w:t>E</w:t>
      </w:r>
      <w:r w:rsidR="00884B26" w:rsidRPr="00884B26">
        <w:rPr>
          <w:rFonts w:ascii="Arial" w:hAnsi="Arial" w:cs="Arial"/>
          <w:color w:val="000000"/>
          <w:sz w:val="20"/>
        </w:rPr>
        <w:t xml:space="preserve">delman, </w:t>
      </w:r>
      <w:r w:rsidR="00884B26">
        <w:rPr>
          <w:rFonts w:ascii="Arial" w:hAnsi="Arial" w:cs="Arial"/>
          <w:color w:val="000000"/>
          <w:sz w:val="20"/>
        </w:rPr>
        <w:t>S</w:t>
      </w:r>
      <w:r w:rsidR="00884B26" w:rsidRPr="00884B26">
        <w:rPr>
          <w:rFonts w:ascii="Arial" w:hAnsi="Arial" w:cs="Arial"/>
          <w:color w:val="000000"/>
          <w:sz w:val="20"/>
        </w:rPr>
        <w:t xml:space="preserve">teward, </w:t>
      </w:r>
      <w:r w:rsidR="00884B26">
        <w:rPr>
          <w:rFonts w:ascii="Arial" w:hAnsi="Arial" w:cs="Arial"/>
          <w:color w:val="000000"/>
          <w:sz w:val="20"/>
        </w:rPr>
        <w:t>G</w:t>
      </w:r>
      <w:r w:rsidR="00884B26" w:rsidRPr="00884B26">
        <w:rPr>
          <w:rFonts w:ascii="Arial" w:hAnsi="Arial" w:cs="Arial"/>
          <w:color w:val="000000"/>
          <w:sz w:val="20"/>
        </w:rPr>
        <w:t xml:space="preserve">leeson, </w:t>
      </w:r>
      <w:r w:rsidR="00884B26">
        <w:rPr>
          <w:rFonts w:ascii="Arial" w:hAnsi="Arial" w:cs="Arial"/>
          <w:color w:val="000000"/>
          <w:sz w:val="20"/>
        </w:rPr>
        <w:t>J</w:t>
      </w:r>
      <w:r w:rsidR="00884B26" w:rsidRPr="00884B26">
        <w:rPr>
          <w:rFonts w:ascii="Arial" w:hAnsi="Arial" w:cs="Arial"/>
          <w:color w:val="000000"/>
          <w:sz w:val="20"/>
        </w:rPr>
        <w:t xml:space="preserve">agot and </w:t>
      </w:r>
      <w:r w:rsidR="00884B26">
        <w:rPr>
          <w:rFonts w:ascii="Arial" w:hAnsi="Arial" w:cs="Arial"/>
          <w:color w:val="000000"/>
          <w:sz w:val="20"/>
        </w:rPr>
        <w:t>B</w:t>
      </w:r>
      <w:r w:rsidR="00884B26" w:rsidRPr="00884B26">
        <w:rPr>
          <w:rFonts w:ascii="Arial" w:hAnsi="Arial" w:cs="Arial"/>
          <w:color w:val="000000"/>
          <w:sz w:val="20"/>
        </w:rPr>
        <w:t>eech-</w:t>
      </w:r>
      <w:r w:rsidR="00884B26">
        <w:rPr>
          <w:rFonts w:ascii="Arial" w:hAnsi="Arial" w:cs="Arial"/>
          <w:color w:val="000000"/>
          <w:sz w:val="20"/>
        </w:rPr>
        <w:t>J</w:t>
      </w:r>
      <w:r w:rsidR="00884B26" w:rsidRPr="00884B26">
        <w:rPr>
          <w:rFonts w:ascii="Arial" w:hAnsi="Arial" w:cs="Arial"/>
          <w:color w:val="000000"/>
          <w:sz w:val="20"/>
        </w:rPr>
        <w:t xml:space="preserve">ones </w:t>
      </w:r>
      <w:r w:rsidR="00884B26">
        <w:rPr>
          <w:rFonts w:ascii="Arial" w:hAnsi="Arial" w:cs="Arial"/>
          <w:color w:val="000000"/>
          <w:sz w:val="20"/>
        </w:rPr>
        <w:t>JJ said at [2]:</w:t>
      </w:r>
    </w:p>
    <w:p w14:paraId="58F98612" w14:textId="3FC325A1" w:rsidR="00D4174C" w:rsidRDefault="00884B26" w:rsidP="00884B26">
      <w:pPr>
        <w:spacing w:before="60"/>
        <w:ind w:left="567" w:right="567"/>
        <w:jc w:val="both"/>
        <w:rPr>
          <w:rFonts w:ascii="Arial" w:hAnsi="Arial" w:cs="Arial"/>
          <w:color w:val="000000"/>
          <w:sz w:val="20"/>
        </w:rPr>
      </w:pPr>
      <w:r>
        <w:rPr>
          <w:rFonts w:ascii="Arial" w:hAnsi="Arial" w:cs="Arial"/>
          <w:color w:val="000000"/>
          <w:sz w:val="20"/>
        </w:rPr>
        <w:t>“</w:t>
      </w:r>
      <w:r w:rsidR="00D4174C" w:rsidRPr="00D4174C">
        <w:rPr>
          <w:rFonts w:ascii="Arial" w:hAnsi="Arial" w:cs="Arial"/>
          <w:color w:val="000000"/>
          <w:sz w:val="20"/>
        </w:rPr>
        <w:t xml:space="preserve">The plaintiff's challenge to the validity of ss 175L and 175E faces the difficult task of distinguishing the principles established by the decisions of this Court in </w:t>
      </w:r>
      <w:r w:rsidR="00D4174C" w:rsidRPr="00884B26">
        <w:rPr>
          <w:rFonts w:ascii="Arial" w:hAnsi="Arial" w:cs="Arial"/>
          <w:i/>
          <w:iCs/>
          <w:color w:val="000000"/>
          <w:sz w:val="20"/>
        </w:rPr>
        <w:t>Crump v New South Wales</w:t>
      </w:r>
      <w:r>
        <w:rPr>
          <w:rFonts w:ascii="Arial" w:hAnsi="Arial" w:cs="Arial"/>
          <w:color w:val="000000"/>
          <w:sz w:val="20"/>
        </w:rPr>
        <w:t xml:space="preserve"> (2012) 247 CLR 1,</w:t>
      </w:r>
      <w:r w:rsidR="00D4174C" w:rsidRPr="00D4174C">
        <w:rPr>
          <w:rFonts w:ascii="Arial" w:hAnsi="Arial" w:cs="Arial"/>
          <w:color w:val="000000"/>
          <w:sz w:val="20"/>
        </w:rPr>
        <w:t xml:space="preserve"> </w:t>
      </w:r>
      <w:r w:rsidR="00D4174C" w:rsidRPr="00884B26">
        <w:rPr>
          <w:rFonts w:ascii="Arial" w:hAnsi="Arial" w:cs="Arial"/>
          <w:i/>
          <w:iCs/>
          <w:color w:val="000000"/>
          <w:sz w:val="20"/>
        </w:rPr>
        <w:t>Knight v Victoria</w:t>
      </w:r>
      <w:r>
        <w:rPr>
          <w:rFonts w:ascii="Arial" w:hAnsi="Arial" w:cs="Arial"/>
          <w:color w:val="000000"/>
          <w:sz w:val="20"/>
        </w:rPr>
        <w:t xml:space="preserve"> (2017) 261 CLR 306</w:t>
      </w:r>
      <w:r w:rsidR="00D4174C" w:rsidRPr="00D4174C">
        <w:rPr>
          <w:rFonts w:ascii="Arial" w:hAnsi="Arial" w:cs="Arial"/>
          <w:color w:val="000000"/>
          <w:sz w:val="20"/>
        </w:rPr>
        <w:t xml:space="preserve"> and </w:t>
      </w:r>
      <w:r w:rsidR="00D4174C" w:rsidRPr="00884B26">
        <w:rPr>
          <w:rFonts w:ascii="Arial" w:hAnsi="Arial" w:cs="Arial"/>
          <w:i/>
          <w:iCs/>
          <w:color w:val="000000"/>
          <w:sz w:val="20"/>
        </w:rPr>
        <w:t>Minogue v Victori</w:t>
      </w:r>
      <w:r>
        <w:rPr>
          <w:rFonts w:ascii="Arial" w:hAnsi="Arial" w:cs="Arial"/>
          <w:i/>
          <w:iCs/>
          <w:color w:val="000000"/>
          <w:sz w:val="20"/>
        </w:rPr>
        <w:t xml:space="preserve">a </w:t>
      </w:r>
      <w:r w:rsidRPr="00884B26">
        <w:rPr>
          <w:rFonts w:ascii="Arial" w:hAnsi="Arial" w:cs="Arial"/>
          <w:color w:val="000000"/>
          <w:sz w:val="20"/>
        </w:rPr>
        <w:t>(2019) 268 CLR 1.</w:t>
      </w:r>
      <w:r w:rsidR="00D4174C" w:rsidRPr="00D4174C">
        <w:rPr>
          <w:rFonts w:ascii="Arial" w:hAnsi="Arial" w:cs="Arial"/>
          <w:color w:val="000000"/>
          <w:sz w:val="20"/>
        </w:rPr>
        <w:t xml:space="preserve"> In essence, those cases establish that a State may validly change the conditions for a grant of parole from time to time and that this does not constitute an impermissible interference with judicial power.</w:t>
      </w:r>
      <w:r>
        <w:rPr>
          <w:rFonts w:ascii="Arial" w:hAnsi="Arial" w:cs="Arial"/>
          <w:color w:val="000000"/>
          <w:sz w:val="20"/>
        </w:rPr>
        <w:t>”</w:t>
      </w:r>
    </w:p>
    <w:p w14:paraId="2BBC13B5" w14:textId="77777777" w:rsidR="006E59EC" w:rsidRPr="00102D2A" w:rsidRDefault="006E59EC"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1009" w:name="_11.8.2_Remissions"/>
      <w:bookmarkEnd w:id="1009"/>
      <w:r w:rsidRPr="00102D2A">
        <w:rPr>
          <w:rFonts w:ascii="Arial" w:hAnsi="Arial" w:cs="Arial"/>
          <w:b/>
          <w:bCs/>
          <w:color w:val="000000"/>
          <w:sz w:val="20"/>
        </w:rPr>
        <w:t>11.8.2</w:t>
      </w:r>
      <w:r w:rsidRPr="00102D2A">
        <w:rPr>
          <w:rFonts w:ascii="Arial" w:hAnsi="Arial" w:cs="Arial"/>
          <w:b/>
          <w:bCs/>
          <w:color w:val="000000"/>
          <w:sz w:val="20"/>
        </w:rPr>
        <w:tab/>
        <w:t>Remissions</w:t>
      </w:r>
    </w:p>
    <w:p w14:paraId="1ABF39DB" w14:textId="5E232D7B" w:rsidR="00441934" w:rsidRPr="00102D2A" w:rsidRDefault="00441934" w:rsidP="0085611B">
      <w:pPr>
        <w:keepNext/>
        <w:keepLines/>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00AEAED0" w14:textId="3F199D6D" w:rsidR="00BF52E5" w:rsidRPr="00102D2A" w:rsidRDefault="00BF52E5" w:rsidP="00442773">
      <w:pPr>
        <w:pStyle w:val="Heading2"/>
        <w:keepNext/>
        <w:keepLines/>
        <w:widowControl/>
        <w:tabs>
          <w:tab w:val="left" w:pos="567"/>
        </w:tabs>
        <w:spacing w:line="240" w:lineRule="auto"/>
        <w:rPr>
          <w:rFonts w:ascii="Arial" w:hAnsi="Arial" w:cs="Arial"/>
          <w:b/>
          <w:bCs/>
          <w:color w:val="000000"/>
        </w:rPr>
      </w:pPr>
      <w:bookmarkStart w:id="1010" w:name="_11.9_Temporary_leave"/>
      <w:bookmarkStart w:id="1011" w:name="_Toc30691486"/>
      <w:bookmarkStart w:id="1012" w:name="_Toc30691866"/>
      <w:bookmarkStart w:id="1013" w:name="_Toc30692246"/>
      <w:bookmarkStart w:id="1014" w:name="_Toc30693004"/>
      <w:bookmarkStart w:id="1015" w:name="_Toc30693383"/>
      <w:bookmarkStart w:id="1016" w:name="_Toc30693761"/>
      <w:bookmarkStart w:id="1017" w:name="_Toc30694139"/>
      <w:bookmarkStart w:id="1018" w:name="_Toc30694520"/>
      <w:bookmarkStart w:id="1019" w:name="_Toc30699110"/>
      <w:bookmarkStart w:id="1020" w:name="_Toc30699495"/>
      <w:bookmarkStart w:id="1021" w:name="_Toc30699880"/>
      <w:bookmarkStart w:id="1022" w:name="_Toc30701035"/>
      <w:bookmarkStart w:id="1023" w:name="_Toc30701422"/>
      <w:bookmarkStart w:id="1024" w:name="_Toc30744029"/>
      <w:bookmarkStart w:id="1025" w:name="_Toc30754852"/>
      <w:bookmarkStart w:id="1026" w:name="_Toc30757308"/>
      <w:bookmarkStart w:id="1027" w:name="_Toc30757856"/>
      <w:bookmarkStart w:id="1028" w:name="_Toc30758256"/>
      <w:bookmarkStart w:id="1029" w:name="_Toc30763016"/>
      <w:bookmarkStart w:id="1030" w:name="_Toc30767670"/>
      <w:bookmarkStart w:id="1031" w:name="_Toc34823689"/>
      <w:bookmarkStart w:id="1032" w:name="_Toc107101784"/>
      <w:bookmarkEnd w:id="983"/>
      <w:bookmarkEnd w:id="1010"/>
      <w:r w:rsidRPr="00102D2A">
        <w:rPr>
          <w:rFonts w:ascii="Arial" w:hAnsi="Arial" w:cs="Arial"/>
          <w:b/>
          <w:bCs/>
          <w:color w:val="000000"/>
        </w:rPr>
        <w:t>11.</w:t>
      </w:r>
      <w:r w:rsidR="005B4175" w:rsidRPr="00102D2A">
        <w:rPr>
          <w:rFonts w:ascii="Arial" w:hAnsi="Arial" w:cs="Arial"/>
          <w:b/>
          <w:bCs/>
          <w:color w:val="000000"/>
        </w:rPr>
        <w:t>9</w:t>
      </w:r>
      <w:r w:rsidRPr="00102D2A">
        <w:rPr>
          <w:rFonts w:ascii="Arial" w:hAnsi="Arial" w:cs="Arial"/>
          <w:b/>
          <w:bCs/>
          <w:color w:val="000000"/>
        </w:rPr>
        <w:tab/>
        <w:t>Temporary leave from detention</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48751F74" w14:textId="77777777" w:rsidR="00BF52E5" w:rsidRPr="00102D2A" w:rsidRDefault="00BF52E5" w:rsidP="00070418">
      <w:pPr>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lastRenderedPageBreak/>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t>Such permit may be subject to any conditions, limitations or restrictions that the Secretary thinks fit to impose: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C detention is rehabilitation.  The aim is to work intensively with each detainee and to provide him or her with supervision, support, education, training and rehabilitation programs to maximise any 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1033" w:name="_11.10_Transfers_between"/>
      <w:bookmarkStart w:id="1034" w:name="_Toc30691487"/>
      <w:bookmarkStart w:id="1035" w:name="_Toc30691867"/>
      <w:bookmarkStart w:id="1036" w:name="_Toc30692247"/>
      <w:bookmarkStart w:id="1037" w:name="_Toc30693005"/>
      <w:bookmarkStart w:id="1038" w:name="_Toc30693384"/>
      <w:bookmarkStart w:id="1039" w:name="_Toc30693762"/>
      <w:bookmarkStart w:id="1040" w:name="_Toc30694140"/>
      <w:bookmarkStart w:id="1041" w:name="_Toc30694521"/>
      <w:bookmarkStart w:id="1042" w:name="_Toc30699111"/>
      <w:bookmarkStart w:id="1043" w:name="_Toc30699496"/>
      <w:bookmarkStart w:id="1044" w:name="_Toc30699881"/>
      <w:bookmarkStart w:id="1045" w:name="_Toc30701036"/>
      <w:bookmarkStart w:id="1046" w:name="_Toc30701423"/>
      <w:bookmarkStart w:id="1047" w:name="_Toc30744030"/>
      <w:bookmarkStart w:id="1048" w:name="_Toc30754853"/>
      <w:bookmarkStart w:id="1049" w:name="_Toc30757309"/>
      <w:bookmarkStart w:id="1050" w:name="_Toc30757857"/>
      <w:bookmarkStart w:id="1051" w:name="_Toc30758257"/>
      <w:bookmarkStart w:id="1052" w:name="_Toc30763017"/>
      <w:bookmarkStart w:id="1053" w:name="_Toc30767671"/>
      <w:bookmarkStart w:id="1054" w:name="_Toc34823690"/>
      <w:bookmarkStart w:id="1055" w:name="_Toc107101785"/>
      <w:bookmarkEnd w:id="1033"/>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19"/>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DPP v Karipis</w:t>
      </w:r>
      <w:r w:rsidRPr="00102D2A">
        <w:rPr>
          <w:rFonts w:ascii="Arial" w:hAnsi="Arial" w:cs="Arial"/>
          <w:iCs/>
          <w:color w:val="000000"/>
          <w:sz w:val="20"/>
        </w:rPr>
        <w:t xml:space="preserve"> [2005] VSCA 119 at [18] &amp; [23]; </w:t>
      </w:r>
      <w:r w:rsidRPr="00102D2A">
        <w:rPr>
          <w:rFonts w:ascii="Arial" w:hAnsi="Arial" w:cs="Arial"/>
          <w:i/>
          <w:iCs/>
          <w:color w:val="000000"/>
          <w:sz w:val="20"/>
        </w:rPr>
        <w:t>DPP v Reynolds &amp; Ors</w:t>
      </w:r>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R v Speedie</w:t>
      </w:r>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1056" w:name="_11.11_Further_custodial"/>
      <w:bookmarkStart w:id="1057" w:name="_Toc30691488"/>
      <w:bookmarkStart w:id="1058" w:name="_Toc30691868"/>
      <w:bookmarkStart w:id="1059" w:name="_Toc30692248"/>
      <w:bookmarkStart w:id="1060" w:name="_Toc30693006"/>
      <w:bookmarkStart w:id="1061" w:name="_Toc30693385"/>
      <w:bookmarkStart w:id="1062" w:name="_Toc30693763"/>
      <w:bookmarkStart w:id="1063" w:name="_Toc30694141"/>
      <w:bookmarkStart w:id="1064" w:name="_Toc30694522"/>
      <w:bookmarkStart w:id="1065" w:name="_Toc30699112"/>
      <w:bookmarkStart w:id="1066" w:name="_Toc30699497"/>
      <w:bookmarkStart w:id="1067" w:name="_Toc30699882"/>
      <w:bookmarkStart w:id="1068" w:name="_Toc30701037"/>
      <w:bookmarkStart w:id="1069" w:name="_Toc30701424"/>
      <w:bookmarkStart w:id="1070" w:name="_Toc30744031"/>
      <w:bookmarkStart w:id="1071" w:name="_Toc30754854"/>
      <w:bookmarkStart w:id="1072" w:name="_Toc30757310"/>
      <w:bookmarkStart w:id="1073" w:name="_Toc30757858"/>
      <w:bookmarkStart w:id="1074" w:name="_Toc30758258"/>
      <w:bookmarkStart w:id="1075" w:name="_Toc30763018"/>
      <w:bookmarkStart w:id="1076" w:name="_Toc30767672"/>
      <w:bookmarkStart w:id="1077" w:name="_Toc34823691"/>
      <w:bookmarkStart w:id="1078" w:name="_Toc107101786"/>
      <w:bookmarkEnd w:id="1056"/>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30"/>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8000"/>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A557FB">
            <w:pPr>
              <w:keepNext/>
              <w:keepLines/>
              <w:jc w:val="center"/>
              <w:rPr>
                <w:rFonts w:ascii="Arial" w:hAnsi="Arial" w:cs="Arial"/>
                <w:color w:val="000000"/>
                <w:sz w:val="20"/>
              </w:rPr>
            </w:pPr>
          </w:p>
          <w:p w14:paraId="4C23ACFA" w14:textId="77777777" w:rsidR="00BF52E5" w:rsidRPr="00102D2A" w:rsidRDefault="00946014" w:rsidP="00A557FB">
            <w:pPr>
              <w:keepNext/>
              <w:keepLines/>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A557FB">
            <w:pPr>
              <w:keepNext/>
              <w:keepLines/>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079" w:name="_11.12_Breach_of"/>
      <w:bookmarkStart w:id="1080" w:name="_Toc30691489"/>
      <w:bookmarkStart w:id="1081" w:name="_Toc30691869"/>
      <w:bookmarkStart w:id="1082" w:name="_Toc30692249"/>
      <w:bookmarkStart w:id="1083" w:name="_Toc30693007"/>
      <w:bookmarkStart w:id="1084" w:name="_Toc30693386"/>
      <w:bookmarkStart w:id="1085" w:name="_Toc30693764"/>
      <w:bookmarkStart w:id="1086" w:name="_Toc30694142"/>
      <w:bookmarkStart w:id="1087" w:name="_Toc30694523"/>
      <w:bookmarkStart w:id="1088" w:name="_Toc30699113"/>
      <w:bookmarkStart w:id="1089" w:name="_Toc30699498"/>
      <w:bookmarkStart w:id="1090" w:name="_Toc30699883"/>
      <w:bookmarkStart w:id="1091" w:name="_Toc30701038"/>
      <w:bookmarkStart w:id="1092" w:name="_Toc30701425"/>
      <w:bookmarkStart w:id="1093" w:name="_Toc30744032"/>
      <w:bookmarkStart w:id="1094" w:name="_Toc30754855"/>
      <w:bookmarkStart w:id="1095" w:name="_Toc30757311"/>
      <w:bookmarkStart w:id="1096" w:name="_Toc30757859"/>
      <w:bookmarkStart w:id="1097" w:name="_Toc30758259"/>
      <w:bookmarkStart w:id="1098" w:name="_Toc30763019"/>
      <w:bookmarkStart w:id="1099" w:name="_Toc30767673"/>
      <w:bookmarkStart w:id="1100" w:name="_Toc34823692"/>
      <w:bookmarkStart w:id="1101" w:name="_Toc107101787"/>
      <w:bookmarkEnd w:id="1079"/>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r w:rsidRPr="00102D2A">
        <w:rPr>
          <w:rFonts w:ascii="Arial" w:hAnsi="Arial" w:cs="Arial"/>
          <w:b/>
          <w:bCs/>
          <w:color w:val="000000"/>
        </w:rPr>
        <w:t>r</w:t>
      </w:r>
      <w:bookmarkEnd w:id="1101"/>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102" w:name="_11.12.1_“Generic”_provisions"/>
      <w:bookmarkStart w:id="1103" w:name="_Toc107101788"/>
      <w:bookmarkEnd w:id="1102"/>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103"/>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r w:rsidR="007C3438" w:rsidRPr="00102D2A">
        <w:rPr>
          <w:rFonts w:ascii="Arial" w:hAnsi="Arial" w:cs="Arial"/>
          <w:color w:val="000000"/>
          <w:sz w:val="20"/>
        </w:rPr>
        <w:t xml:space="preserve">  Proceeding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 xml:space="preserve">r in </w:t>
      </w:r>
      <w:r w:rsidR="005E489B">
        <w:rPr>
          <w:rFonts w:ascii="Arial" w:hAnsi="Arial" w:cs="Arial"/>
          <w:color w:val="000000"/>
          <w:sz w:val="20"/>
        </w:rPr>
        <w:lastRenderedPageBreak/>
        <w:t>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convicted of an offence punishable on first conviction with imprisonment for life or for a term of 5 years ir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544E42">
      <w:pPr>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544E42">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lastRenderedPageBreak/>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104" w:name="_11.12.2_Powers_upon"/>
      <w:bookmarkStart w:id="1105" w:name="_Toc107101790"/>
      <w:bookmarkEnd w:id="1104"/>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105"/>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072"/>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10187C">
            <w:pPr>
              <w:jc w:val="center"/>
              <w:rPr>
                <w:rFonts w:ascii="Arial" w:hAnsi="Arial" w:cs="Arial"/>
                <w:b/>
                <w:color w:val="000000"/>
                <w:sz w:val="20"/>
                <w:u w:val="single"/>
              </w:rPr>
            </w:pPr>
            <w:r w:rsidRPr="00E109FF">
              <w:rPr>
                <w:rFonts w:ascii="Arial" w:hAnsi="Arial" w:cs="Arial"/>
                <w:b/>
                <w:color w:val="000000"/>
                <w:sz w:val="20"/>
                <w:u w:val="single"/>
              </w:rPr>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10187C">
            <w:pPr>
              <w:keepNext/>
              <w:keepLines/>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City">
              <w:smartTag w:uri="urn:schemas-microsoft-com:office:smarttags" w:element="place">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place">
              <w:smartTag w:uri="urn:schemas-microsoft-com:office:smarttags" w:element="City">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lastRenderedPageBreak/>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106" w:name="_11.12.3_Revocation_of"/>
      <w:bookmarkEnd w:id="1106"/>
      <w:r w:rsidRPr="00102D2A">
        <w:rPr>
          <w:rFonts w:ascii="Arial" w:hAnsi="Arial" w:cs="Arial"/>
          <w:b/>
          <w:bCs/>
          <w:color w:val="000000"/>
          <w:sz w:val="20"/>
        </w:rPr>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107" w:name="_11.12.4_Fine_defaults"/>
      <w:bookmarkStart w:id="1108" w:name="_Toc107101791"/>
      <w:bookmarkEnd w:id="1107"/>
      <w:r w:rsidRPr="00102D2A">
        <w:rPr>
          <w:rFonts w:ascii="Arial" w:hAnsi="Arial" w:cs="Arial"/>
          <w:b/>
          <w:bCs/>
          <w:color w:val="000000"/>
          <w:sz w:val="20"/>
        </w:rPr>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108"/>
    </w:p>
    <w:p w14:paraId="22F164BE" w14:textId="74666888"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ex parte</w:t>
      </w:r>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xml:space="preserve">, as to which see </w:t>
      </w:r>
      <w:r w:rsidR="00E94F6B" w:rsidRPr="00E94F6B">
        <w:rPr>
          <w:rFonts w:ascii="Arial" w:hAnsi="Arial" w:cs="Arial"/>
          <w:b/>
          <w:bCs/>
          <w:color w:val="000000"/>
          <w:sz w:val="20"/>
          <w:szCs w:val="20"/>
          <w:shd w:val="clear" w:color="auto" w:fill="C5E0B3" w:themeFill="accent6" w:themeFillTint="66"/>
        </w:rPr>
        <w:t>Part</w:t>
      </w:r>
      <w:r w:rsidRPr="00E94F6B">
        <w:rPr>
          <w:rFonts w:ascii="Arial" w:hAnsi="Arial" w:cs="Arial"/>
          <w:b/>
          <w:bCs/>
          <w:color w:val="000000"/>
          <w:sz w:val="20"/>
          <w:szCs w:val="20"/>
          <w:shd w:val="clear" w:color="auto" w:fill="C5E0B3" w:themeFill="accent6" w:themeFillTint="66"/>
        </w:rPr>
        <w:t xml:space="preserve"> 7.7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57363B9B"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w:t>
      </w:r>
      <w:r w:rsidR="00E70DF7">
        <w:rPr>
          <w:rFonts w:ascii="Arial" w:hAnsi="Arial" w:cs="Arial"/>
          <w:color w:val="000000"/>
          <w:sz w:val="20"/>
        </w:rPr>
        <w:t>–</w:t>
      </w:r>
      <w:r w:rsidRPr="00102D2A">
        <w:rPr>
          <w:rFonts w:ascii="Arial" w:hAnsi="Arial" w:cs="Arial"/>
          <w:color w:val="000000"/>
          <w:sz w:val="20"/>
        </w:rPr>
        <w:t xml:space="preserve"> the</w:t>
      </w:r>
      <w:r w:rsidR="00E70DF7">
        <w:rPr>
          <w:rFonts w:ascii="Arial" w:hAnsi="Arial" w:cs="Arial"/>
          <w:color w:val="000000"/>
          <w:sz w:val="20"/>
        </w:rPr>
        <w:t xml:space="preserve"> </w:t>
      </w:r>
      <w:r w:rsidRPr="00102D2A">
        <w:rPr>
          <w:rFonts w:ascii="Arial" w:hAnsi="Arial" w:cs="Arial"/>
          <w:color w:val="000000"/>
          <w:sz w:val="20"/>
        </w:rPr>
        <w:t xml:space="preserve">option for a YSO or YAO </w:t>
      </w:r>
      <w:r w:rsidR="00E70DF7">
        <w:rPr>
          <w:rFonts w:ascii="Arial" w:hAnsi="Arial" w:cs="Arial"/>
          <w:color w:val="000000"/>
          <w:sz w:val="20"/>
        </w:rPr>
        <w:t>–</w:t>
      </w:r>
      <w:r w:rsidRPr="00102D2A">
        <w:rPr>
          <w:rFonts w:ascii="Arial" w:hAnsi="Arial" w:cs="Arial"/>
          <w:color w:val="000000"/>
          <w:sz w:val="20"/>
        </w:rPr>
        <w:t xml:space="preserve"> was</w:t>
      </w:r>
      <w:r w:rsidR="00E70DF7">
        <w:rPr>
          <w:rFonts w:ascii="Arial" w:hAnsi="Arial" w:cs="Arial"/>
          <w:color w:val="000000"/>
          <w:sz w:val="20"/>
        </w:rPr>
        <w:t xml:space="preserve"> </w:t>
      </w:r>
      <w:r w:rsidRPr="00102D2A">
        <w:rPr>
          <w:rFonts w:ascii="Arial" w:hAnsi="Arial" w:cs="Arial"/>
          <w:color w:val="000000"/>
          <w:sz w:val="20"/>
        </w:rPr>
        <w:t>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2"/>
        <w:gridCol w:w="2268"/>
        <w:gridCol w:w="6180"/>
      </w:tblGrid>
      <w:tr w:rsidR="005E7595" w:rsidRPr="00102D2A" w14:paraId="4C566A43" w14:textId="77777777">
        <w:trPr>
          <w:cantSplit/>
          <w:trHeight w:val="20"/>
        </w:trPr>
        <w:tc>
          <w:tcPr>
            <w:tcW w:w="572" w:type="dxa"/>
          </w:tcPr>
          <w:p w14:paraId="373EA209" w14:textId="77777777" w:rsidR="005E7595" w:rsidRPr="00102D2A" w:rsidRDefault="005E7595" w:rsidP="0010187C">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69EFA44B"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YSO for a period not exceeding 3 months</w:t>
            </w:r>
            <w:r w:rsidR="00DA3734" w:rsidRPr="00102D2A">
              <w:rPr>
                <w:rFonts w:ascii="Arial" w:hAnsi="Arial" w:cs="Arial"/>
                <w:color w:val="000000"/>
                <w:sz w:val="20"/>
              </w:rPr>
              <w:t xml:space="preserve"> </w:t>
            </w:r>
            <w:r w:rsidR="00E70DF7">
              <w:rPr>
                <w:rFonts w:ascii="Arial" w:hAnsi="Arial" w:cs="Arial"/>
                <w:color w:val="000000"/>
                <w:sz w:val="20"/>
              </w:rPr>
              <w:t>and not</w:t>
            </w:r>
            <w:r w:rsidR="00DA3734" w:rsidRPr="00102D2A">
              <w:rPr>
                <w:rFonts w:ascii="Arial" w:hAnsi="Arial" w:cs="Arial"/>
                <w:color w:val="000000"/>
                <w:sz w:val="20"/>
              </w:rPr>
              <w:t xml:space="preserv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E70DF7">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place">
        <w:smartTag w:uri="urn:schemas-microsoft-com:office:smarttags" w:element="City">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re 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548D84CF" w:rsidR="00BF52E5" w:rsidRPr="00102D2A" w:rsidRDefault="00BF52E5">
      <w:pPr>
        <w:pStyle w:val="Heading2"/>
        <w:keepNext/>
        <w:tabs>
          <w:tab w:val="left" w:pos="567"/>
        </w:tabs>
        <w:spacing w:line="240" w:lineRule="auto"/>
        <w:rPr>
          <w:rFonts w:ascii="Arial" w:hAnsi="Arial" w:cs="Arial"/>
          <w:b/>
          <w:bCs/>
          <w:color w:val="000000"/>
        </w:rPr>
      </w:pPr>
      <w:bookmarkStart w:id="1109" w:name="_11.13_Sunset_provision"/>
      <w:bookmarkStart w:id="1110" w:name="_Toc107101795"/>
      <w:bookmarkEnd w:id="1109"/>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110"/>
      <w:r w:rsidR="00920646">
        <w:rPr>
          <w:rFonts w:ascii="Arial" w:hAnsi="Arial" w:cs="Arial"/>
          <w:b/>
          <w:bCs/>
          <w:color w:val="000000"/>
        </w:rPr>
        <w:t xml:space="preserve"> – Spent convictions</w:t>
      </w:r>
    </w:p>
    <w:p w14:paraId="51817C7E" w14:textId="77777777" w:rsidR="00A42A00" w:rsidRPr="00102D2A" w:rsidRDefault="00A42A00" w:rsidP="00A42A00">
      <w:pPr>
        <w:jc w:val="both"/>
        <w:rPr>
          <w:rFonts w:ascii="Arial" w:hAnsi="Arial" w:cs="Arial"/>
          <w:bCs/>
          <w:color w:val="000000"/>
          <w:sz w:val="20"/>
        </w:rPr>
      </w:pPr>
    </w:p>
    <w:p w14:paraId="6F91C271" w14:textId="2664011D" w:rsidR="00A42A00" w:rsidRPr="00102D2A" w:rsidRDefault="00A42A00" w:rsidP="00A42A00">
      <w:pPr>
        <w:pStyle w:val="Heading3"/>
        <w:keepNext/>
        <w:keepLines/>
        <w:widowControl/>
        <w:spacing w:line="240" w:lineRule="auto"/>
        <w:rPr>
          <w:rFonts w:ascii="Arial" w:hAnsi="Arial" w:cs="Arial"/>
          <w:b/>
          <w:bCs/>
          <w:color w:val="000000"/>
          <w:sz w:val="20"/>
        </w:rPr>
      </w:pPr>
      <w:bookmarkStart w:id="1111" w:name="_11.13.1_Section_584"/>
      <w:bookmarkEnd w:id="1111"/>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1</w:t>
      </w:r>
      <w:r w:rsidRPr="00102D2A">
        <w:rPr>
          <w:rFonts w:ascii="Arial" w:hAnsi="Arial" w:cs="Arial"/>
          <w:b/>
          <w:bCs/>
          <w:color w:val="000000"/>
          <w:sz w:val="20"/>
        </w:rPr>
        <w:tab/>
      </w:r>
      <w:r>
        <w:rPr>
          <w:rFonts w:ascii="Arial" w:hAnsi="Arial" w:cs="Arial"/>
          <w:b/>
          <w:bCs/>
          <w:color w:val="000000"/>
          <w:sz w:val="20"/>
        </w:rPr>
        <w:t>Section 584 CYFA</w:t>
      </w:r>
    </w:p>
    <w:p w14:paraId="49E8C3F4" w14:textId="77777777" w:rsidR="00BF52E5" w:rsidRPr="00102D2A" w:rsidRDefault="00BF52E5" w:rsidP="00A42A00">
      <w:pPr>
        <w:spacing w:before="120"/>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2F46E13C"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Subsection (1) does not apply if that fact is relevant to the facts in issue in the proceeding or to matters necessary to be known in order to determine whether or not those facts existed.</w:t>
      </w:r>
    </w:p>
    <w:p w14:paraId="6EBDD481" w14:textId="4D3B9935"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AB27C3C" w:rsidR="00BF52E5" w:rsidRDefault="00BF52E5">
      <w:pPr>
        <w:jc w:val="both"/>
        <w:rPr>
          <w:rFonts w:ascii="Arial" w:hAnsi="Arial" w:cs="Arial"/>
          <w:color w:val="000000"/>
          <w:sz w:val="20"/>
        </w:rPr>
      </w:pPr>
    </w:p>
    <w:p w14:paraId="53DDCA52" w14:textId="04F434F3" w:rsidR="00A42A00" w:rsidRPr="00102D2A" w:rsidRDefault="00A42A00" w:rsidP="00A42A00">
      <w:pPr>
        <w:pStyle w:val="Heading3"/>
        <w:keepNext/>
        <w:keepLines/>
        <w:widowControl/>
        <w:spacing w:line="240" w:lineRule="auto"/>
        <w:rPr>
          <w:rFonts w:ascii="Arial" w:hAnsi="Arial" w:cs="Arial"/>
          <w:b/>
          <w:bCs/>
          <w:color w:val="000000"/>
          <w:sz w:val="20"/>
        </w:rPr>
      </w:pPr>
      <w:bookmarkStart w:id="1112" w:name="_11.13.2_Spent_Convictions"/>
      <w:bookmarkEnd w:id="1112"/>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2</w:t>
      </w:r>
      <w:r w:rsidRPr="00102D2A">
        <w:rPr>
          <w:rFonts w:ascii="Arial" w:hAnsi="Arial" w:cs="Arial"/>
          <w:b/>
          <w:bCs/>
          <w:color w:val="000000"/>
          <w:sz w:val="20"/>
        </w:rPr>
        <w:tab/>
      </w:r>
      <w:r>
        <w:rPr>
          <w:rFonts w:ascii="Arial" w:hAnsi="Arial" w:cs="Arial"/>
          <w:b/>
          <w:bCs/>
          <w:color w:val="000000"/>
          <w:sz w:val="20"/>
        </w:rPr>
        <w:t>Spent Convictions Act 2021</w:t>
      </w:r>
    </w:p>
    <w:p w14:paraId="47A7A8E1" w14:textId="7585EAF1" w:rsidR="00E70DF7" w:rsidRDefault="00E70DF7" w:rsidP="00A42A00">
      <w:pPr>
        <w:spacing w:before="120"/>
        <w:jc w:val="both"/>
        <w:rPr>
          <w:rFonts w:ascii="Arial" w:hAnsi="Arial" w:cs="Arial"/>
          <w:color w:val="000000"/>
          <w:sz w:val="20"/>
        </w:rPr>
      </w:pPr>
      <w:r>
        <w:rPr>
          <w:rFonts w:ascii="Arial" w:hAnsi="Arial" w:cs="Arial"/>
          <w:color w:val="000000"/>
          <w:sz w:val="20"/>
        </w:rPr>
        <w:t xml:space="preserve">Two of the purposes of the </w:t>
      </w:r>
      <w:r w:rsidRPr="00E70DF7">
        <w:rPr>
          <w:rFonts w:ascii="Arial" w:hAnsi="Arial" w:cs="Arial"/>
          <w:i/>
          <w:iCs/>
          <w:color w:val="000000"/>
          <w:sz w:val="20"/>
        </w:rPr>
        <w:t>Spent Convictions Act 2021</w:t>
      </w:r>
      <w:r>
        <w:rPr>
          <w:rFonts w:ascii="Arial" w:hAnsi="Arial" w:cs="Arial"/>
          <w:color w:val="000000"/>
          <w:sz w:val="20"/>
        </w:rPr>
        <w:t xml:space="preserve"> [SCA] </w:t>
      </w:r>
      <w:r w:rsidR="00A70854">
        <w:rPr>
          <w:rFonts w:ascii="Arial" w:hAnsi="Arial" w:cs="Arial"/>
          <w:color w:val="000000"/>
          <w:sz w:val="20"/>
        </w:rPr>
        <w:t xml:space="preserve">detailed in s.1 </w:t>
      </w:r>
      <w:r>
        <w:rPr>
          <w:rFonts w:ascii="Arial" w:hAnsi="Arial" w:cs="Arial"/>
          <w:color w:val="000000"/>
          <w:sz w:val="20"/>
        </w:rPr>
        <w:t>are-</w:t>
      </w:r>
    </w:p>
    <w:p w14:paraId="449DC731" w14:textId="3FCAA3EA" w:rsidR="00E70DF7" w:rsidRDefault="00E70DF7" w:rsidP="00A70854">
      <w:pPr>
        <w:numPr>
          <w:ilvl w:val="0"/>
          <w:numId w:val="121"/>
        </w:numPr>
        <w:jc w:val="both"/>
        <w:rPr>
          <w:rFonts w:ascii="Arial" w:hAnsi="Arial" w:cs="Arial"/>
          <w:color w:val="000000"/>
          <w:sz w:val="20"/>
        </w:rPr>
      </w:pPr>
      <w:r>
        <w:rPr>
          <w:rFonts w:ascii="Arial" w:hAnsi="Arial" w:cs="Arial"/>
          <w:color w:val="000000"/>
          <w:sz w:val="20"/>
        </w:rPr>
        <w:t>to establish a scheme for ‘convictions’ to become spent automatically or on application; and</w:t>
      </w:r>
    </w:p>
    <w:p w14:paraId="5BFF1ACD" w14:textId="7D9E23D4" w:rsidR="00E70DF7" w:rsidRPr="00102D2A" w:rsidRDefault="00E70DF7" w:rsidP="00A70854">
      <w:pPr>
        <w:numPr>
          <w:ilvl w:val="0"/>
          <w:numId w:val="121"/>
        </w:numPr>
        <w:jc w:val="both"/>
        <w:rPr>
          <w:rFonts w:ascii="Arial" w:hAnsi="Arial" w:cs="Arial"/>
          <w:color w:val="000000"/>
          <w:sz w:val="20"/>
        </w:rPr>
      </w:pPr>
      <w:r>
        <w:rPr>
          <w:rFonts w:ascii="Arial" w:hAnsi="Arial" w:cs="Arial"/>
          <w:color w:val="000000"/>
          <w:sz w:val="20"/>
        </w:rPr>
        <w:t xml:space="preserve">to amend the </w:t>
      </w:r>
      <w:r w:rsidRPr="00E70DF7">
        <w:rPr>
          <w:rFonts w:ascii="Arial" w:hAnsi="Arial" w:cs="Arial"/>
          <w:i/>
          <w:iCs/>
          <w:color w:val="000000"/>
          <w:sz w:val="20"/>
        </w:rPr>
        <w:t>Equal Opportunity Act 2010</w:t>
      </w:r>
      <w:r>
        <w:rPr>
          <w:rFonts w:ascii="Arial" w:hAnsi="Arial" w:cs="Arial"/>
          <w:color w:val="000000"/>
          <w:sz w:val="20"/>
        </w:rPr>
        <w:t xml:space="preserve"> to make a spent conviction an attribute on the basis of which discrimination is prohibited under that Act.</w:t>
      </w:r>
    </w:p>
    <w:p w14:paraId="15E809D0" w14:textId="722B78D8" w:rsidR="00E70DF7" w:rsidRDefault="00E70DF7" w:rsidP="00E70DF7">
      <w:pPr>
        <w:jc w:val="both"/>
        <w:rPr>
          <w:rFonts w:ascii="Arial" w:hAnsi="Arial" w:cs="Arial"/>
          <w:color w:val="000000"/>
          <w:sz w:val="20"/>
        </w:rPr>
      </w:pPr>
    </w:p>
    <w:p w14:paraId="08C7F207" w14:textId="0F0104B1" w:rsidR="00E70DF7" w:rsidRDefault="00E70DF7" w:rsidP="00E70DF7">
      <w:pPr>
        <w:jc w:val="both"/>
        <w:rPr>
          <w:rFonts w:ascii="Arial" w:hAnsi="Arial" w:cs="Arial"/>
          <w:color w:val="000000"/>
          <w:sz w:val="20"/>
        </w:rPr>
      </w:pPr>
      <w:r>
        <w:rPr>
          <w:rFonts w:ascii="Arial" w:hAnsi="Arial" w:cs="Arial"/>
          <w:color w:val="000000"/>
          <w:sz w:val="20"/>
        </w:rPr>
        <w:t>Under ss.3 &amp; 5 SCA ‘</w:t>
      </w:r>
      <w:r w:rsidRPr="00C62855">
        <w:rPr>
          <w:rFonts w:ascii="Arial" w:hAnsi="Arial" w:cs="Arial"/>
          <w:b/>
          <w:bCs/>
          <w:color w:val="000000"/>
          <w:sz w:val="20"/>
        </w:rPr>
        <w:t>conviction</w:t>
      </w:r>
      <w:r>
        <w:rPr>
          <w:rFonts w:ascii="Arial" w:hAnsi="Arial" w:cs="Arial"/>
          <w:color w:val="000000"/>
          <w:sz w:val="20"/>
        </w:rPr>
        <w:t>’ means-</w:t>
      </w:r>
    </w:p>
    <w:p w14:paraId="0D3B7093" w14:textId="471DD762" w:rsidR="00E70DF7" w:rsidRPr="00E70DF7"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 finding of guilt by a court for an offence (including a qualified finding of guilt under the </w:t>
      </w:r>
      <w:r w:rsidRPr="00A42A00">
        <w:rPr>
          <w:rFonts w:ascii="Arial" w:hAnsi="Arial" w:cs="Arial"/>
          <w:i/>
          <w:iCs/>
          <w:color w:val="000000"/>
          <w:sz w:val="20"/>
        </w:rPr>
        <w:t>Crimes (Mental Impairment and Unfitness to be Tried</w:t>
      </w:r>
      <w:r w:rsidR="003063B4">
        <w:rPr>
          <w:rFonts w:ascii="Arial" w:hAnsi="Arial" w:cs="Arial"/>
          <w:i/>
          <w:iCs/>
          <w:color w:val="000000"/>
          <w:sz w:val="20"/>
        </w:rPr>
        <w:t>)</w:t>
      </w:r>
      <w:r w:rsidRPr="00A42A00">
        <w:rPr>
          <w:rFonts w:ascii="Arial" w:hAnsi="Arial" w:cs="Arial"/>
          <w:i/>
          <w:iCs/>
          <w:color w:val="000000"/>
          <w:sz w:val="20"/>
        </w:rPr>
        <w:t xml:space="preserve"> Act 1997</w:t>
      </w:r>
      <w:r>
        <w:rPr>
          <w:rFonts w:ascii="Arial" w:hAnsi="Arial" w:cs="Arial"/>
          <w:color w:val="000000"/>
          <w:sz w:val="20"/>
        </w:rPr>
        <w:t>)-</w:t>
      </w:r>
    </w:p>
    <w:p w14:paraId="573A3FBB" w14:textId="7B606D53" w:rsidR="00E70DF7" w:rsidRDefault="00A42A00" w:rsidP="002B4075">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whether or not a conviction is recorded by the court; and</w:t>
      </w:r>
    </w:p>
    <w:p w14:paraId="3D4F03BC" w14:textId="509B7DDF" w:rsidR="00A42A00" w:rsidRDefault="00A42A00" w:rsidP="002B4075">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whether the offence is an indictable offence or a summary offence; or</w:t>
      </w:r>
    </w:p>
    <w:p w14:paraId="7838C5F9" w14:textId="6CDFC7DA" w:rsidR="00A42A00" w:rsidRPr="00A42A00"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an </w:t>
      </w:r>
      <w:r w:rsidR="0075440F">
        <w:rPr>
          <w:rFonts w:ascii="Arial" w:hAnsi="Arial" w:cs="Arial"/>
          <w:color w:val="000000"/>
          <w:sz w:val="20"/>
        </w:rPr>
        <w:t>‘</w:t>
      </w:r>
      <w:r w:rsidRPr="00C62855">
        <w:rPr>
          <w:rFonts w:ascii="Arial" w:hAnsi="Arial" w:cs="Arial"/>
          <w:b/>
          <w:bCs/>
          <w:color w:val="000000"/>
          <w:sz w:val="20"/>
        </w:rPr>
        <w:t xml:space="preserve">infringement </w:t>
      </w:r>
      <w:r w:rsidR="0075440F" w:rsidRPr="00C62855">
        <w:rPr>
          <w:rFonts w:ascii="Arial" w:hAnsi="Arial" w:cs="Arial"/>
          <w:b/>
          <w:bCs/>
          <w:color w:val="000000"/>
          <w:sz w:val="20"/>
        </w:rPr>
        <w:t>conviction</w:t>
      </w:r>
      <w:r w:rsidR="0034304E">
        <w:rPr>
          <w:rFonts w:ascii="Arial" w:hAnsi="Arial" w:cs="Arial"/>
          <w:color w:val="000000"/>
          <w:sz w:val="20"/>
        </w:rPr>
        <w:t xml:space="preserve">’ (an infringement </w:t>
      </w:r>
      <w:r w:rsidR="003063B4">
        <w:rPr>
          <w:rFonts w:ascii="Arial" w:hAnsi="Arial" w:cs="Arial"/>
          <w:color w:val="000000"/>
          <w:sz w:val="20"/>
        </w:rPr>
        <w:t>notice that has taken effect as a conviction of the offence specified in the notice</w:t>
      </w:r>
      <w:r w:rsidR="0034304E">
        <w:rPr>
          <w:rFonts w:ascii="Arial" w:hAnsi="Arial" w:cs="Arial"/>
          <w:color w:val="000000"/>
          <w:sz w:val="20"/>
        </w:rPr>
        <w:t>)</w:t>
      </w:r>
      <w:r>
        <w:rPr>
          <w:rFonts w:ascii="Arial" w:hAnsi="Arial" w:cs="Arial"/>
          <w:color w:val="000000"/>
          <w:sz w:val="20"/>
        </w:rPr>
        <w:t>.</w:t>
      </w:r>
    </w:p>
    <w:p w14:paraId="0C278BE5" w14:textId="2FA01927" w:rsidR="00E70DF7" w:rsidRDefault="00A42A00" w:rsidP="00E70DF7">
      <w:pPr>
        <w:jc w:val="both"/>
        <w:rPr>
          <w:rFonts w:ascii="Arial" w:hAnsi="Arial" w:cs="Arial"/>
          <w:color w:val="000000"/>
          <w:sz w:val="20"/>
        </w:rPr>
      </w:pPr>
      <w:r>
        <w:rPr>
          <w:rFonts w:ascii="Arial" w:hAnsi="Arial" w:cs="Arial"/>
          <w:color w:val="000000"/>
          <w:sz w:val="20"/>
        </w:rPr>
        <w:t>This definition also applies to an offence against an interstate or foreign law that would have constituted an offence against a Victorian law if it had been committed in Victoria</w:t>
      </w:r>
      <w:r w:rsidR="00A70854">
        <w:rPr>
          <w:rFonts w:ascii="Arial" w:hAnsi="Arial" w:cs="Arial"/>
          <w:color w:val="000000"/>
          <w:sz w:val="20"/>
        </w:rPr>
        <w:t>.</w:t>
      </w:r>
      <w:r w:rsidR="00AE51F4">
        <w:rPr>
          <w:rFonts w:ascii="Arial" w:hAnsi="Arial" w:cs="Arial"/>
          <w:color w:val="000000"/>
          <w:sz w:val="20"/>
        </w:rPr>
        <w:t xml:space="preserve">  Under s.6 the SCA applies to a conviction imposed before, on or after the day on which the SCA comes into operation.</w:t>
      </w:r>
    </w:p>
    <w:p w14:paraId="65A69E00" w14:textId="7AF61448" w:rsidR="00E70DF7" w:rsidRDefault="00E70DF7" w:rsidP="00E70DF7">
      <w:pPr>
        <w:jc w:val="both"/>
        <w:rPr>
          <w:rFonts w:ascii="Arial" w:hAnsi="Arial" w:cs="Arial"/>
          <w:color w:val="000000"/>
          <w:sz w:val="20"/>
        </w:rPr>
      </w:pPr>
    </w:p>
    <w:p w14:paraId="4D75073D" w14:textId="5080418F" w:rsidR="003063B4" w:rsidRDefault="003063B4" w:rsidP="00A70854">
      <w:pPr>
        <w:jc w:val="both"/>
        <w:rPr>
          <w:rFonts w:ascii="Arial" w:hAnsi="Arial" w:cs="Arial"/>
          <w:color w:val="000000"/>
          <w:sz w:val="20"/>
        </w:rPr>
      </w:pPr>
      <w:r>
        <w:rPr>
          <w:rFonts w:ascii="Arial" w:hAnsi="Arial" w:cs="Arial"/>
          <w:color w:val="000000"/>
          <w:sz w:val="20"/>
        </w:rPr>
        <w:t>Under s.3 SCA a ‘</w:t>
      </w:r>
      <w:r w:rsidRPr="00C62855">
        <w:rPr>
          <w:rFonts w:ascii="Arial" w:hAnsi="Arial" w:cs="Arial"/>
          <w:b/>
          <w:bCs/>
          <w:color w:val="000000"/>
          <w:sz w:val="20"/>
        </w:rPr>
        <w:t>serious conviction</w:t>
      </w:r>
      <w:r>
        <w:rPr>
          <w:rFonts w:ascii="Arial" w:hAnsi="Arial" w:cs="Arial"/>
          <w:color w:val="000000"/>
          <w:sz w:val="20"/>
        </w:rPr>
        <w:t>’ means a conviction of a person-</w:t>
      </w:r>
    </w:p>
    <w:p w14:paraId="75769529" w14:textId="55BABEFA"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f</w:t>
      </w:r>
      <w:r w:rsidR="003063B4">
        <w:rPr>
          <w:rFonts w:ascii="Arial" w:hAnsi="Arial" w:cs="Arial"/>
          <w:color w:val="000000"/>
          <w:sz w:val="20"/>
        </w:rPr>
        <w:t xml:space="preserve">or which </w:t>
      </w:r>
      <w:r w:rsidR="00BD62D8">
        <w:rPr>
          <w:rFonts w:ascii="Arial" w:hAnsi="Arial" w:cs="Arial"/>
          <w:color w:val="000000"/>
          <w:sz w:val="20"/>
        </w:rPr>
        <w:t xml:space="preserve">the sentence imposed includes </w:t>
      </w:r>
      <w:r w:rsidR="003063B4">
        <w:rPr>
          <w:rFonts w:ascii="Arial" w:hAnsi="Arial" w:cs="Arial"/>
          <w:color w:val="000000"/>
          <w:sz w:val="20"/>
        </w:rPr>
        <w:t xml:space="preserve">a </w:t>
      </w:r>
      <w:r w:rsidR="00BD62D8">
        <w:rPr>
          <w:rFonts w:ascii="Arial" w:hAnsi="Arial" w:cs="Arial"/>
          <w:color w:val="000000"/>
          <w:sz w:val="20"/>
        </w:rPr>
        <w:t xml:space="preserve">custodial </w:t>
      </w:r>
      <w:r w:rsidR="003063B4">
        <w:rPr>
          <w:rFonts w:ascii="Arial" w:hAnsi="Arial" w:cs="Arial"/>
          <w:color w:val="000000"/>
          <w:sz w:val="20"/>
        </w:rPr>
        <w:t xml:space="preserve">term </w:t>
      </w:r>
      <w:r w:rsidR="00BD62D8">
        <w:rPr>
          <w:rFonts w:ascii="Arial" w:hAnsi="Arial" w:cs="Arial"/>
          <w:color w:val="000000"/>
          <w:sz w:val="20"/>
        </w:rPr>
        <w:t xml:space="preserve">– as defined in s.5A – </w:t>
      </w:r>
      <w:r w:rsidR="003063B4">
        <w:rPr>
          <w:rFonts w:ascii="Arial" w:hAnsi="Arial" w:cs="Arial"/>
          <w:color w:val="000000"/>
          <w:sz w:val="20"/>
        </w:rPr>
        <w:t>of</w:t>
      </w:r>
      <w:r w:rsidR="00BD62D8">
        <w:rPr>
          <w:rFonts w:ascii="Arial" w:hAnsi="Arial" w:cs="Arial"/>
          <w:color w:val="000000"/>
          <w:sz w:val="20"/>
        </w:rPr>
        <w:t xml:space="preserve"> </w:t>
      </w:r>
      <w:r w:rsidR="003063B4">
        <w:rPr>
          <w:rFonts w:ascii="Arial" w:hAnsi="Arial" w:cs="Arial"/>
          <w:color w:val="000000"/>
          <w:sz w:val="20"/>
        </w:rPr>
        <w:t>mo</w:t>
      </w:r>
      <w:r w:rsidR="002414DA">
        <w:rPr>
          <w:rFonts w:ascii="Arial" w:hAnsi="Arial" w:cs="Arial"/>
          <w:color w:val="000000"/>
          <w:sz w:val="20"/>
        </w:rPr>
        <w:t>r</w:t>
      </w:r>
      <w:r w:rsidR="003063B4">
        <w:rPr>
          <w:rFonts w:ascii="Arial" w:hAnsi="Arial" w:cs="Arial"/>
          <w:color w:val="000000"/>
          <w:sz w:val="20"/>
        </w:rPr>
        <w:t>e than 30</w:t>
      </w:r>
      <w:r w:rsidR="00BD62D8">
        <w:rPr>
          <w:rFonts w:ascii="Arial" w:hAnsi="Arial" w:cs="Arial"/>
          <w:color w:val="000000"/>
          <w:sz w:val="20"/>
        </w:rPr>
        <w:t> </w:t>
      </w:r>
      <w:r w:rsidR="003063B4">
        <w:rPr>
          <w:rFonts w:ascii="Arial" w:hAnsi="Arial" w:cs="Arial"/>
          <w:color w:val="000000"/>
          <w:sz w:val="20"/>
        </w:rPr>
        <w:t>months</w:t>
      </w:r>
      <w:r w:rsidR="00BD62D8">
        <w:rPr>
          <w:rFonts w:ascii="Arial" w:hAnsi="Arial" w:cs="Arial"/>
          <w:color w:val="000000"/>
          <w:sz w:val="20"/>
        </w:rPr>
        <w:t xml:space="preserve"> as calculated under s.5B</w:t>
      </w:r>
      <w:r w:rsidR="003063B4">
        <w:rPr>
          <w:rFonts w:ascii="Arial" w:hAnsi="Arial" w:cs="Arial"/>
          <w:color w:val="000000"/>
          <w:sz w:val="20"/>
        </w:rPr>
        <w:t>; or</w:t>
      </w:r>
    </w:p>
    <w:p w14:paraId="79F0563C" w14:textId="02E13BAE"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sexual offence as defined in s.4 of the </w:t>
      </w:r>
      <w:r w:rsidRPr="002414DA">
        <w:rPr>
          <w:rFonts w:ascii="Arial" w:hAnsi="Arial" w:cs="Arial"/>
          <w:i/>
          <w:iCs/>
          <w:color w:val="000000"/>
          <w:sz w:val="20"/>
        </w:rPr>
        <w:t>Criminal Procedure Act 2009</w:t>
      </w:r>
      <w:r>
        <w:rPr>
          <w:rFonts w:ascii="Arial" w:hAnsi="Arial" w:cs="Arial"/>
          <w:color w:val="000000"/>
          <w:sz w:val="20"/>
        </w:rPr>
        <w:t>; or</w:t>
      </w:r>
    </w:p>
    <w:p w14:paraId="7C786D35" w14:textId="069FEA52"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serious violence offence as defined in the </w:t>
      </w:r>
      <w:r w:rsidRPr="002414DA">
        <w:rPr>
          <w:rFonts w:ascii="Arial" w:hAnsi="Arial" w:cs="Arial"/>
          <w:i/>
          <w:iCs/>
          <w:color w:val="000000"/>
          <w:sz w:val="20"/>
        </w:rPr>
        <w:t>Serious Offenders Act 2018</w:t>
      </w:r>
      <w:r>
        <w:rPr>
          <w:rFonts w:ascii="Arial" w:hAnsi="Arial" w:cs="Arial"/>
          <w:color w:val="000000"/>
          <w:sz w:val="20"/>
        </w:rPr>
        <w:t>.</w:t>
      </w:r>
    </w:p>
    <w:p w14:paraId="28D9737F" w14:textId="77777777" w:rsidR="003063B4" w:rsidRDefault="003063B4" w:rsidP="00E70DF7">
      <w:pPr>
        <w:jc w:val="both"/>
        <w:rPr>
          <w:rFonts w:ascii="Arial" w:hAnsi="Arial" w:cs="Arial"/>
          <w:color w:val="000000"/>
          <w:sz w:val="20"/>
        </w:rPr>
      </w:pPr>
    </w:p>
    <w:p w14:paraId="3D252378" w14:textId="77777777" w:rsidR="00C62855" w:rsidRDefault="00C62855" w:rsidP="00452569">
      <w:pPr>
        <w:rPr>
          <w:rFonts w:ascii="Arial" w:hAnsi="Arial" w:cs="Arial"/>
          <w:color w:val="000000"/>
          <w:sz w:val="20"/>
        </w:rPr>
      </w:pPr>
      <w:r>
        <w:rPr>
          <w:rFonts w:ascii="Arial" w:hAnsi="Arial" w:cs="Arial"/>
          <w:color w:val="000000"/>
          <w:sz w:val="20"/>
        </w:rPr>
        <w:t>Under s.3 SCA-</w:t>
      </w:r>
    </w:p>
    <w:p w14:paraId="209D1706" w14:textId="347826E6"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child</w:t>
      </w:r>
      <w:r>
        <w:rPr>
          <w:rFonts w:ascii="Arial" w:hAnsi="Arial" w:cs="Arial"/>
          <w:color w:val="000000"/>
          <w:sz w:val="20"/>
        </w:rPr>
        <w:t>’ means a person who was under the age of 18 years at the time of the commission of the offence to which the conviction relates;</w:t>
      </w:r>
    </w:p>
    <w:p w14:paraId="00792697" w14:textId="17729B63"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young offender</w:t>
      </w:r>
      <w:r>
        <w:rPr>
          <w:rFonts w:ascii="Arial" w:hAnsi="Arial" w:cs="Arial"/>
          <w:color w:val="000000"/>
          <w:sz w:val="20"/>
        </w:rPr>
        <w:t>’ means a person who is under the age of 21 years at the time of sentencing for the offence to which the conviction relates.</w:t>
      </w:r>
    </w:p>
    <w:p w14:paraId="6226862B" w14:textId="6D633995" w:rsidR="003063B4" w:rsidRDefault="003063B4" w:rsidP="00452569">
      <w:pPr>
        <w:rPr>
          <w:rFonts w:ascii="Arial" w:hAnsi="Arial" w:cs="Arial"/>
          <w:color w:val="000000"/>
          <w:sz w:val="20"/>
        </w:rPr>
      </w:pPr>
    </w:p>
    <w:p w14:paraId="12A4F4BB" w14:textId="51F524C0" w:rsidR="00096153" w:rsidRPr="00E70373" w:rsidRDefault="00096153" w:rsidP="00452569">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CONVICTIONS SPENT AUTOMATICALLY BY OPERATION OF THE SCA</w:t>
      </w:r>
    </w:p>
    <w:p w14:paraId="7B13E1AD" w14:textId="77777777" w:rsidR="00096153" w:rsidRDefault="00096153" w:rsidP="00452569">
      <w:pPr>
        <w:rPr>
          <w:rFonts w:ascii="Arial" w:hAnsi="Arial" w:cs="Arial"/>
          <w:color w:val="000000"/>
          <w:sz w:val="20"/>
        </w:rPr>
      </w:pPr>
    </w:p>
    <w:p w14:paraId="68297C5C" w14:textId="19DFC489" w:rsidR="003063B4" w:rsidRDefault="00C62855" w:rsidP="00452569">
      <w:pPr>
        <w:rPr>
          <w:rFonts w:ascii="Arial" w:hAnsi="Arial" w:cs="Arial"/>
          <w:color w:val="000000"/>
          <w:sz w:val="20"/>
        </w:rPr>
      </w:pPr>
      <w:r>
        <w:rPr>
          <w:rFonts w:ascii="Arial" w:hAnsi="Arial" w:cs="Arial"/>
          <w:color w:val="000000"/>
          <w:sz w:val="20"/>
        </w:rPr>
        <w:t xml:space="preserve">Under </w:t>
      </w:r>
      <w:r w:rsidR="003063B4">
        <w:rPr>
          <w:rFonts w:ascii="Arial" w:hAnsi="Arial" w:cs="Arial"/>
          <w:color w:val="000000"/>
          <w:sz w:val="20"/>
        </w:rPr>
        <w:t xml:space="preserve">s.7 SCA </w:t>
      </w:r>
      <w:r w:rsidR="00010B81">
        <w:rPr>
          <w:rFonts w:ascii="Arial" w:hAnsi="Arial" w:cs="Arial"/>
          <w:color w:val="000000"/>
          <w:sz w:val="20"/>
        </w:rPr>
        <w:t>a conviction is</w:t>
      </w:r>
      <w:r w:rsidR="003063B4">
        <w:rPr>
          <w:rFonts w:ascii="Arial" w:hAnsi="Arial" w:cs="Arial"/>
          <w:color w:val="000000"/>
          <w:sz w:val="20"/>
        </w:rPr>
        <w:t xml:space="preserve"> spent with immediate effect</w:t>
      </w:r>
      <w:r w:rsidR="00010B81">
        <w:rPr>
          <w:rFonts w:ascii="Arial" w:hAnsi="Arial" w:cs="Arial"/>
          <w:color w:val="000000"/>
          <w:sz w:val="20"/>
        </w:rPr>
        <w:t xml:space="preserve"> if-</w:t>
      </w:r>
    </w:p>
    <w:p w14:paraId="70C22527" w14:textId="2A62152B"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not recorded by a court; or</w:t>
      </w:r>
    </w:p>
    <w:p w14:paraId="0FD2EAE4" w14:textId="36905490" w:rsidR="00010B81" w:rsidRDefault="00A70854"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lastRenderedPageBreak/>
        <w:t xml:space="preserve">it is </w:t>
      </w:r>
      <w:r w:rsidR="00010B81">
        <w:rPr>
          <w:rFonts w:ascii="Arial" w:hAnsi="Arial" w:cs="Arial"/>
          <w:color w:val="000000"/>
          <w:sz w:val="20"/>
        </w:rPr>
        <w:t xml:space="preserve">a qualified finding of guilt under the </w:t>
      </w:r>
      <w:r w:rsidR="00010B81" w:rsidRPr="00A42A00">
        <w:rPr>
          <w:rFonts w:ascii="Arial" w:hAnsi="Arial" w:cs="Arial"/>
          <w:i/>
          <w:iCs/>
          <w:color w:val="000000"/>
          <w:sz w:val="20"/>
        </w:rPr>
        <w:t>Crimes (Mental Impairment and Unfitness to be Tried</w:t>
      </w:r>
      <w:r w:rsidR="00010B81">
        <w:rPr>
          <w:rFonts w:ascii="Arial" w:hAnsi="Arial" w:cs="Arial"/>
          <w:i/>
          <w:iCs/>
          <w:color w:val="000000"/>
          <w:sz w:val="20"/>
        </w:rPr>
        <w:t>)</w:t>
      </w:r>
      <w:r w:rsidR="00010B81" w:rsidRPr="00A42A00">
        <w:rPr>
          <w:rFonts w:ascii="Arial" w:hAnsi="Arial" w:cs="Arial"/>
          <w:i/>
          <w:iCs/>
          <w:color w:val="000000"/>
          <w:sz w:val="20"/>
        </w:rPr>
        <w:t xml:space="preserve"> Act 1997</w:t>
      </w:r>
      <w:r w:rsidR="00010B81" w:rsidRPr="00010B81">
        <w:rPr>
          <w:rFonts w:ascii="Arial" w:hAnsi="Arial" w:cs="Arial"/>
          <w:color w:val="000000"/>
          <w:sz w:val="20"/>
        </w:rPr>
        <w:t xml:space="preserve"> or a corresponding foreign law; or</w:t>
      </w:r>
    </w:p>
    <w:p w14:paraId="27DD999F" w14:textId="53C4C618"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a conviction (including a serious conviction) for an offence committed when the person was under the age of 15 years; or</w:t>
      </w:r>
    </w:p>
    <w:p w14:paraId="3EF073F7" w14:textId="4207FBA7" w:rsidR="00010B81" w:rsidRDefault="0075440F"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the only penalty imposed on conviction is a fine imposed by the Children’s Court or a corresponding court of a country other than Australia; or</w:t>
      </w:r>
    </w:p>
    <w:p w14:paraId="474E1D98" w14:textId="18F4793D" w:rsidR="0075440F" w:rsidRPr="00E70DF7" w:rsidRDefault="00C62855"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75440F">
        <w:rPr>
          <w:rFonts w:ascii="Arial" w:hAnsi="Arial" w:cs="Arial"/>
          <w:color w:val="000000"/>
          <w:sz w:val="20"/>
        </w:rPr>
        <w:t>an infringement conviction</w:t>
      </w:r>
      <w:r w:rsidR="00096153">
        <w:rPr>
          <w:rFonts w:ascii="Arial" w:hAnsi="Arial" w:cs="Arial"/>
          <w:color w:val="000000"/>
          <w:sz w:val="20"/>
        </w:rPr>
        <w:t>.</w:t>
      </w:r>
    </w:p>
    <w:p w14:paraId="001076EA" w14:textId="659A29C2" w:rsidR="003063B4" w:rsidRDefault="00096153" w:rsidP="00096153">
      <w:pPr>
        <w:jc w:val="both"/>
        <w:rPr>
          <w:rFonts w:ascii="Arial" w:hAnsi="Arial" w:cs="Arial"/>
          <w:color w:val="000000"/>
          <w:sz w:val="20"/>
        </w:rPr>
      </w:pPr>
      <w:r>
        <w:rPr>
          <w:rFonts w:ascii="Arial" w:hAnsi="Arial" w:cs="Arial"/>
          <w:color w:val="000000"/>
          <w:sz w:val="20"/>
        </w:rPr>
        <w:t>However, if a court imposes a penalty with a condition attached, the person’s conviction does not become spent until the person completes all conditions attached to the penalty.</w:t>
      </w:r>
    </w:p>
    <w:p w14:paraId="4F62EED1" w14:textId="2170A3CF" w:rsidR="003063B4" w:rsidRDefault="003063B4" w:rsidP="00096153">
      <w:pPr>
        <w:jc w:val="both"/>
        <w:rPr>
          <w:rFonts w:ascii="Arial" w:hAnsi="Arial" w:cs="Arial"/>
          <w:color w:val="000000"/>
          <w:sz w:val="20"/>
        </w:rPr>
      </w:pPr>
    </w:p>
    <w:p w14:paraId="79490254" w14:textId="08BF85FB" w:rsidR="003063B4" w:rsidRDefault="00C62855" w:rsidP="00096153">
      <w:pPr>
        <w:jc w:val="both"/>
        <w:rPr>
          <w:rFonts w:ascii="Arial" w:hAnsi="Arial" w:cs="Arial"/>
          <w:color w:val="000000"/>
          <w:sz w:val="20"/>
        </w:rPr>
      </w:pPr>
      <w:r>
        <w:rPr>
          <w:rFonts w:ascii="Arial" w:hAnsi="Arial" w:cs="Arial"/>
          <w:color w:val="000000"/>
          <w:sz w:val="20"/>
        </w:rPr>
        <w:t>Under</w:t>
      </w:r>
      <w:r w:rsidR="00096153">
        <w:rPr>
          <w:rFonts w:ascii="Arial" w:hAnsi="Arial" w:cs="Arial"/>
          <w:color w:val="000000"/>
          <w:sz w:val="20"/>
        </w:rPr>
        <w:t xml:space="preserve"> ss.8 &amp; 9 SCA a conviction for an offence against a law of Victoria or a foreign law becomes spent on the day on which the ‘</w:t>
      </w:r>
      <w:r w:rsidR="00096153" w:rsidRPr="00A70854">
        <w:rPr>
          <w:rFonts w:ascii="Arial" w:hAnsi="Arial" w:cs="Arial"/>
          <w:b/>
          <w:bCs/>
          <w:color w:val="000000"/>
          <w:sz w:val="20"/>
        </w:rPr>
        <w:t>conviction period</w:t>
      </w:r>
      <w:r w:rsidR="00096153">
        <w:rPr>
          <w:rFonts w:ascii="Arial" w:hAnsi="Arial" w:cs="Arial"/>
          <w:color w:val="000000"/>
          <w:sz w:val="20"/>
        </w:rPr>
        <w:t>’ for the conviction expires unless-</w:t>
      </w:r>
    </w:p>
    <w:p w14:paraId="4E1515A6" w14:textId="57318BD9"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the conviction is a serious conviction; or</w:t>
      </w:r>
    </w:p>
    <w:p w14:paraId="19EC6DA7" w14:textId="5815B090"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section 7 SCA applies.</w:t>
      </w:r>
    </w:p>
    <w:p w14:paraId="58EE62A7" w14:textId="61A0EABB" w:rsidR="003063B4" w:rsidRDefault="00096153" w:rsidP="00096153">
      <w:pPr>
        <w:jc w:val="both"/>
        <w:rPr>
          <w:rFonts w:ascii="Arial" w:hAnsi="Arial" w:cs="Arial"/>
          <w:color w:val="000000"/>
          <w:sz w:val="20"/>
        </w:rPr>
      </w:pPr>
      <w:r>
        <w:rPr>
          <w:rFonts w:ascii="Arial" w:hAnsi="Arial" w:cs="Arial"/>
          <w:color w:val="000000"/>
          <w:sz w:val="20"/>
        </w:rPr>
        <w:t>A ‘</w:t>
      </w:r>
      <w:r w:rsidRPr="00B46021">
        <w:rPr>
          <w:rFonts w:ascii="Arial" w:hAnsi="Arial" w:cs="Arial"/>
          <w:b/>
          <w:bCs/>
          <w:color w:val="000000"/>
          <w:sz w:val="20"/>
        </w:rPr>
        <w:t>conviction period</w:t>
      </w:r>
      <w:r>
        <w:rPr>
          <w:rFonts w:ascii="Arial" w:hAnsi="Arial" w:cs="Arial"/>
          <w:color w:val="000000"/>
          <w:sz w:val="20"/>
        </w:rPr>
        <w:t>’ is a period of-</w:t>
      </w:r>
    </w:p>
    <w:p w14:paraId="023D50B9" w14:textId="58B0A19A"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5 years for a conviction of a child or young offender; or</w:t>
      </w:r>
    </w:p>
    <w:p w14:paraId="61B730F7" w14:textId="6956390B"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10 years for a conviction of any other person.</w:t>
      </w:r>
    </w:p>
    <w:p w14:paraId="7DF22BDA" w14:textId="23B0AE87" w:rsidR="00096153" w:rsidRDefault="00096153" w:rsidP="00096153">
      <w:pPr>
        <w:jc w:val="both"/>
        <w:rPr>
          <w:rFonts w:ascii="Arial" w:hAnsi="Arial" w:cs="Arial"/>
          <w:color w:val="000000"/>
          <w:sz w:val="20"/>
        </w:rPr>
      </w:pPr>
      <w:r>
        <w:rPr>
          <w:rFonts w:ascii="Arial" w:hAnsi="Arial" w:cs="Arial"/>
          <w:color w:val="000000"/>
          <w:sz w:val="20"/>
        </w:rPr>
        <w:t xml:space="preserve">See also s.10 for </w:t>
      </w:r>
      <w:r w:rsidR="00AE51F4">
        <w:rPr>
          <w:rFonts w:ascii="Arial" w:hAnsi="Arial" w:cs="Arial"/>
          <w:color w:val="000000"/>
          <w:sz w:val="20"/>
        </w:rPr>
        <w:t xml:space="preserve">recommencement of </w:t>
      </w:r>
      <w:r>
        <w:rPr>
          <w:rFonts w:ascii="Arial" w:hAnsi="Arial" w:cs="Arial"/>
          <w:color w:val="000000"/>
          <w:sz w:val="20"/>
        </w:rPr>
        <w:t>conviction periods for subsequent convictions.</w:t>
      </w:r>
    </w:p>
    <w:p w14:paraId="0E9CF812" w14:textId="77777777" w:rsidR="00E70373" w:rsidRDefault="00E70373" w:rsidP="00E70373">
      <w:pPr>
        <w:rPr>
          <w:rFonts w:ascii="Arial" w:hAnsi="Arial" w:cs="Arial"/>
          <w:color w:val="000000"/>
          <w:sz w:val="20"/>
        </w:rPr>
      </w:pPr>
    </w:p>
    <w:p w14:paraId="36E58C54" w14:textId="53EEB492" w:rsidR="00E70373" w:rsidRPr="00E70373" w:rsidRDefault="00E70373" w:rsidP="00E70373">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 xml:space="preserve">CONVICTIONS SPENT </w:t>
      </w:r>
      <w:r>
        <w:rPr>
          <w:rFonts w:ascii="Arial" w:hAnsi="Arial" w:cs="Arial"/>
          <w:b/>
          <w:bCs/>
          <w:color w:val="FFFFFF" w:themeColor="background1"/>
          <w:sz w:val="20"/>
          <w:shd w:val="clear" w:color="auto" w:fill="000000" w:themeFill="text1"/>
        </w:rPr>
        <w:t xml:space="preserve">ON </w:t>
      </w:r>
      <w:r w:rsidR="00D17D2B">
        <w:rPr>
          <w:rFonts w:ascii="Arial" w:hAnsi="Arial" w:cs="Arial"/>
          <w:b/>
          <w:bCs/>
          <w:color w:val="FFFFFF" w:themeColor="background1"/>
          <w:sz w:val="20"/>
          <w:shd w:val="clear" w:color="auto" w:fill="000000" w:themeFill="text1"/>
        </w:rPr>
        <w:t xml:space="preserve">MAKING OF A </w:t>
      </w:r>
      <w:r>
        <w:rPr>
          <w:rFonts w:ascii="Arial" w:hAnsi="Arial" w:cs="Arial"/>
          <w:b/>
          <w:bCs/>
          <w:color w:val="FFFFFF" w:themeColor="background1"/>
          <w:sz w:val="20"/>
          <w:shd w:val="clear" w:color="auto" w:fill="000000" w:themeFill="text1"/>
        </w:rPr>
        <w:t>‘SPENT CONVICTION ORDER’</w:t>
      </w:r>
    </w:p>
    <w:p w14:paraId="1F45386D" w14:textId="77777777" w:rsidR="00E70373" w:rsidRDefault="00E70373" w:rsidP="00E70373">
      <w:pPr>
        <w:rPr>
          <w:rFonts w:ascii="Arial" w:hAnsi="Arial" w:cs="Arial"/>
          <w:color w:val="000000"/>
          <w:sz w:val="20"/>
        </w:rPr>
      </w:pPr>
    </w:p>
    <w:p w14:paraId="7A40F145" w14:textId="0C97375C" w:rsidR="00096153" w:rsidRDefault="00C62855" w:rsidP="00096153">
      <w:pPr>
        <w:jc w:val="both"/>
        <w:rPr>
          <w:rFonts w:ascii="Arial" w:hAnsi="Arial" w:cs="Arial"/>
          <w:color w:val="000000"/>
          <w:sz w:val="20"/>
        </w:rPr>
      </w:pPr>
      <w:r>
        <w:rPr>
          <w:rFonts w:ascii="Arial" w:hAnsi="Arial" w:cs="Arial"/>
          <w:color w:val="000000"/>
          <w:sz w:val="20"/>
        </w:rPr>
        <w:t xml:space="preserve">Under s.11(1) SCA a person may apply to the Magistrates’ Court for a </w:t>
      </w:r>
      <w:r w:rsidRPr="00A70854">
        <w:rPr>
          <w:rFonts w:ascii="Arial" w:hAnsi="Arial" w:cs="Arial"/>
          <w:b/>
          <w:bCs/>
          <w:color w:val="000000"/>
          <w:sz w:val="20"/>
        </w:rPr>
        <w:t>spent conviction order</w:t>
      </w:r>
      <w:r>
        <w:rPr>
          <w:rFonts w:ascii="Arial" w:hAnsi="Arial" w:cs="Arial"/>
          <w:color w:val="000000"/>
          <w:sz w:val="20"/>
        </w:rPr>
        <w:t xml:space="preserve"> in relation to a serious conviction for an offence against a law of Victoria if-</w:t>
      </w:r>
    </w:p>
    <w:p w14:paraId="5EBF4A0B" w14:textId="26C68D7C" w:rsidR="00C62855" w:rsidRDefault="00C62855" w:rsidP="00C62855">
      <w:pPr>
        <w:pStyle w:val="ListParagraph"/>
        <w:numPr>
          <w:ilvl w:val="0"/>
          <w:numId w:val="117"/>
        </w:numPr>
        <w:ind w:left="357" w:hanging="357"/>
        <w:jc w:val="both"/>
        <w:rPr>
          <w:rFonts w:ascii="Arial" w:hAnsi="Arial" w:cs="Arial"/>
          <w:color w:val="000000"/>
          <w:sz w:val="20"/>
        </w:rPr>
      </w:pPr>
      <w:r>
        <w:rPr>
          <w:rFonts w:ascii="Arial" w:hAnsi="Arial" w:cs="Arial"/>
          <w:color w:val="000000"/>
          <w:sz w:val="20"/>
        </w:rPr>
        <w:t xml:space="preserve">the person was a child or </w:t>
      </w:r>
      <w:r w:rsidR="002143A0">
        <w:rPr>
          <w:rFonts w:ascii="Arial" w:hAnsi="Arial" w:cs="Arial"/>
          <w:color w:val="000000"/>
          <w:sz w:val="20"/>
        </w:rPr>
        <w:t xml:space="preserve">a </w:t>
      </w:r>
      <w:r>
        <w:rPr>
          <w:rFonts w:ascii="Arial" w:hAnsi="Arial" w:cs="Arial"/>
          <w:color w:val="000000"/>
          <w:sz w:val="20"/>
        </w:rPr>
        <w:t>young offender; or</w:t>
      </w:r>
    </w:p>
    <w:p w14:paraId="2D9FB409" w14:textId="126C13D8" w:rsidR="00B46021" w:rsidRDefault="00B46021"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 xml:space="preserve">the </w:t>
      </w:r>
      <w:r w:rsidR="002143A0">
        <w:rPr>
          <w:rFonts w:ascii="Arial" w:hAnsi="Arial" w:cs="Arial"/>
          <w:color w:val="000000"/>
          <w:sz w:val="20"/>
        </w:rPr>
        <w:t>serious conviction was for a serious violence offence or a sexual offence and the sentence imposed for the offence did not include a custodial term; or</w:t>
      </w:r>
    </w:p>
    <w:p w14:paraId="5741F50C" w14:textId="6573ACE6" w:rsidR="002143A0" w:rsidRDefault="002143A0"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the serious conviction was for any other offence for which the sentence imposed included a custodial term of not more than 5 years.</w:t>
      </w:r>
    </w:p>
    <w:p w14:paraId="7253A845" w14:textId="0E6B64D1" w:rsidR="00C62855" w:rsidRDefault="00C62855" w:rsidP="00B46021">
      <w:pPr>
        <w:jc w:val="both"/>
        <w:rPr>
          <w:rFonts w:ascii="Arial" w:hAnsi="Arial" w:cs="Arial"/>
          <w:color w:val="000000"/>
          <w:sz w:val="20"/>
        </w:rPr>
      </w:pPr>
    </w:p>
    <w:p w14:paraId="4907623E" w14:textId="133B48B0" w:rsidR="00C62855" w:rsidRDefault="00B46021" w:rsidP="00096153">
      <w:pPr>
        <w:jc w:val="both"/>
        <w:rPr>
          <w:rFonts w:ascii="Arial" w:hAnsi="Arial" w:cs="Arial"/>
          <w:color w:val="000000"/>
          <w:sz w:val="20"/>
        </w:rPr>
      </w:pPr>
      <w:r>
        <w:rPr>
          <w:rFonts w:ascii="Arial" w:hAnsi="Arial" w:cs="Arial"/>
          <w:color w:val="000000"/>
          <w:sz w:val="20"/>
        </w:rPr>
        <w:t>The Magistrates’ Court may determine an application under s.11 without holding a hearing [s.15] or after holding a hearing [s.16].</w:t>
      </w:r>
    </w:p>
    <w:p w14:paraId="64603485" w14:textId="59CBAF14" w:rsidR="00B46021" w:rsidRDefault="00B46021" w:rsidP="00096153">
      <w:pPr>
        <w:jc w:val="both"/>
        <w:rPr>
          <w:rFonts w:ascii="Arial" w:hAnsi="Arial" w:cs="Arial"/>
          <w:color w:val="000000"/>
          <w:sz w:val="20"/>
        </w:rPr>
      </w:pPr>
    </w:p>
    <w:p w14:paraId="76086728" w14:textId="549B0349" w:rsidR="00B46021" w:rsidRDefault="00B46021" w:rsidP="00096153">
      <w:pPr>
        <w:jc w:val="both"/>
        <w:rPr>
          <w:rFonts w:ascii="Arial" w:hAnsi="Arial" w:cs="Arial"/>
          <w:color w:val="000000"/>
          <w:sz w:val="20"/>
        </w:rPr>
      </w:pPr>
      <w:r>
        <w:rPr>
          <w:rFonts w:ascii="Arial" w:hAnsi="Arial" w:cs="Arial"/>
          <w:color w:val="000000"/>
          <w:sz w:val="20"/>
        </w:rPr>
        <w:t xml:space="preserve">Under s.19(1) </w:t>
      </w:r>
      <w:r w:rsidR="00D17D2B">
        <w:rPr>
          <w:rFonts w:ascii="Arial" w:hAnsi="Arial" w:cs="Arial"/>
          <w:color w:val="000000"/>
          <w:sz w:val="20"/>
        </w:rPr>
        <w:t xml:space="preserve">SCA </w:t>
      </w:r>
      <w:r>
        <w:rPr>
          <w:rFonts w:ascii="Arial" w:hAnsi="Arial" w:cs="Arial"/>
          <w:color w:val="000000"/>
          <w:sz w:val="20"/>
        </w:rPr>
        <w:t>the Magistrates’ Court may make a spent conviction order after considering the matters set out in s.19(2).</w:t>
      </w:r>
    </w:p>
    <w:p w14:paraId="0ACC9B64" w14:textId="77777777" w:rsidR="00B46021" w:rsidRDefault="00B46021" w:rsidP="00B46021">
      <w:pPr>
        <w:rPr>
          <w:rFonts w:ascii="Arial" w:hAnsi="Arial" w:cs="Arial"/>
          <w:color w:val="000000"/>
          <w:sz w:val="20"/>
        </w:rPr>
      </w:pPr>
    </w:p>
    <w:p w14:paraId="6671F0DD" w14:textId="6AAA8C41" w:rsidR="00B46021" w:rsidRPr="00E70373" w:rsidRDefault="00B46021" w:rsidP="00B46021">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 xml:space="preserve">EFFECT OF </w:t>
      </w:r>
      <w:r w:rsidRPr="00E70373">
        <w:rPr>
          <w:rFonts w:ascii="Arial" w:hAnsi="Arial" w:cs="Arial"/>
          <w:b/>
          <w:bCs/>
          <w:color w:val="FFFFFF" w:themeColor="background1"/>
          <w:sz w:val="20"/>
          <w:shd w:val="clear" w:color="auto" w:fill="000000" w:themeFill="text1"/>
        </w:rPr>
        <w:t>CONVICTION</w:t>
      </w:r>
      <w:r>
        <w:rPr>
          <w:rFonts w:ascii="Arial" w:hAnsi="Arial" w:cs="Arial"/>
          <w:b/>
          <w:bCs/>
          <w:color w:val="FFFFFF" w:themeColor="background1"/>
          <w:sz w:val="20"/>
          <w:shd w:val="clear" w:color="auto" w:fill="000000" w:themeFill="text1"/>
        </w:rPr>
        <w:t xml:space="preserve"> BECOMING </w:t>
      </w:r>
      <w:r w:rsidRPr="00E70373">
        <w:rPr>
          <w:rFonts w:ascii="Arial" w:hAnsi="Arial" w:cs="Arial"/>
          <w:b/>
          <w:bCs/>
          <w:color w:val="FFFFFF" w:themeColor="background1"/>
          <w:sz w:val="20"/>
          <w:shd w:val="clear" w:color="auto" w:fill="000000" w:themeFill="text1"/>
        </w:rPr>
        <w:t>SPENT</w:t>
      </w:r>
    </w:p>
    <w:p w14:paraId="3C324E90" w14:textId="77777777" w:rsidR="00B46021" w:rsidRDefault="00B46021" w:rsidP="00B46021">
      <w:pPr>
        <w:rPr>
          <w:rFonts w:ascii="Arial" w:hAnsi="Arial" w:cs="Arial"/>
          <w:color w:val="000000"/>
          <w:sz w:val="20"/>
        </w:rPr>
      </w:pPr>
    </w:p>
    <w:p w14:paraId="67100471" w14:textId="5BAA855F" w:rsidR="00B46021" w:rsidRDefault="00B46021" w:rsidP="00452569">
      <w:pPr>
        <w:rPr>
          <w:rFonts w:ascii="Arial" w:hAnsi="Arial" w:cs="Arial"/>
          <w:color w:val="000000"/>
          <w:sz w:val="20"/>
        </w:rPr>
      </w:pPr>
      <w:r>
        <w:rPr>
          <w:rFonts w:ascii="Arial" w:hAnsi="Arial" w:cs="Arial"/>
          <w:color w:val="000000"/>
          <w:sz w:val="20"/>
        </w:rPr>
        <w:t>Section 20</w:t>
      </w:r>
      <w:r w:rsidR="000967D7">
        <w:rPr>
          <w:rFonts w:ascii="Arial" w:hAnsi="Arial" w:cs="Arial"/>
          <w:color w:val="000000"/>
          <w:sz w:val="20"/>
        </w:rPr>
        <w:t>(1)</w:t>
      </w:r>
      <w:r>
        <w:rPr>
          <w:rFonts w:ascii="Arial" w:hAnsi="Arial" w:cs="Arial"/>
          <w:color w:val="000000"/>
          <w:sz w:val="20"/>
        </w:rPr>
        <w:t xml:space="preserve"> </w:t>
      </w:r>
      <w:r w:rsidR="00F32661">
        <w:rPr>
          <w:rFonts w:ascii="Arial" w:hAnsi="Arial" w:cs="Arial"/>
          <w:color w:val="000000"/>
          <w:sz w:val="20"/>
        </w:rPr>
        <w:t xml:space="preserve">SCA </w:t>
      </w:r>
      <w:r>
        <w:rPr>
          <w:rFonts w:ascii="Arial" w:hAnsi="Arial" w:cs="Arial"/>
          <w:color w:val="000000"/>
          <w:sz w:val="20"/>
        </w:rPr>
        <w:t>provides that subject to ss.21 &amp; 22-</w:t>
      </w:r>
    </w:p>
    <w:p w14:paraId="3822DAEE" w14:textId="30C56F32" w:rsidR="00B46021"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spent conviction does not form part of a person’s criminal record; and</w:t>
      </w:r>
    </w:p>
    <w:p w14:paraId="2147950D" w14:textId="37A364AF"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is not required to disclose to another person the existence of a spent conviction or information in relation to a spent conviction; and</w:t>
      </w:r>
    </w:p>
    <w:p w14:paraId="125A57FB" w14:textId="1B68FD4C"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must not request that another person disclose the existence of a spent conviction or information in relation to a spent conviction.</w:t>
      </w:r>
    </w:p>
    <w:p w14:paraId="20D227F8" w14:textId="25CA130B" w:rsidR="00B46021" w:rsidRDefault="00B46021" w:rsidP="00452569">
      <w:pPr>
        <w:rPr>
          <w:rFonts w:ascii="Arial" w:hAnsi="Arial" w:cs="Arial"/>
          <w:color w:val="000000"/>
          <w:sz w:val="20"/>
        </w:rPr>
      </w:pPr>
    </w:p>
    <w:p w14:paraId="54495CF2" w14:textId="44CC9E62" w:rsidR="00C9757C" w:rsidRDefault="00C9757C" w:rsidP="00452569">
      <w:pPr>
        <w:rPr>
          <w:rFonts w:ascii="Arial" w:hAnsi="Arial" w:cs="Arial"/>
          <w:color w:val="000000"/>
          <w:sz w:val="20"/>
        </w:rPr>
      </w:pPr>
      <w:r>
        <w:rPr>
          <w:rFonts w:ascii="Arial" w:hAnsi="Arial" w:cs="Arial"/>
          <w:color w:val="000000"/>
          <w:sz w:val="20"/>
        </w:rPr>
        <w:t>A spent conviction is not revived by any subsequent conviction of the person</w:t>
      </w:r>
      <w:r w:rsidR="000967D7">
        <w:rPr>
          <w:rFonts w:ascii="Arial" w:hAnsi="Arial" w:cs="Arial"/>
          <w:color w:val="000000"/>
          <w:sz w:val="20"/>
        </w:rPr>
        <w:t xml:space="preserve"> [s.20(2)]</w:t>
      </w:r>
      <w:r>
        <w:rPr>
          <w:rFonts w:ascii="Arial" w:hAnsi="Arial" w:cs="Arial"/>
          <w:color w:val="000000"/>
          <w:sz w:val="20"/>
        </w:rPr>
        <w:t>.</w:t>
      </w:r>
    </w:p>
    <w:p w14:paraId="37FB158D" w14:textId="367697DE" w:rsidR="00C9757C" w:rsidRDefault="00C9757C" w:rsidP="00452569">
      <w:pPr>
        <w:rPr>
          <w:rFonts w:ascii="Arial" w:hAnsi="Arial" w:cs="Arial"/>
          <w:color w:val="000000"/>
          <w:sz w:val="20"/>
        </w:rPr>
      </w:pPr>
    </w:p>
    <w:p w14:paraId="7EACEAB9" w14:textId="506DC330" w:rsidR="00C9757C" w:rsidRDefault="00F32661" w:rsidP="00452569">
      <w:pPr>
        <w:rPr>
          <w:rFonts w:ascii="Arial" w:hAnsi="Arial" w:cs="Arial"/>
          <w:color w:val="000000"/>
          <w:sz w:val="20"/>
        </w:rPr>
      </w:pPr>
      <w:r>
        <w:rPr>
          <w:rFonts w:ascii="Arial" w:hAnsi="Arial" w:cs="Arial"/>
          <w:color w:val="000000"/>
          <w:sz w:val="20"/>
        </w:rPr>
        <w:t>Sections 21 &amp; 22 SCA</w:t>
      </w:r>
      <w:r w:rsidR="000967D7">
        <w:rPr>
          <w:rFonts w:ascii="Arial" w:hAnsi="Arial" w:cs="Arial"/>
          <w:color w:val="000000"/>
          <w:sz w:val="20"/>
        </w:rPr>
        <w:t xml:space="preserve"> detail limited circumstances </w:t>
      </w:r>
      <w:r>
        <w:rPr>
          <w:rFonts w:ascii="Arial" w:hAnsi="Arial" w:cs="Arial"/>
          <w:color w:val="000000"/>
          <w:sz w:val="20"/>
        </w:rPr>
        <w:t>in which spent convictions are disclosable:</w:t>
      </w:r>
    </w:p>
    <w:p w14:paraId="2EB01AD7" w14:textId="6F8E02B6"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law enforcement agencies, courts and tribunals</w:t>
      </w:r>
      <w:r w:rsidR="000967D7">
        <w:rPr>
          <w:rFonts w:ascii="Arial" w:hAnsi="Arial" w:cs="Arial"/>
          <w:color w:val="000000"/>
          <w:sz w:val="20"/>
        </w:rPr>
        <w:t xml:space="preserve"> [s.21]</w:t>
      </w:r>
      <w:r>
        <w:rPr>
          <w:rFonts w:ascii="Arial" w:hAnsi="Arial" w:cs="Arial"/>
          <w:color w:val="000000"/>
          <w:sz w:val="20"/>
        </w:rPr>
        <w:t>;</w:t>
      </w:r>
    </w:p>
    <w:p w14:paraId="542C5CD9" w14:textId="789E7867"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specified persons and bodies</w:t>
      </w:r>
      <w:r w:rsidR="000967D7">
        <w:rPr>
          <w:rFonts w:ascii="Arial" w:hAnsi="Arial" w:cs="Arial"/>
          <w:color w:val="000000"/>
          <w:sz w:val="20"/>
        </w:rPr>
        <w:t xml:space="preserve"> [s.22]</w:t>
      </w:r>
      <w:r>
        <w:rPr>
          <w:rFonts w:ascii="Arial" w:hAnsi="Arial" w:cs="Arial"/>
          <w:color w:val="000000"/>
          <w:sz w:val="20"/>
        </w:rPr>
        <w:t>.</w:t>
      </w:r>
    </w:p>
    <w:p w14:paraId="01928819" w14:textId="1F5296E6" w:rsidR="00F32661" w:rsidRDefault="00F32661" w:rsidP="00F32661">
      <w:pPr>
        <w:jc w:val="both"/>
        <w:rPr>
          <w:rFonts w:ascii="Arial" w:hAnsi="Arial" w:cs="Arial"/>
          <w:color w:val="000000"/>
          <w:sz w:val="20"/>
        </w:rPr>
      </w:pPr>
      <w:r>
        <w:rPr>
          <w:rFonts w:ascii="Arial" w:hAnsi="Arial" w:cs="Arial"/>
          <w:color w:val="000000"/>
          <w:sz w:val="20"/>
        </w:rPr>
        <w:t xml:space="preserve">In particular s.21(3) provides that a court or tribunal may collect or use </w:t>
      </w:r>
      <w:r w:rsidR="0025023B">
        <w:rPr>
          <w:rFonts w:ascii="Arial" w:hAnsi="Arial" w:cs="Arial"/>
          <w:color w:val="000000"/>
          <w:sz w:val="20"/>
        </w:rPr>
        <w:t>(</w:t>
      </w:r>
      <w:r>
        <w:rPr>
          <w:rFonts w:ascii="Arial" w:hAnsi="Arial" w:cs="Arial"/>
          <w:color w:val="000000"/>
          <w:sz w:val="20"/>
        </w:rPr>
        <w:t xml:space="preserve">or disclose to any person as part of the disclosure of the criminal record </w:t>
      </w:r>
      <w:r w:rsidR="0025023B">
        <w:rPr>
          <w:rFonts w:ascii="Arial" w:hAnsi="Arial" w:cs="Arial"/>
          <w:color w:val="000000"/>
          <w:sz w:val="20"/>
        </w:rPr>
        <w:t xml:space="preserve">of a person or information contained in the criminal record of a person) </w:t>
      </w:r>
      <w:r>
        <w:rPr>
          <w:rFonts w:ascii="Arial" w:hAnsi="Arial" w:cs="Arial"/>
          <w:color w:val="000000"/>
          <w:sz w:val="20"/>
        </w:rPr>
        <w:t>a spent conviction or information relating to a spent conviction-</w:t>
      </w:r>
    </w:p>
    <w:p w14:paraId="426D401C" w14:textId="5CBBDAAF" w:rsidR="00F32661" w:rsidRDefault="00F32661" w:rsidP="00F32661">
      <w:pPr>
        <w:pStyle w:val="ListParagraph"/>
        <w:numPr>
          <w:ilvl w:val="0"/>
          <w:numId w:val="120"/>
        </w:numPr>
        <w:ind w:left="357" w:hanging="357"/>
        <w:jc w:val="both"/>
        <w:rPr>
          <w:rFonts w:ascii="Arial" w:hAnsi="Arial" w:cs="Arial"/>
          <w:color w:val="000000"/>
          <w:sz w:val="20"/>
        </w:rPr>
      </w:pPr>
      <w:r w:rsidRPr="00F32661">
        <w:rPr>
          <w:rFonts w:ascii="Arial" w:hAnsi="Arial" w:cs="Arial"/>
          <w:color w:val="000000"/>
          <w:sz w:val="20"/>
        </w:rPr>
        <w:t xml:space="preserve">in the course of </w:t>
      </w:r>
      <w:r w:rsidR="002143A0">
        <w:rPr>
          <w:rFonts w:ascii="Arial" w:hAnsi="Arial" w:cs="Arial"/>
          <w:color w:val="000000"/>
          <w:sz w:val="20"/>
        </w:rPr>
        <w:t xml:space="preserve">a </w:t>
      </w:r>
      <w:r w:rsidRPr="00F32661">
        <w:rPr>
          <w:rFonts w:ascii="Arial" w:hAnsi="Arial" w:cs="Arial"/>
          <w:color w:val="000000"/>
          <w:sz w:val="20"/>
        </w:rPr>
        <w:t xml:space="preserve">legal proceeding before </w:t>
      </w:r>
      <w:r w:rsidR="002143A0">
        <w:rPr>
          <w:rFonts w:ascii="Arial" w:hAnsi="Arial" w:cs="Arial"/>
          <w:color w:val="000000"/>
          <w:sz w:val="20"/>
        </w:rPr>
        <w:t>a</w:t>
      </w:r>
      <w:r w:rsidRPr="00F32661">
        <w:rPr>
          <w:rFonts w:ascii="Arial" w:hAnsi="Arial" w:cs="Arial"/>
          <w:color w:val="000000"/>
          <w:sz w:val="20"/>
        </w:rPr>
        <w:t xml:space="preserve"> court or tribunal</w:t>
      </w:r>
      <w:r>
        <w:rPr>
          <w:rFonts w:ascii="Arial" w:hAnsi="Arial" w:cs="Arial"/>
          <w:color w:val="000000"/>
          <w:sz w:val="20"/>
        </w:rPr>
        <w:t>; or</w:t>
      </w:r>
    </w:p>
    <w:p w14:paraId="06EEE2AD" w14:textId="08819448" w:rsidR="00F32661" w:rsidRPr="00F32661" w:rsidRDefault="0025023B" w:rsidP="00F3266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i</w:t>
      </w:r>
      <w:r w:rsidR="00F32661">
        <w:rPr>
          <w:rFonts w:ascii="Arial" w:hAnsi="Arial" w:cs="Arial"/>
          <w:color w:val="000000"/>
          <w:sz w:val="20"/>
        </w:rPr>
        <w:t>n the course of publication or dissemination of decisions of the court or tribunal.</w:t>
      </w:r>
    </w:p>
    <w:p w14:paraId="571CFB27" w14:textId="77777777" w:rsidR="0025023B" w:rsidRDefault="0025023B" w:rsidP="0025023B">
      <w:pPr>
        <w:rPr>
          <w:rFonts w:ascii="Arial" w:hAnsi="Arial" w:cs="Arial"/>
          <w:color w:val="000000"/>
          <w:sz w:val="20"/>
        </w:rPr>
      </w:pPr>
    </w:p>
    <w:p w14:paraId="0DDBF5FE" w14:textId="7B0D9B2E" w:rsidR="0025023B" w:rsidRPr="00E70373" w:rsidRDefault="0025023B" w:rsidP="0025023B">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OFFENCES</w:t>
      </w:r>
    </w:p>
    <w:p w14:paraId="4A78B730" w14:textId="77777777" w:rsidR="0025023B" w:rsidRDefault="0025023B" w:rsidP="0025023B">
      <w:pPr>
        <w:rPr>
          <w:rFonts w:ascii="Arial" w:hAnsi="Arial" w:cs="Arial"/>
          <w:color w:val="000000"/>
          <w:sz w:val="20"/>
        </w:rPr>
      </w:pPr>
    </w:p>
    <w:p w14:paraId="1E8DF6F3" w14:textId="5F752AB1" w:rsidR="00C9757C" w:rsidRDefault="0025023B" w:rsidP="00452569">
      <w:pPr>
        <w:rPr>
          <w:rFonts w:ascii="Arial" w:hAnsi="Arial" w:cs="Arial"/>
          <w:color w:val="000000"/>
          <w:sz w:val="20"/>
        </w:rPr>
      </w:pPr>
      <w:r>
        <w:rPr>
          <w:rFonts w:ascii="Arial" w:hAnsi="Arial" w:cs="Arial"/>
          <w:color w:val="000000"/>
          <w:sz w:val="20"/>
        </w:rPr>
        <w:t>Section 23 SCA makes the unlawful disclosure of spent conviction information an offence punishable by a penalty of 40 penalty units.  Section 24 makes it an offence punishable by a penalty of 20 penalty units for a person to obtain information relating to a spent conviction by fraud or dishonesty.</w:t>
      </w:r>
    </w:p>
    <w:p w14:paraId="64C3990F" w14:textId="77777777" w:rsidR="00F171F7" w:rsidRDefault="00F171F7" w:rsidP="00F171F7">
      <w:pPr>
        <w:rPr>
          <w:rFonts w:ascii="Arial" w:hAnsi="Arial" w:cs="Arial"/>
          <w:color w:val="000000"/>
          <w:sz w:val="20"/>
        </w:rPr>
      </w:pPr>
    </w:p>
    <w:p w14:paraId="3ED3B21C" w14:textId="6D30A672" w:rsidR="00F171F7" w:rsidRPr="00E70373" w:rsidRDefault="00F171F7" w:rsidP="00A557FB">
      <w:pPr>
        <w:keepNext/>
        <w:keepLines/>
        <w:rPr>
          <w:rFonts w:ascii="Arial" w:hAnsi="Arial" w:cs="Arial"/>
          <w:b/>
          <w:bCs/>
          <w:color w:val="FFFFFF" w:themeColor="background1"/>
          <w:sz w:val="20"/>
        </w:rPr>
      </w:pPr>
      <w:bookmarkStart w:id="1113" w:name="_Hlk178054486"/>
      <w:r>
        <w:rPr>
          <w:rFonts w:ascii="Arial" w:hAnsi="Arial" w:cs="Arial"/>
          <w:b/>
          <w:bCs/>
          <w:color w:val="FFFFFF" w:themeColor="background1"/>
          <w:sz w:val="20"/>
          <w:shd w:val="clear" w:color="auto" w:fill="000000" w:themeFill="text1"/>
        </w:rPr>
        <w:lastRenderedPageBreak/>
        <w:t>CASE LAW</w:t>
      </w:r>
    </w:p>
    <w:p w14:paraId="5A64C36C" w14:textId="77777777" w:rsidR="00F171F7" w:rsidRDefault="00F171F7" w:rsidP="00F171F7">
      <w:pPr>
        <w:rPr>
          <w:rFonts w:ascii="Arial" w:hAnsi="Arial" w:cs="Arial"/>
          <w:color w:val="000000"/>
          <w:sz w:val="20"/>
        </w:rPr>
      </w:pPr>
    </w:p>
    <w:p w14:paraId="1D1B6829" w14:textId="1ED584AB" w:rsidR="00F171F7" w:rsidRDefault="00F171F7" w:rsidP="00F171F7">
      <w:pPr>
        <w:jc w:val="both"/>
        <w:rPr>
          <w:rFonts w:ascii="Arial" w:hAnsi="Arial" w:cs="Arial"/>
          <w:color w:val="000000"/>
          <w:sz w:val="20"/>
        </w:rPr>
      </w:pPr>
      <w:r>
        <w:rPr>
          <w:rFonts w:ascii="Arial" w:hAnsi="Arial" w:cs="Arial"/>
          <w:color w:val="000000"/>
          <w:sz w:val="20"/>
        </w:rPr>
        <w:t>For a detailed discussion of the operation of the SCA</w:t>
      </w:r>
      <w:r w:rsidR="00A262FE">
        <w:rPr>
          <w:rFonts w:ascii="Arial" w:hAnsi="Arial" w:cs="Arial"/>
          <w:color w:val="000000"/>
          <w:sz w:val="20"/>
        </w:rPr>
        <w:t xml:space="preserve"> </w:t>
      </w:r>
      <w:r>
        <w:rPr>
          <w:rFonts w:ascii="Arial" w:hAnsi="Arial" w:cs="Arial"/>
          <w:color w:val="000000"/>
          <w:sz w:val="20"/>
        </w:rPr>
        <w:t xml:space="preserve">– in particular ss.3, 7, 8, 9, 11 &amp; 20 – </w:t>
      </w:r>
      <w:r w:rsidR="00A262FE">
        <w:rPr>
          <w:rFonts w:ascii="Arial" w:hAnsi="Arial" w:cs="Arial"/>
          <w:color w:val="000000"/>
          <w:sz w:val="20"/>
        </w:rPr>
        <w:t xml:space="preserve">in relation to an adult offender, </w:t>
      </w:r>
      <w:r>
        <w:rPr>
          <w:rFonts w:ascii="Arial" w:hAnsi="Arial" w:cs="Arial"/>
          <w:color w:val="000000"/>
          <w:sz w:val="20"/>
        </w:rPr>
        <w:t xml:space="preserve">see the judgment of Taylor JA in </w:t>
      </w:r>
      <w:r w:rsidRPr="00F171F7">
        <w:rPr>
          <w:rFonts w:ascii="Arial" w:hAnsi="Arial" w:cs="Arial"/>
          <w:i/>
          <w:iCs/>
          <w:color w:val="000000"/>
          <w:sz w:val="20"/>
        </w:rPr>
        <w:t>Tabban v The King</w:t>
      </w:r>
      <w:r>
        <w:rPr>
          <w:rFonts w:ascii="Arial" w:hAnsi="Arial" w:cs="Arial"/>
          <w:color w:val="000000"/>
          <w:sz w:val="20"/>
        </w:rPr>
        <w:t xml:space="preserve"> [2024] VSCA 216</w:t>
      </w:r>
      <w:r w:rsidR="009B6849">
        <w:rPr>
          <w:rFonts w:ascii="Arial" w:hAnsi="Arial" w:cs="Arial"/>
          <w:color w:val="000000"/>
          <w:sz w:val="20"/>
        </w:rPr>
        <w:t xml:space="preserve"> at [61]</w:t>
      </w:r>
      <w:r w:rsidR="00A262FE">
        <w:rPr>
          <w:rFonts w:ascii="Arial" w:hAnsi="Arial" w:cs="Arial"/>
          <w:color w:val="000000"/>
          <w:sz w:val="20"/>
        </w:rPr>
        <w:t>-</w:t>
      </w:r>
      <w:r w:rsidR="009B6849">
        <w:rPr>
          <w:rFonts w:ascii="Arial" w:hAnsi="Arial" w:cs="Arial"/>
          <w:color w:val="000000"/>
          <w:sz w:val="20"/>
        </w:rPr>
        <w:t xml:space="preserve">[65] &amp; [69]-[84].  </w:t>
      </w:r>
      <w:r>
        <w:rPr>
          <w:rFonts w:ascii="Arial" w:hAnsi="Arial" w:cs="Arial"/>
          <w:color w:val="000000"/>
          <w:sz w:val="20"/>
        </w:rPr>
        <w:t xml:space="preserve">The applicant – who was 33-34 years old at the time of offending and 38 years old at the time of sentence – had pleaded guilty to charges of sexual assault against two separate </w:t>
      </w:r>
      <w:r w:rsidR="00A262FE">
        <w:rPr>
          <w:rFonts w:ascii="Arial" w:hAnsi="Arial" w:cs="Arial"/>
          <w:color w:val="000000"/>
          <w:sz w:val="20"/>
        </w:rPr>
        <w:t xml:space="preserve">young </w:t>
      </w:r>
      <w:r>
        <w:rPr>
          <w:rFonts w:ascii="Arial" w:hAnsi="Arial" w:cs="Arial"/>
          <w:color w:val="000000"/>
          <w:sz w:val="20"/>
        </w:rPr>
        <w:t xml:space="preserve">complainants </w:t>
      </w:r>
      <w:r w:rsidR="00A262FE">
        <w:rPr>
          <w:rFonts w:ascii="Arial" w:hAnsi="Arial" w:cs="Arial"/>
          <w:color w:val="000000"/>
          <w:sz w:val="20"/>
        </w:rPr>
        <w:t>seeking employment by him</w:t>
      </w:r>
      <w:r>
        <w:rPr>
          <w:rFonts w:ascii="Arial" w:hAnsi="Arial" w:cs="Arial"/>
          <w:color w:val="000000"/>
          <w:sz w:val="20"/>
        </w:rPr>
        <w:t xml:space="preserve"> about 12 months apart and had been sentenced to an 18</w:t>
      </w:r>
      <w:r w:rsidR="00A262FE">
        <w:rPr>
          <w:rFonts w:ascii="Arial" w:hAnsi="Arial" w:cs="Arial"/>
          <w:color w:val="000000"/>
          <w:sz w:val="20"/>
        </w:rPr>
        <w:t> </w:t>
      </w:r>
      <w:r>
        <w:rPr>
          <w:rFonts w:ascii="Arial" w:hAnsi="Arial" w:cs="Arial"/>
          <w:color w:val="000000"/>
          <w:sz w:val="20"/>
        </w:rPr>
        <w:t xml:space="preserve">month adjourned undertaking with conviction.  His licence as a real estate agent was cancelled as a result of the offending by operation of s.22 </w:t>
      </w:r>
      <w:r w:rsidRPr="00F171F7">
        <w:rPr>
          <w:rFonts w:ascii="Arial" w:hAnsi="Arial" w:cs="Arial"/>
          <w:i/>
          <w:iCs/>
          <w:color w:val="000000"/>
          <w:sz w:val="20"/>
        </w:rPr>
        <w:t>Estate Agents Act 1980</w:t>
      </w:r>
      <w:r w:rsidR="009B6849">
        <w:rPr>
          <w:rFonts w:ascii="Arial" w:hAnsi="Arial" w:cs="Arial"/>
          <w:i/>
          <w:iCs/>
          <w:color w:val="000000"/>
          <w:sz w:val="20"/>
        </w:rPr>
        <w:t xml:space="preserve"> </w:t>
      </w:r>
      <w:r w:rsidR="009B6849" w:rsidRPr="009B6849">
        <w:rPr>
          <w:rFonts w:ascii="Arial" w:hAnsi="Arial" w:cs="Arial"/>
          <w:color w:val="000000"/>
          <w:sz w:val="20"/>
        </w:rPr>
        <w:t>[EAA]</w:t>
      </w:r>
      <w:r>
        <w:rPr>
          <w:rFonts w:ascii="Arial" w:hAnsi="Arial" w:cs="Arial"/>
          <w:color w:val="000000"/>
          <w:sz w:val="20"/>
        </w:rPr>
        <w:t>.</w:t>
      </w:r>
      <w:r w:rsidR="009B6849">
        <w:rPr>
          <w:rFonts w:ascii="Arial" w:hAnsi="Arial" w:cs="Arial"/>
          <w:color w:val="000000"/>
          <w:sz w:val="20"/>
        </w:rPr>
        <w:t xml:space="preserve">  In refusing leave to appeal, Taylor</w:t>
      </w:r>
      <w:r w:rsidR="00A262FE">
        <w:rPr>
          <w:rFonts w:ascii="Arial" w:hAnsi="Arial" w:cs="Arial"/>
          <w:color w:val="000000"/>
          <w:sz w:val="20"/>
        </w:rPr>
        <w:t xml:space="preserve"> </w:t>
      </w:r>
      <w:r w:rsidR="009B6849">
        <w:rPr>
          <w:rFonts w:ascii="Arial" w:hAnsi="Arial" w:cs="Arial"/>
          <w:color w:val="000000"/>
          <w:sz w:val="20"/>
        </w:rPr>
        <w:t xml:space="preserve">JA held that the sentencing judge had not failed to take into account a material consideration, namely the prospect of the applicant being relicensed if given a non-conviction disposition.  </w:t>
      </w:r>
      <w:r w:rsidR="00A262FE">
        <w:rPr>
          <w:rFonts w:ascii="Arial" w:hAnsi="Arial" w:cs="Arial"/>
          <w:color w:val="000000"/>
          <w:sz w:val="20"/>
        </w:rPr>
        <w:t>A</w:t>
      </w:r>
      <w:r w:rsidR="009B6849">
        <w:rPr>
          <w:rFonts w:ascii="Arial" w:hAnsi="Arial" w:cs="Arial"/>
          <w:color w:val="000000"/>
          <w:sz w:val="20"/>
        </w:rPr>
        <w:t>t [79] her Honour said:</w:t>
      </w:r>
    </w:p>
    <w:p w14:paraId="1A84E677" w14:textId="6CD0A059" w:rsidR="009B6849" w:rsidRPr="00102D2A" w:rsidRDefault="009B6849" w:rsidP="009B6849">
      <w:pPr>
        <w:spacing w:before="60"/>
        <w:ind w:left="567" w:right="567"/>
        <w:jc w:val="both"/>
        <w:rPr>
          <w:rFonts w:ascii="Arial" w:hAnsi="Arial" w:cs="Arial"/>
          <w:color w:val="000000"/>
          <w:sz w:val="20"/>
        </w:rPr>
      </w:pPr>
      <w:r>
        <w:rPr>
          <w:rFonts w:ascii="Arial" w:hAnsi="Arial" w:cs="Arial"/>
          <w:color w:val="000000"/>
          <w:sz w:val="20"/>
        </w:rPr>
        <w:t>“</w:t>
      </w:r>
      <w:r w:rsidRPr="009B6849">
        <w:rPr>
          <w:rFonts w:ascii="Arial" w:hAnsi="Arial" w:cs="Arial"/>
          <w:color w:val="000000"/>
          <w:sz w:val="20"/>
        </w:rPr>
        <w:t>Turning then to the first particular of the proposed ground of appeal before the Court, the ‘material consideration’ which it is alleged the judge had failed to have regard to misstates the true position of the applicant vis-à-vis his and his company’s prospects of re-licensing as at the time of sentencing. The applicant had argued for an adjourned undertaking as an appropriate disposition. The judge accepted that argument. The judge rejected the argument that the adjourned undertaking should be imposed without a recorded conviction. Even if the judge had not recorded a conviction, the finding of guilt would not have become spent under the SCA until the completion of all its conditions and the expiry of its term 18 months later. In short, the automatic licence cancellation provisions of the EAA would have operated with respect to the applicant irrespective of the recording of a conviction. In either case, he could avail himself of the s 31C EAA mechanism. And, in either case, if the B</w:t>
      </w:r>
      <w:r>
        <w:rPr>
          <w:rFonts w:ascii="Arial" w:hAnsi="Arial" w:cs="Arial"/>
          <w:color w:val="000000"/>
          <w:sz w:val="20"/>
        </w:rPr>
        <w:t xml:space="preserve">usiness </w:t>
      </w:r>
      <w:r w:rsidRPr="009B6849">
        <w:rPr>
          <w:rFonts w:ascii="Arial" w:hAnsi="Arial" w:cs="Arial"/>
          <w:color w:val="000000"/>
          <w:sz w:val="20"/>
        </w:rPr>
        <w:t>L</w:t>
      </w:r>
      <w:r>
        <w:rPr>
          <w:rFonts w:ascii="Arial" w:hAnsi="Arial" w:cs="Arial"/>
          <w:color w:val="000000"/>
          <w:sz w:val="20"/>
        </w:rPr>
        <w:t xml:space="preserve">icensing </w:t>
      </w:r>
      <w:r w:rsidRPr="009B6849">
        <w:rPr>
          <w:rFonts w:ascii="Arial" w:hAnsi="Arial" w:cs="Arial"/>
          <w:color w:val="000000"/>
          <w:sz w:val="20"/>
        </w:rPr>
        <w:t>A</w:t>
      </w:r>
      <w:r>
        <w:rPr>
          <w:rFonts w:ascii="Arial" w:hAnsi="Arial" w:cs="Arial"/>
          <w:color w:val="000000"/>
          <w:sz w:val="20"/>
        </w:rPr>
        <w:t>uthority</w:t>
      </w:r>
      <w:r w:rsidRPr="009B6849">
        <w:rPr>
          <w:rFonts w:ascii="Arial" w:hAnsi="Arial" w:cs="Arial"/>
          <w:color w:val="000000"/>
          <w:sz w:val="20"/>
        </w:rPr>
        <w:t xml:space="preserve"> sought his criminal record in determining that application, the finding of guilt was disclosable.</w:t>
      </w:r>
      <w:r>
        <w:rPr>
          <w:rFonts w:ascii="Arial" w:hAnsi="Arial" w:cs="Arial"/>
          <w:color w:val="000000"/>
          <w:sz w:val="20"/>
        </w:rPr>
        <w:t>”</w:t>
      </w:r>
    </w:p>
    <w:p w14:paraId="0ECA4B6B" w14:textId="77777777" w:rsidR="00F171F7" w:rsidRPr="00102D2A" w:rsidRDefault="00F171F7"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114" w:name="_11.14_The_MAPPS"/>
      <w:bookmarkEnd w:id="1113"/>
      <w:bookmarkEnd w:id="1114"/>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544E42">
      <w:pPr>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 &amp; Ors</w:t>
      </w:r>
      <w:r w:rsidRPr="00102D2A">
        <w:rPr>
          <w:rFonts w:ascii="Arial" w:hAnsi="Arial" w:cs="Arial"/>
          <w:color w:val="000000"/>
          <w:sz w:val="20"/>
        </w:rPr>
        <w:t xml:space="preserve"> [2007] VChC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no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R v M &amp; Ors</w:t>
      </w:r>
      <w:r>
        <w:rPr>
          <w:rFonts w:ascii="Arial" w:hAnsi="Arial" w:cs="Arial"/>
          <w:color w:val="000000"/>
          <w:sz w:val="20"/>
        </w:rPr>
        <w:t xml:space="preserve"> [2008] VChC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A557FB">
      <w:pPr>
        <w:pStyle w:val="Heading2"/>
        <w:keepNext/>
        <w:keepLines/>
        <w:widowControl/>
        <w:tabs>
          <w:tab w:val="left" w:pos="567"/>
        </w:tabs>
        <w:spacing w:line="240" w:lineRule="auto"/>
        <w:rPr>
          <w:rFonts w:ascii="Arial" w:hAnsi="Arial" w:cs="Arial"/>
          <w:b/>
          <w:bCs/>
          <w:color w:val="000000"/>
        </w:rPr>
      </w:pPr>
      <w:bookmarkStart w:id="1115" w:name="_11.15_Sentencing_of"/>
      <w:bookmarkEnd w:id="1115"/>
      <w:r w:rsidRPr="00102D2A">
        <w:rPr>
          <w:rFonts w:ascii="Arial" w:hAnsi="Arial" w:cs="Arial"/>
          <w:b/>
          <w:bCs/>
          <w:color w:val="000000"/>
        </w:rPr>
        <w:lastRenderedPageBreak/>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116" w:name="_11.15.1_Sexual_abuse"/>
      <w:bookmarkEnd w:id="1116"/>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846241">
      <w:pPr>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“Questions of general deterrence and denunciation are overwhelmingly important, as this Court has so often said, where child sex offending is concerned. Such is the continuing 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5EE20DAC" w:rsidR="00874C55" w:rsidRDefault="00874C55" w:rsidP="00874C55">
      <w:pPr>
        <w:rPr>
          <w:rFonts w:ascii="Arial" w:hAnsi="Arial" w:cs="Arial"/>
          <w:color w:val="000000"/>
          <w:sz w:val="20"/>
        </w:rPr>
      </w:pPr>
    </w:p>
    <w:p w14:paraId="7D59C6E0" w14:textId="27F6A49A" w:rsidR="007E6E03" w:rsidRDefault="007E6E03" w:rsidP="00292980">
      <w:pPr>
        <w:jc w:val="both"/>
        <w:rPr>
          <w:rFonts w:ascii="Arial" w:hAnsi="Arial" w:cs="Arial"/>
          <w:color w:val="000000"/>
          <w:sz w:val="20"/>
        </w:rPr>
      </w:pPr>
      <w:r>
        <w:rPr>
          <w:rFonts w:ascii="Arial" w:hAnsi="Arial" w:cs="Arial"/>
          <w:color w:val="000000"/>
          <w:sz w:val="20"/>
        </w:rPr>
        <w:t xml:space="preserve">In </w:t>
      </w:r>
      <w:r w:rsidRPr="007E6E03">
        <w:rPr>
          <w:rFonts w:ascii="Arial" w:hAnsi="Arial" w:cs="Arial"/>
          <w:i/>
          <w:iCs/>
          <w:color w:val="000000"/>
          <w:sz w:val="20"/>
        </w:rPr>
        <w:t>Adkins v The King</w:t>
      </w:r>
      <w:r>
        <w:rPr>
          <w:rFonts w:ascii="Arial" w:hAnsi="Arial" w:cs="Arial"/>
          <w:color w:val="000000"/>
          <w:sz w:val="20"/>
        </w:rPr>
        <w:t xml:space="preserve"> [2023] VSCA the Court of Appeal allowed an appeal against a TES IMP 2y9m/15m imposed on a 21 year old who had pleaded guilty to 6 </w:t>
      </w:r>
      <w:r w:rsidR="00292980">
        <w:rPr>
          <w:rFonts w:ascii="Arial" w:hAnsi="Arial" w:cs="Arial"/>
          <w:color w:val="000000"/>
          <w:sz w:val="20"/>
        </w:rPr>
        <w:t>charges</w:t>
      </w:r>
      <w:r>
        <w:rPr>
          <w:rFonts w:ascii="Arial" w:hAnsi="Arial" w:cs="Arial"/>
          <w:color w:val="000000"/>
          <w:sz w:val="20"/>
        </w:rPr>
        <w:t xml:space="preserve"> of </w:t>
      </w:r>
      <w:r w:rsidR="00292980">
        <w:rPr>
          <w:rFonts w:ascii="Arial" w:hAnsi="Arial" w:cs="Arial"/>
          <w:color w:val="000000"/>
          <w:sz w:val="20"/>
        </w:rPr>
        <w:t xml:space="preserve">sexual penetration of a 15 year old girl who was the younger sister of an old school friend of the applicant and a member of the same Cadet unit as the applicant.  In </w:t>
      </w:r>
      <w:r>
        <w:rPr>
          <w:rFonts w:ascii="Arial" w:hAnsi="Arial" w:cs="Arial"/>
          <w:color w:val="000000"/>
          <w:sz w:val="20"/>
        </w:rPr>
        <w:t>impos</w:t>
      </w:r>
      <w:r w:rsidR="00292980">
        <w:rPr>
          <w:rFonts w:ascii="Arial" w:hAnsi="Arial" w:cs="Arial"/>
          <w:color w:val="000000"/>
          <w:sz w:val="20"/>
        </w:rPr>
        <w:t>ing</w:t>
      </w:r>
      <w:r>
        <w:rPr>
          <w:rFonts w:ascii="Arial" w:hAnsi="Arial" w:cs="Arial"/>
          <w:color w:val="000000"/>
          <w:sz w:val="20"/>
        </w:rPr>
        <w:t xml:space="preserve"> a TES IMP 2y2m/12m</w:t>
      </w:r>
      <w:r w:rsidR="00292980">
        <w:rPr>
          <w:rFonts w:ascii="Arial" w:hAnsi="Arial" w:cs="Arial"/>
          <w:color w:val="000000"/>
          <w:sz w:val="20"/>
        </w:rPr>
        <w:t xml:space="preserve">, </w:t>
      </w:r>
      <w:r>
        <w:rPr>
          <w:rFonts w:ascii="Arial" w:hAnsi="Arial" w:cs="Arial"/>
          <w:color w:val="000000"/>
          <w:sz w:val="20"/>
        </w:rPr>
        <w:t>Beach &amp; Macaulay JJA said</w:t>
      </w:r>
      <w:r w:rsidR="00292980">
        <w:rPr>
          <w:rFonts w:ascii="Arial" w:hAnsi="Arial" w:cs="Arial"/>
          <w:color w:val="000000"/>
          <w:sz w:val="20"/>
        </w:rPr>
        <w:t xml:space="preserve"> at [61]</w:t>
      </w:r>
      <w:r>
        <w:rPr>
          <w:rFonts w:ascii="Arial" w:hAnsi="Arial" w:cs="Arial"/>
          <w:color w:val="000000"/>
          <w:sz w:val="20"/>
        </w:rPr>
        <w:t>:</w:t>
      </w:r>
    </w:p>
    <w:p w14:paraId="2E48789E" w14:textId="76F89552" w:rsidR="007E6E03" w:rsidRPr="00102D2A" w:rsidRDefault="007E6E03" w:rsidP="007E6E03">
      <w:pPr>
        <w:pStyle w:val="Normal-Indent"/>
        <w:spacing w:before="60" w:line="240" w:lineRule="auto"/>
        <w:ind w:left="567" w:right="567"/>
        <w:rPr>
          <w:rFonts w:ascii="Arial" w:hAnsi="Arial" w:cs="Arial"/>
          <w:color w:val="000000"/>
          <w:sz w:val="20"/>
        </w:rPr>
      </w:pPr>
      <w:r>
        <w:rPr>
          <w:rFonts w:ascii="Arial" w:hAnsi="Arial" w:cs="Arial"/>
          <w:sz w:val="20"/>
        </w:rPr>
        <w:t>“</w:t>
      </w:r>
      <w:r w:rsidRPr="007E6E03">
        <w:rPr>
          <w:rFonts w:ascii="Arial" w:hAnsi="Arial" w:cs="Arial"/>
          <w:sz w:val="20"/>
        </w:rPr>
        <w:t>While general deterrence is an important consideration when sentencing offenders for committing sexual offences against children, its significance is reduced to a degree in this case because of the applicant’s particular immaturity. His recidivism risk profile was assessed as low to moderate and his continued participation in the SOTP was regarded as very important. Thus, his progress toward rehabilitation by participation in that program is to be encouraged so far as possible to serve the ends of both rehabilitation and community protection.</w:t>
      </w:r>
      <w:r>
        <w:rPr>
          <w:rFonts w:ascii="Arial" w:hAnsi="Arial" w:cs="Arial"/>
          <w:sz w:val="20"/>
        </w:rPr>
        <w:t>”</w:t>
      </w:r>
    </w:p>
    <w:p w14:paraId="3C913CEB" w14:textId="77777777" w:rsidR="007E6E03" w:rsidRDefault="007E6E03" w:rsidP="00874C55">
      <w:pPr>
        <w:rPr>
          <w:rFonts w:ascii="Arial" w:hAnsi="Arial" w:cs="Arial"/>
          <w:color w:val="000000"/>
          <w:sz w:val="20"/>
        </w:rPr>
      </w:pPr>
    </w:p>
    <w:p w14:paraId="6B3BC980" w14:textId="77777777" w:rsidR="00136744" w:rsidRPr="00D77DD1" w:rsidRDefault="00136744" w:rsidP="000B69E4">
      <w:pPr>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[3]-[5]&amp; [8]-[9]</w:t>
      </w:r>
      <w:r w:rsidRPr="00D77DD1">
        <w:rPr>
          <w:rFonts w:ascii="Arial" w:hAnsi="Arial" w:cs="Arial"/>
          <w:color w:val="000000"/>
          <w:sz w:val="20"/>
        </w:rPr>
        <w:t>, Harper JA expanded on this theme:</w:t>
      </w:r>
    </w:p>
    <w:p w14:paraId="64045D4B" w14:textId="05E4AC0E"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 xml:space="preserve">[3] </w:t>
      </w:r>
      <w:r w:rsidR="00716217" w:rsidRPr="00D77DD1">
        <w:rPr>
          <w:rFonts w:ascii="Arial" w:hAnsi="Arial" w:cs="Arial"/>
          <w:color w:val="000000"/>
          <w:sz w:val="20"/>
        </w:rPr>
        <w:t>“</w:t>
      </w:r>
      <w:r w:rsidRPr="00D77DD1">
        <w:rPr>
          <w:rFonts w:ascii="Arial" w:hAnsi="Arial" w:cs="Arial"/>
          <w:color w:val="000000"/>
          <w:sz w:val="20"/>
        </w:rPr>
        <w:t xml:space="preserve">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w:t>
      </w:r>
      <w:r w:rsidRPr="00D77DD1">
        <w:rPr>
          <w:rFonts w:ascii="Arial" w:hAnsi="Arial" w:cs="Arial"/>
          <w:color w:val="000000"/>
          <w:sz w:val="20"/>
        </w:rPr>
        <w:lastRenderedPageBreak/>
        <w:t>exploited by the</w:t>
      </w:r>
      <w:r w:rsidR="00A557FB">
        <w:rPr>
          <w:rFonts w:ascii="Arial" w:hAnsi="Arial" w:cs="Arial"/>
          <w:color w:val="000000"/>
          <w:sz w:val="20"/>
        </w:rPr>
        <w:t xml:space="preserve"> </w:t>
      </w:r>
      <w:r w:rsidRPr="00D77DD1">
        <w:rPr>
          <w:rFonts w:ascii="Arial" w:hAnsi="Arial" w:cs="Arial"/>
          <w:color w:val="000000"/>
          <w:sz w:val="20"/>
        </w:rPr>
        <w:t>unscrupulously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[5] When the allegations are true, the sexual assaults which gave rise to them will be 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117" w:name="_11.15.1.1_Sexual_abuse"/>
      <w:bookmarkEnd w:id="1117"/>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r w:rsidR="001E3450" w:rsidRPr="00102D2A">
        <w:rPr>
          <w:rFonts w:ascii="Arial" w:hAnsi="Arial" w:cs="Arial"/>
          <w:color w:val="000000"/>
          <w:sz w:val="20"/>
        </w:rPr>
        <w:t>Chernov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w:t>
      </w:r>
      <w:r w:rsidRPr="00102D2A">
        <w:rPr>
          <w:rFonts w:ascii="Arial" w:hAnsi="Arial" w:cs="Arial"/>
          <w:color w:val="000000"/>
          <w:sz w:val="20"/>
        </w:rPr>
        <w:lastRenderedPageBreak/>
        <w:t xml:space="preserve">him as the father of a young girl, and his offending was very serious and merited condign punishment.  In this case, factors of particular importance in sentencing included general deterrence, denunciation, and punishment and retribution.  As Hedigan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with the agreement of Winneke P and Hayne JA:</w:t>
      </w:r>
    </w:p>
    <w:p w14:paraId="687F8E1C" w14:textId="77777777" w:rsidR="00824E5E" w:rsidRPr="00102D2A" w:rsidRDefault="00824E5E" w:rsidP="0091618A">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fiends.  On occasions, CPD would baby-sit the children of the family.</w:t>
      </w:r>
      <w:r w:rsidR="008166DB" w:rsidRPr="00102D2A">
        <w:rPr>
          <w:rFonts w:ascii="Arial" w:hAnsi="Arial" w:cs="Arial"/>
          <w:color w:val="000000"/>
          <w:sz w:val="20"/>
          <w:szCs w:val="20"/>
        </w:rPr>
        <w:t xml:space="preserve">  He had been sentenced to IMP2y6m/15m.  On DPP appeal this was held to be manifestly inadequate and he  was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‘what might be termed social and individual rehabilitation … of those persons who have sustained loss and damage by reason of the commission of an offence. …</w:t>
      </w:r>
    </w:p>
    <w:p w14:paraId="653F384F"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w:t>
      </w:r>
      <w:r w:rsidR="00D168DA" w:rsidRPr="00102D2A">
        <w:rPr>
          <w:rFonts w:ascii="Arial" w:hAnsi="Arial" w:cs="Arial"/>
          <w:color w:val="000000"/>
          <w:sz w:val="20"/>
          <w:szCs w:val="20"/>
        </w:rPr>
        <w:lastRenderedPageBreak/>
        <w:t>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Hedigan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R v Bellerby</w:t>
      </w:r>
      <w:r w:rsidRPr="00102D2A">
        <w:rPr>
          <w:rFonts w:ascii="Arial" w:hAnsi="Arial" w:cs="Arial"/>
          <w:color w:val="000000"/>
          <w:sz w:val="20"/>
        </w:rPr>
        <w:t xml:space="preserve"> [2009] VSCA 59 at [41]}:</w:t>
      </w:r>
    </w:p>
    <w:p w14:paraId="3E523EEF" w14:textId="77777777" w:rsidR="00B02EFE" w:rsidRPr="00102D2A" w:rsidRDefault="00B02EFE" w:rsidP="00B02EFE">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2"/>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102D2A">
        <w:rPr>
          <w:rFonts w:ascii="Arial" w:hAnsi="Arial" w:cs="Arial"/>
          <w:color w:val="000000"/>
          <w:sz w:val="20"/>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lastRenderedPageBreak/>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DPP v OJA &amp; Ors</w:t>
      </w:r>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R v Macfie</w:t>
      </w:r>
      <w:r w:rsidR="009605F9" w:rsidRPr="00102D2A">
        <w:rPr>
          <w:rFonts w:ascii="Arial" w:hAnsi="Arial" w:cs="Arial"/>
          <w:color w:val="000000"/>
          <w:sz w:val="20"/>
          <w:szCs w:val="20"/>
        </w:rPr>
        <w:t xml:space="preserve"> [2000] VSCA 173, [49] (Winneke P and Chernov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DPP v Stalio</w:t>
      </w:r>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thr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B03F58">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Winneke P and Hedigan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Winneke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But, the possibility that one approach has been used rather than the other is a 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r w:rsidR="001E487E" w:rsidRPr="00D77DD1">
        <w:rPr>
          <w:rFonts w:ascii="Arial" w:hAnsi="Arial" w:cs="Arial"/>
          <w:i/>
          <w:color w:val="000000"/>
          <w:sz w:val="20"/>
        </w:rPr>
        <w:t>Bavage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w:t>
      </w:r>
      <w:r w:rsidRPr="00AE19BF">
        <w:rPr>
          <w:rFonts w:ascii="Arial" w:hAnsi="Arial" w:cs="Arial"/>
          <w:sz w:val="20"/>
        </w:rPr>
        <w:lastRenderedPageBreak/>
        <w:t xml:space="preserve">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AE19BF" w:rsidRDefault="00AE19BF" w:rsidP="00AE19BF">
      <w:pPr>
        <w:pStyle w:val="Normal-Indent"/>
        <w:spacing w:line="240" w:lineRule="auto"/>
        <w:ind w:left="1134" w:right="1134"/>
        <w:rPr>
          <w:rFonts w:ascii="Arial" w:hAnsi="Arial" w:cs="Arial"/>
          <w:color w:val="000000"/>
          <w:sz w:val="20"/>
        </w:rPr>
      </w:pPr>
      <w:r w:rsidRPr="00AE19BF">
        <w:rPr>
          <w:rFonts w:ascii="Arial" w:hAnsi="Arial" w:cs="Arial"/>
          <w:color w:val="000000"/>
          <w:sz w:val="20"/>
        </w:rPr>
        <w:t>‘</w:t>
      </w:r>
      <w:r w:rsidRPr="00AE19BF">
        <w:rPr>
          <w:rFonts w:ascii="Arial" w:hAnsi="Arial" w:cs="Arial"/>
          <w:sz w:val="20"/>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B03F58">
      <w:pPr>
        <w:pStyle w:val="Normal-Indent"/>
        <w:widowControl/>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r w:rsidR="00E45B53" w:rsidRPr="00E45B53">
        <w:rPr>
          <w:rFonts w:ascii="Arial" w:hAnsi="Arial" w:cs="Arial"/>
          <w:i/>
          <w:color w:val="000000"/>
          <w:sz w:val="20"/>
        </w:rPr>
        <w:t>Makarian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R H McL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lastRenderedPageBreak/>
        <w:t xml:space="preserve">“[T]he High Court has reminded us of the profound and destructive consequences to the victims of this type of offending:  </w:t>
      </w:r>
      <w:r w:rsidRPr="00C2707D">
        <w:rPr>
          <w:rFonts w:ascii="Arial" w:hAnsi="Arial" w:cs="Arial"/>
          <w:i/>
          <w:sz w:val="20"/>
        </w:rPr>
        <w:t>DPP v Dalgliesh (a pseudonym)</w:t>
      </w:r>
      <w:r w:rsidRPr="00C2707D">
        <w:rPr>
          <w:rFonts w:ascii="Arial" w:hAnsi="Arial" w:cs="Arial"/>
          <w:sz w:val="20"/>
        </w:rPr>
        <w:t xml:space="preserve"> (2017) 349 ALR 37 [57] (Kiefel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cooffender: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10187C">
      <w:pPr>
        <w:pStyle w:val="Normal-Indent"/>
        <w:widowControl/>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mitgatory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As this Court has often said, sexual abuse of children by those in positions of trust or 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Default="008A4157" w:rsidP="00F818A8">
      <w:pPr>
        <w:pStyle w:val="Normal-Indent"/>
        <w:spacing w:before="80" w:line="240" w:lineRule="auto"/>
        <w:ind w:left="1021" w:right="1021"/>
        <w:rPr>
          <w:rFonts w:ascii="Arial" w:hAnsi="Arial" w:cs="Arial"/>
          <w:sz w:val="20"/>
        </w:rPr>
      </w:pPr>
      <w:r w:rsidRPr="008A4157">
        <w:rPr>
          <w:rFonts w:ascii="Arial" w:hAnsi="Arial" w:cs="Arial"/>
          <w:sz w:val="20"/>
        </w:rPr>
        <w:t xml:space="preserve">‘Incest involving a child is an appalling crime.  It involves a breach of trust of the most fundamental kind, and an inexplicable abdication of parental responsibility: see, eg, </w:t>
      </w:r>
      <w:r w:rsidRPr="008A4157">
        <w:rPr>
          <w:rFonts w:ascii="Arial" w:eastAsia="Book Antiqua" w:hAnsi="Arial" w:cs="Arial"/>
          <w:i/>
          <w:sz w:val="20"/>
        </w:rPr>
        <w:t>R v Ware</w:t>
      </w:r>
      <w:r w:rsidRPr="008A4157">
        <w:rPr>
          <w:rFonts w:ascii="Arial" w:hAnsi="Arial" w:cs="Arial"/>
          <w:sz w:val="20"/>
        </w:rPr>
        <w:t xml:space="preserve"> [1997] 1 VR 647, 653 (Hedigan AJA) and </w:t>
      </w:r>
      <w:r w:rsidRPr="008A4157">
        <w:rPr>
          <w:rFonts w:ascii="Arial" w:eastAsia="Book Antiqua" w:hAnsi="Arial" w:cs="Arial"/>
          <w:i/>
          <w:sz w:val="20"/>
        </w:rPr>
        <w:t>DPP v G</w:t>
      </w:r>
      <w:r w:rsidRPr="008A4157">
        <w:rPr>
          <w:rFonts w:ascii="Arial" w:hAnsi="Arial" w:cs="Arial"/>
          <w:sz w:val="20"/>
        </w:rPr>
        <w:t xml:space="preserve"> [2002] VSCA 6, [9]–[10] (Winneke P).  Just as seriously, it involves a cynical exploitation by the parent of the opportunity for sexual contact which being in that position of trust presents: </w:t>
      </w:r>
      <w:r w:rsidRPr="008A4157">
        <w:rPr>
          <w:rFonts w:ascii="Arial" w:eastAsia="Book Antiqua" w:hAnsi="Arial" w:cs="Arial"/>
          <w:i/>
          <w:sz w:val="20"/>
        </w:rPr>
        <w:t>Sutton (a pseudonym) v The Queen</w:t>
      </w:r>
      <w:r w:rsidRPr="008A4157">
        <w:rPr>
          <w:rFonts w:ascii="Arial" w:hAnsi="Arial" w:cs="Arial"/>
          <w:sz w:val="20"/>
        </w:rPr>
        <w:t xml:space="preserve"> (2015) 47 VR 496, 505 [28];  [2015] VSCA 251 (Maxwell P and Redlich JA).</w:t>
      </w:r>
    </w:p>
    <w:p w14:paraId="54086977" w14:textId="77777777" w:rsidR="008A4157" w:rsidRPr="00F818A8" w:rsidRDefault="00F818A8" w:rsidP="00F818A8">
      <w:pPr>
        <w:pStyle w:val="Normal-Indent"/>
        <w:spacing w:before="80" w:line="240" w:lineRule="auto"/>
        <w:ind w:left="1021" w:right="1021"/>
        <w:rPr>
          <w:rFonts w:ascii="Arial" w:hAnsi="Arial" w:cs="Arial"/>
          <w:sz w:val="20"/>
        </w:rPr>
      </w:pPr>
      <w:r w:rsidRPr="008A4157">
        <w:rPr>
          <w:rFonts w:ascii="Arial" w:hAnsi="Arial" w:cs="Arial"/>
          <w:sz w:val="20"/>
          <w:szCs w:val="22"/>
        </w:rPr>
        <w:t>Incest involving a child is, moreover, a crime of violence.  As the Sentencing Advisory Council has pointed out, sexual penetration of a child is inherently violent, whether or not it is accompanied by additional non-sexual violence</w:t>
      </w:r>
      <w:r>
        <w:rPr>
          <w:rFonts w:ascii="Arial" w:hAnsi="Arial" w:cs="Arial"/>
          <w:sz w:val="20"/>
          <w:szCs w:val="22"/>
        </w:rPr>
        <w:t xml:space="preserve">: </w:t>
      </w:r>
      <w:r w:rsidRPr="00F818A8">
        <w:rPr>
          <w:rFonts w:ascii="Arial" w:eastAsia="Book Antiqua" w:hAnsi="Arial" w:cs="Arial"/>
          <w:i/>
          <w:sz w:val="20"/>
        </w:rPr>
        <w:t>Dalgliesh [No</w:t>
      </w:r>
      <w:r w:rsidRPr="00F818A8">
        <w:rPr>
          <w:rFonts w:ascii="Arial" w:hAnsi="Arial" w:cs="Arial"/>
          <w:sz w:val="20"/>
        </w:rPr>
        <w:t xml:space="preserve"> </w:t>
      </w:r>
      <w:r w:rsidRPr="00F818A8">
        <w:rPr>
          <w:rFonts w:ascii="Arial" w:eastAsia="Book Antiqua" w:hAnsi="Arial" w:cs="Arial"/>
          <w:i/>
          <w:sz w:val="20"/>
        </w:rPr>
        <w:t>1]</w:t>
      </w:r>
      <w:r w:rsidRPr="00F818A8">
        <w:rPr>
          <w:rFonts w:ascii="Arial" w:hAnsi="Arial" w:cs="Arial"/>
          <w:sz w:val="20"/>
        </w:rPr>
        <w:t xml:space="preserve"> [2016] VSCA 148, [46] (Maxwell ACJ, Redlich </w:t>
      </w:r>
      <w:r>
        <w:rPr>
          <w:rFonts w:ascii="Arial" w:hAnsi="Arial" w:cs="Arial"/>
          <w:sz w:val="20"/>
        </w:rPr>
        <w:t>&amp;</w:t>
      </w:r>
      <w:r w:rsidRPr="00F818A8">
        <w:rPr>
          <w:rFonts w:ascii="Arial" w:hAnsi="Arial" w:cs="Arial"/>
          <w:sz w:val="20"/>
        </w:rPr>
        <w:t xml:space="preserve"> Beach JJA)</w:t>
      </w:r>
      <w:r>
        <w:rPr>
          <w:rFonts w:ascii="Arial" w:hAnsi="Arial" w:cs="Arial"/>
          <w:sz w:val="20"/>
        </w:rPr>
        <w:t>;</w:t>
      </w:r>
      <w:r w:rsidRPr="00F818A8">
        <w:rPr>
          <w:rFonts w:ascii="Arial" w:hAnsi="Arial" w:cs="Arial"/>
          <w:sz w:val="20"/>
        </w:rPr>
        <w:t xml:space="preserve"> see also Sentencing Advisory Council, </w:t>
      </w:r>
      <w:r w:rsidRPr="00F818A8">
        <w:rPr>
          <w:rFonts w:ascii="Arial" w:eastAsia="Book Antiqua" w:hAnsi="Arial" w:cs="Arial"/>
          <w:i/>
          <w:sz w:val="20"/>
        </w:rPr>
        <w:t>Sentencing of Offenders:  Sexual Penetration with a Child under 12</w:t>
      </w:r>
      <w:r w:rsidRPr="00F818A8">
        <w:rPr>
          <w:rFonts w:ascii="Arial" w:hAnsi="Arial" w:cs="Arial"/>
          <w:sz w:val="20"/>
        </w:rPr>
        <w:t xml:space="preserve"> (10 June 2016) 63.</w:t>
      </w:r>
      <w:r w:rsidRPr="00F818A8">
        <w:rPr>
          <w:sz w:val="20"/>
        </w:rPr>
        <w:t xml:space="preserve"> </w:t>
      </w:r>
      <w:r>
        <w:rPr>
          <w:sz w:val="20"/>
        </w:rPr>
        <w:t xml:space="preserve"> </w:t>
      </w:r>
      <w:r w:rsidRPr="00F818A8">
        <w:rPr>
          <w:rFonts w:ascii="Arial" w:hAnsi="Arial" w:cs="Arial"/>
          <w:sz w:val="20"/>
        </w:rPr>
        <w:t xml:space="preserve">Often, as in the present case, the act of sexual penetration causes the child actual physical pain: </w:t>
      </w:r>
      <w:r w:rsidRPr="00F818A8">
        <w:rPr>
          <w:rFonts w:ascii="Arial" w:eastAsia="Book Antiqua" w:hAnsi="Arial" w:cs="Arial"/>
          <w:i/>
          <w:sz w:val="20"/>
        </w:rPr>
        <w:t xml:space="preserve">DPP v </w:t>
      </w:r>
      <w:r w:rsidRPr="00F818A8">
        <w:rPr>
          <w:rFonts w:ascii="Arial" w:eastAsia="Book Antiqua" w:hAnsi="Arial" w:cs="Arial"/>
          <w:i/>
          <w:sz w:val="20"/>
        </w:rPr>
        <w:lastRenderedPageBreak/>
        <w:t>Walsh</w:t>
      </w:r>
      <w:r w:rsidRPr="00F818A8">
        <w:rPr>
          <w:rFonts w:ascii="Arial" w:hAnsi="Arial" w:cs="Arial"/>
          <w:sz w:val="20"/>
        </w:rPr>
        <w:t xml:space="preserve"> [2018] VSCA 172, [1]–[2] (Maxwell P and McLeish JA).</w:t>
      </w:r>
      <w:r w:rsidR="009B0685">
        <w:rPr>
          <w:rFonts w:ascii="Arial" w:hAnsi="Arial" w:cs="Arial"/>
          <w:sz w:val="20"/>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r w:rsidRPr="00F818A8">
        <w:rPr>
          <w:rFonts w:ascii="Arial" w:eastAsia="Book Antiqua" w:hAnsi="Arial" w:cs="Arial"/>
          <w:i/>
          <w:sz w:val="20"/>
        </w:rPr>
        <w:t>Dalgliesh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“[G]iving</w:t>
      </w:r>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442773">
      <w:pPr>
        <w:keepNext/>
        <w:keepLines/>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eg, </w:t>
      </w:r>
      <w:r w:rsidRPr="00FA2C8F">
        <w:rPr>
          <w:rFonts w:ascii="Arial" w:hAnsi="Arial" w:cs="Arial"/>
          <w:i/>
          <w:iCs/>
          <w:sz w:val="20"/>
        </w:rPr>
        <w:t>Walsh</w:t>
      </w:r>
      <w:r w:rsidRPr="00FA2C8F">
        <w:rPr>
          <w:rFonts w:ascii="Arial" w:hAnsi="Arial" w:cs="Arial"/>
          <w:sz w:val="20"/>
        </w:rPr>
        <w:t xml:space="preserve"> [2018] VSCA 172, [1]</w:t>
      </w:r>
      <w:r w:rsidR="00C945EA">
        <w:rPr>
          <w:rFonts w:ascii="Arial" w:hAnsi="Arial" w:cs="Arial"/>
          <w:sz w:val="20"/>
        </w:rPr>
        <w:noBreakHyphen/>
      </w:r>
      <w:r w:rsidRPr="00FA2C8F">
        <w:rPr>
          <w:rFonts w:ascii="Arial" w:hAnsi="Arial" w:cs="Arial"/>
          <w:sz w:val="20"/>
        </w:rPr>
        <w:t xml:space="preserve">[2]; </w:t>
      </w:r>
      <w:r w:rsidRPr="00FA2C8F">
        <w:rPr>
          <w:rFonts w:ascii="Arial" w:hAnsi="Arial" w:cs="Arial"/>
          <w:i/>
          <w:iCs/>
          <w:sz w:val="20"/>
        </w:rPr>
        <w:t>Dalgliesh</w:t>
      </w:r>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R v Kilic</w:t>
      </w:r>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r w:rsidR="00C945EA" w:rsidRPr="00C945EA">
        <w:rPr>
          <w:rFonts w:ascii="Arial" w:hAnsi="Arial" w:cs="Arial"/>
          <w:i/>
          <w:iCs/>
          <w:sz w:val="20"/>
        </w:rPr>
        <w:t>Dalgliesh</w:t>
      </w:r>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Default="00FA2C8F" w:rsidP="000E1A36">
      <w:pPr>
        <w:pStyle w:val="Normal-Indent"/>
        <w:spacing w:before="60" w:line="240" w:lineRule="auto"/>
        <w:ind w:left="1021" w:right="1021"/>
        <w:rPr>
          <w:rFonts w:ascii="Arial" w:hAnsi="Arial" w:cs="Arial"/>
          <w:sz w:val="20"/>
        </w:rPr>
      </w:pPr>
      <w:r>
        <w:rPr>
          <w:rFonts w:ascii="Arial" w:hAnsi="Arial" w:cs="Arial"/>
          <w:sz w:val="20"/>
        </w:rPr>
        <w:t>‘</w:t>
      </w:r>
      <w:r w:rsidRPr="00FA2C8F">
        <w:rPr>
          <w:rFonts w:ascii="Arial" w:hAnsi="Arial" w:cs="Arial"/>
          <w:sz w:val="20"/>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Pr>
          <w:rFonts w:ascii="Arial" w:hAnsi="Arial" w:cs="Arial"/>
          <w:sz w:val="20"/>
        </w:rPr>
        <w:t>’</w:t>
      </w:r>
      <w:r w:rsidR="000E1A36">
        <w:rPr>
          <w:rFonts w:ascii="Arial" w:hAnsi="Arial" w:cs="Arial"/>
          <w:sz w:val="20"/>
        </w:rPr>
        <w:t>”</w:t>
      </w:r>
    </w:p>
    <w:p w14:paraId="0709D60B" w14:textId="7DD76F05" w:rsidR="00FA2C8F" w:rsidRDefault="000E1A36" w:rsidP="00544E42">
      <w:pPr>
        <w:pStyle w:val="Normal-Indent"/>
        <w:widowControl/>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r w:rsidR="00F42F37" w:rsidRPr="00F42F37">
        <w:rPr>
          <w:rFonts w:ascii="Arial" w:hAnsi="Arial" w:cs="Arial"/>
          <w:sz w:val="20"/>
          <w:szCs w:val="16"/>
        </w:rPr>
        <w:t xml:space="preserve">the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were outside the range reasonably 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8B5A63">
      <w:pPr>
        <w:pStyle w:val="Normal-Indent"/>
        <w:widowControl/>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have a limited capacity to ameliorate the appropriate sentence, and certainly not to 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73 year old applicant to appeal a sentence of IMP8y6m/4y6m imposed after a jury trial on 6 charges of indecent assault and 1 charge of attempted incest.  </w:t>
      </w:r>
      <w:r w:rsidR="00BA07AA">
        <w:rPr>
          <w:rFonts w:ascii="Arial" w:hAnsi="Arial" w:cs="Arial"/>
          <w:color w:val="000000"/>
          <w:sz w:val="20"/>
          <w:szCs w:val="20"/>
        </w:rPr>
        <w:t>The complainant was the applicant’s daughter. Rejecting the appliant’s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517B11B0" w:rsidR="00BA07AA" w:rsidRDefault="00BA07AA" w:rsidP="00BA07AA">
      <w:pPr>
        <w:jc w:val="both"/>
        <w:rPr>
          <w:rFonts w:ascii="Arial" w:hAnsi="Arial" w:cs="Arial"/>
          <w:color w:val="000000"/>
          <w:sz w:val="20"/>
          <w:szCs w:val="20"/>
        </w:rPr>
      </w:pPr>
    </w:p>
    <w:p w14:paraId="79627D8D" w14:textId="13B0A885" w:rsidR="00685AE8" w:rsidRDefault="00685AE8" w:rsidP="00BA07AA">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w:t>
      </w:r>
      <w:r w:rsidR="00DD3B62">
        <w:rPr>
          <w:rFonts w:ascii="Arial" w:hAnsi="Arial" w:cs="Arial"/>
          <w:color w:val="000000"/>
          <w:sz w:val="20"/>
          <w:szCs w:val="20"/>
        </w:rPr>
        <w:t>two counts of indecent assault on a female and three counts of carnal knowledge of a girl aged between 10 &amp; 16.  Three of the five charges were ‘rolled up’ charges.  The offending had occurred between 1975 &amp; 1978 when the complainant was aged between 12 &amp; 15 and the applicant was aged between 27 &amp; 30.  The complainant was the applicant’s niece by marriage.  A TES IMP8y/5y9m was imposed.  In refusing leave to appeal the Court of Appeal held that the applicant’s age and ill health had not been undervalued by the sentencing judge and no error could be found in the sentences or reasons.  At [28] Niall &amp; T Forrest JJA said:</w:t>
      </w:r>
    </w:p>
    <w:p w14:paraId="4E71A148" w14:textId="10C2CE7B" w:rsidR="00DD3B62" w:rsidRPr="00C945EA" w:rsidRDefault="00DD3B62" w:rsidP="00DD3B62">
      <w:pPr>
        <w:pStyle w:val="Normal-Indent"/>
        <w:spacing w:before="60" w:line="240" w:lineRule="auto"/>
        <w:ind w:left="567" w:right="567"/>
        <w:rPr>
          <w:rFonts w:ascii="Arial" w:hAnsi="Arial" w:cs="Arial"/>
          <w:sz w:val="20"/>
        </w:rPr>
      </w:pPr>
      <w:r>
        <w:rPr>
          <w:rFonts w:ascii="Arial" w:hAnsi="Arial" w:cs="Arial"/>
          <w:sz w:val="20"/>
        </w:rPr>
        <w:t>“</w:t>
      </w:r>
      <w:r w:rsidRPr="00DD3B62">
        <w:rPr>
          <w:rFonts w:ascii="Arial" w:hAnsi="Arial" w:cs="Arial"/>
          <w:sz w:val="20"/>
        </w:rPr>
        <w:t>In this case we agree with the sentencing judge, and essentially for the reasons he elaborated that this was a ‘particularly grave’ sequence of offending.</w:t>
      </w:r>
      <w:r>
        <w:rPr>
          <w:rFonts w:ascii="Arial" w:hAnsi="Arial" w:cs="Arial"/>
          <w:sz w:val="20"/>
        </w:rPr>
        <w:t>.</w:t>
      </w:r>
      <w:r w:rsidRPr="00DD3B62">
        <w:rPr>
          <w:rFonts w:ascii="Arial" w:hAnsi="Arial" w:cs="Arial"/>
          <w:sz w:val="20"/>
        </w:rPr>
        <w:t>. It is sufficient to say that the applicant’s sexual exploitation of a young family member was predatory, opportunistic and depraved. We agree with his Honour that the applicant’s moral culpability is ‘very high</w:t>
      </w:r>
      <w:r w:rsidR="00DC4119">
        <w:rPr>
          <w:rFonts w:ascii="Arial" w:hAnsi="Arial" w:cs="Arial"/>
          <w:sz w:val="20"/>
        </w:rPr>
        <w:t>’</w:t>
      </w:r>
      <w:r w:rsidRPr="00DD3B62">
        <w:rPr>
          <w:rFonts w:ascii="Arial" w:hAnsi="Arial" w:cs="Arial"/>
          <w:sz w:val="20"/>
        </w:rPr>
        <w:t>.</w:t>
      </w:r>
      <w:r w:rsidR="00DC4119">
        <w:rPr>
          <w:rFonts w:ascii="Arial" w:hAnsi="Arial" w:cs="Arial"/>
          <w:sz w:val="20"/>
        </w:rPr>
        <w:t>”</w:t>
      </w:r>
    </w:p>
    <w:p w14:paraId="43D27E38" w14:textId="7D410BAC" w:rsidR="00DD3B62" w:rsidRDefault="00DD3B62" w:rsidP="00BA07AA">
      <w:pPr>
        <w:jc w:val="both"/>
        <w:rPr>
          <w:rFonts w:ascii="Arial" w:hAnsi="Arial" w:cs="Arial"/>
          <w:color w:val="000000"/>
          <w:sz w:val="20"/>
          <w:szCs w:val="20"/>
        </w:rPr>
      </w:pPr>
    </w:p>
    <w:p w14:paraId="149FDF0D" w14:textId="77777777" w:rsidR="000B6254" w:rsidRDefault="00D45D64" w:rsidP="00BA07AA">
      <w:pPr>
        <w:jc w:val="both"/>
        <w:rPr>
          <w:rFonts w:ascii="Arial" w:hAnsi="Arial" w:cs="Arial"/>
          <w:color w:val="000000"/>
          <w:sz w:val="20"/>
          <w:szCs w:val="20"/>
        </w:rPr>
      </w:pPr>
      <w:r>
        <w:rPr>
          <w:rFonts w:ascii="Arial" w:hAnsi="Arial" w:cs="Arial"/>
          <w:color w:val="000000"/>
          <w:sz w:val="20"/>
          <w:szCs w:val="20"/>
        </w:rPr>
        <w:t xml:space="preserve">In </w:t>
      </w:r>
      <w:r w:rsidRPr="005017C0">
        <w:rPr>
          <w:rFonts w:ascii="Arial" w:hAnsi="Arial" w:cs="Arial"/>
          <w:i/>
          <w:iCs/>
          <w:color w:val="000000"/>
          <w:sz w:val="20"/>
          <w:szCs w:val="20"/>
        </w:rPr>
        <w:t>Weir (a pseudonym) v The King</w:t>
      </w:r>
      <w:r>
        <w:rPr>
          <w:rFonts w:ascii="Arial" w:hAnsi="Arial" w:cs="Arial"/>
          <w:color w:val="000000"/>
          <w:sz w:val="20"/>
          <w:szCs w:val="20"/>
        </w:rPr>
        <w:t xml:space="preserve"> [2023] VSCA 113 the </w:t>
      </w:r>
      <w:r w:rsidR="00384AC3">
        <w:rPr>
          <w:rFonts w:ascii="Arial" w:hAnsi="Arial" w:cs="Arial"/>
          <w:color w:val="000000"/>
          <w:sz w:val="20"/>
          <w:szCs w:val="20"/>
        </w:rPr>
        <w:t xml:space="preserve">42 </w:t>
      </w:r>
      <w:r>
        <w:rPr>
          <w:rFonts w:ascii="Arial" w:hAnsi="Arial" w:cs="Arial"/>
          <w:color w:val="000000"/>
          <w:sz w:val="20"/>
          <w:szCs w:val="20"/>
        </w:rPr>
        <w:t>year old app</w:t>
      </w:r>
      <w:r w:rsidR="000B6254">
        <w:rPr>
          <w:rFonts w:ascii="Arial" w:hAnsi="Arial" w:cs="Arial"/>
          <w:color w:val="000000"/>
          <w:sz w:val="20"/>
          <w:szCs w:val="20"/>
        </w:rPr>
        <w:t>ella</w:t>
      </w:r>
      <w:r>
        <w:rPr>
          <w:rFonts w:ascii="Arial" w:hAnsi="Arial" w:cs="Arial"/>
          <w:color w:val="000000"/>
          <w:sz w:val="20"/>
          <w:szCs w:val="20"/>
        </w:rPr>
        <w:t>nt had pleaded guilty to</w:t>
      </w:r>
      <w:r w:rsidR="000B6254">
        <w:rPr>
          <w:rFonts w:ascii="Arial" w:hAnsi="Arial" w:cs="Arial"/>
          <w:color w:val="000000"/>
          <w:sz w:val="20"/>
          <w:szCs w:val="20"/>
        </w:rPr>
        <w:t>-</w:t>
      </w:r>
    </w:p>
    <w:p w14:paraId="6A193D20" w14:textId="6ACB2D75" w:rsidR="00104FA8" w:rsidRPr="009207F6" w:rsidRDefault="005017C0" w:rsidP="00C61A37">
      <w:pPr>
        <w:pStyle w:val="ListParagraph"/>
        <w:numPr>
          <w:ilvl w:val="0"/>
          <w:numId w:val="127"/>
        </w:numPr>
        <w:ind w:left="357" w:hanging="357"/>
        <w:jc w:val="both"/>
        <w:rPr>
          <w:rFonts w:ascii="Arial" w:hAnsi="Arial" w:cs="Arial"/>
          <w:color w:val="000000"/>
          <w:sz w:val="20"/>
          <w:szCs w:val="20"/>
        </w:rPr>
      </w:pPr>
      <w:r w:rsidRPr="009207F6">
        <w:rPr>
          <w:rFonts w:ascii="Arial" w:hAnsi="Arial" w:cs="Arial"/>
          <w:color w:val="000000"/>
          <w:sz w:val="20"/>
          <w:szCs w:val="20"/>
        </w:rPr>
        <w:t xml:space="preserve">a </w:t>
      </w:r>
      <w:r w:rsidR="005B2BDB" w:rsidRPr="009207F6">
        <w:rPr>
          <w:rFonts w:ascii="Arial" w:hAnsi="Arial" w:cs="Arial"/>
          <w:color w:val="000000"/>
          <w:sz w:val="20"/>
          <w:szCs w:val="20"/>
        </w:rPr>
        <w:t xml:space="preserve">course of conduct change of </w:t>
      </w:r>
      <w:r w:rsidR="00D45D64" w:rsidRPr="009207F6">
        <w:rPr>
          <w:rFonts w:ascii="Arial" w:hAnsi="Arial" w:cs="Arial"/>
          <w:color w:val="000000"/>
          <w:sz w:val="20"/>
          <w:szCs w:val="20"/>
        </w:rPr>
        <w:t>incest</w:t>
      </w:r>
      <w:r w:rsidR="00104FA8" w:rsidRPr="009207F6">
        <w:rPr>
          <w:rFonts w:ascii="Arial" w:hAnsi="Arial" w:cs="Arial"/>
          <w:color w:val="000000"/>
          <w:sz w:val="20"/>
          <w:szCs w:val="20"/>
        </w:rPr>
        <w:t xml:space="preserve"> in which during weekly visits the </w:t>
      </w:r>
      <w:r w:rsidR="000B6254" w:rsidRPr="009207F6">
        <w:rPr>
          <w:rFonts w:ascii="Arial" w:hAnsi="Arial" w:cs="Arial"/>
          <w:color w:val="000000"/>
          <w:sz w:val="20"/>
          <w:szCs w:val="20"/>
        </w:rPr>
        <w:t xml:space="preserve">appellant had penetrated his </w:t>
      </w:r>
      <w:r w:rsidR="001F0BF6" w:rsidRPr="009207F6">
        <w:rPr>
          <w:rFonts w:ascii="Arial" w:hAnsi="Arial" w:cs="Arial"/>
          <w:color w:val="000000"/>
          <w:sz w:val="20"/>
          <w:szCs w:val="20"/>
        </w:rPr>
        <w:t xml:space="preserve">13 year old </w:t>
      </w:r>
      <w:r w:rsidR="000B6254" w:rsidRPr="009207F6">
        <w:rPr>
          <w:rFonts w:ascii="Arial" w:hAnsi="Arial" w:cs="Arial"/>
          <w:color w:val="000000"/>
          <w:sz w:val="20"/>
          <w:szCs w:val="20"/>
        </w:rPr>
        <w:t xml:space="preserve">daughter’s vagina and anus on a frequent basis </w:t>
      </w:r>
      <w:r w:rsidR="001F0BF6" w:rsidRPr="009207F6">
        <w:rPr>
          <w:rFonts w:ascii="Arial" w:hAnsi="Arial" w:cs="Arial"/>
          <w:color w:val="000000"/>
          <w:sz w:val="20"/>
          <w:szCs w:val="20"/>
        </w:rPr>
        <w:t>which typically involved holding his daughter down; and</w:t>
      </w:r>
    </w:p>
    <w:p w14:paraId="37F3FA47" w14:textId="345D73A2" w:rsidR="001F0BF6" w:rsidRPr="000B6254" w:rsidRDefault="001F0BF6" w:rsidP="00C61A37">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charge of sexual assault </w:t>
      </w:r>
      <w:r w:rsidR="00F9247D">
        <w:rPr>
          <w:rFonts w:ascii="Arial" w:hAnsi="Arial" w:cs="Arial"/>
          <w:color w:val="000000"/>
          <w:sz w:val="20"/>
          <w:szCs w:val="20"/>
        </w:rPr>
        <w:t xml:space="preserve">and </w:t>
      </w:r>
      <w:r w:rsidR="009207F6">
        <w:rPr>
          <w:rFonts w:ascii="Arial" w:hAnsi="Arial" w:cs="Arial"/>
          <w:color w:val="000000"/>
          <w:sz w:val="20"/>
          <w:szCs w:val="20"/>
        </w:rPr>
        <w:t xml:space="preserve">(3-6) </w:t>
      </w:r>
      <w:r w:rsidR="0011757E">
        <w:rPr>
          <w:rFonts w:ascii="Arial" w:hAnsi="Arial" w:cs="Arial"/>
          <w:color w:val="000000"/>
          <w:sz w:val="20"/>
          <w:szCs w:val="20"/>
        </w:rPr>
        <w:t>four</w:t>
      </w:r>
      <w:r w:rsidR="00F9247D">
        <w:rPr>
          <w:rFonts w:ascii="Arial" w:hAnsi="Arial" w:cs="Arial"/>
          <w:color w:val="000000"/>
          <w:sz w:val="20"/>
          <w:szCs w:val="20"/>
        </w:rPr>
        <w:t xml:space="preserve"> charges of sexual penetration of </w:t>
      </w:r>
      <w:r w:rsidR="0011757E">
        <w:rPr>
          <w:rFonts w:ascii="Arial" w:hAnsi="Arial" w:cs="Arial"/>
          <w:color w:val="000000"/>
          <w:sz w:val="20"/>
          <w:szCs w:val="20"/>
        </w:rPr>
        <w:t>his</w:t>
      </w:r>
      <w:r w:rsidR="009A1AF0">
        <w:rPr>
          <w:rFonts w:ascii="Arial" w:hAnsi="Arial" w:cs="Arial"/>
          <w:color w:val="000000"/>
          <w:sz w:val="20"/>
          <w:szCs w:val="20"/>
        </w:rPr>
        <w:t xml:space="preserve"> 11 year old</w:t>
      </w:r>
      <w:r w:rsidR="00F9247D">
        <w:rPr>
          <w:rFonts w:ascii="Arial" w:hAnsi="Arial" w:cs="Arial"/>
          <w:color w:val="000000"/>
          <w:sz w:val="20"/>
          <w:szCs w:val="20"/>
        </w:rPr>
        <w:t xml:space="preserve"> step</w:t>
      </w:r>
      <w:r w:rsidR="002B6091">
        <w:rPr>
          <w:rFonts w:ascii="Arial" w:hAnsi="Arial" w:cs="Arial"/>
          <w:color w:val="000000"/>
          <w:sz w:val="20"/>
          <w:szCs w:val="20"/>
        </w:rPr>
        <w:t>daughter</w:t>
      </w:r>
      <w:r w:rsidR="005E0FE6">
        <w:rPr>
          <w:rFonts w:ascii="Arial" w:hAnsi="Arial" w:cs="Arial"/>
          <w:color w:val="000000"/>
          <w:sz w:val="20"/>
          <w:szCs w:val="20"/>
        </w:rPr>
        <w:t>.</w:t>
      </w:r>
    </w:p>
    <w:p w14:paraId="345DB378" w14:textId="61E3EBE5" w:rsidR="00D45D64" w:rsidRDefault="00BB5D0E" w:rsidP="00BA07AA">
      <w:pPr>
        <w:jc w:val="both"/>
        <w:rPr>
          <w:rFonts w:ascii="Arial" w:hAnsi="Arial" w:cs="Arial"/>
          <w:color w:val="000000"/>
          <w:sz w:val="20"/>
          <w:szCs w:val="20"/>
        </w:rPr>
      </w:pPr>
      <w:r>
        <w:rPr>
          <w:rFonts w:ascii="Arial" w:hAnsi="Arial" w:cs="Arial"/>
          <w:color w:val="000000"/>
          <w:sz w:val="20"/>
          <w:szCs w:val="20"/>
        </w:rPr>
        <w:t xml:space="preserve">A TES IMP17y1m/13y was imposed.  In </w:t>
      </w:r>
      <w:r w:rsidR="00A03A79">
        <w:rPr>
          <w:rFonts w:ascii="Arial" w:hAnsi="Arial" w:cs="Arial"/>
          <w:color w:val="000000"/>
          <w:sz w:val="20"/>
          <w:szCs w:val="20"/>
        </w:rPr>
        <w:t>dismiss</w:t>
      </w:r>
      <w:r>
        <w:rPr>
          <w:rFonts w:ascii="Arial" w:hAnsi="Arial" w:cs="Arial"/>
          <w:color w:val="000000"/>
          <w:sz w:val="20"/>
          <w:szCs w:val="20"/>
        </w:rPr>
        <w:t>ing t</w:t>
      </w:r>
      <w:r w:rsidR="00A03A79">
        <w:rPr>
          <w:rFonts w:ascii="Arial" w:hAnsi="Arial" w:cs="Arial"/>
          <w:color w:val="000000"/>
          <w:sz w:val="20"/>
          <w:szCs w:val="20"/>
        </w:rPr>
        <w:t>he</w:t>
      </w:r>
      <w:r>
        <w:rPr>
          <w:rFonts w:ascii="Arial" w:hAnsi="Arial" w:cs="Arial"/>
          <w:color w:val="000000"/>
          <w:sz w:val="20"/>
          <w:szCs w:val="20"/>
        </w:rPr>
        <w:t xml:space="preserve"> appeal </w:t>
      </w:r>
      <w:r w:rsidR="005C17D8">
        <w:rPr>
          <w:rFonts w:ascii="Arial" w:hAnsi="Arial" w:cs="Arial"/>
          <w:color w:val="000000"/>
          <w:sz w:val="20"/>
          <w:szCs w:val="20"/>
        </w:rPr>
        <w:t>the Court of Appeal held that the app</w:t>
      </w:r>
      <w:r w:rsidR="00A03A79">
        <w:rPr>
          <w:rFonts w:ascii="Arial" w:hAnsi="Arial" w:cs="Arial"/>
          <w:color w:val="000000"/>
          <w:sz w:val="20"/>
          <w:szCs w:val="20"/>
        </w:rPr>
        <w:t>ell</w:t>
      </w:r>
      <w:r w:rsidR="005C17D8">
        <w:rPr>
          <w:rFonts w:ascii="Arial" w:hAnsi="Arial" w:cs="Arial"/>
          <w:color w:val="000000"/>
          <w:sz w:val="20"/>
          <w:szCs w:val="20"/>
        </w:rPr>
        <w:t xml:space="preserve">ant’s plea of guilty </w:t>
      </w:r>
      <w:r w:rsidR="00A03A79">
        <w:rPr>
          <w:rFonts w:ascii="Arial" w:hAnsi="Arial" w:cs="Arial"/>
          <w:color w:val="000000"/>
          <w:sz w:val="20"/>
          <w:szCs w:val="20"/>
        </w:rPr>
        <w:t>and</w:t>
      </w:r>
      <w:r w:rsidR="00BA0B31">
        <w:rPr>
          <w:rFonts w:ascii="Arial" w:hAnsi="Arial" w:cs="Arial"/>
          <w:color w:val="000000"/>
          <w:sz w:val="20"/>
          <w:szCs w:val="20"/>
        </w:rPr>
        <w:t xml:space="preserve"> the onerous nature of custody under COVID-19 </w:t>
      </w:r>
      <w:r w:rsidR="005E0FE6">
        <w:rPr>
          <w:rFonts w:ascii="Arial" w:hAnsi="Arial" w:cs="Arial"/>
          <w:color w:val="000000"/>
          <w:sz w:val="20"/>
          <w:szCs w:val="20"/>
        </w:rPr>
        <w:t xml:space="preserve">conditions </w:t>
      </w:r>
      <w:r w:rsidR="005C17D8">
        <w:rPr>
          <w:rFonts w:ascii="Arial" w:hAnsi="Arial" w:cs="Arial"/>
          <w:color w:val="000000"/>
          <w:sz w:val="20"/>
          <w:szCs w:val="20"/>
        </w:rPr>
        <w:t>had not been</w:t>
      </w:r>
      <w:r w:rsidR="00BA0B31">
        <w:rPr>
          <w:rFonts w:ascii="Arial" w:hAnsi="Arial" w:cs="Arial"/>
          <w:color w:val="000000"/>
          <w:sz w:val="20"/>
          <w:szCs w:val="20"/>
        </w:rPr>
        <w:t xml:space="preserve"> </w:t>
      </w:r>
      <w:r w:rsidR="005C17D8">
        <w:rPr>
          <w:rFonts w:ascii="Arial" w:hAnsi="Arial" w:cs="Arial"/>
          <w:color w:val="000000"/>
          <w:sz w:val="20"/>
          <w:szCs w:val="20"/>
        </w:rPr>
        <w:t>undervalued by the sentencing judge.  At</w:t>
      </w:r>
      <w:r w:rsidR="0011757E">
        <w:rPr>
          <w:rFonts w:ascii="Arial" w:hAnsi="Arial" w:cs="Arial"/>
          <w:color w:val="000000"/>
          <w:sz w:val="20"/>
          <w:szCs w:val="20"/>
        </w:rPr>
        <w:t xml:space="preserve"> </w:t>
      </w:r>
      <w:r w:rsidR="005C17D8">
        <w:rPr>
          <w:rFonts w:ascii="Arial" w:hAnsi="Arial" w:cs="Arial"/>
          <w:color w:val="000000"/>
          <w:sz w:val="20"/>
          <w:szCs w:val="20"/>
        </w:rPr>
        <w:t>[22] &amp; [</w:t>
      </w:r>
      <w:r w:rsidR="000D22EF">
        <w:rPr>
          <w:rFonts w:ascii="Arial" w:hAnsi="Arial" w:cs="Arial"/>
          <w:color w:val="000000"/>
          <w:sz w:val="20"/>
          <w:szCs w:val="20"/>
        </w:rPr>
        <w:t>25</w:t>
      </w:r>
      <w:r w:rsidR="005C17D8">
        <w:rPr>
          <w:rFonts w:ascii="Arial" w:hAnsi="Arial" w:cs="Arial"/>
          <w:color w:val="000000"/>
          <w:sz w:val="20"/>
          <w:szCs w:val="20"/>
        </w:rPr>
        <w:t>]-[</w:t>
      </w:r>
      <w:r w:rsidR="000D22EF">
        <w:rPr>
          <w:rFonts w:ascii="Arial" w:hAnsi="Arial" w:cs="Arial"/>
          <w:color w:val="000000"/>
          <w:sz w:val="20"/>
          <w:szCs w:val="20"/>
        </w:rPr>
        <w:t>28</w:t>
      </w:r>
      <w:r w:rsidR="005C17D8">
        <w:rPr>
          <w:rFonts w:ascii="Arial" w:hAnsi="Arial" w:cs="Arial"/>
          <w:color w:val="000000"/>
          <w:sz w:val="20"/>
          <w:szCs w:val="20"/>
        </w:rPr>
        <w:t xml:space="preserve">] </w:t>
      </w:r>
      <w:r w:rsidR="005017C0">
        <w:rPr>
          <w:rFonts w:ascii="Arial" w:hAnsi="Arial" w:cs="Arial"/>
          <w:color w:val="000000"/>
          <w:sz w:val="20"/>
          <w:szCs w:val="20"/>
        </w:rPr>
        <w:t>Beach &amp; T Forrest JJA said:</w:t>
      </w:r>
    </w:p>
    <w:p w14:paraId="1302AC67" w14:textId="5754FB94" w:rsidR="008B441F" w:rsidRDefault="00B342BB" w:rsidP="003472B1">
      <w:pPr>
        <w:pStyle w:val="Normal-Indent"/>
        <w:widowControl/>
        <w:spacing w:before="60" w:line="240" w:lineRule="auto"/>
        <w:ind w:left="567" w:right="567"/>
        <w:rPr>
          <w:rFonts w:ascii="Arial" w:hAnsi="Arial" w:cs="Arial"/>
          <w:sz w:val="20"/>
        </w:rPr>
      </w:pPr>
      <w:r>
        <w:rPr>
          <w:rFonts w:ascii="Arial" w:hAnsi="Arial" w:cs="Arial"/>
          <w:sz w:val="20"/>
        </w:rPr>
        <w:t>[22] “</w:t>
      </w:r>
      <w:r w:rsidRPr="008B441F">
        <w:rPr>
          <w:rFonts w:ascii="Arial" w:hAnsi="Arial" w:cs="Arial"/>
          <w:sz w:val="20"/>
        </w:rPr>
        <w:t>The appellant’s offending against his daughter and stepdaughter can only be described as appalling. In what were comprehensive and commendably detailed reasons for sentence, the judge rightly described the offending as ‘heinous’; ‘a fundamental abuse of parental authority and as a fundamental betrayal of the whole community’s recognised values of family, of decency and of simple common humanity’; and as having deprived the appellant’s victims (his daughter and his stepdaughter) of their childhoods, their physical integrity, and their right to feel safe at home.</w:t>
      </w:r>
      <w:r>
        <w:rPr>
          <w:rFonts w:ascii="Arial" w:hAnsi="Arial" w:cs="Arial"/>
          <w:sz w:val="20"/>
        </w:rPr>
        <w:t>”</w:t>
      </w:r>
    </w:p>
    <w:p w14:paraId="3CE735E1" w14:textId="7530CDDA" w:rsidR="00B342BB" w:rsidRDefault="00B342BB" w:rsidP="008B441F">
      <w:pPr>
        <w:pStyle w:val="Normal-Indent"/>
        <w:spacing w:before="60" w:line="240" w:lineRule="auto"/>
        <w:ind w:left="567" w:right="567"/>
        <w:rPr>
          <w:rFonts w:ascii="Arial" w:hAnsi="Arial" w:cs="Arial"/>
          <w:sz w:val="20"/>
        </w:rPr>
      </w:pPr>
      <w:r>
        <w:rPr>
          <w:rFonts w:ascii="Arial" w:hAnsi="Arial" w:cs="Arial"/>
          <w:sz w:val="20"/>
        </w:rPr>
        <w:t>…</w:t>
      </w:r>
    </w:p>
    <w:p w14:paraId="404088E8" w14:textId="5C25D8C0" w:rsidR="00B342BB" w:rsidRDefault="002B6091" w:rsidP="008B441F">
      <w:pPr>
        <w:pStyle w:val="Normal-Indent"/>
        <w:spacing w:before="60" w:line="240" w:lineRule="auto"/>
        <w:ind w:left="567" w:right="567"/>
        <w:rPr>
          <w:rFonts w:ascii="Arial" w:hAnsi="Arial" w:cs="Arial"/>
          <w:sz w:val="20"/>
        </w:rPr>
      </w:pPr>
      <w:r>
        <w:rPr>
          <w:rFonts w:ascii="Arial" w:hAnsi="Arial" w:cs="Arial"/>
          <w:sz w:val="20"/>
        </w:rPr>
        <w:t xml:space="preserve">[25] </w:t>
      </w:r>
      <w:r w:rsidR="00FF176D" w:rsidRPr="008B441F">
        <w:rPr>
          <w:rFonts w:ascii="Arial" w:hAnsi="Arial" w:cs="Arial"/>
          <w:sz w:val="20"/>
        </w:rPr>
        <w:t>When one looks at the total criminality involved in respect of all charges, it cannot be said that a total effective sentence of 17</w:t>
      </w:r>
      <w:r w:rsidR="009A1AF0">
        <w:rPr>
          <w:rFonts w:ascii="Arial" w:hAnsi="Arial" w:cs="Arial"/>
          <w:sz w:val="20"/>
        </w:rPr>
        <w:t>y1m</w:t>
      </w:r>
      <w:r w:rsidR="00FF176D" w:rsidRPr="008B441F">
        <w:rPr>
          <w:rFonts w:ascii="Arial" w:hAnsi="Arial" w:cs="Arial"/>
          <w:sz w:val="20"/>
        </w:rPr>
        <w:t xml:space="preserve"> infringes the principle of totality. Each of charges 1, 3, 4, 5 and 6 were very serious examples of very serious offences. While charge 4, which resulted in the impregnation of the appellant’s 11 year old stepdaughter, received the highest sentence, the protracted and repeated penetrations by the appellant of his 13 year old daughter’s vagina and anus (charge 1) resulted in the appellant receiving a sentence on that charge which could only be described as modest in all the circumstances. Plainly there can have been no undervaluing of the appellant’s plea of guilty on that charge when it came to the imposition of a sentence of a mere 10 years for that offending.</w:t>
      </w:r>
    </w:p>
    <w:p w14:paraId="3624AA30" w14:textId="77777777" w:rsidR="00BB7758" w:rsidRDefault="009A1AF0" w:rsidP="009A1AF0">
      <w:pPr>
        <w:pStyle w:val="Normal-Indent"/>
        <w:spacing w:before="60" w:line="240" w:lineRule="auto"/>
        <w:ind w:left="567" w:right="567"/>
        <w:rPr>
          <w:rFonts w:ascii="Arial" w:hAnsi="Arial" w:cs="Arial"/>
          <w:sz w:val="20"/>
        </w:rPr>
      </w:pPr>
      <w:r>
        <w:rPr>
          <w:rFonts w:ascii="Arial" w:hAnsi="Arial" w:cs="Arial"/>
          <w:sz w:val="20"/>
        </w:rPr>
        <w:t xml:space="preserve">[26] </w:t>
      </w:r>
      <w:r w:rsidRPr="008B441F">
        <w:rPr>
          <w:rFonts w:ascii="Arial" w:hAnsi="Arial" w:cs="Arial"/>
          <w:sz w:val="20"/>
        </w:rPr>
        <w:t xml:space="preserve">It will be recalled that the standard sentence for charges 3, 4, 5 and 6 is 10 years’ </w:t>
      </w:r>
      <w:r w:rsidRPr="008B441F">
        <w:rPr>
          <w:rFonts w:ascii="Arial" w:hAnsi="Arial" w:cs="Arial"/>
          <w:sz w:val="20"/>
        </w:rPr>
        <w:lastRenderedPageBreak/>
        <w:t>imprisonment. The standard sentence, as correctly characterised by her Honour, is a legislative guidepost akin to the similar guidance provided by the maximum penalty for an offence. The standard sentence takes ‘account only of the objective factors affecting the relative seriousness of that offence’, and not the personal circumstances of the offender. Parliament has determined that the standard sentence is intended to reflect offending in ‘the middle of the range of seriousness’ for the offence being considered.</w:t>
      </w:r>
      <w:r>
        <w:rPr>
          <w:rFonts w:ascii="Arial" w:hAnsi="Arial" w:cs="Arial"/>
          <w:sz w:val="20"/>
        </w:rPr>
        <w:t xml:space="preserve">  </w:t>
      </w:r>
      <w:r w:rsidR="00BC3409" w:rsidRPr="008B441F">
        <w:rPr>
          <w:rFonts w:ascii="Arial" w:hAnsi="Arial" w:cs="Arial"/>
          <w:sz w:val="20"/>
        </w:rPr>
        <w:t>These guideposts are to be considered along with the other factors relevant to the instinctive synthesis.</w:t>
      </w:r>
    </w:p>
    <w:p w14:paraId="32BD2784" w14:textId="77777777" w:rsidR="00BB7758"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27 The offending constituting charge 4 represents an extremely serious example of the offence of sexual penetration of a stepchild, considerably more serious, in our view, than a notional middle of the range example of this offence. Ultimately, the judge imposed a sentence for that offence that was only 44</w:t>
      </w:r>
      <w:r>
        <w:rPr>
          <w:rFonts w:ascii="Arial" w:hAnsi="Arial" w:cs="Arial"/>
          <w:sz w:val="20"/>
        </w:rPr>
        <w:t>%</w:t>
      </w:r>
      <w:r w:rsidR="00BC3409" w:rsidRPr="008B441F">
        <w:rPr>
          <w:rFonts w:ascii="Arial" w:hAnsi="Arial" w:cs="Arial"/>
          <w:sz w:val="20"/>
        </w:rPr>
        <w:t xml:space="preserve"> of the maximum penalty, and slightly higher than the standard sentence. Many more factors, as we have observed, inform the instinctive synthesis, however, the objective gravity of the offending on charge 4, involving the impregnation of this 11 year old child, would have permitted the judge to impose a significantly higher sentence than that which was ultimately imposed for this charge.</w:t>
      </w:r>
    </w:p>
    <w:p w14:paraId="56C29088" w14:textId="293BB58C" w:rsidR="00BC3409" w:rsidRPr="008B441F"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28</w:t>
      </w:r>
      <w:r>
        <w:rPr>
          <w:rFonts w:ascii="Arial" w:hAnsi="Arial" w:cs="Arial"/>
          <w:sz w:val="20"/>
        </w:rPr>
        <w:t>]</w:t>
      </w:r>
      <w:r w:rsidR="00BC3409" w:rsidRPr="008B441F">
        <w:rPr>
          <w:rFonts w:ascii="Arial" w:hAnsi="Arial" w:cs="Arial"/>
          <w:sz w:val="20"/>
        </w:rPr>
        <w:t xml:space="preserve"> Similarly, it is to be remembered that, in addition to charges 3–6 being standard sentence offences, the appellant was sentenced as a serious sexual offender on those charges — giving rise to a presumption of cumulation in respect of the sentences on those charges. In the circumstances, it is difficult to see how there can be any complaint about the orders for cumulation made on charges 3, 5 and 6.</w:t>
      </w:r>
      <w:r>
        <w:rPr>
          <w:rFonts w:ascii="Arial" w:hAnsi="Arial" w:cs="Arial"/>
          <w:sz w:val="20"/>
        </w:rPr>
        <w:t>”</w:t>
      </w:r>
    </w:p>
    <w:p w14:paraId="348F9328" w14:textId="77777777" w:rsidR="007379A0" w:rsidRDefault="007379A0" w:rsidP="007379A0">
      <w:pPr>
        <w:jc w:val="both"/>
        <w:rPr>
          <w:rFonts w:ascii="Arial" w:hAnsi="Arial" w:cs="Arial"/>
          <w:color w:val="000000"/>
          <w:sz w:val="20"/>
          <w:szCs w:val="20"/>
        </w:rPr>
      </w:pPr>
    </w:p>
    <w:p w14:paraId="05630266" w14:textId="5528F4E7" w:rsidR="00240892" w:rsidRDefault="00240892" w:rsidP="007379A0">
      <w:pPr>
        <w:jc w:val="both"/>
        <w:rPr>
          <w:rFonts w:ascii="Arial" w:hAnsi="Arial" w:cs="Arial"/>
          <w:color w:val="000000"/>
          <w:sz w:val="20"/>
          <w:szCs w:val="20"/>
        </w:rPr>
      </w:pPr>
      <w:r>
        <w:rPr>
          <w:rFonts w:ascii="Arial" w:hAnsi="Arial" w:cs="Arial"/>
          <w:color w:val="000000"/>
          <w:sz w:val="20"/>
          <w:szCs w:val="20"/>
        </w:rPr>
        <w:t xml:space="preserve">In </w:t>
      </w:r>
      <w:r w:rsidRPr="00240892">
        <w:rPr>
          <w:rFonts w:ascii="Arial" w:hAnsi="Arial" w:cs="Arial"/>
          <w:i/>
          <w:iCs/>
          <w:color w:val="000000"/>
          <w:sz w:val="20"/>
          <w:szCs w:val="20"/>
        </w:rPr>
        <w:t>Gibson (a pseudonym) v The King</w:t>
      </w:r>
      <w:r>
        <w:rPr>
          <w:rFonts w:ascii="Arial" w:hAnsi="Arial" w:cs="Arial"/>
          <w:color w:val="000000"/>
          <w:sz w:val="20"/>
          <w:szCs w:val="20"/>
        </w:rPr>
        <w:t xml:space="preserve"> [2024] VSCA 33 the applicant had pleaded guilty to 5 charges of indecent act with a child under 16 </w:t>
      </w:r>
      <w:r w:rsidR="00F25AFE">
        <w:rPr>
          <w:rFonts w:ascii="Arial" w:hAnsi="Arial" w:cs="Arial"/>
          <w:color w:val="000000"/>
          <w:sz w:val="20"/>
          <w:szCs w:val="20"/>
        </w:rPr>
        <w:t>(</w:t>
      </w:r>
      <w:r>
        <w:rPr>
          <w:rFonts w:ascii="Arial" w:hAnsi="Arial" w:cs="Arial"/>
          <w:color w:val="000000"/>
          <w:sz w:val="20"/>
          <w:szCs w:val="20"/>
        </w:rPr>
        <w:t>on the first indictment</w:t>
      </w:r>
      <w:r w:rsidR="00F25AFE">
        <w:rPr>
          <w:rFonts w:ascii="Arial" w:hAnsi="Arial" w:cs="Arial"/>
          <w:color w:val="000000"/>
          <w:sz w:val="20"/>
          <w:szCs w:val="20"/>
        </w:rPr>
        <w:t>)</w:t>
      </w:r>
      <w:r>
        <w:rPr>
          <w:rFonts w:ascii="Arial" w:hAnsi="Arial" w:cs="Arial"/>
          <w:color w:val="000000"/>
          <w:sz w:val="20"/>
          <w:szCs w:val="20"/>
        </w:rPr>
        <w:t xml:space="preserve"> and had been found guilty of </w:t>
      </w:r>
      <w:r w:rsidR="00F25AFE">
        <w:rPr>
          <w:rFonts w:ascii="Arial" w:hAnsi="Arial" w:cs="Arial"/>
          <w:color w:val="000000"/>
          <w:sz w:val="20"/>
          <w:szCs w:val="20"/>
        </w:rPr>
        <w:t xml:space="preserve">1 </w:t>
      </w:r>
      <w:r w:rsidR="00F25AFE" w:rsidRPr="00240892">
        <w:rPr>
          <w:rFonts w:ascii="Arial" w:hAnsi="Arial" w:cs="Arial"/>
          <w:sz w:val="20"/>
          <w:szCs w:val="20"/>
        </w:rPr>
        <w:t xml:space="preserve">charge of indecent act with </w:t>
      </w:r>
      <w:r w:rsidR="00F25AFE">
        <w:rPr>
          <w:rFonts w:ascii="Arial" w:hAnsi="Arial" w:cs="Arial"/>
          <w:sz w:val="20"/>
          <w:szCs w:val="20"/>
        </w:rPr>
        <w:t xml:space="preserve">a </w:t>
      </w:r>
      <w:r w:rsidR="00F25AFE" w:rsidRPr="00240892">
        <w:rPr>
          <w:rFonts w:ascii="Arial" w:hAnsi="Arial" w:cs="Arial"/>
          <w:sz w:val="20"/>
          <w:szCs w:val="20"/>
        </w:rPr>
        <w:t xml:space="preserve">child under 16, </w:t>
      </w:r>
      <w:r w:rsidR="00F25AFE">
        <w:rPr>
          <w:rFonts w:ascii="Arial" w:hAnsi="Arial" w:cs="Arial"/>
          <w:sz w:val="20"/>
          <w:szCs w:val="20"/>
        </w:rPr>
        <w:t>1</w:t>
      </w:r>
      <w:r w:rsidR="00F25AFE" w:rsidRPr="00240892">
        <w:rPr>
          <w:rFonts w:ascii="Arial" w:hAnsi="Arial" w:cs="Arial"/>
          <w:sz w:val="20"/>
          <w:szCs w:val="20"/>
        </w:rPr>
        <w:t xml:space="preserve"> charge of gross indecency with </w:t>
      </w:r>
      <w:r w:rsidR="00F25AFE">
        <w:rPr>
          <w:rFonts w:ascii="Arial" w:hAnsi="Arial" w:cs="Arial"/>
          <w:sz w:val="20"/>
          <w:szCs w:val="20"/>
        </w:rPr>
        <w:t xml:space="preserve">a </w:t>
      </w:r>
      <w:r w:rsidR="00F25AFE" w:rsidRPr="00240892">
        <w:rPr>
          <w:rFonts w:ascii="Arial" w:hAnsi="Arial" w:cs="Arial"/>
          <w:sz w:val="20"/>
          <w:szCs w:val="20"/>
        </w:rPr>
        <w:t xml:space="preserve">person under 16, </w:t>
      </w:r>
      <w:r w:rsidR="00F25AFE">
        <w:rPr>
          <w:rFonts w:ascii="Arial" w:hAnsi="Arial" w:cs="Arial"/>
          <w:sz w:val="20"/>
          <w:szCs w:val="20"/>
        </w:rPr>
        <w:t>2</w:t>
      </w:r>
      <w:r w:rsidR="00F25AFE" w:rsidRPr="00240892">
        <w:rPr>
          <w:rFonts w:ascii="Arial" w:hAnsi="Arial" w:cs="Arial"/>
          <w:sz w:val="20"/>
          <w:szCs w:val="20"/>
        </w:rPr>
        <w:t xml:space="preserve"> charges of incest and </w:t>
      </w:r>
      <w:r w:rsidR="00F25AFE">
        <w:rPr>
          <w:rFonts w:ascii="Arial" w:hAnsi="Arial" w:cs="Arial"/>
          <w:sz w:val="20"/>
          <w:szCs w:val="20"/>
        </w:rPr>
        <w:t>4</w:t>
      </w:r>
      <w:r w:rsidR="00F25AFE" w:rsidRPr="00240892">
        <w:rPr>
          <w:rFonts w:ascii="Arial" w:hAnsi="Arial" w:cs="Arial"/>
          <w:sz w:val="20"/>
          <w:szCs w:val="20"/>
        </w:rPr>
        <w:t xml:space="preserve"> charges of indecent assault </w:t>
      </w:r>
      <w:r w:rsidR="00F25AFE">
        <w:rPr>
          <w:rFonts w:ascii="Arial" w:hAnsi="Arial" w:cs="Arial"/>
          <w:sz w:val="20"/>
          <w:szCs w:val="20"/>
        </w:rPr>
        <w:t xml:space="preserve">(on the </w:t>
      </w:r>
      <w:r w:rsidR="00F25AFE" w:rsidRPr="00240892">
        <w:rPr>
          <w:rFonts w:ascii="Arial" w:hAnsi="Arial" w:cs="Arial"/>
          <w:sz w:val="20"/>
          <w:szCs w:val="20"/>
        </w:rPr>
        <w:t>second indictment</w:t>
      </w:r>
      <w:r w:rsidR="00F25AFE">
        <w:rPr>
          <w:rFonts w:ascii="Arial" w:hAnsi="Arial" w:cs="Arial"/>
          <w:sz w:val="20"/>
          <w:szCs w:val="20"/>
        </w:rPr>
        <w:t xml:space="preserve">).  He was sentenced to TES IMP 14y/10y.  In refusing leave to appeal, the Court of Appeal said at </w:t>
      </w:r>
      <w:r w:rsidR="00145817">
        <w:rPr>
          <w:rFonts w:ascii="Arial" w:hAnsi="Arial" w:cs="Arial"/>
          <w:sz w:val="20"/>
          <w:szCs w:val="20"/>
        </w:rPr>
        <w:t>[75]-</w:t>
      </w:r>
      <w:r w:rsidR="00F25AFE">
        <w:rPr>
          <w:rFonts w:ascii="Arial" w:hAnsi="Arial" w:cs="Arial"/>
          <w:sz w:val="20"/>
          <w:szCs w:val="20"/>
        </w:rPr>
        <w:t>[77]:</w:t>
      </w:r>
    </w:p>
    <w:p w14:paraId="0365B8D8" w14:textId="77777777" w:rsidR="00145817" w:rsidRDefault="00145817" w:rsidP="00145817">
      <w:pPr>
        <w:pStyle w:val="Normal-Indent"/>
        <w:spacing w:before="60" w:line="240" w:lineRule="auto"/>
        <w:ind w:left="567" w:right="567"/>
        <w:rPr>
          <w:rFonts w:ascii="Arial" w:hAnsi="Arial" w:cs="Arial"/>
          <w:sz w:val="20"/>
        </w:rPr>
      </w:pPr>
      <w:r>
        <w:rPr>
          <w:rFonts w:ascii="Arial" w:hAnsi="Arial" w:cs="Arial"/>
          <w:sz w:val="20"/>
        </w:rPr>
        <w:t>[75] “</w:t>
      </w:r>
      <w:r w:rsidRPr="00145817">
        <w:rPr>
          <w:rFonts w:ascii="Arial" w:hAnsi="Arial" w:cs="Arial"/>
          <w:sz w:val="20"/>
        </w:rPr>
        <w:t xml:space="preserve">Her Honour concluded by acknowledging the adverse impact of the applicant’s disadvantaged and traumatic childhood, and the ‘tragic irony’ that ‘[he had] now transmitted trauma to multiple others’. Her Honour stated: </w:t>
      </w:r>
    </w:p>
    <w:p w14:paraId="27D1D1F0" w14:textId="49C78DC8" w:rsidR="00145817" w:rsidRPr="00145817" w:rsidRDefault="00145817" w:rsidP="00145817">
      <w:pPr>
        <w:pStyle w:val="Normal-Indent"/>
        <w:spacing w:before="60" w:line="240" w:lineRule="auto"/>
        <w:ind w:left="1021" w:right="1021"/>
        <w:rPr>
          <w:rFonts w:ascii="Arial" w:hAnsi="Arial" w:cs="Arial"/>
          <w:sz w:val="18"/>
          <w:szCs w:val="18"/>
        </w:rPr>
      </w:pPr>
      <w:r w:rsidRPr="00145817">
        <w:rPr>
          <w:rFonts w:ascii="Arial" w:hAnsi="Arial" w:cs="Arial"/>
          <w:sz w:val="18"/>
          <w:szCs w:val="18"/>
        </w:rPr>
        <w:t>‘The length of the offending, and the nature of the offending, particularly in relation to Brenda, makes it very grave. The law recognizes the appalling nature of incest, involving as it does such a fundamental breach of trust, an abdication of parental responsibility and cynical exploitation of the opportunity for sexual contact while in a position of trust. It is also a crime of violence. It strikes at the heart of the family relationship and involves abuse of parental responsibility to protect a child and, instead, does harm.’</w:t>
      </w:r>
    </w:p>
    <w:p w14:paraId="4683897E" w14:textId="376FA24E" w:rsidR="00145817" w:rsidRDefault="00145817" w:rsidP="00145817">
      <w:pPr>
        <w:pStyle w:val="Normal-Indent"/>
        <w:spacing w:before="60" w:line="240" w:lineRule="auto"/>
        <w:ind w:left="567" w:right="567"/>
        <w:rPr>
          <w:rFonts w:ascii="Arial" w:hAnsi="Arial" w:cs="Arial"/>
          <w:sz w:val="20"/>
        </w:rPr>
      </w:pPr>
      <w:r w:rsidRPr="00145817">
        <w:rPr>
          <w:rFonts w:ascii="Arial" w:hAnsi="Arial" w:cs="Arial"/>
          <w:sz w:val="20"/>
        </w:rPr>
        <w:t>We endorse these remarks.</w:t>
      </w:r>
    </w:p>
    <w:p w14:paraId="0BDCDCA9" w14:textId="2776F9B2" w:rsidR="00145817" w:rsidRPr="008B441F" w:rsidRDefault="00145817" w:rsidP="00145817">
      <w:pPr>
        <w:pStyle w:val="Normal-Indent"/>
        <w:spacing w:before="60" w:line="240" w:lineRule="auto"/>
        <w:ind w:left="567" w:right="567"/>
        <w:rPr>
          <w:rFonts w:ascii="Arial" w:hAnsi="Arial" w:cs="Arial"/>
          <w:sz w:val="20"/>
        </w:rPr>
      </w:pPr>
      <w:r>
        <w:rPr>
          <w:rFonts w:ascii="Arial" w:hAnsi="Arial" w:cs="Arial"/>
          <w:sz w:val="20"/>
        </w:rPr>
        <w:t xml:space="preserve">[76] </w:t>
      </w:r>
      <w:r w:rsidRPr="00145817">
        <w:rPr>
          <w:rFonts w:ascii="Arial" w:hAnsi="Arial" w:cs="Arial"/>
          <w:sz w:val="20"/>
        </w:rPr>
        <w:t>In our view, her Honour was correct to give weight to denunciation, community protection (the applicant last offended in 2019), just punishment and general deterrence.</w:t>
      </w:r>
      <w:r>
        <w:rPr>
          <w:rFonts w:ascii="Arial" w:hAnsi="Arial" w:cs="Arial"/>
          <w:sz w:val="20"/>
        </w:rPr>
        <w:t xml:space="preserve">  </w:t>
      </w:r>
      <w:r w:rsidRPr="00145817">
        <w:rPr>
          <w:rFonts w:ascii="Arial" w:hAnsi="Arial" w:cs="Arial"/>
          <w:sz w:val="20"/>
        </w:rPr>
        <w:t>Whilst the judge considered the need for specific deterrence was a ‘less prominent consideration’ as a consequence of the applicant’s age and ‘likely physical and psychological decline’ and the fact he would not be in proximity to children whilst serving a lengthy term of imprisonment, her Honour nevertheless concluded that the applicant’s prospects for rehabilitation were poor.</w:t>
      </w:r>
      <w:r>
        <w:rPr>
          <w:rFonts w:ascii="Arial" w:hAnsi="Arial" w:cs="Arial"/>
          <w:sz w:val="20"/>
        </w:rPr>
        <w:t xml:space="preserve"> </w:t>
      </w:r>
      <w:r w:rsidRPr="00145817">
        <w:rPr>
          <w:rFonts w:ascii="Arial" w:hAnsi="Arial" w:cs="Arial"/>
          <w:sz w:val="20"/>
        </w:rPr>
        <w:t xml:space="preserve"> These conclusions were all reflected in the total effective sentence now imposed.</w:t>
      </w:r>
    </w:p>
    <w:p w14:paraId="3611A65A" w14:textId="46793FA1" w:rsidR="00F25AFE" w:rsidRPr="008B441F" w:rsidRDefault="00145817" w:rsidP="00F25AFE">
      <w:pPr>
        <w:pStyle w:val="Normal-Indent"/>
        <w:spacing w:before="60" w:line="240" w:lineRule="auto"/>
        <w:ind w:left="567" w:right="567"/>
        <w:rPr>
          <w:rFonts w:ascii="Arial" w:hAnsi="Arial" w:cs="Arial"/>
          <w:sz w:val="20"/>
        </w:rPr>
      </w:pPr>
      <w:r>
        <w:rPr>
          <w:rFonts w:ascii="Arial" w:hAnsi="Arial" w:cs="Arial"/>
          <w:sz w:val="20"/>
        </w:rPr>
        <w:t xml:space="preserve">[77] </w:t>
      </w:r>
      <w:r w:rsidR="00F25AFE" w:rsidRPr="00F25AFE">
        <w:rPr>
          <w:rFonts w:ascii="Arial" w:hAnsi="Arial" w:cs="Arial"/>
          <w:sz w:val="20"/>
        </w:rPr>
        <w:t>There is no doubt that this is a stern sentence imposed on a man in decline</w:t>
      </w:r>
      <w:r w:rsidR="00F25AFE">
        <w:rPr>
          <w:rFonts w:ascii="Arial" w:hAnsi="Arial" w:cs="Arial"/>
          <w:sz w:val="20"/>
        </w:rPr>
        <w:t xml:space="preserve"> [aged</w:t>
      </w:r>
      <w:r>
        <w:rPr>
          <w:rFonts w:ascii="Arial" w:hAnsi="Arial" w:cs="Arial"/>
          <w:sz w:val="20"/>
        </w:rPr>
        <w:t> </w:t>
      </w:r>
      <w:r w:rsidR="00F25AFE">
        <w:rPr>
          <w:rFonts w:ascii="Arial" w:hAnsi="Arial" w:cs="Arial"/>
          <w:sz w:val="20"/>
        </w:rPr>
        <w:t>72]</w:t>
      </w:r>
      <w:r w:rsidR="00F25AFE" w:rsidRPr="00F25AFE">
        <w:rPr>
          <w:rFonts w:ascii="Arial" w:hAnsi="Arial" w:cs="Arial"/>
          <w:sz w:val="20"/>
        </w:rPr>
        <w:t xml:space="preserve">, but this is, as the judge described it, ‘abhorrent’ and ‘depraved’ offending, deserving of the community’s utmost condemnation. None of the individual sentences are the subject of this application and they are comfortably within range. We consider the orders for cumulation are within the range of sensible sentencing discretion. The orders for cumulation on the first indictment are relatively modest, totalling 8 months of a two year head sentence. In our view, they are unremarkable and reflect appropriately the separate criminality involved as between the five charges. The orders for cumulation are more substantial in the second indictment, however the offending conduct was considerably more criminally culpable; there were two complainants, and the offending extended over many years. None of the orders for cumulation in all the circumstances strike us as manifestly excessive, nor does the second sentence of 12 years’ imprisonment imposed on the second indictment — this was dreadful offending. Further and for the same reasons, we consider the global total effective sentence of 14 years’ </w:t>
      </w:r>
      <w:r w:rsidR="00F25AFE" w:rsidRPr="00F25AFE">
        <w:rPr>
          <w:rFonts w:ascii="Arial" w:hAnsi="Arial" w:cs="Arial"/>
          <w:sz w:val="20"/>
        </w:rPr>
        <w:lastRenderedPageBreak/>
        <w:t>imprisonment with a minimum non-parole period of 10 years to be within the range of sentences open to the judge</w:t>
      </w:r>
      <w:r w:rsidR="00F25AFE">
        <w:rPr>
          <w:rFonts w:ascii="Arial" w:hAnsi="Arial" w:cs="Arial"/>
          <w:sz w:val="20"/>
        </w:rPr>
        <w:t>.”</w:t>
      </w:r>
    </w:p>
    <w:p w14:paraId="2FFC9B25" w14:textId="77777777" w:rsidR="00145817" w:rsidRDefault="00145817" w:rsidP="007379A0">
      <w:pPr>
        <w:jc w:val="both"/>
        <w:rPr>
          <w:rFonts w:ascii="Arial" w:hAnsi="Arial" w:cs="Arial"/>
          <w:color w:val="000000"/>
          <w:sz w:val="20"/>
          <w:szCs w:val="20"/>
        </w:rPr>
      </w:pPr>
    </w:p>
    <w:p w14:paraId="4DA55703" w14:textId="0914DEFD" w:rsidR="00857CD3" w:rsidRDefault="00857CD3" w:rsidP="007379A0">
      <w:pPr>
        <w:jc w:val="both"/>
        <w:rPr>
          <w:rFonts w:ascii="Arial" w:hAnsi="Arial" w:cs="Arial"/>
          <w:color w:val="000000"/>
          <w:sz w:val="20"/>
          <w:szCs w:val="20"/>
        </w:rPr>
      </w:pPr>
      <w:r>
        <w:rPr>
          <w:rFonts w:ascii="Arial" w:hAnsi="Arial" w:cs="Arial"/>
          <w:color w:val="000000"/>
          <w:sz w:val="20"/>
          <w:szCs w:val="20"/>
        </w:rPr>
        <w:t xml:space="preserve">In </w:t>
      </w:r>
      <w:r w:rsidRPr="00857CD3">
        <w:rPr>
          <w:rFonts w:ascii="Arial" w:hAnsi="Arial" w:cs="Arial"/>
          <w:i/>
          <w:iCs/>
          <w:color w:val="000000"/>
          <w:sz w:val="20"/>
          <w:szCs w:val="20"/>
        </w:rPr>
        <w:t>Long (a pseudonym) v The King</w:t>
      </w:r>
      <w:r>
        <w:rPr>
          <w:rFonts w:ascii="Arial" w:hAnsi="Arial" w:cs="Arial"/>
          <w:color w:val="000000"/>
          <w:sz w:val="20"/>
          <w:szCs w:val="20"/>
        </w:rPr>
        <w:t xml:space="preserve"> [2025] VSCA 15 the 76 year old app</w:t>
      </w:r>
      <w:r w:rsidR="00365AB1">
        <w:rPr>
          <w:rFonts w:ascii="Arial" w:hAnsi="Arial" w:cs="Arial"/>
          <w:color w:val="000000"/>
          <w:sz w:val="20"/>
          <w:szCs w:val="20"/>
        </w:rPr>
        <w:t>lic</w:t>
      </w:r>
      <w:r>
        <w:rPr>
          <w:rFonts w:ascii="Arial" w:hAnsi="Arial" w:cs="Arial"/>
          <w:color w:val="000000"/>
          <w:sz w:val="20"/>
          <w:szCs w:val="20"/>
        </w:rPr>
        <w:t>ant – who was 74 years old at the time of offending – had pleaded guilty to two charges (one of which was a rolled-up charge) of sexual penetration of his biological granddaughter in the months prior to and following her 19</w:t>
      </w:r>
      <w:r w:rsidRPr="00857CD3">
        <w:rPr>
          <w:rFonts w:ascii="Arial" w:hAnsi="Arial" w:cs="Arial"/>
          <w:color w:val="000000"/>
          <w:sz w:val="20"/>
          <w:szCs w:val="20"/>
          <w:vertAlign w:val="superscript"/>
        </w:rPr>
        <w:t>th</w:t>
      </w:r>
      <w:r>
        <w:rPr>
          <w:rFonts w:ascii="Arial" w:hAnsi="Arial" w:cs="Arial"/>
          <w:color w:val="000000"/>
          <w:sz w:val="20"/>
          <w:szCs w:val="20"/>
        </w:rPr>
        <w:t xml:space="preserve"> birthday and was sentenced to TES IMP7y9m/5y7m.</w:t>
      </w:r>
      <w:r w:rsidR="00365AB1">
        <w:rPr>
          <w:rFonts w:ascii="Arial" w:hAnsi="Arial" w:cs="Arial"/>
          <w:color w:val="000000"/>
          <w:sz w:val="20"/>
          <w:szCs w:val="20"/>
        </w:rPr>
        <w:t xml:space="preserve"> The offending had led to a terminated pregnancy</w:t>
      </w:r>
      <w:r w:rsidR="00726BA9">
        <w:rPr>
          <w:rFonts w:ascii="Arial" w:hAnsi="Arial" w:cs="Arial"/>
          <w:color w:val="000000"/>
          <w:sz w:val="20"/>
          <w:szCs w:val="20"/>
        </w:rPr>
        <w:t xml:space="preserve"> which her Honour described at [50] as “an </w:t>
      </w:r>
      <w:r w:rsidR="00726BA9" w:rsidRPr="00726BA9">
        <w:rPr>
          <w:rFonts w:ascii="Arial" w:hAnsi="Arial" w:cs="Arial"/>
          <w:color w:val="000000"/>
          <w:sz w:val="20"/>
          <w:szCs w:val="20"/>
        </w:rPr>
        <w:t>extremely aggravating feature of the offending</w:t>
      </w:r>
      <w:r w:rsidR="00726BA9">
        <w:rPr>
          <w:rFonts w:ascii="Arial" w:hAnsi="Arial" w:cs="Arial"/>
          <w:color w:val="000000"/>
          <w:sz w:val="20"/>
          <w:szCs w:val="20"/>
        </w:rPr>
        <w:t xml:space="preserve">”. </w:t>
      </w:r>
      <w:r w:rsidR="00365AB1">
        <w:rPr>
          <w:rFonts w:ascii="Arial" w:hAnsi="Arial" w:cs="Arial"/>
          <w:color w:val="000000"/>
          <w:sz w:val="20"/>
          <w:szCs w:val="20"/>
        </w:rPr>
        <w:t>The applicant had previously offended against his granddaughter when she was a child and had received a short term of imprisonment. In refusing leave to appeal Orr JA held that the sentence was neither ‘crushing’ due to the applicant’s age and ill health nor was manifestly excessive but was justified in the circumstances. At [60]-[61] her Honour said:</w:t>
      </w:r>
    </w:p>
    <w:p w14:paraId="772E8043" w14:textId="088941E0" w:rsidR="00365AB1" w:rsidRDefault="00365AB1" w:rsidP="00365AB1">
      <w:pPr>
        <w:pStyle w:val="Normal-Indent"/>
        <w:spacing w:before="60" w:line="240" w:lineRule="auto"/>
        <w:ind w:left="567" w:right="567"/>
        <w:rPr>
          <w:rFonts w:ascii="Arial" w:hAnsi="Arial" w:cs="Arial"/>
          <w:color w:val="000000"/>
          <w:sz w:val="20"/>
        </w:rPr>
      </w:pPr>
      <w:r>
        <w:rPr>
          <w:rFonts w:ascii="Arial" w:hAnsi="Arial" w:cs="Arial"/>
          <w:sz w:val="20"/>
        </w:rPr>
        <w:t>[60] “</w:t>
      </w:r>
      <w:r w:rsidR="00857CD3" w:rsidRPr="00857CD3">
        <w:rPr>
          <w:rFonts w:ascii="Arial" w:hAnsi="Arial" w:cs="Arial"/>
          <w:color w:val="000000"/>
          <w:sz w:val="20"/>
        </w:rPr>
        <w:t>Finally, while considerable care must be taken in relying on statistics that do not differentiate between specific features of either offending or offenders</w:t>
      </w:r>
      <w:r>
        <w:rPr>
          <w:rFonts w:ascii="Arial" w:hAnsi="Arial" w:cs="Arial"/>
          <w:color w:val="000000"/>
          <w:sz w:val="20"/>
        </w:rPr>
        <w:t xml:space="preserve"> (</w:t>
      </w:r>
      <w:r w:rsidRPr="00365AB1">
        <w:rPr>
          <w:rFonts w:ascii="Arial" w:hAnsi="Arial" w:cs="Arial"/>
          <w:i/>
          <w:iCs/>
          <w:color w:val="000000"/>
          <w:sz w:val="20"/>
        </w:rPr>
        <w:t>DPP v Currie</w:t>
      </w:r>
      <w:r w:rsidRPr="00857CD3">
        <w:rPr>
          <w:rFonts w:ascii="Arial" w:hAnsi="Arial" w:cs="Arial"/>
          <w:color w:val="000000"/>
          <w:sz w:val="20"/>
        </w:rPr>
        <w:t xml:space="preserve"> [2021] VSCA 272, [130]</w:t>
      </w:r>
      <w:r>
        <w:rPr>
          <w:rFonts w:ascii="Arial" w:hAnsi="Arial" w:cs="Arial"/>
          <w:color w:val="000000"/>
          <w:sz w:val="20"/>
        </w:rPr>
        <w:t>)</w:t>
      </w:r>
      <w:r w:rsidR="00857CD3" w:rsidRPr="00857CD3">
        <w:rPr>
          <w:rFonts w:ascii="Arial" w:hAnsi="Arial" w:cs="Arial"/>
          <w:color w:val="000000"/>
          <w:sz w:val="20"/>
        </w:rPr>
        <w:t xml:space="preserve">, I note that the most recent sentencing snapshot published by the Sentencing Advisory Council indicates that between 2017–18 to 2021–22, the average term of imprisonment imposed for a charge of incest </w:t>
      </w:r>
      <w:r>
        <w:rPr>
          <w:rFonts w:ascii="Arial" w:hAnsi="Arial" w:cs="Arial"/>
          <w:color w:val="000000"/>
          <w:sz w:val="20"/>
        </w:rPr>
        <w:t xml:space="preserve">(defined for the purposes of the snapshot as </w:t>
      </w:r>
      <w:r w:rsidRPr="00365AB1">
        <w:rPr>
          <w:rFonts w:ascii="Arial" w:hAnsi="Arial" w:cs="Arial"/>
          <w:color w:val="000000"/>
          <w:sz w:val="20"/>
        </w:rPr>
        <w:t>encompassing a number of different offences, including the offence in s</w:t>
      </w:r>
      <w:r>
        <w:rPr>
          <w:rFonts w:ascii="Arial" w:hAnsi="Arial" w:cs="Arial"/>
          <w:color w:val="000000"/>
          <w:sz w:val="20"/>
        </w:rPr>
        <w:t> </w:t>
      </w:r>
      <w:r w:rsidRPr="00365AB1">
        <w:rPr>
          <w:rFonts w:ascii="Arial" w:hAnsi="Arial" w:cs="Arial"/>
          <w:color w:val="000000"/>
          <w:sz w:val="20"/>
        </w:rPr>
        <w:t xml:space="preserve">50C(1) of the </w:t>
      </w:r>
      <w:r w:rsidRPr="00365AB1">
        <w:rPr>
          <w:rFonts w:ascii="Arial" w:hAnsi="Arial" w:cs="Arial"/>
          <w:i/>
          <w:iCs/>
          <w:color w:val="000000"/>
          <w:sz w:val="20"/>
        </w:rPr>
        <w:t>Crimes Act 1958</w:t>
      </w:r>
      <w:r w:rsidRPr="00365AB1">
        <w:rPr>
          <w:rFonts w:ascii="Arial" w:hAnsi="Arial" w:cs="Arial"/>
          <w:color w:val="000000"/>
          <w:sz w:val="20"/>
        </w:rPr>
        <w:t>, of which the applicant was convicted</w:t>
      </w:r>
      <w:r>
        <w:rPr>
          <w:rFonts w:ascii="Arial" w:hAnsi="Arial" w:cs="Arial"/>
          <w:color w:val="000000"/>
          <w:sz w:val="20"/>
        </w:rPr>
        <w:t>)</w:t>
      </w:r>
      <w:r w:rsidR="00857CD3" w:rsidRPr="00857CD3">
        <w:rPr>
          <w:rFonts w:ascii="Arial" w:hAnsi="Arial" w:cs="Arial"/>
          <w:color w:val="000000"/>
          <w:sz w:val="20"/>
        </w:rPr>
        <w:t xml:space="preserve"> was 6 years and 7</w:t>
      </w:r>
      <w:r>
        <w:rPr>
          <w:rFonts w:ascii="Arial" w:hAnsi="Arial" w:cs="Arial"/>
          <w:color w:val="000000"/>
          <w:sz w:val="20"/>
        </w:rPr>
        <w:t> </w:t>
      </w:r>
      <w:r w:rsidR="00857CD3" w:rsidRPr="00857CD3">
        <w:rPr>
          <w:rFonts w:ascii="Arial" w:hAnsi="Arial" w:cs="Arial"/>
          <w:color w:val="000000"/>
          <w:sz w:val="20"/>
        </w:rPr>
        <w:t>months, the median term of imprisonment was 6 years, and the most common term of imprisonment was between 6 and 7 years. As for total effective sentences, the median term was 9 years, and the most common term was between 9 and 10 years</w:t>
      </w:r>
      <w:r>
        <w:rPr>
          <w:rFonts w:ascii="Arial" w:hAnsi="Arial" w:cs="Arial"/>
          <w:color w:val="000000"/>
          <w:sz w:val="20"/>
        </w:rPr>
        <w:t xml:space="preserve">: </w:t>
      </w:r>
      <w:r w:rsidR="005B2599" w:rsidRPr="00365AB1">
        <w:rPr>
          <w:rFonts w:ascii="Arial" w:hAnsi="Arial" w:cs="Arial"/>
          <w:color w:val="000000"/>
          <w:sz w:val="20"/>
        </w:rPr>
        <w:t xml:space="preserve">Sentencing Advisory Council, </w:t>
      </w:r>
      <w:r w:rsidR="005B2599" w:rsidRPr="005B2599">
        <w:rPr>
          <w:rFonts w:ascii="Arial" w:hAnsi="Arial" w:cs="Arial"/>
          <w:i/>
          <w:iCs/>
          <w:color w:val="000000"/>
          <w:sz w:val="20"/>
        </w:rPr>
        <w:t>Sentencing Trends for Incest in the Higher Courts of Victoria 2017–18 to 2021–22</w:t>
      </w:r>
      <w:r w:rsidR="005B2599" w:rsidRPr="00365AB1">
        <w:rPr>
          <w:rFonts w:ascii="Arial" w:hAnsi="Arial" w:cs="Arial"/>
          <w:color w:val="000000"/>
          <w:sz w:val="20"/>
        </w:rPr>
        <w:t xml:space="preserve"> (Snapshot No 284, September 2023) 3–4.</w:t>
      </w:r>
    </w:p>
    <w:p w14:paraId="5E5F0499" w14:textId="2AC78676" w:rsidR="00857CD3" w:rsidRPr="00365AB1" w:rsidRDefault="00365AB1" w:rsidP="00365AB1">
      <w:pPr>
        <w:pStyle w:val="Normal-Indent"/>
        <w:spacing w:before="60" w:line="240" w:lineRule="auto"/>
        <w:ind w:left="567" w:right="567"/>
        <w:rPr>
          <w:rFonts w:ascii="Arial" w:hAnsi="Arial" w:cs="Arial"/>
          <w:sz w:val="20"/>
        </w:rPr>
      </w:pPr>
      <w:r>
        <w:rPr>
          <w:rFonts w:ascii="Arial" w:hAnsi="Arial" w:cs="Arial"/>
          <w:sz w:val="20"/>
        </w:rPr>
        <w:t>[</w:t>
      </w:r>
      <w:r w:rsidR="00857CD3" w:rsidRPr="00857CD3">
        <w:rPr>
          <w:rFonts w:ascii="Arial" w:hAnsi="Arial" w:cs="Arial"/>
          <w:color w:val="000000"/>
          <w:sz w:val="20"/>
        </w:rPr>
        <w:t>61</w:t>
      </w:r>
      <w:r>
        <w:rPr>
          <w:rFonts w:ascii="Arial" w:hAnsi="Arial" w:cs="Arial"/>
          <w:color w:val="000000"/>
          <w:sz w:val="20"/>
        </w:rPr>
        <w:t>]</w:t>
      </w:r>
      <w:r w:rsidR="00857CD3" w:rsidRPr="00857CD3">
        <w:rPr>
          <w:rFonts w:ascii="Arial" w:hAnsi="Arial" w:cs="Arial"/>
          <w:color w:val="000000"/>
          <w:sz w:val="20"/>
        </w:rPr>
        <w:t xml:space="preserve"> When regard is had to the particular circumstances of this case, including the matters to which I have referred in [59] above, these statistics tend to confirm that the sentences imposed of 6 years and 6 months’ imprisonment on charge 1, 4 years’ imprisonment on charge 2, and the total effective sentence of 7 years and 9 months’ imprisonment, were within the range of sentences available to the judge.</w:t>
      </w:r>
      <w:r>
        <w:rPr>
          <w:rFonts w:ascii="Arial" w:hAnsi="Arial" w:cs="Arial"/>
          <w:color w:val="000000"/>
          <w:sz w:val="20"/>
        </w:rPr>
        <w:t>”</w:t>
      </w:r>
    </w:p>
    <w:p w14:paraId="55D6B97A" w14:textId="77777777" w:rsidR="00365AB1" w:rsidRPr="00F25AFE" w:rsidRDefault="00365AB1" w:rsidP="007379A0">
      <w:pPr>
        <w:jc w:val="both"/>
        <w:rPr>
          <w:rFonts w:ascii="Arial" w:hAnsi="Arial" w:cs="Arial"/>
          <w:color w:val="000000"/>
          <w:sz w:val="20"/>
          <w:szCs w:val="20"/>
        </w:rPr>
      </w:pPr>
    </w:p>
    <w:p w14:paraId="512289C9" w14:textId="3051289B" w:rsidR="00EC68C3" w:rsidRDefault="007379A0" w:rsidP="005B2599">
      <w:pPr>
        <w:spacing w:after="120"/>
        <w:jc w:val="both"/>
        <w:rPr>
          <w:rFonts w:ascii="Arial" w:hAnsi="Arial" w:cs="Arial"/>
          <w:color w:val="000000"/>
          <w:sz w:val="20"/>
          <w:szCs w:val="20"/>
        </w:rPr>
      </w:pPr>
      <w:r>
        <w:rPr>
          <w:rFonts w:ascii="Arial" w:hAnsi="Arial" w:cs="Arial"/>
          <w:color w:val="000000"/>
          <w:sz w:val="20"/>
          <w:szCs w:val="20"/>
        </w:rPr>
        <w:t>O</w:t>
      </w:r>
      <w:r w:rsidR="00832039" w:rsidRPr="00102D2A">
        <w:rPr>
          <w:rFonts w:ascii="Arial" w:hAnsi="Arial" w:cs="Arial"/>
          <w:color w:val="000000"/>
          <w:sz w:val="20"/>
          <w:szCs w:val="20"/>
        </w:rPr>
        <w:t xml:space="preserve">ther cases involving child sexual abuse </w:t>
      </w:r>
      <w:r w:rsidR="00840679" w:rsidRPr="00102D2A">
        <w:rPr>
          <w:rFonts w:ascii="Arial" w:hAnsi="Arial" w:cs="Arial"/>
          <w:color w:val="000000"/>
          <w:sz w:val="20"/>
          <w:szCs w:val="20"/>
        </w:rPr>
        <w:t xml:space="preserve">in a family setting </w:t>
      </w:r>
      <w:r w:rsidR="00832039"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rsidP="00CB034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rsidP="00C9099E">
            <w:pPr>
              <w:pStyle w:val="ListParagraph"/>
              <w:numPr>
                <w:ilvl w:val="0"/>
                <w:numId w:val="85"/>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[2008] VSCA 140 esp at [25]-[27]</w:t>
            </w:r>
          </w:p>
          <w:p w14:paraId="5CC6AD63" w14:textId="0BA405D4"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r w:rsidRPr="00EC68C3">
              <w:rPr>
                <w:rFonts w:ascii="Arial" w:hAnsi="Arial" w:cs="Arial"/>
                <w:i/>
                <w:color w:val="000000"/>
                <w:sz w:val="20"/>
                <w:szCs w:val="20"/>
              </w:rPr>
              <w:t>Ibbs v The Queen</w:t>
            </w:r>
            <w:r w:rsidRPr="00EC68C3">
              <w:rPr>
                <w:rFonts w:ascii="Arial" w:hAnsi="Arial" w:cs="Arial"/>
                <w:color w:val="000000"/>
                <w:sz w:val="20"/>
                <w:szCs w:val="20"/>
              </w:rPr>
              <w:t xml:space="preserve"> (1987) 163 CLR 447</w:t>
            </w:r>
          </w:p>
          <w:p w14:paraId="446FBE1D" w14:textId="4C30AEF8"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FC</w:t>
            </w:r>
            <w:r w:rsidRPr="00EC68C3">
              <w:rPr>
                <w:rFonts w:ascii="Arial" w:hAnsi="Arial" w:cs="Arial"/>
                <w:color w:val="000000"/>
                <w:sz w:val="20"/>
                <w:szCs w:val="20"/>
              </w:rPr>
              <w:t xml:space="preserve"> [2012] VSCA 22</w:t>
            </w:r>
          </w:p>
          <w:p w14:paraId="47059959" w14:textId="269B5FA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lastRenderedPageBreak/>
              <w:t>R v DM</w:t>
            </w:r>
            <w:r w:rsidRPr="00EC68C3">
              <w:rPr>
                <w:rFonts w:ascii="Arial" w:hAnsi="Arial" w:cs="Arial"/>
                <w:color w:val="000000"/>
                <w:sz w:val="20"/>
              </w:rPr>
              <w:t xml:space="preserve"> [2012] VSCA 227</w:t>
            </w:r>
          </w:p>
          <w:p w14:paraId="5CD13776" w14:textId="755B7CD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0EA46DB9" w14:textId="77777777" w:rsidR="00A6055E" w:rsidRDefault="00A6055E" w:rsidP="00A6055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5EC2FE79" w14:textId="77777777" w:rsidR="00420680" w:rsidRDefault="00420680"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BD7B8AE" w14:textId="77777777" w:rsidR="008B5A63" w:rsidRDefault="008B5A63"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3E4EF75" w14:textId="77777777" w:rsidR="001971EC" w:rsidRDefault="001971EC"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1E6B51E8" w14:textId="77777777" w:rsidR="003B4D22" w:rsidRDefault="003B4D2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28235935" w14:textId="77777777" w:rsidR="00084AF2" w:rsidRDefault="00084AF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2EBEB821" w14:textId="77777777" w:rsidR="00DB736D" w:rsidRDefault="00DB736D"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52163092" w14:textId="77777777" w:rsidR="00471F41" w:rsidRDefault="00471F41"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59229721" w14:textId="77777777" w:rsidR="00471F41" w:rsidRDefault="00471F41" w:rsidP="00471F4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VSCA 172</w:t>
            </w:r>
          </w:p>
          <w:p w14:paraId="30CD2CB6" w14:textId="77777777" w:rsidR="00471F41" w:rsidRDefault="00471F41"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0A1E966F"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Ryan Shawcross (a pseudonym) v The Queen</w:t>
            </w:r>
            <w:r w:rsidRPr="00EC68C3">
              <w:rPr>
                <w:rFonts w:ascii="Arial" w:hAnsi="Arial" w:cs="Arial"/>
                <w:color w:val="000000"/>
                <w:sz w:val="20"/>
                <w:szCs w:val="20"/>
              </w:rPr>
              <w:t xml:space="preserve"> [2018] VSCA 295</w:t>
            </w:r>
          </w:p>
          <w:p w14:paraId="42929606"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Shearer (</w:t>
            </w:r>
            <w:r>
              <w:rPr>
                <w:rFonts w:ascii="Arial" w:hAnsi="Arial" w:cs="Arial"/>
                <w:i/>
                <w:color w:val="000000"/>
                <w:sz w:val="20"/>
                <w:szCs w:val="20"/>
              </w:rPr>
              <w:t xml:space="preserve">a </w:t>
            </w:r>
            <w:r w:rsidRPr="00EC68C3">
              <w:rPr>
                <w:rFonts w:ascii="Arial" w:hAnsi="Arial" w:cs="Arial"/>
                <w:i/>
                <w:color w:val="000000"/>
                <w:sz w:val="20"/>
                <w:szCs w:val="20"/>
              </w:rPr>
              <w:t>pseudonym)</w:t>
            </w:r>
            <w:r w:rsidRPr="00EC68C3">
              <w:rPr>
                <w:rFonts w:ascii="Arial" w:hAnsi="Arial" w:cs="Arial"/>
                <w:color w:val="000000"/>
                <w:sz w:val="20"/>
                <w:szCs w:val="20"/>
              </w:rPr>
              <w:t xml:space="preserve"> [2019] VSCA 47</w:t>
            </w:r>
          </w:p>
          <w:p w14:paraId="6566302E"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1C533E70" w14:textId="77777777" w:rsidR="00365AB1" w:rsidRDefault="00365AB1" w:rsidP="00365AB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3A388375" w14:textId="77777777" w:rsidR="00365AB1" w:rsidRDefault="00365AB1" w:rsidP="00365AB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19381AC0" w14:textId="65C180A3" w:rsidR="005B2599" w:rsidRPr="005B2599" w:rsidRDefault="005B2599" w:rsidP="005B259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tc>
        <w:tc>
          <w:tcPr>
            <w:tcW w:w="4530" w:type="dxa"/>
          </w:tcPr>
          <w:p w14:paraId="276BE141" w14:textId="20EF4B38" w:rsidR="00C868A5" w:rsidRP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lastRenderedPageBreak/>
              <w:t>Carr (a pseudonym) v The Queen</w:t>
            </w:r>
            <w:r w:rsidRPr="00EC68C3">
              <w:rPr>
                <w:rFonts w:ascii="Arial" w:hAnsi="Arial" w:cs="Arial"/>
                <w:color w:val="000000"/>
                <w:sz w:val="20"/>
              </w:rPr>
              <w:t xml:space="preserve"> [2021] VSCA 130</w:t>
            </w:r>
          </w:p>
          <w:p w14:paraId="7A5EC6BB" w14:textId="77777777" w:rsidR="008B69F8" w:rsidRPr="00A6055E" w:rsidRDefault="00C868A5" w:rsidP="008B69F8">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DPP v Tullipan (a pseudonym)</w:t>
            </w:r>
            <w:r w:rsidRPr="00EC68C3">
              <w:rPr>
                <w:rFonts w:ascii="Arial" w:hAnsi="Arial" w:cs="Arial"/>
                <w:color w:val="000000"/>
                <w:sz w:val="20"/>
              </w:rPr>
              <w:t xml:space="preserve"> [2021] VSCA 191</w:t>
            </w:r>
          </w:p>
          <w:p w14:paraId="05CD9A92" w14:textId="77777777" w:rsidR="00A6055E" w:rsidRPr="00DF6DB9" w:rsidRDefault="00A6055E" w:rsidP="008B69F8">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rsidP="00145817">
            <w:pPr>
              <w:pStyle w:val="ListParagraph"/>
              <w:keepNext/>
              <w:keepLines/>
              <w:numPr>
                <w:ilvl w:val="0"/>
                <w:numId w:val="85"/>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VSCA 42</w:t>
            </w:r>
          </w:p>
          <w:p w14:paraId="0BAE4564" w14:textId="77777777" w:rsidR="00420680" w:rsidRDefault="00420680"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p w14:paraId="7936F917" w14:textId="77777777" w:rsidR="008B5A63" w:rsidRDefault="008B5A63" w:rsidP="00BA07AA">
            <w:pPr>
              <w:pStyle w:val="ListParagraph"/>
              <w:numPr>
                <w:ilvl w:val="0"/>
                <w:numId w:val="85"/>
              </w:numPr>
              <w:ind w:left="357" w:hanging="357"/>
              <w:jc w:val="both"/>
              <w:rPr>
                <w:rFonts w:ascii="Arial" w:hAnsi="Arial" w:cs="Arial"/>
                <w:color w:val="000000"/>
                <w:sz w:val="20"/>
                <w:szCs w:val="20"/>
              </w:rPr>
            </w:pPr>
            <w:r w:rsidRPr="008B5A63">
              <w:rPr>
                <w:rFonts w:ascii="Arial" w:hAnsi="Arial" w:cs="Arial"/>
                <w:i/>
                <w:iCs/>
                <w:color w:val="000000"/>
                <w:sz w:val="20"/>
                <w:szCs w:val="20"/>
              </w:rPr>
              <w:t>Jay Moore (a pseudonym) v The King</w:t>
            </w:r>
            <w:r>
              <w:rPr>
                <w:rFonts w:ascii="Arial" w:hAnsi="Arial" w:cs="Arial"/>
                <w:color w:val="000000"/>
                <w:sz w:val="20"/>
                <w:szCs w:val="20"/>
              </w:rPr>
              <w:t xml:space="preserve"> [2022] VSCA 233</w:t>
            </w:r>
          </w:p>
          <w:p w14:paraId="2C35ED92" w14:textId="77777777" w:rsidR="001971EC" w:rsidRPr="00736B1A" w:rsidRDefault="001971EC"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Toby Murphy (a pseudonym) v The King </w:t>
            </w:r>
            <w:r w:rsidRPr="00736B1A">
              <w:rPr>
                <w:rFonts w:ascii="Arial" w:hAnsi="Arial" w:cs="Arial"/>
                <w:color w:val="000000"/>
                <w:sz w:val="20"/>
                <w:szCs w:val="20"/>
              </w:rPr>
              <w:t>[2022] VSCA 25</w:t>
            </w:r>
            <w:r w:rsidR="0052326F" w:rsidRPr="00736B1A">
              <w:rPr>
                <w:rFonts w:ascii="Arial" w:hAnsi="Arial" w:cs="Arial"/>
                <w:color w:val="000000"/>
                <w:sz w:val="20"/>
                <w:szCs w:val="20"/>
              </w:rPr>
              <w:t>9</w:t>
            </w:r>
          </w:p>
          <w:p w14:paraId="5D4BE25D" w14:textId="77777777" w:rsidR="00736B1A" w:rsidRPr="003B4D22" w:rsidRDefault="00736B1A" w:rsidP="00BA07AA">
            <w:pPr>
              <w:pStyle w:val="ListParagraph"/>
              <w:numPr>
                <w:ilvl w:val="0"/>
                <w:numId w:val="85"/>
              </w:numPr>
              <w:ind w:left="357" w:hanging="357"/>
              <w:jc w:val="both"/>
              <w:rPr>
                <w:rFonts w:ascii="Arial" w:hAnsi="Arial" w:cs="Arial"/>
                <w:color w:val="000000"/>
                <w:sz w:val="20"/>
                <w:szCs w:val="20"/>
              </w:rPr>
            </w:pPr>
            <w:r w:rsidRPr="006F6069">
              <w:rPr>
                <w:rFonts w:ascii="Arial" w:hAnsi="Arial" w:cs="Arial"/>
                <w:i/>
                <w:iCs/>
                <w:sz w:val="20"/>
              </w:rPr>
              <w:t>Edgar Case (a pseudonym) v The King</w:t>
            </w:r>
            <w:r>
              <w:rPr>
                <w:rFonts w:ascii="Arial" w:hAnsi="Arial" w:cs="Arial"/>
                <w:sz w:val="20"/>
              </w:rPr>
              <w:t xml:space="preserve"> [2023] VSCA 12</w:t>
            </w:r>
          </w:p>
          <w:p w14:paraId="2858B201" w14:textId="2E392940" w:rsidR="003B4D22" w:rsidRPr="00B14F51" w:rsidRDefault="003B4D22"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sz w:val="20"/>
              </w:rPr>
              <w:t xml:space="preserve">Newton (a pseudonym) v The King </w:t>
            </w:r>
            <w:r w:rsidRPr="003B4D22">
              <w:rPr>
                <w:rFonts w:ascii="Arial" w:hAnsi="Arial" w:cs="Arial"/>
                <w:sz w:val="20"/>
              </w:rPr>
              <w:t>[</w:t>
            </w:r>
            <w:r>
              <w:rPr>
                <w:rFonts w:ascii="Arial" w:hAnsi="Arial" w:cs="Arial"/>
                <w:sz w:val="20"/>
              </w:rPr>
              <w:t>2023] VSCA 22</w:t>
            </w:r>
          </w:p>
          <w:p w14:paraId="1377F446" w14:textId="77777777" w:rsidR="00B14F51" w:rsidRDefault="00B14F51" w:rsidP="00BA07AA">
            <w:pPr>
              <w:pStyle w:val="ListParagraph"/>
              <w:numPr>
                <w:ilvl w:val="0"/>
                <w:numId w:val="85"/>
              </w:numPr>
              <w:ind w:left="357" w:hanging="357"/>
              <w:jc w:val="both"/>
              <w:rPr>
                <w:rFonts w:ascii="Arial" w:hAnsi="Arial" w:cs="Arial"/>
                <w:color w:val="000000"/>
                <w:sz w:val="20"/>
                <w:szCs w:val="20"/>
              </w:rPr>
            </w:pPr>
            <w:r w:rsidRPr="00B14F51">
              <w:rPr>
                <w:rFonts w:ascii="Arial" w:hAnsi="Arial" w:cs="Arial"/>
                <w:i/>
                <w:iCs/>
                <w:color w:val="000000"/>
                <w:sz w:val="20"/>
                <w:szCs w:val="20"/>
              </w:rPr>
              <w:t>Nathan Hester (a pseudonym) v The King</w:t>
            </w:r>
            <w:r>
              <w:rPr>
                <w:rFonts w:ascii="Arial" w:hAnsi="Arial" w:cs="Arial"/>
                <w:color w:val="000000"/>
                <w:sz w:val="20"/>
                <w:szCs w:val="20"/>
              </w:rPr>
              <w:t xml:space="preserve"> [2023] VSCA 41</w:t>
            </w:r>
          </w:p>
          <w:p w14:paraId="6B799C26" w14:textId="77777777" w:rsidR="00084AF2" w:rsidRDefault="00084AF2" w:rsidP="00084AF2">
            <w:pPr>
              <w:pStyle w:val="ListParagraph"/>
              <w:numPr>
                <w:ilvl w:val="0"/>
                <w:numId w:val="85"/>
              </w:numPr>
              <w:ind w:left="357" w:hanging="357"/>
              <w:jc w:val="both"/>
              <w:rPr>
                <w:rFonts w:ascii="Arial" w:hAnsi="Arial" w:cs="Arial"/>
                <w:color w:val="000000"/>
                <w:sz w:val="20"/>
                <w:szCs w:val="20"/>
              </w:rPr>
            </w:pPr>
            <w:r w:rsidRPr="00084AF2">
              <w:rPr>
                <w:rFonts w:ascii="Arial" w:hAnsi="Arial" w:cs="Arial"/>
                <w:i/>
                <w:iCs/>
                <w:color w:val="000000"/>
                <w:sz w:val="20"/>
                <w:szCs w:val="20"/>
              </w:rPr>
              <w:t xml:space="preserve">Caulfield (a pseudonym) v The King </w:t>
            </w:r>
            <w:r w:rsidRPr="00A819F8">
              <w:rPr>
                <w:rFonts w:ascii="Arial" w:hAnsi="Arial" w:cs="Arial"/>
                <w:color w:val="000000"/>
                <w:sz w:val="20"/>
                <w:szCs w:val="20"/>
              </w:rPr>
              <w:t>[2023] VSCA 76</w:t>
            </w:r>
          </w:p>
          <w:p w14:paraId="7699C611" w14:textId="77777777" w:rsidR="00FA15A7" w:rsidRDefault="00FA15A7" w:rsidP="00084AF2">
            <w:pPr>
              <w:pStyle w:val="ListParagraph"/>
              <w:numPr>
                <w:ilvl w:val="0"/>
                <w:numId w:val="85"/>
              </w:numPr>
              <w:ind w:left="357" w:hanging="357"/>
              <w:jc w:val="both"/>
              <w:rPr>
                <w:rFonts w:ascii="Arial" w:hAnsi="Arial" w:cs="Arial"/>
                <w:color w:val="000000"/>
                <w:sz w:val="20"/>
                <w:szCs w:val="20"/>
              </w:rPr>
            </w:pPr>
            <w:r w:rsidRPr="00FA15A7">
              <w:rPr>
                <w:rFonts w:ascii="Arial" w:hAnsi="Arial" w:cs="Arial"/>
                <w:i/>
                <w:iCs/>
                <w:color w:val="000000"/>
                <w:sz w:val="20"/>
                <w:szCs w:val="20"/>
              </w:rPr>
              <w:t>DPP v Hill (a pseudonym)</w:t>
            </w:r>
            <w:r w:rsidRPr="00FA15A7">
              <w:rPr>
                <w:rFonts w:ascii="Arial" w:hAnsi="Arial" w:cs="Arial"/>
                <w:color w:val="000000"/>
                <w:sz w:val="20"/>
                <w:szCs w:val="20"/>
              </w:rPr>
              <w:t xml:space="preserve"> [2023] VSCA 56</w:t>
            </w:r>
          </w:p>
          <w:p w14:paraId="2909D780" w14:textId="77777777" w:rsidR="00DB736D" w:rsidRDefault="00DB736D" w:rsidP="00084AF2">
            <w:pPr>
              <w:pStyle w:val="ListParagraph"/>
              <w:numPr>
                <w:ilvl w:val="0"/>
                <w:numId w:val="85"/>
              </w:numPr>
              <w:ind w:left="357" w:hanging="357"/>
              <w:jc w:val="both"/>
              <w:rPr>
                <w:rFonts w:ascii="Arial" w:hAnsi="Arial" w:cs="Arial"/>
                <w:color w:val="000000"/>
                <w:sz w:val="20"/>
                <w:szCs w:val="20"/>
              </w:rPr>
            </w:pPr>
            <w:r w:rsidRPr="00DB736D">
              <w:rPr>
                <w:rFonts w:ascii="Arial" w:hAnsi="Arial" w:cs="Arial"/>
                <w:i/>
                <w:iCs/>
                <w:color w:val="000000"/>
                <w:sz w:val="20"/>
                <w:szCs w:val="20"/>
              </w:rPr>
              <w:t>DPP v Henry</w:t>
            </w:r>
            <w:r>
              <w:rPr>
                <w:rFonts w:ascii="Arial" w:hAnsi="Arial" w:cs="Arial"/>
                <w:color w:val="000000"/>
                <w:sz w:val="20"/>
                <w:szCs w:val="20"/>
              </w:rPr>
              <w:t xml:space="preserve"> [2023] VSCA 100</w:t>
            </w:r>
          </w:p>
          <w:p w14:paraId="410EBAF5" w14:textId="77777777" w:rsidR="003472B1" w:rsidRDefault="003472B1" w:rsidP="00084AF2">
            <w:pPr>
              <w:pStyle w:val="ListParagraph"/>
              <w:numPr>
                <w:ilvl w:val="0"/>
                <w:numId w:val="85"/>
              </w:numPr>
              <w:ind w:left="357" w:hanging="357"/>
              <w:jc w:val="both"/>
              <w:rPr>
                <w:rFonts w:ascii="Arial" w:hAnsi="Arial" w:cs="Arial"/>
                <w:color w:val="000000"/>
                <w:sz w:val="20"/>
                <w:szCs w:val="20"/>
              </w:rPr>
            </w:pPr>
            <w:r w:rsidRPr="003472B1">
              <w:rPr>
                <w:rFonts w:ascii="Arial" w:hAnsi="Arial" w:cs="Arial"/>
                <w:i/>
                <w:iCs/>
                <w:color w:val="000000"/>
                <w:sz w:val="20"/>
                <w:szCs w:val="20"/>
              </w:rPr>
              <w:t>Qadir (a pseudonym) v The King</w:t>
            </w:r>
            <w:r>
              <w:rPr>
                <w:rFonts w:ascii="Arial" w:hAnsi="Arial" w:cs="Arial"/>
                <w:color w:val="000000"/>
                <w:sz w:val="20"/>
                <w:szCs w:val="20"/>
              </w:rPr>
              <w:t xml:space="preserve"> [2023] VSCA 155</w:t>
            </w:r>
          </w:p>
          <w:p w14:paraId="22FDF4DD" w14:textId="77777777" w:rsidR="00471F41" w:rsidRDefault="00471F41" w:rsidP="00084AF2">
            <w:pPr>
              <w:pStyle w:val="ListParagraph"/>
              <w:numPr>
                <w:ilvl w:val="0"/>
                <w:numId w:val="85"/>
              </w:numPr>
              <w:ind w:left="357" w:hanging="357"/>
              <w:jc w:val="both"/>
              <w:rPr>
                <w:rFonts w:ascii="Arial" w:hAnsi="Arial" w:cs="Arial"/>
                <w:color w:val="000000"/>
                <w:sz w:val="20"/>
                <w:szCs w:val="20"/>
              </w:rPr>
            </w:pPr>
            <w:bookmarkStart w:id="1118" w:name="_Hlk164234123"/>
            <w:r>
              <w:rPr>
                <w:rFonts w:ascii="Arial" w:hAnsi="Arial" w:cs="Arial"/>
                <w:i/>
                <w:iCs/>
                <w:color w:val="000000"/>
                <w:sz w:val="20"/>
                <w:szCs w:val="20"/>
              </w:rPr>
              <w:t>DPP v Sutcliffe (a pseudonym)</w:t>
            </w:r>
            <w:r w:rsidRPr="00471F41">
              <w:rPr>
                <w:rFonts w:ascii="Arial" w:hAnsi="Arial" w:cs="Arial"/>
                <w:color w:val="000000"/>
                <w:sz w:val="20"/>
                <w:szCs w:val="20"/>
              </w:rPr>
              <w:t xml:space="preserve"> [2024] VSCA 63</w:t>
            </w:r>
            <w:bookmarkEnd w:id="1118"/>
          </w:p>
          <w:p w14:paraId="01FA68A7" w14:textId="77777777" w:rsidR="001F1FBE" w:rsidRPr="00BF7DCA" w:rsidRDefault="001F1FBE"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Henderson (a pseudonym) v The King </w:t>
            </w:r>
            <w:r w:rsidRPr="00BF7DCA">
              <w:rPr>
                <w:rFonts w:ascii="Arial" w:hAnsi="Arial" w:cs="Arial"/>
                <w:color w:val="000000"/>
                <w:sz w:val="20"/>
                <w:szCs w:val="20"/>
              </w:rPr>
              <w:lastRenderedPageBreak/>
              <w:t>[2024] VSCA 78</w:t>
            </w:r>
          </w:p>
          <w:p w14:paraId="3B820CDB" w14:textId="07341051" w:rsidR="00BF7DCA" w:rsidRP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Gilmore (a pseudonym) v The King</w:t>
            </w:r>
            <w:r w:rsidRPr="00BF7DCA">
              <w:rPr>
                <w:rFonts w:ascii="Arial" w:hAnsi="Arial" w:cs="Arial"/>
                <w:color w:val="000000"/>
                <w:sz w:val="20"/>
                <w:szCs w:val="20"/>
              </w:rPr>
              <w:t xml:space="preserve"> [2024] VSCA 98</w:t>
            </w:r>
          </w:p>
          <w:p w14:paraId="3CEAB1BA" w14:textId="77777777" w:rsid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Benson (a pseudonym) v The King </w:t>
            </w:r>
            <w:r w:rsidRPr="00BF7DCA">
              <w:rPr>
                <w:rFonts w:ascii="Arial" w:hAnsi="Arial" w:cs="Arial"/>
                <w:color w:val="000000"/>
                <w:sz w:val="20"/>
                <w:szCs w:val="20"/>
              </w:rPr>
              <w:t>[2024] VSCA 99</w:t>
            </w:r>
          </w:p>
          <w:p w14:paraId="630A7B6D" w14:textId="77777777" w:rsidR="00DD11CB" w:rsidRPr="005615DF" w:rsidRDefault="00DD11CB" w:rsidP="00084AF2">
            <w:pPr>
              <w:pStyle w:val="ListParagraph"/>
              <w:numPr>
                <w:ilvl w:val="0"/>
                <w:numId w:val="85"/>
              </w:numPr>
              <w:ind w:left="357" w:hanging="357"/>
              <w:jc w:val="both"/>
              <w:rPr>
                <w:rFonts w:ascii="Arial" w:hAnsi="Arial" w:cs="Arial"/>
                <w:color w:val="000000"/>
                <w:sz w:val="20"/>
                <w:szCs w:val="20"/>
              </w:rPr>
            </w:pPr>
            <w:r w:rsidRPr="00935D47">
              <w:rPr>
                <w:rFonts w:ascii="Arial" w:hAnsi="Arial" w:cs="Arial"/>
                <w:i/>
                <w:iCs/>
                <w:color w:val="000000"/>
                <w:sz w:val="20"/>
              </w:rPr>
              <w:t>Lefoe v The King</w:t>
            </w:r>
            <w:r>
              <w:rPr>
                <w:rFonts w:ascii="Arial" w:hAnsi="Arial" w:cs="Arial"/>
                <w:color w:val="000000"/>
                <w:sz w:val="20"/>
              </w:rPr>
              <w:t xml:space="preserve"> [2024] VSCA 131</w:t>
            </w:r>
          </w:p>
          <w:p w14:paraId="1C1EE8D3" w14:textId="77777777" w:rsidR="005615DF" w:rsidRPr="008B7B04" w:rsidRDefault="005615DF" w:rsidP="00084AF2">
            <w:pPr>
              <w:pStyle w:val="ListParagraph"/>
              <w:numPr>
                <w:ilvl w:val="0"/>
                <w:numId w:val="85"/>
              </w:numPr>
              <w:ind w:left="357" w:hanging="357"/>
              <w:jc w:val="both"/>
              <w:rPr>
                <w:rFonts w:ascii="Arial" w:hAnsi="Arial" w:cs="Arial"/>
                <w:color w:val="000000"/>
                <w:sz w:val="20"/>
                <w:szCs w:val="20"/>
              </w:rPr>
            </w:pPr>
            <w:r w:rsidRPr="00DD6F1E">
              <w:rPr>
                <w:rFonts w:ascii="Arial" w:hAnsi="Arial" w:cs="Arial"/>
                <w:i/>
                <w:iCs/>
                <w:sz w:val="20"/>
                <w:szCs w:val="20"/>
              </w:rPr>
              <w:t>Franklin (a pseudonym) v The King</w:t>
            </w:r>
            <w:r>
              <w:rPr>
                <w:rFonts w:ascii="Arial" w:hAnsi="Arial" w:cs="Arial"/>
                <w:sz w:val="20"/>
                <w:szCs w:val="20"/>
              </w:rPr>
              <w:t xml:space="preserve"> [2024] VSCA 213</w:t>
            </w:r>
          </w:p>
          <w:p w14:paraId="27307705" w14:textId="77777777" w:rsidR="008B7B04" w:rsidRPr="000557F0" w:rsidRDefault="008B7B04"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Green</w:t>
            </w:r>
            <w:r w:rsidR="00F845ED">
              <w:rPr>
                <w:rFonts w:ascii="Arial" w:hAnsi="Arial" w:cs="Arial"/>
                <w:i/>
                <w:iCs/>
                <w:sz w:val="20"/>
                <w:szCs w:val="20"/>
              </w:rPr>
              <w:t>e</w:t>
            </w:r>
            <w:r>
              <w:rPr>
                <w:rFonts w:ascii="Arial" w:hAnsi="Arial" w:cs="Arial"/>
                <w:i/>
                <w:iCs/>
                <w:sz w:val="20"/>
                <w:szCs w:val="20"/>
              </w:rPr>
              <w:t xml:space="preserve"> (a pseudonym) v The King</w:t>
            </w:r>
            <w:r w:rsidRPr="008B7B04">
              <w:rPr>
                <w:rFonts w:ascii="Arial" w:hAnsi="Arial" w:cs="Arial"/>
                <w:sz w:val="20"/>
                <w:szCs w:val="20"/>
              </w:rPr>
              <w:t xml:space="preserve"> [2024] VSCA </w:t>
            </w:r>
            <w:r>
              <w:rPr>
                <w:rFonts w:ascii="Arial" w:hAnsi="Arial" w:cs="Arial"/>
                <w:sz w:val="20"/>
                <w:szCs w:val="20"/>
              </w:rPr>
              <w:t>226</w:t>
            </w:r>
          </w:p>
          <w:p w14:paraId="301BA863" w14:textId="77777777" w:rsidR="000557F0" w:rsidRPr="006A7920" w:rsidRDefault="000557F0"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 xml:space="preserve">Bernard (a pseudonym) v The King </w:t>
            </w:r>
            <w:r w:rsidRPr="000557F0">
              <w:rPr>
                <w:rFonts w:ascii="Arial" w:hAnsi="Arial" w:cs="Arial"/>
                <w:sz w:val="20"/>
                <w:szCs w:val="20"/>
              </w:rPr>
              <w:t>[2024] VSCA 293</w:t>
            </w:r>
          </w:p>
          <w:p w14:paraId="7C9D203A" w14:textId="62CB83F0" w:rsidR="007874B7" w:rsidRPr="007874B7" w:rsidRDefault="007874B7" w:rsidP="00084AF2">
            <w:pPr>
              <w:pStyle w:val="ListParagraph"/>
              <w:numPr>
                <w:ilvl w:val="0"/>
                <w:numId w:val="85"/>
              </w:numPr>
              <w:ind w:left="357" w:hanging="357"/>
              <w:jc w:val="both"/>
              <w:rPr>
                <w:rFonts w:ascii="Arial" w:hAnsi="Arial" w:cs="Arial"/>
                <w:color w:val="000000"/>
                <w:sz w:val="20"/>
                <w:szCs w:val="20"/>
              </w:rPr>
            </w:pPr>
            <w:r w:rsidRPr="007874B7">
              <w:rPr>
                <w:rFonts w:ascii="Arial" w:hAnsi="Arial" w:cs="Arial"/>
                <w:i/>
                <w:iCs/>
                <w:color w:val="000000"/>
                <w:sz w:val="20"/>
                <w:szCs w:val="20"/>
              </w:rPr>
              <w:t>Frendo v The King</w:t>
            </w:r>
            <w:r>
              <w:rPr>
                <w:rFonts w:ascii="Arial" w:hAnsi="Arial" w:cs="Arial"/>
                <w:color w:val="000000"/>
                <w:sz w:val="20"/>
                <w:szCs w:val="20"/>
              </w:rPr>
              <w:t xml:space="preserve"> [2024] VSCA 319</w:t>
            </w:r>
          </w:p>
          <w:p w14:paraId="794E8FD2" w14:textId="6C54646A" w:rsidR="00E03779" w:rsidRPr="00E03779" w:rsidRDefault="00E03779" w:rsidP="00084AF2">
            <w:pPr>
              <w:pStyle w:val="ListParagraph"/>
              <w:numPr>
                <w:ilvl w:val="0"/>
                <w:numId w:val="85"/>
              </w:numPr>
              <w:ind w:left="357" w:hanging="357"/>
              <w:jc w:val="both"/>
              <w:rPr>
                <w:rFonts w:ascii="Arial" w:hAnsi="Arial" w:cs="Arial"/>
                <w:color w:val="000000"/>
                <w:sz w:val="20"/>
                <w:szCs w:val="20"/>
              </w:rPr>
            </w:pPr>
            <w:r w:rsidRPr="00E03779">
              <w:rPr>
                <w:rFonts w:ascii="Arial" w:hAnsi="Arial" w:cs="Arial"/>
                <w:i/>
                <w:iCs/>
                <w:color w:val="000000"/>
                <w:sz w:val="20"/>
                <w:szCs w:val="20"/>
              </w:rPr>
              <w:t>DPP v Talbot (a pseudonym)</w:t>
            </w:r>
            <w:r>
              <w:rPr>
                <w:rFonts w:ascii="Arial" w:hAnsi="Arial" w:cs="Arial"/>
                <w:color w:val="000000"/>
                <w:sz w:val="20"/>
                <w:szCs w:val="20"/>
              </w:rPr>
              <w:t xml:space="preserve"> [2024] VSCA 321</w:t>
            </w:r>
          </w:p>
          <w:p w14:paraId="3579F9C8" w14:textId="77777777" w:rsidR="00E03779" w:rsidRPr="00BF7ACF" w:rsidRDefault="006A7920" w:rsidP="00E03779">
            <w:pPr>
              <w:pStyle w:val="ListParagraph"/>
              <w:numPr>
                <w:ilvl w:val="0"/>
                <w:numId w:val="85"/>
              </w:numPr>
              <w:ind w:left="357" w:hanging="357"/>
              <w:jc w:val="both"/>
              <w:rPr>
                <w:rFonts w:ascii="Arial" w:hAnsi="Arial" w:cs="Arial"/>
                <w:color w:val="000000"/>
                <w:sz w:val="20"/>
                <w:szCs w:val="20"/>
              </w:rPr>
            </w:pPr>
            <w:r w:rsidRPr="006A7920">
              <w:rPr>
                <w:rFonts w:ascii="Arial" w:hAnsi="Arial" w:cs="Arial"/>
                <w:i/>
                <w:iCs/>
                <w:sz w:val="20"/>
                <w:szCs w:val="20"/>
              </w:rPr>
              <w:t xml:space="preserve">Kovachev (a pseudonym) v The King </w:t>
            </w:r>
            <w:r w:rsidRPr="006A7920">
              <w:rPr>
                <w:rFonts w:ascii="Arial" w:hAnsi="Arial" w:cs="Arial"/>
                <w:sz w:val="20"/>
                <w:szCs w:val="20"/>
              </w:rPr>
              <w:t>[2024] VSCA 325</w:t>
            </w:r>
          </w:p>
          <w:p w14:paraId="1866F26D" w14:textId="5DD656F5" w:rsidR="00BF7ACF" w:rsidRPr="00E03779" w:rsidRDefault="00BF7ACF" w:rsidP="00E03779">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 xml:space="preserve">Lombard (a pseudonym) v the King </w:t>
            </w:r>
            <w:r w:rsidRPr="00BF7ACF">
              <w:rPr>
                <w:rFonts w:ascii="Arial" w:hAnsi="Arial" w:cs="Arial"/>
                <w:sz w:val="20"/>
                <w:szCs w:val="20"/>
              </w:rPr>
              <w:t>[2025] VSCA 51.</w:t>
            </w:r>
          </w:p>
        </w:tc>
      </w:tr>
    </w:tbl>
    <w:p w14:paraId="6EAD0A96" w14:textId="77777777" w:rsidR="00857CD3" w:rsidRPr="009F607D" w:rsidRDefault="00857CD3" w:rsidP="00857CD3">
      <w:pPr>
        <w:jc w:val="both"/>
        <w:rPr>
          <w:rFonts w:ascii="Arial" w:hAnsi="Arial" w:cs="Arial"/>
          <w:color w:val="000000"/>
          <w:sz w:val="20"/>
          <w:szCs w:val="22"/>
        </w:rPr>
      </w:pPr>
      <w:bookmarkStart w:id="1119" w:name="_11.15.1.2_Sexual_abuse"/>
      <w:bookmarkEnd w:id="1119"/>
    </w:p>
    <w:p w14:paraId="7F7C0BC2" w14:textId="77777777" w:rsidR="00857CD3" w:rsidRPr="001E6BE9" w:rsidRDefault="00857CD3" w:rsidP="00857CD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4DC07A3" w14:textId="77777777" w:rsidR="00857CD3" w:rsidRPr="001C6E0E" w:rsidRDefault="00857CD3" w:rsidP="00857CD3">
      <w:pPr>
        <w:rPr>
          <w:rFonts w:ascii="Arial" w:hAnsi="Arial" w:cs="Arial"/>
          <w:color w:val="000000"/>
          <w:sz w:val="20"/>
        </w:rPr>
      </w:pPr>
    </w:p>
    <w:p w14:paraId="3A27D7C6" w14:textId="3E289072" w:rsidR="00145817" w:rsidRDefault="00145817">
      <w:pPr>
        <w:rPr>
          <w:rFonts w:ascii="Arial" w:hAnsi="Arial" w:cs="Arial"/>
          <w:b/>
          <w:bCs/>
          <w:color w:val="000000"/>
          <w:kern w:val="28"/>
          <w:sz w:val="20"/>
          <w:szCs w:val="20"/>
          <w:lang w:val="en-GB"/>
        </w:rPr>
      </w:pPr>
      <w:r>
        <w:rPr>
          <w:rFonts w:ascii="Arial" w:hAnsi="Arial" w:cs="Arial"/>
          <w:b/>
          <w:bCs/>
          <w:color w:val="000000"/>
          <w:sz w:val="20"/>
        </w:rPr>
        <w:br w:type="page"/>
      </w:r>
    </w:p>
    <w:p w14:paraId="75920DB7" w14:textId="249D1B2A" w:rsidR="00A534EC" w:rsidRPr="00102D2A" w:rsidRDefault="00A534EC" w:rsidP="008B5A63">
      <w:pPr>
        <w:pStyle w:val="Heading3"/>
        <w:keepNext/>
        <w:keepLines/>
        <w:widowControl/>
        <w:spacing w:line="240" w:lineRule="auto"/>
        <w:rPr>
          <w:rFonts w:ascii="Arial" w:hAnsi="Arial" w:cs="Arial"/>
          <w:b/>
          <w:bCs/>
          <w:color w:val="000000"/>
          <w:sz w:val="20"/>
        </w:rPr>
      </w:pPr>
      <w:r w:rsidRPr="00102D2A">
        <w:rPr>
          <w:rFonts w:ascii="Arial" w:hAnsi="Arial" w:cs="Arial"/>
          <w:b/>
          <w:bCs/>
          <w:color w:val="000000"/>
          <w:sz w:val="20"/>
        </w:rPr>
        <w:lastRenderedPageBreak/>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Ryan v. The Queen</w:t>
      </w:r>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Heidgan AJA, adopting an earlier statement of Marks J in </w:t>
      </w:r>
      <w:r w:rsidRPr="00102D2A">
        <w:rPr>
          <w:rFonts w:ascii="Arial" w:hAnsi="Arial" w:cs="Arial"/>
          <w:i/>
          <w:color w:val="000000"/>
          <w:sz w:val="20"/>
        </w:rPr>
        <w:t>R v Sposito</w:t>
      </w:r>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102D2A" w:rsidRDefault="00412007" w:rsidP="00B43D0F">
      <w:pPr>
        <w:ind w:left="1134" w:right="1134"/>
        <w:jc w:val="both"/>
        <w:rPr>
          <w:rFonts w:ascii="Arial" w:hAnsi="Arial" w:cs="Arial"/>
          <w:color w:val="000000"/>
          <w:sz w:val="20"/>
        </w:rPr>
      </w:pPr>
      <w:r w:rsidRPr="00102D2A">
        <w:rPr>
          <w:rFonts w:ascii="Arial" w:hAnsi="Arial" w:cs="Arial"/>
          <w:color w:val="000000"/>
          <w:sz w:val="20"/>
        </w:rPr>
        <w:t xml:space="preserve">‘This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w:t>
      </w:r>
      <w:r w:rsidRPr="00102D2A">
        <w:rPr>
          <w:rFonts w:ascii="Arial" w:hAnsi="Arial" w:cs="Arial"/>
          <w:color w:val="000000"/>
          <w:sz w:val="20"/>
        </w:rPr>
        <w:lastRenderedPageBreak/>
        <w:t>from the victim's perspective, an apparent failure of the system to recognise 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self esteem damaged, educational and career opportunities lost and the capacity to form and maintain relationships seriously impaired.  The notion to which I have adverted underpins, I believe, such concepts as restorative justice, just 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Chernov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Winneke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CallawayJA.</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Klep</w:t>
      </w:r>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w:t>
      </w:r>
      <w:r w:rsidRPr="00102D2A">
        <w:rPr>
          <w:rFonts w:ascii="Arial" w:hAnsi="Arial" w:cs="Arial"/>
          <w:color w:val="000000"/>
          <w:sz w:val="20"/>
        </w:rPr>
        <w:lastRenderedPageBreak/>
        <w:t xml:space="preserve">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“[M]uch of the sentencing judge’s analysis appears to me to be informed by the notion that 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r w:rsidRPr="0082097A">
        <w:rPr>
          <w:rFonts w:ascii="Arial" w:hAnsi="Arial" w:cs="Arial"/>
          <w:i/>
          <w:iCs/>
          <w:color w:val="000000"/>
          <w:sz w:val="20"/>
        </w:rPr>
        <w:t>Fichtner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In dismissing the appeal against a sentence of IMP17y4m/13y, the Court of Appeal referred to the applicant’s breaches of trust and very high culpability, noting the the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lastRenderedPageBreak/>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rsidP="00420680">
      <w:pPr>
        <w:keepNext/>
        <w:keepLines/>
        <w:numPr>
          <w:ilvl w:val="0"/>
          <w:numId w:val="86"/>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Onur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[50 year old pharmacist found guilty of 8 charges of indecent assault of 14 year old employee-prior offending of similar charaacter-breach of trust-IMP 4y/2y]</w:t>
      </w:r>
      <w:r w:rsidR="00331C68">
        <w:rPr>
          <w:rFonts w:ascii="Arial" w:hAnsi="Arial" w:cs="Arial"/>
          <w:color w:val="000000"/>
          <w:sz w:val="20"/>
        </w:rPr>
        <w:t>;</w:t>
      </w:r>
    </w:p>
    <w:p w14:paraId="3B558F3C" w14:textId="32C1AE08" w:rsidR="00760AF6" w:rsidRPr="00F47CA9" w:rsidRDefault="00760AF6" w:rsidP="00C9099E">
      <w:pPr>
        <w:numPr>
          <w:ilvl w:val="0"/>
          <w:numId w:val="86"/>
        </w:numPr>
        <w:ind w:left="357" w:hanging="357"/>
        <w:jc w:val="both"/>
        <w:rPr>
          <w:rFonts w:ascii="Arial" w:hAnsi="Arial" w:cs="Arial"/>
          <w:color w:val="000000"/>
          <w:sz w:val="20"/>
        </w:rPr>
      </w:pPr>
      <w:r>
        <w:rPr>
          <w:rFonts w:ascii="Arial" w:hAnsi="Arial" w:cs="Arial"/>
          <w:i/>
          <w:color w:val="000000"/>
          <w:sz w:val="20"/>
        </w:rPr>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rsidP="00C9099E">
      <w:pPr>
        <w:numPr>
          <w:ilvl w:val="0"/>
          <w:numId w:val="86"/>
        </w:numPr>
        <w:ind w:left="357" w:hanging="357"/>
        <w:jc w:val="both"/>
        <w:rPr>
          <w:rFonts w:ascii="Arial" w:hAnsi="Arial" w:cs="Arial"/>
          <w:color w:val="000000"/>
          <w:sz w:val="20"/>
        </w:rPr>
      </w:pPr>
      <w:r w:rsidRPr="00F47CA9">
        <w:rPr>
          <w:rFonts w:ascii="Arial" w:hAnsi="Arial" w:cs="Arial"/>
          <w:i/>
          <w:iCs/>
          <w:color w:val="000000"/>
          <w:sz w:val="20"/>
        </w:rPr>
        <w:t>Zampatti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rsidP="00C9099E">
      <w:pPr>
        <w:numPr>
          <w:ilvl w:val="0"/>
          <w:numId w:val="86"/>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Nwigwe </w:t>
      </w:r>
      <w:r w:rsidRPr="00331C68">
        <w:rPr>
          <w:rFonts w:ascii="Arial" w:hAnsi="Arial" w:cs="Arial"/>
          <w:color w:val="000000"/>
          <w:sz w:val="20"/>
          <w:szCs w:val="20"/>
        </w:rPr>
        <w:t>[2022] VSCA 14 [</w:t>
      </w:r>
      <w:r>
        <w:rPr>
          <w:rFonts w:ascii="Arial" w:hAnsi="Arial" w:cs="Arial"/>
          <w:color w:val="000000"/>
          <w:sz w:val="20"/>
          <w:szCs w:val="20"/>
        </w:rPr>
        <w:t>doctor at local hospital recently arrived in community plea guilty to 3 charges of sexual penetration of a neighbouring family who reposed trust in offender due to his position and his Christian beliefs -IMP6y6m/4y3m not manifestly inadequate].</w:t>
      </w:r>
    </w:p>
    <w:p w14:paraId="3664C906" w14:textId="30CBD128" w:rsidR="00B72202" w:rsidRPr="006A6853" w:rsidRDefault="00B72202"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r w:rsidR="006A6853">
        <w:rPr>
          <w:rFonts w:ascii="Arial" w:hAnsi="Arial" w:cs="Arial"/>
          <w:color w:val="000000"/>
          <w:sz w:val="20"/>
          <w:szCs w:val="20"/>
        </w:rPr>
        <w:t>;</w:t>
      </w:r>
    </w:p>
    <w:p w14:paraId="1623B0EB" w14:textId="1A98A3A5" w:rsidR="006A6853" w:rsidRPr="0062224E" w:rsidRDefault="006A6853"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Ooms </w:t>
      </w:r>
      <w:r w:rsidRPr="006A6853">
        <w:rPr>
          <w:rFonts w:ascii="Arial" w:hAnsi="Arial" w:cs="Arial"/>
          <w:color w:val="000000"/>
          <w:sz w:val="20"/>
          <w:szCs w:val="20"/>
        </w:rPr>
        <w:t>[2023] VSCA 207 [</w:t>
      </w:r>
      <w:r>
        <w:rPr>
          <w:rFonts w:ascii="Arial" w:hAnsi="Arial" w:cs="Arial"/>
          <w:color w:val="000000"/>
          <w:sz w:val="20"/>
          <w:szCs w:val="20"/>
        </w:rPr>
        <w:t>respondent guilty of 4 counts of sexual penetration of child aged 16 or 17 years and under care, supervision or authority – sentenced to 4-year community correction order – trial judge did not misapply s.5AA Sentencing Act 1991 by taking into account offender’s good character in mitigation – minimal submissions made at trial on application of s.5AA – no evidence led at trial whether good character assisted the offending – no error by trial judge – sentence wholly within range open to trial judge – DPP appeal dismissed]</w:t>
      </w:r>
      <w:r w:rsidR="0062224E">
        <w:rPr>
          <w:rFonts w:ascii="Arial" w:hAnsi="Arial" w:cs="Arial"/>
          <w:color w:val="000000"/>
          <w:sz w:val="20"/>
          <w:szCs w:val="20"/>
        </w:rPr>
        <w:t>;</w:t>
      </w:r>
    </w:p>
    <w:p w14:paraId="6CCAAB02" w14:textId="52B0A020" w:rsidR="0062224E" w:rsidRPr="00371C1C" w:rsidRDefault="0062224E"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Gugliucciello v The King </w:t>
      </w:r>
      <w:r w:rsidRPr="0062224E">
        <w:rPr>
          <w:rFonts w:ascii="Arial" w:hAnsi="Arial" w:cs="Arial"/>
          <w:color w:val="000000"/>
          <w:sz w:val="20"/>
          <w:szCs w:val="20"/>
        </w:rPr>
        <w:t>[2023] VSCA 247.</w:t>
      </w:r>
    </w:p>
    <w:p w14:paraId="45E2E1A2" w14:textId="46BFCA08" w:rsidR="00371C1C" w:rsidRPr="0062224E" w:rsidRDefault="00371C1C"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DPP v Dissanayake</w:t>
      </w:r>
      <w:r w:rsidRPr="00371C1C">
        <w:rPr>
          <w:rFonts w:ascii="Arial" w:hAnsi="Arial" w:cs="Arial"/>
          <w:color w:val="000000"/>
          <w:sz w:val="20"/>
          <w:szCs w:val="20"/>
        </w:rPr>
        <w:t xml:space="preserve"> [2024] VSCA </w:t>
      </w:r>
      <w:r>
        <w:rPr>
          <w:rFonts w:ascii="Arial" w:hAnsi="Arial" w:cs="Arial"/>
          <w:color w:val="000000"/>
          <w:sz w:val="20"/>
          <w:szCs w:val="20"/>
        </w:rPr>
        <w:t xml:space="preserve">320 the </w:t>
      </w:r>
      <w:r w:rsidR="00B47518">
        <w:rPr>
          <w:rFonts w:ascii="Arial" w:hAnsi="Arial" w:cs="Arial"/>
          <w:color w:val="000000"/>
          <w:sz w:val="20"/>
          <w:szCs w:val="20"/>
        </w:rPr>
        <w:t xml:space="preserve">50 year old </w:t>
      </w:r>
      <w:r>
        <w:rPr>
          <w:rFonts w:ascii="Arial" w:hAnsi="Arial" w:cs="Arial"/>
          <w:color w:val="000000"/>
          <w:sz w:val="20"/>
          <w:szCs w:val="20"/>
        </w:rPr>
        <w:t xml:space="preserve">respondent had pled guilty in the County Court to </w:t>
      </w:r>
      <w:r w:rsidRPr="00371C1C">
        <w:rPr>
          <w:rFonts w:ascii="Arial" w:hAnsi="Arial" w:cs="Arial"/>
          <w:color w:val="000000"/>
          <w:sz w:val="20"/>
        </w:rPr>
        <w:t>five charges of sexual penetration of a child under 16 years, two charges of sexual assault of a child under 16 years, one charge of grooming for sexual conduct with a child under the age of 16 years, two charges of intentionally damaging property, and one charge of common law assault</w:t>
      </w:r>
      <w:r>
        <w:rPr>
          <w:rFonts w:ascii="Arial" w:hAnsi="Arial" w:cs="Arial"/>
          <w:color w:val="000000"/>
          <w:sz w:val="20"/>
        </w:rPr>
        <w:t xml:space="preserve"> and was sentenced to TES IMP8y/5y. The respondent was a medical practitioner and the leader of a </w:t>
      </w:r>
      <w:r w:rsidRPr="00371C1C">
        <w:rPr>
          <w:rFonts w:ascii="Arial" w:hAnsi="Arial" w:cs="Arial"/>
          <w:color w:val="000000"/>
          <w:sz w:val="20"/>
        </w:rPr>
        <w:t xml:space="preserve">religious sect to which complainants’ parents belonged </w:t>
      </w:r>
      <w:r>
        <w:rPr>
          <w:rFonts w:ascii="Arial" w:hAnsi="Arial" w:cs="Arial"/>
          <w:color w:val="000000"/>
          <w:sz w:val="20"/>
        </w:rPr>
        <w:t xml:space="preserve">and who was </w:t>
      </w:r>
      <w:r w:rsidRPr="00371C1C">
        <w:rPr>
          <w:rFonts w:ascii="Arial" w:hAnsi="Arial" w:cs="Arial"/>
          <w:color w:val="000000"/>
          <w:sz w:val="20"/>
        </w:rPr>
        <w:t xml:space="preserve">accorded </w:t>
      </w:r>
      <w:r>
        <w:rPr>
          <w:rFonts w:ascii="Arial" w:hAnsi="Arial" w:cs="Arial"/>
          <w:color w:val="000000"/>
          <w:sz w:val="20"/>
        </w:rPr>
        <w:t xml:space="preserve">a </w:t>
      </w:r>
      <w:r w:rsidRPr="00371C1C">
        <w:rPr>
          <w:rFonts w:ascii="Arial" w:hAnsi="Arial" w:cs="Arial"/>
          <w:color w:val="000000"/>
          <w:sz w:val="20"/>
        </w:rPr>
        <w:t>god-like status by cult members</w:t>
      </w:r>
      <w:r>
        <w:rPr>
          <w:rFonts w:ascii="Arial" w:hAnsi="Arial" w:cs="Arial"/>
          <w:color w:val="000000"/>
          <w:sz w:val="20"/>
        </w:rPr>
        <w:t>. The r</w:t>
      </w:r>
      <w:r w:rsidRPr="00371C1C">
        <w:rPr>
          <w:rFonts w:ascii="Arial" w:hAnsi="Arial" w:cs="Arial"/>
          <w:color w:val="000000"/>
          <w:sz w:val="20"/>
        </w:rPr>
        <w:t xml:space="preserve">espondent used </w:t>
      </w:r>
      <w:r>
        <w:rPr>
          <w:rFonts w:ascii="Arial" w:hAnsi="Arial" w:cs="Arial"/>
          <w:color w:val="000000"/>
          <w:sz w:val="20"/>
        </w:rPr>
        <w:t xml:space="preserve">his </w:t>
      </w:r>
      <w:r w:rsidRPr="00371C1C">
        <w:rPr>
          <w:rFonts w:ascii="Arial" w:hAnsi="Arial" w:cs="Arial"/>
          <w:color w:val="000000"/>
          <w:sz w:val="20"/>
        </w:rPr>
        <w:t xml:space="preserve">position and influence to create circumstances for </w:t>
      </w:r>
      <w:r>
        <w:rPr>
          <w:rFonts w:ascii="Arial" w:hAnsi="Arial" w:cs="Arial"/>
          <w:color w:val="000000"/>
          <w:sz w:val="20"/>
        </w:rPr>
        <w:t>r</w:t>
      </w:r>
      <w:r w:rsidRPr="00371C1C">
        <w:rPr>
          <w:rFonts w:ascii="Arial" w:hAnsi="Arial" w:cs="Arial"/>
          <w:color w:val="000000"/>
          <w:sz w:val="20"/>
        </w:rPr>
        <w:t>epeated offending over months against two complainants aged 12 years</w:t>
      </w:r>
      <w:r>
        <w:rPr>
          <w:rFonts w:ascii="Arial" w:hAnsi="Arial" w:cs="Arial"/>
          <w:color w:val="000000"/>
          <w:sz w:val="20"/>
        </w:rPr>
        <w:t>. The o</w:t>
      </w:r>
      <w:r w:rsidRPr="00371C1C">
        <w:rPr>
          <w:rFonts w:ascii="Arial" w:hAnsi="Arial" w:cs="Arial"/>
          <w:color w:val="000000"/>
          <w:sz w:val="20"/>
        </w:rPr>
        <w:t xml:space="preserve">ffending </w:t>
      </w:r>
      <w:r>
        <w:rPr>
          <w:rFonts w:ascii="Arial" w:hAnsi="Arial" w:cs="Arial"/>
          <w:color w:val="000000"/>
          <w:sz w:val="20"/>
        </w:rPr>
        <w:t xml:space="preserve">was </w:t>
      </w:r>
      <w:r w:rsidRPr="00371C1C">
        <w:rPr>
          <w:rFonts w:ascii="Arial" w:hAnsi="Arial" w:cs="Arial"/>
          <w:color w:val="000000"/>
          <w:sz w:val="20"/>
        </w:rPr>
        <w:t>objectively serious</w:t>
      </w:r>
      <w:r>
        <w:rPr>
          <w:rFonts w:ascii="Arial" w:hAnsi="Arial" w:cs="Arial"/>
          <w:color w:val="000000"/>
          <w:sz w:val="20"/>
        </w:rPr>
        <w:t>. The respondent had h</w:t>
      </w:r>
      <w:r w:rsidRPr="00371C1C">
        <w:rPr>
          <w:rFonts w:ascii="Arial" w:hAnsi="Arial" w:cs="Arial"/>
          <w:color w:val="000000"/>
          <w:sz w:val="20"/>
        </w:rPr>
        <w:t>igh moral culpability</w:t>
      </w:r>
      <w:r>
        <w:rPr>
          <w:rFonts w:ascii="Arial" w:hAnsi="Arial" w:cs="Arial"/>
          <w:color w:val="000000"/>
          <w:sz w:val="20"/>
        </w:rPr>
        <w:t xml:space="preserve"> and l</w:t>
      </w:r>
      <w:r w:rsidRPr="00371C1C">
        <w:rPr>
          <w:rFonts w:ascii="Arial" w:hAnsi="Arial" w:cs="Arial"/>
          <w:color w:val="000000"/>
          <w:sz w:val="20"/>
        </w:rPr>
        <w:t xml:space="preserve">imited mitigating factors </w:t>
      </w:r>
      <w:r>
        <w:rPr>
          <w:rFonts w:ascii="Arial" w:hAnsi="Arial" w:cs="Arial"/>
          <w:color w:val="000000"/>
          <w:sz w:val="20"/>
        </w:rPr>
        <w:t>save for r</w:t>
      </w:r>
      <w:r w:rsidRPr="00371C1C">
        <w:rPr>
          <w:rFonts w:ascii="Arial" w:hAnsi="Arial" w:cs="Arial"/>
          <w:color w:val="000000"/>
          <w:sz w:val="20"/>
        </w:rPr>
        <w:t>emorse shown on day of sentencing</w:t>
      </w:r>
      <w:r>
        <w:rPr>
          <w:rFonts w:ascii="Arial" w:hAnsi="Arial" w:cs="Arial"/>
          <w:color w:val="000000"/>
          <w:sz w:val="20"/>
        </w:rPr>
        <w:t>. Holding that the sentence was manifestly inadequate the Court of Appeal allowed the DPP appeal and resentenced the respondent to TES IMP10y10m/8y.</w:t>
      </w:r>
    </w:p>
    <w:p w14:paraId="75D3184E" w14:textId="3E586923" w:rsidR="0062224E" w:rsidRDefault="0062224E" w:rsidP="0062224E">
      <w:pPr>
        <w:jc w:val="both"/>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bookmarkStart w:id="1120" w:name="_11.15.2_Use_of"/>
      <w:bookmarkEnd w:id="1120"/>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DPP(Cth) v Hiz</w:t>
      </w:r>
      <w:r w:rsidR="00D43B79" w:rsidRPr="00102D2A">
        <w:rPr>
          <w:rFonts w:ascii="Arial" w:hAnsi="Arial" w:cs="Arial"/>
          <w:i/>
          <w:iCs/>
          <w:color w:val="000000"/>
          <w:sz w:val="20"/>
        </w:rPr>
        <w:t>h</w:t>
      </w:r>
      <w:r w:rsidRPr="00102D2A">
        <w:rPr>
          <w:rFonts w:ascii="Arial" w:hAnsi="Arial" w:cs="Arial"/>
          <w:i/>
          <w:iCs/>
          <w:color w:val="000000"/>
          <w:sz w:val="20"/>
        </w:rPr>
        <w:t>nikov</w:t>
      </w:r>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R v Burdon; ex parte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place">
        <w:smartTag w:uri="urn:schemas-microsoft-com:office:smarttags" w:element="Stat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102D2A" w:rsidRDefault="00BE3984" w:rsidP="00846241">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102D2A">
        <w:rPr>
          <w:rFonts w:ascii="Arial" w:hAnsi="Arial" w:cs="Arial"/>
          <w:color w:val="000000"/>
          <w:sz w:val="20"/>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lastRenderedPageBreak/>
        <w:t xml:space="preserve">Recently, in </w:t>
      </w:r>
      <w:smartTag w:uri="urn:schemas-microsoft-com:office:smarttags" w:element="State">
        <w:smartTag w:uri="urn:schemas-microsoft-com:office:smarttags" w:element="plac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Steytler P, who delivered the judgment of the Court, made it clear that offences of this kind were regarded by the legislature as serious.  His Honour said that paedophiles were increasingly making use of the internet to access children and groom them for subsequent sexual offending.   He 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Steytler P then summed up reasons why the Crown appeal should be allowed, and the respondent required to serve an actual term of imprisonment.  His Honour said at [43]:</w:t>
      </w:r>
    </w:p>
    <w:p w14:paraId="2D0B4E44" w14:textId="77777777" w:rsidR="00D43B79" w:rsidRPr="00102D2A" w:rsidRDefault="00D43B79" w:rsidP="00D43B79">
      <w:pPr>
        <w:pStyle w:val="Normal-Indent"/>
        <w:spacing w:before="60" w:line="240" w:lineRule="auto"/>
        <w:ind w:left="1134" w:right="1134"/>
        <w:rPr>
          <w:rFonts w:ascii="Arial" w:hAnsi="Arial" w:cs="Arial"/>
          <w:color w:val="000000"/>
          <w:sz w:val="20"/>
        </w:rPr>
      </w:pPr>
      <w:r w:rsidRPr="00102D2A">
        <w:rPr>
          <w:rFonts w:ascii="Arial" w:hAnsi="Arial" w:cs="Arial"/>
          <w:color w:val="000000"/>
          <w:sz w:val="20"/>
        </w:rPr>
        <w:t>‘It seems to me that, even taking into account the matters favourable to the respondent, the sentence imposed was so manifestly inadequate as to demand the intervention of this court, notwithstanding the constraints inherent in a State appeal. This was a very serious example of this kind of 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r w:rsidRPr="00102D2A">
        <w:rPr>
          <w:rFonts w:ascii="Arial" w:hAnsi="Arial" w:cs="Arial"/>
          <w:i/>
          <w:color w:val="000000"/>
          <w:sz w:val="20"/>
        </w:rPr>
        <w:t>Gajjar</w:t>
      </w:r>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DPP (Vic) v Conos</w:t>
      </w:r>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Sifris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w:t>
      </w:r>
      <w:r w:rsidR="00C976DC" w:rsidRPr="00C976DC">
        <w:rPr>
          <w:rFonts w:ascii="Arial" w:hAnsi="Arial" w:cs="Arial"/>
          <w:sz w:val="20"/>
          <w:szCs w:val="20"/>
        </w:rPr>
        <w:lastRenderedPageBreak/>
        <w:t xml:space="preserve">satisfaction from observing the victim performing sexual acts to the offender’s instructions. See, eg, </w:t>
      </w:r>
      <w:r w:rsidR="00C976DC" w:rsidRPr="00C976DC">
        <w:rPr>
          <w:rFonts w:ascii="Arial" w:hAnsi="Arial" w:cs="Arial"/>
          <w:i/>
          <w:iCs/>
          <w:sz w:val="20"/>
          <w:szCs w:val="20"/>
        </w:rPr>
        <w:t>DPP v Meharry</w:t>
      </w:r>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732A0976"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3C048B">
        <w:rPr>
          <w:rFonts w:ascii="Arial" w:hAnsi="Arial" w:cs="Arial"/>
          <w:color w:val="000000"/>
          <w:sz w:val="20"/>
          <w:szCs w:val="20"/>
        </w:rPr>
        <w:t xml:space="preserve">; </w:t>
      </w:r>
      <w:r w:rsidR="003C048B" w:rsidRPr="003C048B">
        <w:rPr>
          <w:rFonts w:ascii="Arial" w:hAnsi="Arial" w:cs="Arial"/>
          <w:i/>
          <w:iCs/>
          <w:color w:val="000000"/>
          <w:sz w:val="20"/>
          <w:szCs w:val="20"/>
        </w:rPr>
        <w:t xml:space="preserve">ABC (a pseudonym) v The King </w:t>
      </w:r>
      <w:r w:rsidR="003C048B" w:rsidRPr="003C048B">
        <w:rPr>
          <w:rFonts w:ascii="Arial" w:hAnsi="Arial" w:cs="Arial"/>
          <w:color w:val="000000"/>
          <w:sz w:val="20"/>
          <w:szCs w:val="20"/>
        </w:rPr>
        <w:t>[2023] VSCA 280</w:t>
      </w:r>
      <w:r w:rsidR="00B84C14">
        <w:rPr>
          <w:rFonts w:ascii="Arial" w:hAnsi="Arial" w:cs="Arial"/>
          <w:color w:val="000000"/>
          <w:sz w:val="20"/>
          <w:szCs w:val="20"/>
        </w:rPr>
        <w:t xml:space="preserve">; </w:t>
      </w:r>
      <w:r w:rsidR="00B84C14" w:rsidRPr="00B84C14">
        <w:rPr>
          <w:rFonts w:ascii="Arial" w:hAnsi="Arial" w:cs="Arial"/>
          <w:i/>
          <w:iCs/>
          <w:color w:val="000000"/>
          <w:sz w:val="20"/>
          <w:szCs w:val="20"/>
        </w:rPr>
        <w:t>Senarath v The King</w:t>
      </w:r>
      <w:r w:rsidR="00B84C14">
        <w:rPr>
          <w:rFonts w:ascii="Arial" w:hAnsi="Arial" w:cs="Arial"/>
          <w:color w:val="000000"/>
          <w:sz w:val="20"/>
          <w:szCs w:val="20"/>
        </w:rPr>
        <w:t xml:space="preserve"> [2024] VSCA 306</w:t>
      </w:r>
      <w:r w:rsidR="00550620" w:rsidRPr="003C048B">
        <w:rPr>
          <w:rFonts w:ascii="Arial" w:hAnsi="Arial" w:cs="Arial"/>
          <w:color w:val="000000"/>
          <w:sz w:val="20"/>
          <w:szCs w:val="20"/>
        </w:rPr>
        <w:t>.</w:t>
      </w:r>
    </w:p>
    <w:p w14:paraId="4CF86A1B" w14:textId="2941D4B5"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121" w:name="_11.15.3_Possession/production/trans"/>
      <w:bookmarkEnd w:id="1121"/>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Fulop</w:t>
      </w:r>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(Cth)</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pornographers supply.  The appellant was to be punished not simply for his predilection to the material but rather for his pursuit of it.  In this connection, I regard the length of time and the frequency with which the appellant </w:t>
      </w:r>
      <w:r w:rsidRPr="00102D2A">
        <w:rPr>
          <w:rFonts w:ascii="Arial" w:hAnsi="Arial" w:cs="Arial"/>
          <w:color w:val="000000"/>
          <w:sz w:val="20"/>
        </w:rPr>
        <w:lastRenderedPageBreak/>
        <w:t>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45FD2070"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r w:rsidR="00371C1C">
        <w:rPr>
          <w:rFonts w:ascii="Arial" w:hAnsi="Arial" w:cs="Arial"/>
          <w:color w:val="000000"/>
          <w:sz w:val="20"/>
        </w:rPr>
        <w:t>–</w:t>
      </w:r>
    </w:p>
    <w:p w14:paraId="545597B8"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R v Oliver and Ors</w:t>
      </w:r>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r w:rsidRPr="00102D2A">
        <w:rPr>
          <w:rFonts w:ascii="Arial" w:hAnsi="Arial" w:cs="Arial"/>
          <w:i/>
          <w:color w:val="000000"/>
          <w:sz w:val="20"/>
        </w:rPr>
        <w:t>Assheton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rsidP="00C9099E">
      <w:pPr>
        <w:numPr>
          <w:ilvl w:val="0"/>
          <w:numId w:val="87"/>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who emphasised that child pornography involves the corruption and violation of children and creates a market which 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Rivo</w:t>
      </w:r>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country-region">
        <w:smartTag w:uri="urn:schemas-microsoft-com:office:smarttags" w:element="place">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(Cth)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according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r w:rsidRPr="00102D2A">
        <w:rPr>
          <w:rFonts w:ascii="Arial" w:hAnsi="Arial" w:cs="Arial"/>
          <w:i/>
          <w:color w:val="000000"/>
          <w:sz w:val="20"/>
        </w:rPr>
        <w:t>Assheton v The Queen</w:t>
      </w:r>
      <w:r w:rsidRPr="00102D2A">
        <w:rPr>
          <w:rFonts w:ascii="Arial" w:hAnsi="Arial" w:cs="Arial"/>
          <w:color w:val="000000"/>
          <w:sz w:val="20"/>
        </w:rPr>
        <w:t xml:space="preserve"> (2002) 132 A Crim R 237, [35]–[36] (Malcolm CJ, Murray and Steytler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w:t>
      </w:r>
      <w:r w:rsidRPr="00102D2A">
        <w:rPr>
          <w:rFonts w:ascii="Arial" w:hAnsi="Arial" w:cs="Arial"/>
          <w:color w:val="000000"/>
          <w:sz w:val="20"/>
        </w:rPr>
        <w:lastRenderedPageBreak/>
        <w:t xml:space="preserve">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102D2A" w:rsidRDefault="00512FBD" w:rsidP="00957960">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‘No matter where it occurs and no matter to whom it occurs, child sexual abuse cannot be tolerated.  Australian courts must do their part to eliminate this horrendous activity ...</w:t>
      </w:r>
    </w:p>
    <w:p w14:paraId="58D02ED1" w14:textId="77777777" w:rsidR="00512FBD" w:rsidRPr="00102D2A" w:rsidRDefault="00512FBD" w:rsidP="00F47CA9">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McLelland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DPP v D’Allesandro</w:t>
      </w:r>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DPP v Groube</w:t>
      </w:r>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 xml:space="preserve">tence </w:t>
      </w:r>
      <w:r w:rsidRPr="00102D2A">
        <w:rPr>
          <w:rFonts w:ascii="Arial" w:hAnsi="Arial" w:cs="Arial"/>
          <w:color w:val="000000"/>
          <w:sz w:val="20"/>
        </w:rPr>
        <w:lastRenderedPageBreak/>
        <w:t>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R v Gordon ex parte DPP (C’th)</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5176D8">
      <w:pPr>
        <w:jc w:val="both"/>
        <w:rPr>
          <w:rFonts w:ascii="Arial" w:hAnsi="Arial" w:cs="Arial"/>
          <w:color w:val="000000"/>
          <w:sz w:val="20"/>
        </w:rPr>
      </w:pPr>
      <w:r>
        <w:rPr>
          <w:rFonts w:ascii="Arial" w:hAnsi="Arial" w:cs="Arial"/>
          <w:color w:val="000000"/>
          <w:sz w:val="20"/>
        </w:rPr>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Default="006554E3" w:rsidP="00BE3984">
      <w:pPr>
        <w:jc w:val="both"/>
        <w:rPr>
          <w:rFonts w:ascii="Arial" w:hAnsi="Arial" w:cs="Arial"/>
          <w:color w:val="000000"/>
          <w:sz w:val="20"/>
        </w:rPr>
      </w:pPr>
    </w:p>
    <w:p w14:paraId="14412ADD" w14:textId="3C58BF8B" w:rsidR="009F050C" w:rsidRDefault="009F050C" w:rsidP="00BE3984">
      <w:pPr>
        <w:jc w:val="both"/>
        <w:rPr>
          <w:rFonts w:ascii="Arial" w:hAnsi="Arial" w:cs="Arial"/>
          <w:sz w:val="20"/>
          <w:szCs w:val="20"/>
        </w:rPr>
      </w:pPr>
      <w:r w:rsidRPr="009F050C">
        <w:rPr>
          <w:rFonts w:ascii="Arial" w:hAnsi="Arial" w:cs="Arial"/>
          <w:color w:val="000000"/>
          <w:sz w:val="20"/>
          <w:szCs w:val="20"/>
        </w:rPr>
        <w:t xml:space="preserve">In </w:t>
      </w:r>
      <w:r w:rsidRPr="009F050C">
        <w:rPr>
          <w:rFonts w:ascii="Arial" w:hAnsi="Arial" w:cs="Arial"/>
          <w:i/>
          <w:iCs/>
          <w:color w:val="000000"/>
          <w:sz w:val="20"/>
          <w:szCs w:val="20"/>
        </w:rPr>
        <w:t>Trinh v The King</w:t>
      </w:r>
      <w:r w:rsidRPr="009F050C">
        <w:rPr>
          <w:rFonts w:ascii="Arial" w:hAnsi="Arial" w:cs="Arial"/>
          <w:color w:val="000000"/>
          <w:sz w:val="20"/>
          <w:szCs w:val="20"/>
        </w:rPr>
        <w:t xml:space="preserve"> [2024] VSCA 61 </w:t>
      </w:r>
      <w:r>
        <w:rPr>
          <w:rFonts w:ascii="Arial" w:hAnsi="Arial" w:cs="Arial"/>
          <w:color w:val="000000"/>
          <w:sz w:val="20"/>
          <w:szCs w:val="20"/>
        </w:rPr>
        <w:t xml:space="preserve">following a </w:t>
      </w:r>
      <w:r w:rsidRPr="009F050C">
        <w:rPr>
          <w:rFonts w:ascii="Arial" w:hAnsi="Arial" w:cs="Arial"/>
          <w:sz w:val="20"/>
          <w:szCs w:val="20"/>
        </w:rPr>
        <w:t xml:space="preserve">guilty </w:t>
      </w:r>
      <w:r>
        <w:rPr>
          <w:rFonts w:ascii="Arial" w:hAnsi="Arial" w:cs="Arial"/>
          <w:sz w:val="20"/>
          <w:szCs w:val="20"/>
        </w:rPr>
        <w:t xml:space="preserve">plea </w:t>
      </w:r>
      <w:r w:rsidRPr="009F050C">
        <w:rPr>
          <w:rFonts w:ascii="Arial" w:hAnsi="Arial" w:cs="Arial"/>
          <w:sz w:val="20"/>
          <w:szCs w:val="20"/>
        </w:rPr>
        <w:t>to 16 charges involving the possession and production of child abuse material and the use of a carriage service to transmit, solicit and access child abuse material as well as to engage in sexual activity with a person under the age of 16 years</w:t>
      </w:r>
      <w:r>
        <w:rPr>
          <w:rFonts w:ascii="Arial" w:hAnsi="Arial" w:cs="Arial"/>
          <w:sz w:val="20"/>
          <w:szCs w:val="20"/>
        </w:rPr>
        <w:t>, a TES IMP7y6m/3y9m was imposed on the a</w:t>
      </w:r>
      <w:r w:rsidR="00346CB0">
        <w:rPr>
          <w:rFonts w:ascii="Arial" w:hAnsi="Arial" w:cs="Arial"/>
          <w:sz w:val="20"/>
          <w:szCs w:val="20"/>
        </w:rPr>
        <w:t>pplicant</w:t>
      </w:r>
      <w:r>
        <w:rPr>
          <w:rFonts w:ascii="Arial" w:hAnsi="Arial" w:cs="Arial"/>
          <w:sz w:val="20"/>
          <w:szCs w:val="20"/>
        </w:rPr>
        <w:t>.  The Court of Appeal allowed his appeal</w:t>
      </w:r>
      <w:r w:rsidR="005176D8">
        <w:rPr>
          <w:rFonts w:ascii="Arial" w:hAnsi="Arial" w:cs="Arial"/>
          <w:sz w:val="20"/>
          <w:szCs w:val="20"/>
        </w:rPr>
        <w:t xml:space="preserve">, set aside the sentence on charge 12 [engaging in sexual activity with a person under 18 years of age using a carriage service) </w:t>
      </w:r>
      <w:r>
        <w:rPr>
          <w:rFonts w:ascii="Arial" w:hAnsi="Arial" w:cs="Arial"/>
          <w:sz w:val="20"/>
          <w:szCs w:val="20"/>
        </w:rPr>
        <w:t>and substituted a TES IMP</w:t>
      </w:r>
      <w:r w:rsidR="005176D8">
        <w:rPr>
          <w:rFonts w:ascii="Arial" w:hAnsi="Arial" w:cs="Arial"/>
          <w:sz w:val="20"/>
          <w:szCs w:val="20"/>
        </w:rPr>
        <w:t>5</w:t>
      </w:r>
      <w:r>
        <w:rPr>
          <w:rFonts w:ascii="Arial" w:hAnsi="Arial" w:cs="Arial"/>
          <w:sz w:val="20"/>
          <w:szCs w:val="20"/>
        </w:rPr>
        <w:t>y</w:t>
      </w:r>
      <w:r w:rsidR="005176D8">
        <w:rPr>
          <w:rFonts w:ascii="Arial" w:hAnsi="Arial" w:cs="Arial"/>
          <w:sz w:val="20"/>
          <w:szCs w:val="20"/>
        </w:rPr>
        <w:t>6m</w:t>
      </w:r>
      <w:r>
        <w:rPr>
          <w:rFonts w:ascii="Arial" w:hAnsi="Arial" w:cs="Arial"/>
          <w:sz w:val="20"/>
          <w:szCs w:val="20"/>
        </w:rPr>
        <w:t>/</w:t>
      </w:r>
      <w:r w:rsidR="005176D8">
        <w:rPr>
          <w:rFonts w:ascii="Arial" w:hAnsi="Arial" w:cs="Arial"/>
          <w:sz w:val="20"/>
          <w:szCs w:val="20"/>
        </w:rPr>
        <w:t>3</w:t>
      </w:r>
      <w:r>
        <w:rPr>
          <w:rFonts w:ascii="Arial" w:hAnsi="Arial" w:cs="Arial"/>
          <w:sz w:val="20"/>
          <w:szCs w:val="20"/>
        </w:rPr>
        <w:t>y.  At [71]-[7</w:t>
      </w:r>
      <w:r w:rsidR="005176D8">
        <w:rPr>
          <w:rFonts w:ascii="Arial" w:hAnsi="Arial" w:cs="Arial"/>
          <w:sz w:val="20"/>
          <w:szCs w:val="20"/>
        </w:rPr>
        <w:t>4</w:t>
      </w:r>
      <w:r>
        <w:rPr>
          <w:rFonts w:ascii="Arial" w:hAnsi="Arial" w:cs="Arial"/>
          <w:sz w:val="20"/>
          <w:szCs w:val="20"/>
        </w:rPr>
        <w:t xml:space="preserve">] Taylor JA (with whom Priest &amp; </w:t>
      </w:r>
      <w:r w:rsidR="005176D8">
        <w:rPr>
          <w:rFonts w:ascii="Arial" w:hAnsi="Arial" w:cs="Arial"/>
          <w:sz w:val="20"/>
          <w:szCs w:val="20"/>
        </w:rPr>
        <w:t>Kaye JJA agreed) said:</w:t>
      </w:r>
    </w:p>
    <w:p w14:paraId="58064B8D" w14:textId="77777777" w:rsidR="00780FA4" w:rsidRDefault="005176D8" w:rsidP="009F050C">
      <w:pPr>
        <w:pStyle w:val="Normal-Indent"/>
        <w:spacing w:before="60" w:line="240" w:lineRule="auto"/>
        <w:ind w:left="567" w:right="567"/>
        <w:rPr>
          <w:rFonts w:ascii="Arial" w:hAnsi="Arial" w:cs="Arial"/>
          <w:sz w:val="20"/>
        </w:rPr>
      </w:pPr>
      <w:r>
        <w:rPr>
          <w:rFonts w:ascii="Arial" w:hAnsi="Arial" w:cs="Arial"/>
          <w:sz w:val="20"/>
        </w:rPr>
        <w:t>[71] “</w:t>
      </w:r>
      <w:r w:rsidR="009F050C" w:rsidRPr="009F050C">
        <w:rPr>
          <w:rFonts w:ascii="Arial" w:hAnsi="Arial" w:cs="Arial"/>
          <w:sz w:val="20"/>
        </w:rPr>
        <w:t>There can be no doubt that the charge 12 offending was very serious indeed. As</w:t>
      </w:r>
      <w:r>
        <w:rPr>
          <w:rFonts w:ascii="Arial" w:hAnsi="Arial" w:cs="Arial"/>
          <w:sz w:val="20"/>
        </w:rPr>
        <w:t> </w:t>
      </w:r>
      <w:r w:rsidR="009F050C" w:rsidRPr="009F050C">
        <w:rPr>
          <w:rFonts w:ascii="Arial" w:hAnsi="Arial" w:cs="Arial"/>
          <w:sz w:val="20"/>
        </w:rPr>
        <w:t xml:space="preserve">found by the judge, the applicant effectively groomed Complainant 8 by causing her to transmit to him child abuse material over a three month period. He then, over 34 minutes, directed her to perform sex acts – apparently including penetration with multiple objects. He did so for his own selfish sexual gratification and without regard to the harm caused to the complainant. He also captured that performance on video (albeit that that act is the subject of charge 7). </w:t>
      </w:r>
    </w:p>
    <w:p w14:paraId="0BE0C442" w14:textId="454A6BCC" w:rsidR="005176D8" w:rsidRPr="005176D8" w:rsidRDefault="00780FA4" w:rsidP="009F050C">
      <w:pPr>
        <w:pStyle w:val="Normal-Indent"/>
        <w:spacing w:before="60" w:line="240" w:lineRule="auto"/>
        <w:ind w:left="567" w:right="567"/>
        <w:rPr>
          <w:rFonts w:ascii="Arial" w:hAnsi="Arial" w:cs="Arial"/>
          <w:sz w:val="20"/>
        </w:rPr>
      </w:pPr>
      <w:r>
        <w:rPr>
          <w:rFonts w:ascii="Arial" w:hAnsi="Arial" w:cs="Arial"/>
          <w:sz w:val="20"/>
        </w:rPr>
        <w:t xml:space="preserve">[72] </w:t>
      </w:r>
      <w:r w:rsidR="009F050C" w:rsidRPr="009F050C">
        <w:rPr>
          <w:rFonts w:ascii="Arial" w:hAnsi="Arial" w:cs="Arial"/>
          <w:sz w:val="20"/>
        </w:rPr>
        <w:t xml:space="preserve">The Legislature has made plain the seriousness of such offending, not least by the imposition of the yardsticks of the minimum and maximum penalties. Section 474.25A(1) of the </w:t>
      </w:r>
      <w:r w:rsidR="009F050C" w:rsidRPr="00780FA4">
        <w:rPr>
          <w:rFonts w:ascii="Arial" w:hAnsi="Arial" w:cs="Arial"/>
          <w:i/>
          <w:iCs/>
          <w:sz w:val="20"/>
        </w:rPr>
        <w:t>Criminal Code</w:t>
      </w:r>
      <w:r w:rsidR="009F050C" w:rsidRPr="009F050C">
        <w:rPr>
          <w:rFonts w:ascii="Arial" w:hAnsi="Arial" w:cs="Arial"/>
          <w:sz w:val="20"/>
        </w:rPr>
        <w:t xml:space="preserve"> is part of a suite of offence provisions aimed to protect children from the sexual exploitation and abuse so easily accomplished by anonymous (adult) </w:t>
      </w:r>
      <w:r w:rsidR="009F050C" w:rsidRPr="009F050C">
        <w:rPr>
          <w:rFonts w:ascii="Arial" w:hAnsi="Arial" w:cs="Arial"/>
          <w:sz w:val="20"/>
        </w:rPr>
        <w:lastRenderedPageBreak/>
        <w:t>offenders online. The applicant himself recognised that younger girls are easier to control and manipulate. It follows that the paramount sentencing consideration for such offences is general deterrence</w:t>
      </w:r>
      <w:r w:rsidR="007A7B92">
        <w:rPr>
          <w:rFonts w:ascii="Arial" w:hAnsi="Arial" w:cs="Arial"/>
          <w:sz w:val="20"/>
        </w:rPr>
        <w:t xml:space="preserve">: </w:t>
      </w:r>
      <w:r w:rsidR="005176D8" w:rsidRPr="007E3E82">
        <w:rPr>
          <w:rFonts w:ascii="Arial" w:hAnsi="Arial" w:cs="Arial"/>
          <w:i/>
          <w:iCs/>
          <w:sz w:val="20"/>
        </w:rPr>
        <w:t>The Queen v Leask</w:t>
      </w:r>
      <w:r w:rsidR="005176D8" w:rsidRPr="005176D8">
        <w:rPr>
          <w:rFonts w:ascii="Arial" w:hAnsi="Arial" w:cs="Arial"/>
          <w:sz w:val="20"/>
        </w:rPr>
        <w:t xml:space="preserve"> (2013) 236 A</w:t>
      </w:r>
      <w:r w:rsidR="007A7B92">
        <w:rPr>
          <w:rFonts w:ascii="Arial" w:hAnsi="Arial" w:cs="Arial"/>
          <w:sz w:val="20"/>
        </w:rPr>
        <w:t> </w:t>
      </w:r>
      <w:r w:rsidR="005176D8" w:rsidRPr="005176D8">
        <w:rPr>
          <w:rFonts w:ascii="Arial" w:hAnsi="Arial" w:cs="Arial"/>
          <w:sz w:val="20"/>
        </w:rPr>
        <w:t>Crim R 1; [2013] WASCA 243, [92]</w:t>
      </w:r>
      <w:r>
        <w:rPr>
          <w:rFonts w:ascii="Arial" w:hAnsi="Arial" w:cs="Arial"/>
          <w:sz w:val="20"/>
        </w:rPr>
        <w:t>.</w:t>
      </w:r>
    </w:p>
    <w:p w14:paraId="02904685" w14:textId="5B3FFFEB" w:rsidR="00780FA4" w:rsidRDefault="00780FA4" w:rsidP="009F050C">
      <w:pPr>
        <w:pStyle w:val="Normal-Indent"/>
        <w:spacing w:before="60" w:line="240" w:lineRule="auto"/>
        <w:ind w:left="567" w:right="567"/>
        <w:rPr>
          <w:rFonts w:ascii="Arial" w:hAnsi="Arial" w:cs="Arial"/>
          <w:sz w:val="20"/>
        </w:rPr>
      </w:pPr>
      <w:r>
        <w:rPr>
          <w:rFonts w:ascii="Arial" w:hAnsi="Arial" w:cs="Arial"/>
          <w:sz w:val="20"/>
        </w:rPr>
        <w:t>[</w:t>
      </w:r>
      <w:r w:rsidR="009F050C" w:rsidRPr="009F050C">
        <w:rPr>
          <w:rFonts w:ascii="Arial" w:hAnsi="Arial" w:cs="Arial"/>
          <w:sz w:val="20"/>
        </w:rPr>
        <w:t>73</w:t>
      </w:r>
      <w:r>
        <w:rPr>
          <w:rFonts w:ascii="Arial" w:hAnsi="Arial" w:cs="Arial"/>
          <w:sz w:val="20"/>
        </w:rPr>
        <w:t>]</w:t>
      </w:r>
      <w:r w:rsidR="009F050C" w:rsidRPr="009F050C">
        <w:rPr>
          <w:rFonts w:ascii="Arial" w:hAnsi="Arial" w:cs="Arial"/>
          <w:sz w:val="20"/>
        </w:rPr>
        <w:t xml:space="preserve"> It is to be noted that the applicant’s counsel correctly conceded on the plea that the applicant’s offending was in the ‘mid-range’ of objective seriousness.</w:t>
      </w:r>
      <w:r>
        <w:rPr>
          <w:rFonts w:ascii="Arial" w:hAnsi="Arial" w:cs="Arial"/>
          <w:sz w:val="20"/>
        </w:rPr>
        <w:t xml:space="preserve"> </w:t>
      </w:r>
      <w:r w:rsidR="009F050C" w:rsidRPr="009F050C">
        <w:rPr>
          <w:rFonts w:ascii="Arial" w:hAnsi="Arial" w:cs="Arial"/>
          <w:sz w:val="20"/>
        </w:rPr>
        <w:t xml:space="preserve"> Ordinarily, such objectively serious offending would warrant a sentence in excess of the statutory minimum, notwithstanding the reductions available pursuant to s 16AAC(3) of the Crimes Act. However, the exceptional subjective circumstances of the applicant’s case, in combination with the reductions the applicant is entitled to in accordance with s</w:t>
      </w:r>
      <w:r w:rsidR="00346CB0">
        <w:rPr>
          <w:rFonts w:ascii="Arial" w:hAnsi="Arial" w:cs="Arial"/>
          <w:sz w:val="20"/>
        </w:rPr>
        <w:t>.</w:t>
      </w:r>
      <w:r w:rsidR="009F050C" w:rsidRPr="009F050C">
        <w:rPr>
          <w:rFonts w:ascii="Arial" w:hAnsi="Arial" w:cs="Arial"/>
          <w:sz w:val="20"/>
        </w:rPr>
        <w:t>16AAC(3), have compelled me to reach the conclusion that in the unique circumstances of this case it is appropriate to impose a sentence that is less than the statutory minimum.</w:t>
      </w:r>
    </w:p>
    <w:p w14:paraId="4F0FED50" w14:textId="1C52E521" w:rsidR="009F050C" w:rsidRPr="00102D2A" w:rsidRDefault="00780FA4" w:rsidP="009F050C">
      <w:pPr>
        <w:pStyle w:val="Normal-Indent"/>
        <w:spacing w:before="60" w:line="240" w:lineRule="auto"/>
        <w:ind w:left="567" w:right="567"/>
        <w:rPr>
          <w:rFonts w:ascii="Arial" w:hAnsi="Arial" w:cs="Arial"/>
          <w:color w:val="000000"/>
          <w:sz w:val="20"/>
        </w:rPr>
      </w:pPr>
      <w:r>
        <w:rPr>
          <w:rFonts w:ascii="Arial" w:hAnsi="Arial" w:cs="Arial"/>
          <w:sz w:val="20"/>
        </w:rPr>
        <w:t>[</w:t>
      </w:r>
      <w:r w:rsidR="009F050C" w:rsidRPr="009F050C">
        <w:rPr>
          <w:rFonts w:ascii="Arial" w:hAnsi="Arial" w:cs="Arial"/>
          <w:sz w:val="20"/>
        </w:rPr>
        <w:t>74</w:t>
      </w:r>
      <w:r>
        <w:rPr>
          <w:rFonts w:ascii="Arial" w:hAnsi="Arial" w:cs="Arial"/>
          <w:sz w:val="20"/>
        </w:rPr>
        <w:t>]</w:t>
      </w:r>
      <w:r w:rsidR="009F050C" w:rsidRPr="009F050C">
        <w:rPr>
          <w:rFonts w:ascii="Arial" w:hAnsi="Arial" w:cs="Arial"/>
          <w:sz w:val="20"/>
        </w:rPr>
        <w:t xml:space="preserve"> Those subjective circumstances include that the applicant was an extremely immature 19 year old. His upbringing was notably difficult. He suffered sexual abuse as a child which precipitated a major interruption to his schooling and social development. His father had problematic gambling and alcohol addictions. The applicant’s attempted suicide by jumping off the roof of a building was no feint endeavour. He pleaded guilty, admitted his offending and provided passwords to his devices to the police. He expressed remorse. He had no prior criminal history and had refrained from further offending post arrest. The judge found his prospects of rehabilitation to be good. He was entitled to the benefit of delay.</w:t>
      </w:r>
      <w:r>
        <w:rPr>
          <w:rFonts w:ascii="Arial" w:hAnsi="Arial" w:cs="Arial"/>
          <w:sz w:val="20"/>
        </w:rPr>
        <w:t>”</w:t>
      </w:r>
    </w:p>
    <w:p w14:paraId="1F6C17E6" w14:textId="77777777" w:rsidR="009F050C" w:rsidRDefault="009F050C" w:rsidP="00BE3984">
      <w:pPr>
        <w:jc w:val="both"/>
        <w:rPr>
          <w:rFonts w:ascii="Arial" w:hAnsi="Arial" w:cs="Arial"/>
          <w:color w:val="000000"/>
          <w:sz w:val="20"/>
        </w:rPr>
      </w:pPr>
    </w:p>
    <w:p w14:paraId="289BFE66" w14:textId="2B5989E3" w:rsidR="00F72BDA" w:rsidRDefault="00F72BDA" w:rsidP="00BE3984">
      <w:pPr>
        <w:jc w:val="both"/>
        <w:rPr>
          <w:rFonts w:ascii="Arial" w:hAnsi="Arial" w:cs="Arial"/>
          <w:color w:val="000000"/>
          <w:sz w:val="20"/>
        </w:rPr>
      </w:pPr>
      <w:r w:rsidRPr="00F72BDA">
        <w:rPr>
          <w:rFonts w:ascii="Arial" w:hAnsi="Arial" w:cs="Arial"/>
          <w:color w:val="000000"/>
          <w:sz w:val="20"/>
          <w:szCs w:val="20"/>
        </w:rPr>
        <w:t xml:space="preserve">In </w:t>
      </w:r>
      <w:r w:rsidRPr="00F72BDA">
        <w:rPr>
          <w:rFonts w:ascii="Arial" w:hAnsi="Arial" w:cs="Arial"/>
          <w:i/>
          <w:iCs/>
          <w:color w:val="000000"/>
          <w:sz w:val="20"/>
          <w:szCs w:val="20"/>
        </w:rPr>
        <w:t>Crowder (a pseudonym) v The King</w:t>
      </w:r>
      <w:r>
        <w:rPr>
          <w:rFonts w:ascii="Arial" w:hAnsi="Arial" w:cs="Arial"/>
          <w:color w:val="000000"/>
          <w:sz w:val="20"/>
          <w:szCs w:val="20"/>
        </w:rPr>
        <w:t xml:space="preserve"> [2024] VSCA 211</w:t>
      </w:r>
      <w:r w:rsidR="00F21A96">
        <w:rPr>
          <w:rFonts w:ascii="Arial" w:hAnsi="Arial" w:cs="Arial"/>
          <w:color w:val="000000"/>
          <w:sz w:val="20"/>
          <w:szCs w:val="20"/>
        </w:rPr>
        <w:t>,</w:t>
      </w:r>
      <w:r>
        <w:rPr>
          <w:rFonts w:ascii="Arial" w:hAnsi="Arial" w:cs="Arial"/>
          <w:color w:val="000000"/>
          <w:sz w:val="20"/>
          <w:szCs w:val="20"/>
        </w:rPr>
        <w:t xml:space="preserve"> following a guilty plea to charges of </w:t>
      </w:r>
      <w:r w:rsidRPr="00F72BDA">
        <w:rPr>
          <w:rFonts w:ascii="Arial" w:hAnsi="Arial" w:cs="Arial"/>
          <w:color w:val="000000"/>
          <w:sz w:val="20"/>
          <w:szCs w:val="20"/>
        </w:rPr>
        <w:t xml:space="preserve">using a carriage service to access child abuse material, contrary to s 474.22(1) of the </w:t>
      </w:r>
      <w:r w:rsidRPr="00F72BDA">
        <w:rPr>
          <w:rFonts w:ascii="Arial" w:hAnsi="Arial" w:cs="Arial"/>
          <w:i/>
          <w:iCs/>
          <w:color w:val="000000"/>
          <w:sz w:val="20"/>
          <w:szCs w:val="20"/>
        </w:rPr>
        <w:t>Criminal Code (Cth)</w:t>
      </w:r>
      <w:r w:rsidRPr="00F72BDA">
        <w:rPr>
          <w:rFonts w:ascii="Arial" w:hAnsi="Arial" w:cs="Arial"/>
          <w:color w:val="000000"/>
          <w:sz w:val="20"/>
          <w:szCs w:val="20"/>
        </w:rPr>
        <w:t xml:space="preserve">, and one charge of possession or control of child abuse material obtained or accessed using a carriage service, contrary to s 474.22A(1) of the </w:t>
      </w:r>
      <w:r w:rsidRPr="00F72BDA">
        <w:rPr>
          <w:rFonts w:ascii="Arial" w:hAnsi="Arial" w:cs="Arial"/>
          <w:i/>
          <w:iCs/>
          <w:color w:val="000000"/>
          <w:sz w:val="20"/>
          <w:szCs w:val="20"/>
        </w:rPr>
        <w:t>Criminal Code (Cth)</w:t>
      </w:r>
      <w:r w:rsidR="00F21A96">
        <w:rPr>
          <w:rFonts w:ascii="Arial" w:hAnsi="Arial" w:cs="Arial"/>
          <w:color w:val="000000"/>
          <w:sz w:val="20"/>
          <w:szCs w:val="20"/>
        </w:rPr>
        <w:t xml:space="preserve">, </w:t>
      </w:r>
      <w:r>
        <w:rPr>
          <w:rFonts w:ascii="Arial" w:hAnsi="Arial" w:cs="Arial"/>
          <w:color w:val="000000"/>
          <w:sz w:val="20"/>
          <w:szCs w:val="20"/>
        </w:rPr>
        <w:t>the applicant had been sentenced to IMP26m/12m. In refusing leave to appeal, the Court of Appeal (Macaulay &amp; Kaye JJA) said at [39]</w:t>
      </w:r>
      <w:r w:rsidR="00421952">
        <w:rPr>
          <w:rFonts w:ascii="Arial" w:hAnsi="Arial" w:cs="Arial"/>
          <w:color w:val="000000"/>
          <w:sz w:val="20"/>
          <w:szCs w:val="20"/>
        </w:rPr>
        <w:noBreakHyphen/>
      </w:r>
      <w:r>
        <w:rPr>
          <w:rFonts w:ascii="Arial" w:hAnsi="Arial" w:cs="Arial"/>
          <w:color w:val="000000"/>
          <w:sz w:val="20"/>
          <w:szCs w:val="20"/>
        </w:rPr>
        <w:t>[</w:t>
      </w:r>
      <w:r w:rsidR="00421952">
        <w:rPr>
          <w:rFonts w:ascii="Arial" w:hAnsi="Arial" w:cs="Arial"/>
          <w:color w:val="000000"/>
          <w:sz w:val="20"/>
          <w:szCs w:val="20"/>
        </w:rPr>
        <w:t>45]</w:t>
      </w:r>
      <w:r>
        <w:rPr>
          <w:rFonts w:ascii="Arial" w:hAnsi="Arial" w:cs="Arial"/>
          <w:color w:val="000000"/>
          <w:sz w:val="20"/>
          <w:szCs w:val="20"/>
        </w:rPr>
        <w:t>:</w:t>
      </w:r>
    </w:p>
    <w:p w14:paraId="640DD6A5" w14:textId="11E9916D" w:rsidR="00F72BDA" w:rsidRDefault="00F72BDA" w:rsidP="00F72BDA">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72BDA">
        <w:rPr>
          <w:rFonts w:ascii="Arial" w:hAnsi="Arial" w:cs="Arial"/>
          <w:color w:val="000000"/>
          <w:sz w:val="20"/>
        </w:rPr>
        <w:t>39</w:t>
      </w:r>
      <w:r>
        <w:rPr>
          <w:rFonts w:ascii="Arial" w:hAnsi="Arial" w:cs="Arial"/>
          <w:color w:val="000000"/>
          <w:sz w:val="20"/>
        </w:rPr>
        <w:t>]</w:t>
      </w:r>
      <w:r w:rsidRPr="00F72BDA">
        <w:rPr>
          <w:rFonts w:ascii="Arial" w:hAnsi="Arial" w:cs="Arial"/>
          <w:color w:val="000000"/>
          <w:sz w:val="20"/>
        </w:rPr>
        <w:t xml:space="preserve"> </w:t>
      </w:r>
      <w:r>
        <w:rPr>
          <w:rFonts w:ascii="Arial" w:hAnsi="Arial" w:cs="Arial"/>
          <w:color w:val="000000"/>
          <w:sz w:val="20"/>
        </w:rPr>
        <w:t>“</w:t>
      </w:r>
      <w:r w:rsidRPr="00F72BDA">
        <w:rPr>
          <w:rFonts w:ascii="Arial" w:hAnsi="Arial" w:cs="Arial"/>
          <w:color w:val="000000"/>
          <w:sz w:val="20"/>
        </w:rPr>
        <w:t xml:space="preserve">The two proposed grounds of appeal involve a consideration and application of the principles that apply to offences involving the accessing and possession of child pornography. The principles have been comprehensively discussed in a number of authorities, including the decision of this Court in </w:t>
      </w:r>
      <w:r w:rsidRPr="00F72BDA">
        <w:rPr>
          <w:rFonts w:ascii="Arial" w:hAnsi="Arial" w:cs="Arial"/>
          <w:i/>
          <w:iCs/>
          <w:color w:val="000000"/>
          <w:sz w:val="20"/>
        </w:rPr>
        <w:t>Director of Public Prosecutions (Cth) v D’Alessandro</w:t>
      </w:r>
      <w:r>
        <w:rPr>
          <w:rFonts w:ascii="Arial" w:hAnsi="Arial" w:cs="Arial"/>
          <w:color w:val="000000"/>
          <w:sz w:val="20"/>
        </w:rPr>
        <w:t xml:space="preserve"> </w:t>
      </w:r>
      <w:r w:rsidRPr="00F72BDA">
        <w:rPr>
          <w:rFonts w:ascii="Arial" w:hAnsi="Arial" w:cs="Arial"/>
          <w:color w:val="000000"/>
          <w:sz w:val="20"/>
        </w:rPr>
        <w:t>(2010) 26 VR 477</w:t>
      </w:r>
      <w:r>
        <w:rPr>
          <w:rFonts w:ascii="Arial" w:hAnsi="Arial" w:cs="Arial"/>
          <w:color w:val="000000"/>
          <w:sz w:val="20"/>
        </w:rPr>
        <w:t>; [2010] VSCA 60</w:t>
      </w:r>
      <w:r w:rsidRPr="00F72BDA">
        <w:rPr>
          <w:rFonts w:ascii="Arial" w:hAnsi="Arial" w:cs="Arial"/>
          <w:color w:val="000000"/>
          <w:sz w:val="20"/>
        </w:rPr>
        <w:t xml:space="preserve"> and the New South Wales Court of Criminal Appeal in </w:t>
      </w:r>
      <w:r w:rsidRPr="00F72BDA">
        <w:rPr>
          <w:rFonts w:ascii="Arial" w:hAnsi="Arial" w:cs="Arial"/>
          <w:i/>
          <w:iCs/>
          <w:color w:val="000000"/>
          <w:sz w:val="20"/>
        </w:rPr>
        <w:t>R v De Leeuw</w:t>
      </w:r>
      <w:r w:rsidRPr="00F72BDA">
        <w:rPr>
          <w:rFonts w:ascii="Arial" w:hAnsi="Arial" w:cs="Arial"/>
          <w:color w:val="000000"/>
          <w:sz w:val="20"/>
        </w:rPr>
        <w:t xml:space="preserve"> [2015] NSWCCA 183. Before considering the proposed grounds of appeal, it is convenient first to outline the principles that apply to the offending in this case.</w:t>
      </w:r>
    </w:p>
    <w:p w14:paraId="02C34380" w14:textId="26BE6B3D" w:rsidR="0055276D" w:rsidRDefault="00F72BDA"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0055276D" w:rsidRPr="00F72BDA">
        <w:rPr>
          <w:rFonts w:ascii="Arial" w:hAnsi="Arial" w:cs="Arial"/>
          <w:color w:val="000000"/>
          <w:sz w:val="20"/>
        </w:rPr>
        <w:t>The offences of access to and possession of child pornography are regarded as very serious, involving morally depraved conduct that is extremely harmful to children</w:t>
      </w:r>
      <w:r w:rsidR="0055276D">
        <w:rPr>
          <w:rFonts w:ascii="Arial" w:hAnsi="Arial" w:cs="Arial"/>
          <w:color w:val="000000"/>
          <w:sz w:val="20"/>
        </w:rPr>
        <w:t xml:space="preserve">: </w:t>
      </w:r>
      <w:r w:rsidR="0055276D" w:rsidRPr="0055276D">
        <w:rPr>
          <w:rFonts w:ascii="Arial" w:hAnsi="Arial" w:cs="Arial"/>
          <w:i/>
          <w:iCs/>
          <w:color w:val="000000"/>
          <w:sz w:val="20"/>
        </w:rPr>
        <w:t>DPP v Garside</w:t>
      </w:r>
      <w:r w:rsidR="0055276D" w:rsidRPr="00F72BDA">
        <w:rPr>
          <w:rFonts w:ascii="Arial" w:hAnsi="Arial" w:cs="Arial"/>
          <w:color w:val="000000"/>
          <w:sz w:val="20"/>
        </w:rPr>
        <w:t xml:space="preserve"> [2016] VSCA 74, [62</w:t>
      </w:r>
      <w:r w:rsidR="0055276D">
        <w:rPr>
          <w:rFonts w:ascii="Arial" w:hAnsi="Arial" w:cs="Arial"/>
          <w:color w:val="000000"/>
          <w:sz w:val="20"/>
        </w:rPr>
        <w:t>].</w:t>
      </w:r>
      <w:r w:rsidR="0055276D" w:rsidRPr="00F72BDA">
        <w:rPr>
          <w:rFonts w:ascii="Arial" w:hAnsi="Arial" w:cs="Arial"/>
          <w:color w:val="000000"/>
          <w:sz w:val="20"/>
        </w:rPr>
        <w:t xml:space="preserve"> Those who are inclined to exploit children, by involving them in the production of child pornography, are encouraged by the fact that there is a market for that material. In other words, the possession of child pornography material creates a market for the continued</w:t>
      </w:r>
      <w:r w:rsidR="0055276D">
        <w:rPr>
          <w:rFonts w:ascii="Arial" w:hAnsi="Arial" w:cs="Arial"/>
          <w:color w:val="000000"/>
          <w:sz w:val="20"/>
        </w:rPr>
        <w:t xml:space="preserve"> </w:t>
      </w:r>
      <w:r w:rsidRPr="00F72BDA">
        <w:rPr>
          <w:rFonts w:ascii="Arial" w:hAnsi="Arial" w:cs="Arial"/>
          <w:color w:val="000000"/>
          <w:sz w:val="20"/>
        </w:rPr>
        <w:t>corruption and exploitation of children by fuelling demand for that material. In that way, it normalises behaviour, which is depraved and exploitive of children</w:t>
      </w:r>
      <w:r w:rsidR="0055276D">
        <w:rPr>
          <w:rFonts w:ascii="Arial" w:hAnsi="Arial" w:cs="Arial"/>
          <w:color w:val="000000"/>
          <w:sz w:val="20"/>
        </w:rPr>
        <w:t xml:space="preserve">: </w:t>
      </w:r>
      <w:r w:rsidR="0055276D" w:rsidRPr="0055276D">
        <w:rPr>
          <w:rFonts w:ascii="Arial" w:hAnsi="Arial" w:cs="Arial"/>
          <w:i/>
          <w:iCs/>
          <w:color w:val="000000"/>
          <w:sz w:val="20"/>
        </w:rPr>
        <w:t>Garside</w:t>
      </w:r>
      <w:r w:rsidR="0055276D" w:rsidRPr="00F72BDA">
        <w:rPr>
          <w:rFonts w:ascii="Arial" w:hAnsi="Arial" w:cs="Arial"/>
          <w:color w:val="000000"/>
          <w:sz w:val="20"/>
        </w:rPr>
        <w:t xml:space="preserve"> [2016] VSCA 74 [71]; </w:t>
      </w:r>
      <w:r w:rsidR="0055276D" w:rsidRPr="0055276D">
        <w:rPr>
          <w:rFonts w:ascii="Arial" w:hAnsi="Arial" w:cs="Arial"/>
          <w:i/>
          <w:iCs/>
          <w:color w:val="000000"/>
          <w:sz w:val="20"/>
        </w:rPr>
        <w:t>D’Alessandro</w:t>
      </w:r>
      <w:r w:rsidR="0055276D" w:rsidRPr="00F72BDA">
        <w:rPr>
          <w:rFonts w:ascii="Arial" w:hAnsi="Arial" w:cs="Arial"/>
          <w:color w:val="000000"/>
          <w:sz w:val="20"/>
        </w:rPr>
        <w:t xml:space="preserve"> (2010) 26 VR 477, 483 [21]; [2010] VSCA 60; </w:t>
      </w:r>
      <w:r w:rsidR="0055276D" w:rsidRPr="0055276D">
        <w:rPr>
          <w:rFonts w:ascii="Arial" w:hAnsi="Arial" w:cs="Arial"/>
          <w:i/>
          <w:iCs/>
          <w:color w:val="000000"/>
          <w:sz w:val="20"/>
        </w:rPr>
        <w:t>R v Coffey</w:t>
      </w:r>
      <w:r w:rsidR="0055276D" w:rsidRPr="00F72BDA">
        <w:rPr>
          <w:rFonts w:ascii="Arial" w:hAnsi="Arial" w:cs="Arial"/>
          <w:color w:val="000000"/>
          <w:sz w:val="20"/>
        </w:rPr>
        <w:t xml:space="preserve"> (2003) 6 VR 543, 552 [30]; [2003] VSCA 155; </w:t>
      </w:r>
      <w:r w:rsidR="0055276D" w:rsidRPr="0055276D">
        <w:rPr>
          <w:rFonts w:ascii="Arial" w:hAnsi="Arial" w:cs="Arial"/>
          <w:i/>
          <w:iCs/>
          <w:color w:val="000000"/>
          <w:sz w:val="20"/>
        </w:rPr>
        <w:t>R v Fulop</w:t>
      </w:r>
      <w:r w:rsidR="0055276D" w:rsidRPr="00F72BDA">
        <w:rPr>
          <w:rFonts w:ascii="Arial" w:hAnsi="Arial" w:cs="Arial"/>
          <w:color w:val="000000"/>
          <w:sz w:val="20"/>
        </w:rPr>
        <w:t xml:space="preserve"> (2009) 236 FLR 376; [2009] VSCA 296 [20]; </w:t>
      </w:r>
      <w:r w:rsidR="0055276D" w:rsidRPr="0055276D">
        <w:rPr>
          <w:rFonts w:ascii="Arial" w:hAnsi="Arial" w:cs="Arial"/>
          <w:i/>
          <w:iCs/>
          <w:color w:val="000000"/>
          <w:sz w:val="20"/>
        </w:rPr>
        <w:t>De Leeuw</w:t>
      </w:r>
      <w:r w:rsidR="0055276D" w:rsidRPr="00F72BDA">
        <w:rPr>
          <w:rFonts w:ascii="Arial" w:hAnsi="Arial" w:cs="Arial"/>
          <w:color w:val="000000"/>
          <w:sz w:val="20"/>
        </w:rPr>
        <w:t xml:space="preserve"> [2015] NSWCCA 183 [72]</w:t>
      </w:r>
      <w:r w:rsidRPr="00F72BDA">
        <w:rPr>
          <w:rFonts w:ascii="Arial" w:hAnsi="Arial" w:cs="Arial"/>
          <w:color w:val="000000"/>
          <w:sz w:val="20"/>
        </w:rPr>
        <w:t>.</w:t>
      </w:r>
    </w:p>
    <w:p w14:paraId="001D4242" w14:textId="61301404"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w:t>
      </w:r>
      <w:r>
        <w:rPr>
          <w:rFonts w:ascii="Arial" w:hAnsi="Arial" w:cs="Arial"/>
          <w:color w:val="000000"/>
          <w:sz w:val="20"/>
        </w:rPr>
        <w:t>1]</w:t>
      </w:r>
      <w:r w:rsidR="00F72BDA" w:rsidRPr="00F72BDA">
        <w:rPr>
          <w:rFonts w:ascii="Arial" w:hAnsi="Arial" w:cs="Arial"/>
          <w:color w:val="000000"/>
          <w:sz w:val="20"/>
        </w:rPr>
        <w:t xml:space="preserve"> In that context, it is relevant that offending involving accessing or possession of child pornography occurs on an international level and is becoming increasingly prevalent, with the advent and proliferation of the Internet as a means of enabling people to access and retain child pornography</w:t>
      </w:r>
      <w:r>
        <w:rPr>
          <w:rFonts w:ascii="Arial" w:hAnsi="Arial" w:cs="Arial"/>
          <w:color w:val="000000"/>
          <w:sz w:val="20"/>
        </w:rPr>
        <w:t xml:space="preserve">: </w:t>
      </w:r>
      <w:r w:rsidRPr="0055276D">
        <w:rPr>
          <w:rFonts w:ascii="Arial" w:hAnsi="Arial" w:cs="Arial"/>
          <w:i/>
          <w:iCs/>
          <w:color w:val="000000"/>
          <w:sz w:val="20"/>
        </w:rPr>
        <w:t>De Leeuw</w:t>
      </w:r>
      <w:r w:rsidRPr="00F72BDA">
        <w:rPr>
          <w:rFonts w:ascii="Arial" w:hAnsi="Arial" w:cs="Arial"/>
          <w:color w:val="000000"/>
          <w:sz w:val="20"/>
        </w:rPr>
        <w:t xml:space="preserve"> [2015] NSWCCA 183 [72]; </w:t>
      </w:r>
      <w:r w:rsidRPr="0055276D">
        <w:rPr>
          <w:rFonts w:ascii="Arial" w:hAnsi="Arial" w:cs="Arial"/>
          <w:i/>
          <w:iCs/>
          <w:color w:val="000000"/>
          <w:sz w:val="20"/>
        </w:rPr>
        <w:t>Assheton v The Queen</w:t>
      </w:r>
      <w:r w:rsidRPr="00F72BDA">
        <w:rPr>
          <w:rFonts w:ascii="Arial" w:hAnsi="Arial" w:cs="Arial"/>
          <w:color w:val="000000"/>
          <w:sz w:val="20"/>
        </w:rPr>
        <w:t xml:space="preserve"> (2002) 132 A Crim R 237, 246–7, [35]–[36]; [2002] WASCA 209.</w:t>
      </w:r>
    </w:p>
    <w:p w14:paraId="2F9A09AD" w14:textId="77777777"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42</w:t>
      </w:r>
      <w:r>
        <w:rPr>
          <w:rFonts w:ascii="Arial" w:hAnsi="Arial" w:cs="Arial"/>
          <w:color w:val="000000"/>
          <w:sz w:val="20"/>
        </w:rPr>
        <w:t>]</w:t>
      </w:r>
      <w:r w:rsidR="00F72BDA" w:rsidRPr="00F72BDA">
        <w:rPr>
          <w:rFonts w:ascii="Arial" w:hAnsi="Arial" w:cs="Arial"/>
          <w:color w:val="000000"/>
          <w:sz w:val="20"/>
        </w:rPr>
        <w:t xml:space="preserve"> In any case, the objective seriousness of the offending is ordinarily determined by reference to a number of different factors, a number of which were conveniently identified by Johnson J in </w:t>
      </w:r>
      <w:r w:rsidR="00F72BDA" w:rsidRPr="0055276D">
        <w:rPr>
          <w:rFonts w:ascii="Arial" w:hAnsi="Arial" w:cs="Arial"/>
          <w:i/>
          <w:iCs/>
          <w:color w:val="000000"/>
          <w:sz w:val="20"/>
        </w:rPr>
        <w:t>De Leeuw</w:t>
      </w:r>
      <w:r w:rsidR="00F72BDA" w:rsidRPr="00F72BDA">
        <w:rPr>
          <w:rFonts w:ascii="Arial" w:hAnsi="Arial" w:cs="Arial"/>
          <w:color w:val="000000"/>
          <w:sz w:val="20"/>
        </w:rPr>
        <w:t xml:space="preserve"> </w:t>
      </w:r>
      <w:r>
        <w:rPr>
          <w:rFonts w:ascii="Arial" w:hAnsi="Arial" w:cs="Arial"/>
          <w:color w:val="000000"/>
          <w:sz w:val="20"/>
        </w:rPr>
        <w:t xml:space="preserve">at [72] </w:t>
      </w:r>
      <w:r w:rsidR="00F72BDA" w:rsidRPr="00F72BDA">
        <w:rPr>
          <w:rFonts w:ascii="Arial" w:hAnsi="Arial" w:cs="Arial"/>
          <w:color w:val="000000"/>
          <w:sz w:val="20"/>
        </w:rPr>
        <w:t xml:space="preserve">in the following terms: </w:t>
      </w:r>
    </w:p>
    <w:p w14:paraId="44828133" w14:textId="77777777" w:rsidR="0055276D" w:rsidRDefault="0055276D" w:rsidP="0055276D">
      <w:pPr>
        <w:pStyle w:val="Normal-Indent"/>
        <w:spacing w:before="60" w:line="240" w:lineRule="auto"/>
        <w:ind w:left="1021" w:right="1021"/>
        <w:rPr>
          <w:rFonts w:ascii="Arial" w:hAnsi="Arial" w:cs="Arial"/>
          <w:color w:val="000000"/>
          <w:sz w:val="18"/>
          <w:szCs w:val="18"/>
        </w:rPr>
      </w:pPr>
      <w:r w:rsidRPr="0055276D">
        <w:rPr>
          <w:rFonts w:ascii="Arial" w:hAnsi="Arial" w:cs="Arial"/>
          <w:color w:val="000000"/>
          <w:sz w:val="18"/>
          <w:szCs w:val="18"/>
        </w:rPr>
        <w:t>The objective seriousness of the offending is ordinarily determined by reference to the following factors:</w:t>
      </w:r>
    </w:p>
    <w:p w14:paraId="0EA815F8" w14:textId="77777777" w:rsidR="0055276D" w:rsidRDefault="0055276D" w:rsidP="00C71C11">
      <w:pPr>
        <w:pStyle w:val="Normal-Indent"/>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w:t>
      </w:r>
      <w:r>
        <w:rPr>
          <w:rFonts w:ascii="Arial" w:hAnsi="Arial" w:cs="Arial"/>
          <w:color w:val="000000"/>
          <w:sz w:val="18"/>
          <w:szCs w:val="18"/>
        </w:rPr>
        <w:tab/>
      </w:r>
      <w:r w:rsidRPr="0055276D">
        <w:rPr>
          <w:rFonts w:ascii="Arial" w:hAnsi="Arial" w:cs="Arial"/>
          <w:color w:val="000000"/>
          <w:sz w:val="18"/>
          <w:szCs w:val="18"/>
        </w:rPr>
        <w:t>the nature and content of the material, in particular the age of the children and the gravity of the sexual activity depicted;</w:t>
      </w:r>
    </w:p>
    <w:p w14:paraId="3D338870" w14:textId="5A257273" w:rsidR="00C71C11" w:rsidRDefault="00C71C11" w:rsidP="00C71C11">
      <w:pPr>
        <w:pStyle w:val="Normal-Indent"/>
        <w:spacing w:before="60" w:line="240" w:lineRule="auto"/>
        <w:ind w:left="1475" w:right="1021" w:hanging="454"/>
        <w:rPr>
          <w:rFonts w:ascii="Arial" w:hAnsi="Arial" w:cs="Arial"/>
          <w:color w:val="000000"/>
          <w:sz w:val="18"/>
          <w:szCs w:val="18"/>
        </w:rPr>
      </w:pPr>
      <w:r>
        <w:rPr>
          <w:rFonts w:ascii="Arial" w:hAnsi="Arial" w:cs="Arial"/>
          <w:color w:val="000000"/>
          <w:sz w:val="18"/>
          <w:szCs w:val="18"/>
        </w:rPr>
        <w:t>(ii)</w:t>
      </w:r>
      <w:r>
        <w:rPr>
          <w:rFonts w:ascii="Arial" w:hAnsi="Arial" w:cs="Arial"/>
          <w:color w:val="000000"/>
          <w:sz w:val="18"/>
          <w:szCs w:val="18"/>
        </w:rPr>
        <w:tab/>
      </w:r>
      <w:r w:rsidRPr="0055276D">
        <w:rPr>
          <w:rFonts w:ascii="Arial" w:hAnsi="Arial" w:cs="Arial"/>
          <w:color w:val="000000"/>
          <w:sz w:val="18"/>
          <w:szCs w:val="18"/>
        </w:rPr>
        <w:t>the number of items or images possessed;</w:t>
      </w:r>
    </w:p>
    <w:p w14:paraId="6B7ACB9F" w14:textId="1F7D4AF1"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material is for the purpose of sale or further distribution;</w:t>
      </w:r>
    </w:p>
    <w:p w14:paraId="2AA87B84" w14:textId="4422709E"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lastRenderedPageBreak/>
        <w:t>whether the offender will profit from the offence;</w:t>
      </w:r>
    </w:p>
    <w:p w14:paraId="605282FE" w14:textId="525B2BAB"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in the case of possession or access of child pornography for personal use, the number of children depicted and thereby victimised;</w:t>
      </w:r>
    </w:p>
    <w:p w14:paraId="3D4CD1D4" w14:textId="3785719A"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the length of time for which the pornographic material was possessed</w:t>
      </w:r>
      <w:r>
        <w:rPr>
          <w:rFonts w:ascii="Arial" w:hAnsi="Arial" w:cs="Arial"/>
          <w:color w:val="000000"/>
          <w:sz w:val="18"/>
          <w:szCs w:val="18"/>
        </w:rPr>
        <w:t>.</w:t>
      </w:r>
    </w:p>
    <w:p w14:paraId="353D1DDA" w14:textId="1E970CEF" w:rsidR="00C71C11"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43</w:t>
      </w:r>
      <w:r>
        <w:rPr>
          <w:rFonts w:ascii="Arial" w:hAnsi="Arial" w:cs="Arial"/>
          <w:color w:val="000000"/>
          <w:sz w:val="20"/>
        </w:rPr>
        <w:t>]</w:t>
      </w:r>
      <w:r w:rsidR="00F72BDA" w:rsidRPr="00F72BDA">
        <w:rPr>
          <w:rFonts w:ascii="Arial" w:hAnsi="Arial" w:cs="Arial"/>
          <w:color w:val="000000"/>
          <w:sz w:val="20"/>
        </w:rPr>
        <w:t xml:space="preserve"> In recent times, offending involving child pornography has proliferated, and is difficult to detect in view of the anonymity that is provided by the Internet</w:t>
      </w:r>
      <w:r w:rsidR="00C71C11">
        <w:rPr>
          <w:rFonts w:ascii="Arial" w:hAnsi="Arial" w:cs="Arial"/>
          <w:color w:val="000000"/>
          <w:sz w:val="20"/>
        </w:rPr>
        <w:t xml:space="preserve">: </w:t>
      </w:r>
      <w:r w:rsidR="00C71C11" w:rsidRPr="00C71C11">
        <w:rPr>
          <w:rFonts w:ascii="Arial" w:hAnsi="Arial" w:cs="Arial"/>
          <w:i/>
          <w:iCs/>
          <w:color w:val="000000"/>
          <w:sz w:val="20"/>
        </w:rPr>
        <w:t>De Leeuw</w:t>
      </w:r>
      <w:r w:rsidR="00C71C11" w:rsidRPr="00F72BDA">
        <w:rPr>
          <w:rFonts w:ascii="Arial" w:hAnsi="Arial" w:cs="Arial"/>
          <w:color w:val="000000"/>
          <w:sz w:val="20"/>
        </w:rPr>
        <w:t xml:space="preserve"> [2015] NSWCCA 183 [76]</w:t>
      </w:r>
      <w:r w:rsidR="00F72BDA" w:rsidRPr="00F72BDA">
        <w:rPr>
          <w:rFonts w:ascii="Arial" w:hAnsi="Arial" w:cs="Arial"/>
          <w:color w:val="000000"/>
          <w:sz w:val="20"/>
        </w:rPr>
        <w:t>.</w:t>
      </w:r>
      <w:r w:rsidR="00C71C11">
        <w:rPr>
          <w:rFonts w:ascii="Arial" w:hAnsi="Arial" w:cs="Arial"/>
          <w:color w:val="000000"/>
          <w:sz w:val="20"/>
        </w:rPr>
        <w:t xml:space="preserve"> </w:t>
      </w:r>
      <w:r w:rsidR="00F72BDA" w:rsidRPr="00F72BDA">
        <w:rPr>
          <w:rFonts w:ascii="Arial" w:hAnsi="Arial" w:cs="Arial"/>
          <w:color w:val="000000"/>
          <w:sz w:val="20"/>
        </w:rPr>
        <w:t>Its increasingly pervasive and toxic influence informs the inherent gravity of the offending and the importance of the role of sentencing in addressing the grave harm occasioned by it.</w:t>
      </w:r>
    </w:p>
    <w:p w14:paraId="0BF3BEAC" w14:textId="5BD8C8AB" w:rsidR="00F72BDA" w:rsidRDefault="00C71C11"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44</w:t>
      </w:r>
      <w:r>
        <w:rPr>
          <w:rFonts w:ascii="Arial" w:hAnsi="Arial" w:cs="Arial"/>
          <w:color w:val="000000"/>
          <w:sz w:val="20"/>
        </w:rPr>
        <w:t>]</w:t>
      </w:r>
      <w:r w:rsidR="00F72BDA" w:rsidRPr="00F72BDA">
        <w:rPr>
          <w:rFonts w:ascii="Arial" w:hAnsi="Arial" w:cs="Arial"/>
          <w:color w:val="000000"/>
          <w:sz w:val="20"/>
        </w:rPr>
        <w:t xml:space="preserve"> It is for those reasons that the purpose of general deterrence is accorded primacy in sentencing offending involving child pornography. In essence, it is necessary that the sentences imposed by the courts are such that those persons, who might contemplate being involved in the depraved and pernicious reception of child pornography, well understand that if their offending is detected, they will lose their right to be at liberty within society for a substantial period of time. It is only in that way that the courts can perform the vital function of providing protection to vulnerable children</w:t>
      </w:r>
      <w:r>
        <w:rPr>
          <w:rFonts w:ascii="Arial" w:hAnsi="Arial" w:cs="Arial"/>
          <w:color w:val="000000"/>
          <w:sz w:val="20"/>
        </w:rPr>
        <w:t xml:space="preserve">: </w:t>
      </w:r>
      <w:r w:rsidRPr="00C71C11">
        <w:rPr>
          <w:rFonts w:ascii="Arial" w:hAnsi="Arial" w:cs="Arial"/>
          <w:i/>
          <w:iCs/>
          <w:color w:val="000000"/>
          <w:sz w:val="20"/>
        </w:rPr>
        <w:t>De Leeuw</w:t>
      </w:r>
      <w:r w:rsidRPr="00C71C11">
        <w:rPr>
          <w:rFonts w:ascii="Arial" w:hAnsi="Arial" w:cs="Arial"/>
          <w:color w:val="000000"/>
          <w:sz w:val="20"/>
        </w:rPr>
        <w:t xml:space="preserve"> [2015] NSWCCA 183 [72]; </w:t>
      </w:r>
      <w:r w:rsidRPr="00C71C11">
        <w:rPr>
          <w:rFonts w:ascii="Arial" w:hAnsi="Arial" w:cs="Arial"/>
          <w:i/>
          <w:iCs/>
          <w:color w:val="000000"/>
          <w:sz w:val="20"/>
        </w:rPr>
        <w:t>D’Alessandro</w:t>
      </w:r>
      <w:r w:rsidRPr="00C71C11">
        <w:rPr>
          <w:rFonts w:ascii="Arial" w:hAnsi="Arial" w:cs="Arial"/>
          <w:color w:val="000000"/>
          <w:sz w:val="20"/>
        </w:rPr>
        <w:t xml:space="preserve"> (2010) 26 VR 477, 483 [21]; </w:t>
      </w:r>
      <w:r w:rsidRPr="00C71C11">
        <w:rPr>
          <w:rFonts w:ascii="Arial" w:hAnsi="Arial" w:cs="Arial"/>
          <w:i/>
          <w:iCs/>
          <w:color w:val="000000"/>
          <w:sz w:val="20"/>
        </w:rPr>
        <w:t>R v Gent</w:t>
      </w:r>
      <w:r w:rsidRPr="00C71C11">
        <w:rPr>
          <w:rFonts w:ascii="Arial" w:hAnsi="Arial" w:cs="Arial"/>
          <w:color w:val="000000"/>
          <w:sz w:val="20"/>
        </w:rPr>
        <w:t xml:space="preserve"> (2005) 162 A</w:t>
      </w:r>
      <w:r>
        <w:rPr>
          <w:rFonts w:ascii="Arial" w:hAnsi="Arial" w:cs="Arial"/>
          <w:color w:val="000000"/>
          <w:sz w:val="20"/>
        </w:rPr>
        <w:t> </w:t>
      </w:r>
      <w:r w:rsidRPr="00C71C11">
        <w:rPr>
          <w:rFonts w:ascii="Arial" w:hAnsi="Arial" w:cs="Arial"/>
          <w:color w:val="000000"/>
          <w:sz w:val="20"/>
        </w:rPr>
        <w:t>Crim R 29, 44 [65]</w:t>
      </w:r>
      <w:r>
        <w:rPr>
          <w:rFonts w:ascii="Arial" w:hAnsi="Arial" w:cs="Arial"/>
          <w:color w:val="000000"/>
          <w:sz w:val="20"/>
        </w:rPr>
        <w:t>.</w:t>
      </w:r>
    </w:p>
    <w:p w14:paraId="13CB3C64" w14:textId="77777777" w:rsidR="00421952" w:rsidRDefault="00421952" w:rsidP="00421952">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[45] </w:t>
      </w:r>
      <w:r w:rsidRPr="00421952">
        <w:rPr>
          <w:rFonts w:ascii="Arial" w:hAnsi="Arial" w:cs="Arial"/>
          <w:color w:val="000000"/>
          <w:sz w:val="20"/>
        </w:rPr>
        <w:t xml:space="preserve">In </w:t>
      </w:r>
      <w:r w:rsidRPr="00421952">
        <w:rPr>
          <w:rFonts w:ascii="Arial" w:hAnsi="Arial" w:cs="Arial"/>
          <w:i/>
          <w:iCs/>
          <w:color w:val="000000"/>
          <w:sz w:val="20"/>
        </w:rPr>
        <w:t>R v Booth</w:t>
      </w:r>
      <w:r>
        <w:rPr>
          <w:rFonts w:ascii="Arial" w:hAnsi="Arial" w:cs="Arial"/>
          <w:color w:val="000000"/>
          <w:sz w:val="20"/>
        </w:rPr>
        <w:t xml:space="preserve"> [2009] NSWCCA 89</w:t>
      </w:r>
      <w:r w:rsidRPr="00421952">
        <w:rPr>
          <w:rFonts w:ascii="Arial" w:hAnsi="Arial" w:cs="Arial"/>
          <w:color w:val="000000"/>
          <w:sz w:val="20"/>
        </w:rPr>
        <w:t xml:space="preserve"> Simpson J (with whom McClellan CJ at CL and Howie J agreed) expressed that principle in the following terms</w:t>
      </w:r>
      <w:r>
        <w:rPr>
          <w:rFonts w:ascii="Arial" w:hAnsi="Arial" w:cs="Arial"/>
          <w:color w:val="000000"/>
          <w:sz w:val="20"/>
        </w:rPr>
        <w:t xml:space="preserve"> at [39]-[44]</w:t>
      </w:r>
      <w:r w:rsidRPr="00421952">
        <w:rPr>
          <w:rFonts w:ascii="Arial" w:hAnsi="Arial" w:cs="Arial"/>
          <w:color w:val="000000"/>
          <w:sz w:val="20"/>
        </w:rPr>
        <w:t xml:space="preserve">: </w:t>
      </w:r>
    </w:p>
    <w:p w14:paraId="60F5E218"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 xml:space="preserve">A number of previous decisions of this and other appellate courts have found that, in respect of offences of child pornography, general deterrence is, at least, a significant element of the sentencing process: </w:t>
      </w:r>
      <w:r w:rsidRPr="00421952">
        <w:rPr>
          <w:rFonts w:ascii="Arial" w:hAnsi="Arial" w:cs="Arial"/>
          <w:i/>
          <w:iCs/>
          <w:color w:val="000000"/>
          <w:sz w:val="18"/>
          <w:szCs w:val="18"/>
        </w:rPr>
        <w:t>R v Gent</w:t>
      </w:r>
      <w:r w:rsidRPr="00421952">
        <w:rPr>
          <w:rFonts w:ascii="Arial" w:hAnsi="Arial" w:cs="Arial"/>
          <w:color w:val="000000"/>
          <w:sz w:val="18"/>
          <w:szCs w:val="18"/>
        </w:rPr>
        <w:t xml:space="preserve">; </w:t>
      </w:r>
      <w:r w:rsidRPr="00421952">
        <w:rPr>
          <w:rFonts w:ascii="Arial" w:hAnsi="Arial" w:cs="Arial"/>
          <w:i/>
          <w:iCs/>
          <w:color w:val="000000"/>
          <w:sz w:val="18"/>
          <w:szCs w:val="18"/>
        </w:rPr>
        <w:t>Assheton v R</w:t>
      </w:r>
      <w:r w:rsidRPr="00421952">
        <w:rPr>
          <w:rFonts w:ascii="Arial" w:hAnsi="Arial" w:cs="Arial"/>
          <w:color w:val="000000"/>
          <w:sz w:val="18"/>
          <w:szCs w:val="18"/>
        </w:rPr>
        <w:t xml:space="preserve"> [2002] WASCA 209; 132 A</w:t>
      </w:r>
      <w:r>
        <w:rPr>
          <w:rFonts w:ascii="Arial" w:hAnsi="Arial" w:cs="Arial"/>
          <w:color w:val="000000"/>
          <w:sz w:val="18"/>
          <w:szCs w:val="18"/>
        </w:rPr>
        <w:t> </w:t>
      </w:r>
      <w:r w:rsidRPr="00421952">
        <w:rPr>
          <w:rFonts w:ascii="Arial" w:hAnsi="Arial" w:cs="Arial"/>
          <w:color w:val="000000"/>
          <w:sz w:val="18"/>
          <w:szCs w:val="18"/>
        </w:rPr>
        <w:t xml:space="preserve">Crim R 237; </w:t>
      </w:r>
      <w:r w:rsidRPr="00421952">
        <w:rPr>
          <w:rFonts w:ascii="Arial" w:hAnsi="Arial" w:cs="Arial"/>
          <w:i/>
          <w:iCs/>
          <w:color w:val="000000"/>
          <w:sz w:val="18"/>
          <w:szCs w:val="18"/>
        </w:rPr>
        <w:t>Mouscas v R</w:t>
      </w:r>
      <w:r w:rsidRPr="00421952">
        <w:rPr>
          <w:rFonts w:ascii="Arial" w:hAnsi="Arial" w:cs="Arial"/>
          <w:color w:val="000000"/>
          <w:sz w:val="18"/>
          <w:szCs w:val="18"/>
        </w:rPr>
        <w:t xml:space="preserve"> [2008] NSWCCA 181. In </w:t>
      </w:r>
      <w:r w:rsidRPr="007148B7">
        <w:rPr>
          <w:rFonts w:ascii="Arial" w:hAnsi="Arial" w:cs="Arial"/>
          <w:i/>
          <w:iCs/>
          <w:color w:val="000000"/>
          <w:sz w:val="18"/>
          <w:szCs w:val="18"/>
        </w:rPr>
        <w:t>Assheton</w:t>
      </w:r>
      <w:r w:rsidRPr="00421952">
        <w:rPr>
          <w:rFonts w:ascii="Arial" w:hAnsi="Arial" w:cs="Arial"/>
          <w:color w:val="000000"/>
          <w:sz w:val="18"/>
          <w:szCs w:val="18"/>
        </w:rPr>
        <w:t xml:space="preserve">, indeed, general deterrence was said to be “the paramount consideration”. This view was endorsed in </w:t>
      </w:r>
      <w:r w:rsidRPr="007148B7">
        <w:rPr>
          <w:rFonts w:ascii="Arial" w:hAnsi="Arial" w:cs="Arial"/>
          <w:i/>
          <w:iCs/>
          <w:color w:val="000000"/>
          <w:sz w:val="18"/>
          <w:szCs w:val="18"/>
        </w:rPr>
        <w:t>Gent</w:t>
      </w:r>
      <w:r w:rsidRPr="00421952">
        <w:rPr>
          <w:rFonts w:ascii="Arial" w:hAnsi="Arial" w:cs="Arial"/>
          <w:color w:val="000000"/>
          <w:sz w:val="18"/>
          <w:szCs w:val="18"/>
        </w:rPr>
        <w:t xml:space="preserve">. </w:t>
      </w:r>
    </w:p>
    <w:p w14:paraId="2AECB93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 would add my further endorsement to that view. It seems to me that possession of child pornography is an offence which is particularly one to which notions of general deterrence apply. Possession of child pornography is a callous and predatory crime.</w:t>
      </w:r>
    </w:p>
    <w:p w14:paraId="2CF3609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In sentencing for such a crime, it is well to bear firmly in mind that the material in question cannot come into existence without exploitation and abuse of children somewhere in the world. Often this is in underdeveloped or disadvantaged countries that lack the resources to provide adequate child protection mechanisms. The damage done to the children may be, and undoubtedly often is, profound. Those who make use of the product feed upon that exploitation and abuse, and upon the poverty of the children the subject of the material.</w:t>
      </w:r>
    </w:p>
    <w:p w14:paraId="55C083AE"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What makes the crime callous is not just that it exploits and abuses children; it is callous because, each time the material is viewed, the offender is reminded of and confronted with obvious pictorial evidence of that exploitation and abuse, and the degradation it causes.</w:t>
      </w:r>
    </w:p>
    <w:p w14:paraId="4747C74C"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And every occasion on which an internet child pornography site is accessed (or when such material is accessed by any means at all) provides further encouragement to expand their activities to those who create and purvey the material.</w:t>
      </w:r>
    </w:p>
    <w:p w14:paraId="1B4357DD" w14:textId="77CAF1C5" w:rsidR="00421952"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It is for that reason that this is a crime in respect of which general deterrence is of particular significance. In my opinion the sentencing judge too readily dismissed from consideration the need to convey the very serious manner in which courts view possession of child pornography.</w:t>
      </w:r>
    </w:p>
    <w:p w14:paraId="77D32196" w14:textId="77777777" w:rsidR="007148B7" w:rsidRPr="007148B7" w:rsidRDefault="007148B7" w:rsidP="007148B7">
      <w:pPr>
        <w:pStyle w:val="Normal-Indent"/>
        <w:spacing w:before="60" w:line="240" w:lineRule="auto"/>
        <w:ind w:left="0" w:right="1021"/>
        <w:rPr>
          <w:rFonts w:ascii="Arial" w:hAnsi="Arial" w:cs="Arial"/>
          <w:color w:val="000000"/>
          <w:sz w:val="20"/>
        </w:rPr>
      </w:pPr>
    </w:p>
    <w:p w14:paraId="6A350CDF" w14:textId="01A60EBB" w:rsidR="00DB40C5" w:rsidRPr="00102D2A" w:rsidRDefault="00DB40C5" w:rsidP="00BE3984">
      <w:pPr>
        <w:jc w:val="both"/>
        <w:rPr>
          <w:rFonts w:ascii="Arial" w:hAnsi="Arial" w:cs="Arial"/>
          <w:color w:val="000000"/>
          <w:sz w:val="20"/>
        </w:rPr>
      </w:pPr>
      <w:r w:rsidRPr="00102D2A">
        <w:rPr>
          <w:rFonts w:ascii="Arial" w:hAnsi="Arial" w:cs="Arial"/>
          <w:color w:val="000000"/>
          <w:sz w:val="20"/>
        </w:rPr>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McClellard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(Cth) v Zarb</w:t>
      </w:r>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r w:rsidR="006A6D84" w:rsidRPr="0040208A">
        <w:rPr>
          <w:rFonts w:ascii="Arial" w:hAnsi="Arial" w:cs="Arial"/>
          <w:i/>
          <w:iCs/>
          <w:color w:val="000000"/>
          <w:sz w:val="20"/>
          <w:szCs w:val="20"/>
        </w:rPr>
        <w:t>Chenhall v The Queen</w:t>
      </w:r>
      <w:r w:rsidR="006A6D84">
        <w:rPr>
          <w:rFonts w:ascii="Arial" w:hAnsi="Arial" w:cs="Arial"/>
          <w:color w:val="000000"/>
          <w:sz w:val="20"/>
          <w:szCs w:val="20"/>
        </w:rPr>
        <w:t xml:space="preserve"> [2021] VSCA 175</w:t>
      </w:r>
      <w:r w:rsidR="00C952EC">
        <w:rPr>
          <w:rFonts w:ascii="Arial" w:hAnsi="Arial" w:cs="Arial"/>
          <w:color w:val="000000"/>
          <w:sz w:val="20"/>
          <w:szCs w:val="20"/>
        </w:rPr>
        <w:t xml:space="preserve">; </w:t>
      </w:r>
      <w:r w:rsidR="00C952EC" w:rsidRPr="00C952EC">
        <w:rPr>
          <w:rFonts w:ascii="Arial" w:hAnsi="Arial" w:cs="Arial"/>
          <w:i/>
          <w:iCs/>
          <w:color w:val="000000"/>
          <w:sz w:val="20"/>
          <w:szCs w:val="20"/>
        </w:rPr>
        <w:t>Hutchison v The King</w:t>
      </w:r>
      <w:r w:rsidR="00C952EC">
        <w:rPr>
          <w:rFonts w:ascii="Arial" w:hAnsi="Arial" w:cs="Arial"/>
          <w:color w:val="000000"/>
          <w:sz w:val="20"/>
          <w:szCs w:val="20"/>
        </w:rPr>
        <w:t xml:space="preserve"> [2022] VSCA 217</w:t>
      </w:r>
      <w:r w:rsidR="00D77619">
        <w:rPr>
          <w:rFonts w:ascii="Arial" w:hAnsi="Arial" w:cs="Arial"/>
          <w:color w:val="000000"/>
          <w:sz w:val="20"/>
          <w:szCs w:val="20"/>
        </w:rPr>
        <w:t xml:space="preserve">; </w:t>
      </w:r>
      <w:r w:rsidR="00D77619" w:rsidRPr="00D77619">
        <w:rPr>
          <w:rFonts w:ascii="Arial" w:hAnsi="Arial" w:cs="Arial"/>
          <w:i/>
          <w:iCs/>
          <w:color w:val="000000"/>
          <w:sz w:val="20"/>
          <w:szCs w:val="20"/>
        </w:rPr>
        <w:t>Phibbs v The King</w:t>
      </w:r>
      <w:r w:rsidR="00D77619">
        <w:rPr>
          <w:rFonts w:ascii="Arial" w:hAnsi="Arial" w:cs="Arial"/>
          <w:color w:val="000000"/>
          <w:sz w:val="20"/>
          <w:szCs w:val="20"/>
        </w:rPr>
        <w:t xml:space="preserve"> [2023] VSCA 123</w:t>
      </w:r>
      <w:r w:rsidR="00BF7ACF">
        <w:rPr>
          <w:rFonts w:ascii="Arial" w:hAnsi="Arial" w:cs="Arial"/>
          <w:color w:val="000000"/>
          <w:sz w:val="20"/>
          <w:szCs w:val="20"/>
        </w:rPr>
        <w:t xml:space="preserve">; </w:t>
      </w:r>
      <w:r w:rsidR="00BF7ACF" w:rsidRPr="00BF7ACF">
        <w:rPr>
          <w:rFonts w:ascii="Arial" w:hAnsi="Arial" w:cs="Arial"/>
          <w:i/>
          <w:iCs/>
          <w:color w:val="000000"/>
          <w:sz w:val="20"/>
          <w:szCs w:val="20"/>
        </w:rPr>
        <w:t>Hulsman v The King</w:t>
      </w:r>
      <w:r w:rsidR="00BF7ACF">
        <w:rPr>
          <w:rFonts w:ascii="Arial" w:hAnsi="Arial" w:cs="Arial"/>
          <w:color w:val="000000"/>
          <w:sz w:val="20"/>
          <w:szCs w:val="20"/>
        </w:rPr>
        <w:t xml:space="preserve"> [2025] VSCA 63</w:t>
      </w:r>
      <w:r w:rsidR="00F72BDA">
        <w:rPr>
          <w:rFonts w:ascii="Arial" w:hAnsi="Arial" w:cs="Arial"/>
          <w:color w:val="000000"/>
          <w:sz w:val="20"/>
          <w:szCs w:val="20"/>
        </w:rPr>
        <w:t>.</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122" w:name="_11.15.4_Other_sexual"/>
      <w:bookmarkEnd w:id="1122"/>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w:t>
      </w:r>
      <w:r w:rsidRPr="00102D2A">
        <w:rPr>
          <w:rFonts w:ascii="Arial" w:hAnsi="Arial" w:cs="Arial"/>
          <w:color w:val="000000"/>
          <w:sz w:val="20"/>
        </w:rPr>
        <w:lastRenderedPageBreak/>
        <w:t>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James &amp; Witbeck</w:t>
      </w:r>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place">
        <w:smartTag w:uri="urn:schemas-microsoft-com:office:smarttags" w:element="City">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r w:rsidRPr="00D33B66">
        <w:rPr>
          <w:rFonts w:ascii="Arial" w:hAnsi="Arial" w:cs="Arial"/>
          <w:i/>
          <w:color w:val="000000"/>
          <w:sz w:val="20"/>
        </w:rPr>
        <w:t xml:space="preserve">Tuting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R v Kunsevitsk</w:t>
      </w:r>
      <w:r>
        <w:rPr>
          <w:rFonts w:ascii="Arial" w:hAnsi="Arial" w:cs="Arial"/>
          <w:i/>
          <w:iCs/>
          <w:color w:val="000000"/>
          <w:sz w:val="20"/>
        </w:rPr>
        <w:t>y</w:t>
      </w:r>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342F4E88" w:rsidR="00572089" w:rsidRDefault="00572089" w:rsidP="00877D20">
      <w:pPr>
        <w:jc w:val="both"/>
        <w:rPr>
          <w:rFonts w:ascii="Arial" w:hAnsi="Arial" w:cs="Arial"/>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r>
        <w:rPr>
          <w:rFonts w:ascii="Arial" w:hAnsi="Arial" w:cs="Arial"/>
          <w:sz w:val="20"/>
          <w:szCs w:val="20"/>
        </w:rPr>
        <w:t>en</w:t>
      </w:r>
      <w:r w:rsidRPr="00572089">
        <w:rPr>
          <w:rFonts w:ascii="Arial" w:hAnsi="Arial" w:cs="Arial"/>
          <w:sz w:val="20"/>
          <w:szCs w:val="20"/>
        </w:rPr>
        <w:t>aging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15E47560" w14:textId="77777777" w:rsidR="007060B5" w:rsidRDefault="007060B5" w:rsidP="00877D20">
      <w:pPr>
        <w:jc w:val="both"/>
        <w:rPr>
          <w:rFonts w:ascii="Arial" w:hAnsi="Arial" w:cs="Arial"/>
          <w:color w:val="000000"/>
          <w:sz w:val="20"/>
          <w:szCs w:val="20"/>
        </w:rPr>
      </w:pP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4 charges of indecent act with a child under 16 and 5 charges of sexual penetration of a child 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xml:space="preserve">. However, we do not consider the gravity of the offending and the applicant’s moral culpability to be such as to </w:t>
      </w:r>
      <w:r w:rsidRPr="00C75B92">
        <w:rPr>
          <w:rFonts w:ascii="Arial" w:hAnsi="Arial" w:cs="Arial"/>
          <w:sz w:val="20"/>
        </w:rPr>
        <w:lastRenderedPageBreak/>
        <w:t>warrant a term of imprisonment, let alone a term of over two years. There is substance to the applicant’s contention that his conduct fell within the bounds of teenage sexual exploration and experimentation, albeit that he exploited the power imbalance between 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AD3FE94" w14:textId="76C04CB5" w:rsidR="005246A0" w:rsidRDefault="00513AA5" w:rsidP="00A26F29">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DPP v Macfie</w:t>
      </w:r>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r w:rsidR="005246A0" w:rsidRPr="005246A0">
        <w:rPr>
          <w:rFonts w:ascii="Arial" w:eastAsia="Book Antiqua" w:hAnsi="Arial" w:cs="Arial"/>
          <w:i/>
          <w:sz w:val="20"/>
          <w:szCs w:val="20"/>
        </w:rPr>
        <w:t>Hinch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r w:rsidR="009C0D33" w:rsidRPr="009C0D33">
        <w:rPr>
          <w:rFonts w:ascii="Arial" w:hAnsi="Arial" w:cs="Arial"/>
          <w:i/>
          <w:iCs/>
          <w:color w:val="000000"/>
          <w:sz w:val="20"/>
        </w:rPr>
        <w:t>Stanczewski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r w:rsidR="005C74E0" w:rsidRPr="005C74E0">
        <w:rPr>
          <w:rFonts w:ascii="Arial" w:hAnsi="Arial" w:cs="Arial"/>
          <w:i/>
          <w:iCs/>
          <w:color w:val="000000"/>
          <w:sz w:val="20"/>
        </w:rPr>
        <w:t>Bouris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r w:rsidR="0044421C">
        <w:rPr>
          <w:rFonts w:ascii="Arial" w:hAnsi="Arial" w:cs="Arial"/>
          <w:color w:val="000000"/>
          <w:sz w:val="20"/>
          <w:szCs w:val="20"/>
        </w:rPr>
        <w:t xml:space="preserve">; </w:t>
      </w:r>
      <w:r w:rsidR="0044421C" w:rsidRPr="0044421C">
        <w:rPr>
          <w:rFonts w:ascii="Arial" w:hAnsi="Arial" w:cs="Arial"/>
          <w:i/>
          <w:iCs/>
          <w:color w:val="000000"/>
          <w:sz w:val="20"/>
          <w:szCs w:val="20"/>
        </w:rPr>
        <w:t>Nuramin v The King</w:t>
      </w:r>
      <w:r w:rsidR="0044421C">
        <w:rPr>
          <w:rFonts w:ascii="Arial" w:hAnsi="Arial" w:cs="Arial"/>
          <w:color w:val="000000"/>
          <w:sz w:val="20"/>
          <w:szCs w:val="20"/>
        </w:rPr>
        <w:t xml:space="preserve"> [2022] VSCA 215 at [86]-[98]</w:t>
      </w:r>
      <w:bookmarkStart w:id="1123" w:name="_Hlk127253302"/>
      <w:r w:rsidR="002A312B">
        <w:rPr>
          <w:rFonts w:ascii="Arial" w:hAnsi="Arial" w:cs="Arial"/>
          <w:color w:val="000000"/>
          <w:sz w:val="20"/>
          <w:szCs w:val="20"/>
        </w:rPr>
        <w:t xml:space="preserve">; </w:t>
      </w:r>
      <w:r w:rsidR="002A312B" w:rsidRPr="002A312B">
        <w:rPr>
          <w:rFonts w:ascii="Arial" w:hAnsi="Arial" w:cs="Arial"/>
          <w:i/>
          <w:iCs/>
          <w:color w:val="000000"/>
          <w:sz w:val="20"/>
          <w:szCs w:val="20"/>
        </w:rPr>
        <w:t>Roberts v The King</w:t>
      </w:r>
      <w:r w:rsidR="002A312B">
        <w:rPr>
          <w:rFonts w:ascii="Arial" w:hAnsi="Arial" w:cs="Arial"/>
          <w:color w:val="000000"/>
          <w:sz w:val="20"/>
          <w:szCs w:val="20"/>
        </w:rPr>
        <w:t xml:space="preserve"> [2023] VSCA </w:t>
      </w:r>
      <w:r w:rsidR="000F38C1">
        <w:rPr>
          <w:rFonts w:ascii="Arial" w:hAnsi="Arial" w:cs="Arial"/>
          <w:color w:val="000000"/>
          <w:sz w:val="20"/>
          <w:szCs w:val="20"/>
        </w:rPr>
        <w:t>92 at [16]-[17]</w:t>
      </w:r>
      <w:r w:rsidR="00811203">
        <w:rPr>
          <w:rFonts w:ascii="Arial" w:hAnsi="Arial" w:cs="Arial"/>
          <w:color w:val="000000"/>
          <w:sz w:val="20"/>
          <w:szCs w:val="20"/>
        </w:rPr>
        <w:t xml:space="preserve">; </w:t>
      </w:r>
      <w:r w:rsidR="00811203">
        <w:rPr>
          <w:rFonts w:ascii="Arial" w:hAnsi="Arial" w:cs="Arial"/>
          <w:i/>
          <w:iCs/>
          <w:color w:val="000000"/>
          <w:sz w:val="20"/>
          <w:szCs w:val="20"/>
        </w:rPr>
        <w:t>Nathan D</w:t>
      </w:r>
      <w:r w:rsidR="00811203" w:rsidRPr="00811203">
        <w:rPr>
          <w:rFonts w:ascii="Arial" w:hAnsi="Arial" w:cs="Arial"/>
          <w:i/>
          <w:iCs/>
          <w:color w:val="000000"/>
          <w:sz w:val="20"/>
          <w:szCs w:val="20"/>
        </w:rPr>
        <w:t>avies (a pseudonym) v The King</w:t>
      </w:r>
      <w:r w:rsidR="00811203">
        <w:rPr>
          <w:rFonts w:ascii="Arial" w:hAnsi="Arial" w:cs="Arial"/>
          <w:color w:val="000000"/>
          <w:sz w:val="20"/>
          <w:szCs w:val="20"/>
        </w:rPr>
        <w:t xml:space="preserve"> [2023] VSCA 225</w:t>
      </w:r>
      <w:r w:rsidR="003F7CF1">
        <w:rPr>
          <w:rFonts w:ascii="Arial" w:hAnsi="Arial" w:cs="Arial"/>
          <w:color w:val="000000"/>
          <w:sz w:val="20"/>
          <w:szCs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w:t>
      </w:r>
      <w:r w:rsidR="00A26F29">
        <w:rPr>
          <w:rFonts w:ascii="Arial" w:hAnsi="Arial" w:cs="Arial"/>
          <w:color w:val="000000"/>
          <w:sz w:val="20"/>
        </w:rPr>
        <w:t xml:space="preserve">; </w:t>
      </w:r>
      <w:bookmarkStart w:id="1124" w:name="_11.15.5_Relevance_of"/>
      <w:bookmarkEnd w:id="1123"/>
      <w:bookmarkEnd w:id="1124"/>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w:t>
      </w:r>
      <w:r w:rsidR="00A26F29">
        <w:rPr>
          <w:rFonts w:ascii="Arial" w:hAnsi="Arial" w:cs="Arial"/>
          <w:color w:val="000000"/>
          <w:sz w:val="20"/>
          <w:szCs w:val="20"/>
        </w:rPr>
        <w:t>, esp at [7]</w:t>
      </w:r>
      <w:r w:rsidR="00297A14">
        <w:rPr>
          <w:rFonts w:ascii="Arial" w:hAnsi="Arial" w:cs="Arial"/>
          <w:color w:val="000000"/>
          <w:sz w:val="20"/>
          <w:szCs w:val="20"/>
        </w:rPr>
        <w:t>, [12]-[15], [49]</w:t>
      </w:r>
      <w:r w:rsidR="00A26F29">
        <w:rPr>
          <w:rFonts w:ascii="Arial" w:hAnsi="Arial" w:cs="Arial"/>
          <w:color w:val="000000"/>
          <w:sz w:val="20"/>
          <w:szCs w:val="20"/>
        </w:rPr>
        <w:t xml:space="preserve"> &amp; [</w:t>
      </w:r>
      <w:r w:rsidR="00297A14">
        <w:rPr>
          <w:rFonts w:ascii="Arial" w:hAnsi="Arial" w:cs="Arial"/>
          <w:color w:val="000000"/>
          <w:sz w:val="20"/>
          <w:szCs w:val="20"/>
        </w:rPr>
        <w:t>53</w:t>
      </w:r>
      <w:r w:rsidR="00A26F29">
        <w:rPr>
          <w:rFonts w:ascii="Arial" w:hAnsi="Arial" w:cs="Arial"/>
          <w:color w:val="000000"/>
          <w:sz w:val="20"/>
          <w:szCs w:val="20"/>
        </w:rPr>
        <w:t>]</w:t>
      </w:r>
      <w:r w:rsidR="00A26F29" w:rsidRPr="00A26F29">
        <w:rPr>
          <w:rFonts w:ascii="Arial" w:hAnsi="Arial" w:cs="Arial"/>
          <w:color w:val="000000"/>
          <w:sz w:val="20"/>
          <w:szCs w:val="20"/>
        </w:rPr>
        <w:t>.</w:t>
      </w:r>
    </w:p>
    <w:p w14:paraId="0FC937E4" w14:textId="77777777" w:rsidR="00A26F29" w:rsidRDefault="00A26F29" w:rsidP="00A26F29">
      <w:pPr>
        <w:spacing w:before="20" w:after="20"/>
        <w:jc w:val="both"/>
        <w:rPr>
          <w:rFonts w:ascii="Arial" w:hAnsi="Arial" w:cs="Arial"/>
          <w:color w:val="000000"/>
          <w:sz w:val="20"/>
          <w:szCs w:val="20"/>
        </w:rPr>
      </w:pPr>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w:t>
      </w:r>
      <w:r w:rsidR="000A104F" w:rsidRPr="00102D2A">
        <w:rPr>
          <w:rFonts w:ascii="Arial" w:hAnsi="Arial" w:cs="Arial"/>
          <w:color w:val="000000"/>
          <w:sz w:val="20"/>
          <w:szCs w:val="20"/>
        </w:rPr>
        <w:lastRenderedPageBreak/>
        <w:t xml:space="preserve">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Riggall v </w:t>
      </w:r>
      <w:smartTag w:uri="urn:schemas-microsoft-com:office:smarttags" w:element="State">
        <w:smartTag w:uri="urn:schemas-microsoft-com:office:smarttags" w:element="plac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more grave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lastRenderedPageBreak/>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seek a report as to the applicant’s suitability for a YJC order.  Counsel responded that it would be more appropriate if that decision were left to the Adult 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125" w:name="_11.15.6_Physical_abuse"/>
      <w:bookmarkEnd w:id="1125"/>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Tadgell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r w:rsidR="00CA11C8" w:rsidRPr="00102D2A">
        <w:rPr>
          <w:rFonts w:ascii="Arial" w:hAnsi="Arial" w:cs="Arial"/>
          <w:color w:val="000000"/>
          <w:sz w:val="20"/>
        </w:rPr>
        <w:t xml:space="preserve">  ‘The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’s admission to hospital — or at least had an acute component or had been exacerbated within that period. Some other injuries, however, were thought to have been of longer 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214286E3" w14:textId="5DBE0CF2" w:rsidR="006C4AF6" w:rsidRDefault="006C4AF6" w:rsidP="003619C4">
      <w:pPr>
        <w:jc w:val="both"/>
        <w:rPr>
          <w:rFonts w:ascii="Arial" w:hAnsi="Arial" w:cs="Arial"/>
          <w:color w:val="000000"/>
          <w:sz w:val="20"/>
        </w:rPr>
      </w:pPr>
      <w:r>
        <w:rPr>
          <w:rFonts w:ascii="Arial" w:hAnsi="Arial" w:cs="Arial"/>
          <w:color w:val="000000"/>
          <w:sz w:val="20"/>
        </w:rPr>
        <w:lastRenderedPageBreak/>
        <w:t xml:space="preserve">In </w:t>
      </w:r>
      <w:r w:rsidR="00B821AD" w:rsidRPr="003619C4">
        <w:rPr>
          <w:rFonts w:ascii="Arial" w:hAnsi="Arial" w:cs="Arial"/>
          <w:i/>
          <w:iCs/>
          <w:color w:val="000000"/>
          <w:sz w:val="20"/>
        </w:rPr>
        <w:t>Kellway (a pseudonym) v The King</w:t>
      </w:r>
      <w:r w:rsidR="00B821AD">
        <w:rPr>
          <w:rFonts w:ascii="Arial" w:hAnsi="Arial" w:cs="Arial"/>
          <w:color w:val="000000"/>
          <w:sz w:val="20"/>
        </w:rPr>
        <w:t xml:space="preserve">; </w:t>
      </w:r>
      <w:r w:rsidR="00B821AD" w:rsidRPr="003619C4">
        <w:rPr>
          <w:rFonts w:ascii="Arial" w:hAnsi="Arial" w:cs="Arial"/>
          <w:i/>
          <w:iCs/>
          <w:color w:val="000000"/>
          <w:sz w:val="20"/>
        </w:rPr>
        <w:t>Donald (a pseudonym) v The King</w:t>
      </w:r>
      <w:r w:rsidR="00B821AD">
        <w:rPr>
          <w:rFonts w:ascii="Arial" w:hAnsi="Arial" w:cs="Arial"/>
          <w:color w:val="000000"/>
          <w:sz w:val="20"/>
        </w:rPr>
        <w:t xml:space="preserve"> [2023] VSCA </w:t>
      </w:r>
      <w:r w:rsidR="003619C4">
        <w:rPr>
          <w:rFonts w:ascii="Arial" w:hAnsi="Arial" w:cs="Arial"/>
          <w:color w:val="000000"/>
          <w:sz w:val="20"/>
        </w:rPr>
        <w:t xml:space="preserve">109 the applicants were </w:t>
      </w:r>
      <w:r w:rsidR="00F81F8D">
        <w:rPr>
          <w:rFonts w:ascii="Arial" w:hAnsi="Arial" w:cs="Arial"/>
          <w:color w:val="000000"/>
          <w:sz w:val="20"/>
        </w:rPr>
        <w:t>the partner and the mother of a 4 year old child who had pleaded guilty to negligently causing serious injury to the child</w:t>
      </w:r>
      <w:r w:rsidR="009D7FE7">
        <w:rPr>
          <w:rFonts w:ascii="Arial" w:hAnsi="Arial" w:cs="Arial"/>
          <w:color w:val="000000"/>
          <w:sz w:val="20"/>
        </w:rPr>
        <w:t xml:space="preserve">, the </w:t>
      </w:r>
      <w:r w:rsidR="003F7B0A">
        <w:rPr>
          <w:rFonts w:ascii="Arial" w:hAnsi="Arial" w:cs="Arial"/>
          <w:color w:val="000000"/>
          <w:sz w:val="20"/>
        </w:rPr>
        <w:t xml:space="preserve">serious injury charge </w:t>
      </w:r>
      <w:r w:rsidR="00131EBC">
        <w:rPr>
          <w:rFonts w:ascii="Arial" w:hAnsi="Arial" w:cs="Arial"/>
          <w:color w:val="000000"/>
          <w:sz w:val="20"/>
        </w:rPr>
        <w:t xml:space="preserve">being based on a combination of </w:t>
      </w:r>
      <w:r w:rsidR="009D7FE7">
        <w:rPr>
          <w:rFonts w:ascii="Arial" w:hAnsi="Arial" w:cs="Arial"/>
          <w:color w:val="000000"/>
          <w:sz w:val="20"/>
        </w:rPr>
        <w:t>injuries</w:t>
      </w:r>
      <w:r w:rsidR="00131EBC">
        <w:rPr>
          <w:rFonts w:ascii="Arial" w:hAnsi="Arial" w:cs="Arial"/>
          <w:color w:val="000000"/>
          <w:sz w:val="20"/>
        </w:rPr>
        <w:t xml:space="preserve"> </w:t>
      </w:r>
      <w:r w:rsidR="009D7FE7">
        <w:rPr>
          <w:rFonts w:ascii="Arial" w:hAnsi="Arial" w:cs="Arial"/>
          <w:color w:val="000000"/>
          <w:sz w:val="20"/>
        </w:rPr>
        <w:t>inflicted over a 4 month period.</w:t>
      </w:r>
      <w:r w:rsidR="00BC7B2A">
        <w:rPr>
          <w:rFonts w:ascii="Arial" w:hAnsi="Arial" w:cs="Arial"/>
          <w:color w:val="000000"/>
          <w:sz w:val="20"/>
        </w:rPr>
        <w:t xml:space="preserve">  They were sentenced to IMP6y3m/</w:t>
      </w:r>
      <w:r w:rsidR="00CC0F69">
        <w:rPr>
          <w:rFonts w:ascii="Arial" w:hAnsi="Arial" w:cs="Arial"/>
          <w:color w:val="000000"/>
          <w:sz w:val="20"/>
        </w:rPr>
        <w:t>4y6m</w:t>
      </w:r>
      <w:r w:rsidR="00BC7B2A">
        <w:rPr>
          <w:rFonts w:ascii="Arial" w:hAnsi="Arial" w:cs="Arial"/>
          <w:color w:val="000000"/>
          <w:sz w:val="20"/>
        </w:rPr>
        <w:t xml:space="preserve"> and IMP3y9m/</w:t>
      </w:r>
      <w:r w:rsidR="00B607DB">
        <w:rPr>
          <w:rFonts w:ascii="Arial" w:hAnsi="Arial" w:cs="Arial"/>
          <w:color w:val="000000"/>
          <w:sz w:val="20"/>
        </w:rPr>
        <w:t>2y6m</w:t>
      </w:r>
      <w:r w:rsidR="00BC7B2A">
        <w:rPr>
          <w:rFonts w:ascii="Arial" w:hAnsi="Arial" w:cs="Arial"/>
          <w:color w:val="000000"/>
          <w:sz w:val="20"/>
        </w:rPr>
        <w:t xml:space="preserve"> respectively.  </w:t>
      </w:r>
      <w:r w:rsidR="00B607DB">
        <w:rPr>
          <w:rFonts w:ascii="Arial" w:hAnsi="Arial" w:cs="Arial"/>
          <w:color w:val="000000"/>
          <w:sz w:val="20"/>
        </w:rPr>
        <w:t xml:space="preserve">The Court of Appeal </w:t>
      </w:r>
      <w:r w:rsidR="00AD2E4A">
        <w:rPr>
          <w:rFonts w:ascii="Arial" w:hAnsi="Arial" w:cs="Arial"/>
          <w:color w:val="000000"/>
          <w:sz w:val="20"/>
        </w:rPr>
        <w:t xml:space="preserve">held that the sentences were not manifestly excessive nor </w:t>
      </w:r>
      <w:r w:rsidR="00CD6860">
        <w:rPr>
          <w:rFonts w:ascii="Arial" w:hAnsi="Arial" w:cs="Arial"/>
          <w:color w:val="000000"/>
          <w:sz w:val="20"/>
        </w:rPr>
        <w:t xml:space="preserve">– despite categorising the mother’s sentence as “lenient” – </w:t>
      </w:r>
      <w:r w:rsidR="00AD2E4A">
        <w:rPr>
          <w:rFonts w:ascii="Arial" w:hAnsi="Arial" w:cs="Arial"/>
          <w:color w:val="000000"/>
          <w:sz w:val="20"/>
        </w:rPr>
        <w:t>was</w:t>
      </w:r>
      <w:r w:rsidR="00CD6860">
        <w:rPr>
          <w:rFonts w:ascii="Arial" w:hAnsi="Arial" w:cs="Arial"/>
          <w:color w:val="000000"/>
          <w:sz w:val="20"/>
        </w:rPr>
        <w:t xml:space="preserve"> </w:t>
      </w:r>
      <w:r w:rsidR="00AD2E4A">
        <w:rPr>
          <w:rFonts w:ascii="Arial" w:hAnsi="Arial" w:cs="Arial"/>
          <w:color w:val="000000"/>
          <w:sz w:val="20"/>
        </w:rPr>
        <w:t xml:space="preserve">the disparity between the sentences </w:t>
      </w:r>
      <w:r w:rsidR="00620D6A">
        <w:rPr>
          <w:rFonts w:ascii="Arial" w:hAnsi="Arial" w:cs="Arial"/>
          <w:color w:val="000000"/>
          <w:sz w:val="20"/>
        </w:rPr>
        <w:t xml:space="preserve">of sufficient magnitude to </w:t>
      </w:r>
      <w:r w:rsidR="00131EBC">
        <w:rPr>
          <w:rFonts w:ascii="Arial" w:hAnsi="Arial" w:cs="Arial"/>
          <w:color w:val="000000"/>
          <w:sz w:val="20"/>
        </w:rPr>
        <w:t xml:space="preserve">justify appellate intervention.  </w:t>
      </w:r>
      <w:r w:rsidR="00CD6860">
        <w:rPr>
          <w:rFonts w:ascii="Arial" w:hAnsi="Arial" w:cs="Arial"/>
          <w:color w:val="000000"/>
          <w:sz w:val="20"/>
        </w:rPr>
        <w:t>The partner had</w:t>
      </w:r>
      <w:r w:rsidR="009D6491">
        <w:rPr>
          <w:rFonts w:ascii="Arial" w:hAnsi="Arial" w:cs="Arial"/>
          <w:color w:val="000000"/>
          <w:sz w:val="20"/>
        </w:rPr>
        <w:t xml:space="preserve"> argued that deprivation he had suffered as a child necessarily operated to reduce his moral culpability</w:t>
      </w:r>
      <w:r w:rsidR="00B30E59">
        <w:rPr>
          <w:rFonts w:ascii="Arial" w:hAnsi="Arial" w:cs="Arial"/>
          <w:color w:val="000000"/>
          <w:sz w:val="20"/>
        </w:rPr>
        <w:t xml:space="preserve"> but the Court of Appeal held it was open to the sentencing judge to conclude that there</w:t>
      </w:r>
      <w:r w:rsidR="00552403">
        <w:rPr>
          <w:rFonts w:ascii="Arial" w:hAnsi="Arial" w:cs="Arial"/>
          <w:color w:val="000000"/>
          <w:sz w:val="20"/>
        </w:rPr>
        <w:t xml:space="preserve"> was no reduction, any such reduction being offset by other sentencing considerations.  In categorising the offending as “particularly serious”, Emerton P, Niall &amp; Kaye JJA said at [</w:t>
      </w:r>
      <w:r w:rsidR="009E1E06">
        <w:rPr>
          <w:rFonts w:ascii="Arial" w:hAnsi="Arial" w:cs="Arial"/>
          <w:color w:val="000000"/>
          <w:sz w:val="20"/>
        </w:rPr>
        <w:t>95</w:t>
      </w:r>
      <w:r w:rsidR="00552403">
        <w:rPr>
          <w:rFonts w:ascii="Arial" w:hAnsi="Arial" w:cs="Arial"/>
          <w:color w:val="000000"/>
          <w:sz w:val="20"/>
        </w:rPr>
        <w:t>]</w:t>
      </w:r>
      <w:r w:rsidR="009E1E06">
        <w:rPr>
          <w:rFonts w:ascii="Arial" w:hAnsi="Arial" w:cs="Arial"/>
          <w:color w:val="000000"/>
          <w:sz w:val="20"/>
        </w:rPr>
        <w:t xml:space="preserve"> &amp; [</w:t>
      </w:r>
      <w:r w:rsidR="00AD1042">
        <w:rPr>
          <w:rFonts w:ascii="Arial" w:hAnsi="Arial" w:cs="Arial"/>
          <w:color w:val="000000"/>
          <w:sz w:val="20"/>
        </w:rPr>
        <w:t>140</w:t>
      </w:r>
      <w:r w:rsidR="009E1E06">
        <w:rPr>
          <w:rFonts w:ascii="Arial" w:hAnsi="Arial" w:cs="Arial"/>
          <w:color w:val="000000"/>
          <w:sz w:val="20"/>
        </w:rPr>
        <w:t>]</w:t>
      </w:r>
      <w:r w:rsidR="00AD1042">
        <w:rPr>
          <w:rFonts w:ascii="Arial" w:hAnsi="Arial" w:cs="Arial"/>
          <w:color w:val="000000"/>
          <w:sz w:val="20"/>
        </w:rPr>
        <w:t>-[141]</w:t>
      </w:r>
      <w:r w:rsidR="00552403">
        <w:rPr>
          <w:rFonts w:ascii="Arial" w:hAnsi="Arial" w:cs="Arial"/>
          <w:color w:val="000000"/>
          <w:sz w:val="20"/>
        </w:rPr>
        <w:t>:</w:t>
      </w:r>
    </w:p>
    <w:p w14:paraId="0CDD6DD0" w14:textId="5F4BF881" w:rsidR="00552403" w:rsidRDefault="009E1E06" w:rsidP="00552403">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[95] </w:t>
      </w:r>
      <w:r w:rsidR="00552403">
        <w:rPr>
          <w:rFonts w:ascii="Arial" w:hAnsi="Arial" w:cs="Arial"/>
          <w:color w:val="000000"/>
          <w:sz w:val="20"/>
        </w:rPr>
        <w:t>“</w:t>
      </w:r>
      <w:r w:rsidRPr="009E1E06">
        <w:rPr>
          <w:rFonts w:ascii="Arial" w:hAnsi="Arial" w:cs="Arial"/>
          <w:sz w:val="20"/>
        </w:rPr>
        <w:t>Kellway’s offending was based on criminal negligence, the essence of which involved a criminal departure from the standard of care owed to the vulnerable boy in his care. The gross extent of the departure and the consequences for the child made the offending particularly serious. Kellway’s conduct itself involved a very high degree of blameworthiness. It occurred over a period of four months and involved the repeated and cruel mistreatment of a small and vulnerable child in respect of whom he stood in loco parentis. Kellway was not incapable of exercising rational thought and moral judgement. He did not suffer from a severe personality disorder or a seriously distorted world view like Mr Herrmann. Notwithstanding his difficult childhood, he had been able to maintain a reasonably stable life, at least in regard to his employment. He did, however, engage in drug use, and it may reasonably be inferred that his negligent conduct, and the complete absence of moral judgment during the relevant period, reflected this fact.</w:t>
      </w:r>
      <w:r w:rsidR="00AD1042">
        <w:rPr>
          <w:rFonts w:ascii="Arial" w:hAnsi="Arial" w:cs="Arial"/>
          <w:sz w:val="20"/>
        </w:rPr>
        <w:t>”</w:t>
      </w:r>
    </w:p>
    <w:p w14:paraId="2EB4CA31" w14:textId="2004AA35" w:rsidR="00AD1042" w:rsidRDefault="00AD1042" w:rsidP="00552403">
      <w:pPr>
        <w:pStyle w:val="Normal-Indent"/>
        <w:widowControl/>
        <w:spacing w:before="60" w:line="240" w:lineRule="auto"/>
        <w:ind w:left="567" w:right="567"/>
        <w:rPr>
          <w:rFonts w:ascii="Arial" w:hAnsi="Arial" w:cs="Arial"/>
          <w:sz w:val="20"/>
        </w:rPr>
      </w:pPr>
      <w:r>
        <w:rPr>
          <w:rFonts w:ascii="Arial" w:hAnsi="Arial" w:cs="Arial"/>
          <w:sz w:val="20"/>
        </w:rPr>
        <w:t>[140] “</w:t>
      </w:r>
      <w:r w:rsidRPr="00AD1042">
        <w:rPr>
          <w:rFonts w:ascii="Arial" w:hAnsi="Arial" w:cs="Arial"/>
          <w:sz w:val="20"/>
        </w:rPr>
        <w:t>The judge recognised that Donald was not the person principally responsible for the assaults on Charlie, but sentenced her on the basis that she was directly responsible for some of the assaults. For the assaults perpetrated by Kellway, Donald stood by and did nothing. The judge said that it ‘[beggared] belief’ that she could be complicit in injuring her own child.</w:t>
      </w:r>
    </w:p>
    <w:p w14:paraId="1E31BDCC" w14:textId="42BDD119" w:rsidR="00AD1042" w:rsidRPr="00102D2A" w:rsidRDefault="00AD1042" w:rsidP="00552403">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[141] </w:t>
      </w:r>
      <w:r w:rsidRPr="00AD1042">
        <w:rPr>
          <w:rFonts w:ascii="Arial" w:hAnsi="Arial" w:cs="Arial"/>
          <w:sz w:val="20"/>
        </w:rPr>
        <w:t>As he had for Kellway, the judge assessed Donald’s offending to be a very serious example of the offence of negligently causing serious injury. The degree of negligence was high. The duty of care that Donald owed to Charlie was a high one, particularly after DHHS had removed him from his biological father’s care and placed him into her care and the care of Kellway. She had not merely failed to protect Charlie from harm by Kellway, but she had also been actively causing harm, albeit by negligent conduct. This made her breach of duty grave.</w:t>
      </w:r>
      <w:r>
        <w:rPr>
          <w:rFonts w:ascii="Arial" w:hAnsi="Arial" w:cs="Arial"/>
          <w:sz w:val="20"/>
        </w:rPr>
        <w:t>”</w:t>
      </w:r>
    </w:p>
    <w:p w14:paraId="61E04986" w14:textId="77777777" w:rsidR="00552403" w:rsidRDefault="00552403" w:rsidP="003619C4">
      <w:pPr>
        <w:jc w:val="both"/>
        <w:rPr>
          <w:rFonts w:ascii="Arial" w:hAnsi="Arial" w:cs="Arial"/>
          <w:color w:val="000000"/>
          <w:sz w:val="20"/>
        </w:rPr>
      </w:pPr>
    </w:p>
    <w:p w14:paraId="7182AE91" w14:textId="48CF4F3B" w:rsidR="001A0A07" w:rsidRPr="00102D2A" w:rsidRDefault="00BE3984" w:rsidP="00960C31">
      <w:pPr>
        <w:pStyle w:val="Heading3"/>
        <w:keepNext/>
        <w:keepLines/>
        <w:widowControl/>
        <w:spacing w:line="240" w:lineRule="auto"/>
        <w:rPr>
          <w:rFonts w:ascii="Arial" w:hAnsi="Arial" w:cs="Arial"/>
          <w:b/>
          <w:bCs/>
          <w:color w:val="000000"/>
          <w:sz w:val="16"/>
        </w:rPr>
      </w:pPr>
      <w:bookmarkStart w:id="1126" w:name="_11.15.7_Causing_death"/>
      <w:bookmarkEnd w:id="1126"/>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960C31">
      <w:pPr>
        <w:pStyle w:val="Normal-Cover"/>
        <w:keepNext/>
        <w:keepLines/>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Arney</w:t>
      </w:r>
      <w:r w:rsidRPr="00102D2A">
        <w:rPr>
          <w:rFonts w:ascii="Arial" w:hAnsi="Arial" w:cs="Arial"/>
          <w:color w:val="000000"/>
          <w:sz w:val="20"/>
        </w:rPr>
        <w:t xml:space="preserve"> [2007] VSCA 126 </w:t>
      </w:r>
      <w:r w:rsidR="001A0A07" w:rsidRPr="00102D2A">
        <w:rPr>
          <w:rFonts w:ascii="Arial" w:hAnsi="Arial" w:cs="Arial"/>
          <w:color w:val="000000"/>
          <w:sz w:val="20"/>
        </w:rPr>
        <w:t>the defendant had pleaded guilty to one count of recklessly causing serious injury and one count of manslaughter caused by his punching of his 5 month old daughter, not as an isolated incident arising from a momentary loss of self control,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“I agree, and specifically wish to associate myself with the views expressed by Nettle JA concerning not only the abhorrence with which the conduct of the respondent is to be </w:t>
      </w:r>
      <w:r w:rsidRPr="00102D2A">
        <w:rPr>
          <w:rFonts w:ascii="Arial" w:hAnsi="Arial" w:cs="Arial"/>
          <w:color w:val="000000"/>
          <w:sz w:val="20"/>
        </w:rPr>
        <w:lastRenderedPageBreak/>
        <w:t>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r w:rsidR="00A5789C" w:rsidRPr="00102D2A">
        <w:rPr>
          <w:rFonts w:ascii="Arial" w:hAnsi="Arial" w:cs="Arial"/>
          <w:color w:val="000000"/>
          <w:sz w:val="20"/>
        </w:rPr>
        <w:t xml:space="preserve">Lasry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imprisonment…[G]iving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D’Aloisio</w:t>
      </w:r>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Lasry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“the tragedy of this case almost defies imagination” and that “these were crimes 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Acar</w:t>
      </w:r>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Ta Vuong</w:t>
      </w:r>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The murder of Silas Leithhead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r w:rsidRPr="004A65F9">
        <w:rPr>
          <w:rFonts w:ascii="Arial" w:hAnsi="Arial" w:cs="Arial"/>
          <w:i/>
          <w:color w:val="000000"/>
          <w:sz w:val="20"/>
        </w:rPr>
        <w:t>post partum</w:t>
      </w:r>
      <w:r>
        <w:rPr>
          <w:rFonts w:ascii="Arial" w:hAnsi="Arial" w:cs="Arial"/>
          <w:color w:val="000000"/>
          <w:sz w:val="20"/>
        </w:rPr>
        <w:t xml:space="preserve">.  </w:t>
      </w:r>
      <w:r w:rsidR="00C036D2">
        <w:rPr>
          <w:rFonts w:ascii="Arial" w:hAnsi="Arial" w:cs="Arial"/>
          <w:color w:val="000000"/>
          <w:sz w:val="20"/>
        </w:rPr>
        <w:t xml:space="preserve">She had received treatment at Thomas Embling Hospital while on ermand.  The Crown conceded that imprisonment was inappropriate.  Coghlan JA 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Akon Guode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F050C">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“[A]lthough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R v Bekhazi</w:t>
      </w:r>
      <w:r w:rsidR="00994FB7" w:rsidRPr="00994FB7">
        <w:rPr>
          <w:rFonts w:ascii="Arial" w:hAnsi="Arial" w:cs="Arial"/>
          <w:sz w:val="20"/>
        </w:rPr>
        <w:t xml:space="preserve"> (2001)</w:t>
      </w:r>
      <w:r w:rsidR="00994FB7">
        <w:rPr>
          <w:rFonts w:ascii="Arial" w:hAnsi="Arial" w:cs="Arial"/>
          <w:sz w:val="20"/>
        </w:rPr>
        <w:t xml:space="preserve"> 3 VR 321, 330 [14] (Winneke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(Winneke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r w:rsidR="00994FB7" w:rsidRPr="00994FB7">
        <w:rPr>
          <w:rFonts w:ascii="Arial" w:eastAsia="Book Antiqua" w:hAnsi="Arial" w:cs="Arial"/>
          <w:i/>
          <w:sz w:val="20"/>
        </w:rPr>
        <w:t xml:space="preserve">Vasilevski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by, and justly reflect, her diminished moral culpability.  See </w:t>
      </w:r>
      <w:r w:rsidRPr="00994FB7">
        <w:rPr>
          <w:rFonts w:ascii="Arial" w:eastAsia="Book Antiqua" w:hAnsi="Arial" w:cs="Arial"/>
          <w:i/>
          <w:sz w:val="20"/>
        </w:rPr>
        <w:t>R v Radich</w:t>
      </w:r>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R v Williscroft</w:t>
      </w:r>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w:t>
      </w:r>
      <w:r>
        <w:rPr>
          <w:rFonts w:ascii="Arial" w:hAnsi="Arial" w:cs="Arial"/>
          <w:color w:val="000000"/>
          <w:sz w:val="20"/>
        </w:rPr>
        <w:lastRenderedPageBreak/>
        <w:t xml:space="preserve">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The law regards all human life as unique and sacred.  However, the life of an infant or a young child is especially precious, because children are so vulnerable and defenceless.  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abdominalaorta,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241A351" w:rsidR="00F217F4" w:rsidRDefault="00F217F4" w:rsidP="00460D86">
      <w:pPr>
        <w:rPr>
          <w:rFonts w:ascii="Arial" w:hAnsi="Arial" w:cs="Arial"/>
          <w:color w:val="000000"/>
          <w:sz w:val="20"/>
          <w:szCs w:val="20"/>
        </w:rPr>
      </w:pPr>
    </w:p>
    <w:p w14:paraId="1B232E46" w14:textId="5FAA4326" w:rsidR="005E7281" w:rsidRDefault="005E7281" w:rsidP="005E7281">
      <w:pPr>
        <w:jc w:val="both"/>
        <w:rPr>
          <w:rFonts w:ascii="Arial" w:hAnsi="Arial" w:cs="Arial"/>
          <w:color w:val="000000"/>
          <w:sz w:val="20"/>
          <w:szCs w:val="20"/>
        </w:rPr>
      </w:pPr>
      <w:r>
        <w:rPr>
          <w:rFonts w:ascii="Arial" w:hAnsi="Arial" w:cs="Arial"/>
          <w:color w:val="000000"/>
          <w:sz w:val="20"/>
          <w:szCs w:val="20"/>
        </w:rPr>
        <w:t xml:space="preserve">In </w:t>
      </w:r>
      <w:r w:rsidRPr="005E7281">
        <w:rPr>
          <w:rFonts w:ascii="Arial" w:hAnsi="Arial" w:cs="Arial"/>
          <w:i/>
          <w:iCs/>
          <w:color w:val="000000"/>
          <w:sz w:val="20"/>
          <w:szCs w:val="20"/>
        </w:rPr>
        <w:t>DPP v Nguyen</w:t>
      </w:r>
      <w:r>
        <w:rPr>
          <w:rFonts w:ascii="Arial" w:hAnsi="Arial" w:cs="Arial"/>
          <w:color w:val="000000"/>
          <w:sz w:val="20"/>
          <w:szCs w:val="20"/>
        </w:rPr>
        <w:t xml:space="preserve"> [2023] VSC 325 the accused had killed her 6m old son whilst also attempting suicide.  She was suffering severe postpartum depression at the time of the offending.  She had no prior criminal history, had displayed remorse and entered an early plea of guilty.  </w:t>
      </w:r>
      <w:r>
        <w:rPr>
          <w:rFonts w:ascii="Arial" w:hAnsi="Arial" w:cs="Arial"/>
          <w:sz w:val="20"/>
          <w:szCs w:val="20"/>
        </w:rPr>
        <w:t>A conviction was recorded and the accused was released on an adjourned undertaking for 3 years.</w:t>
      </w:r>
    </w:p>
    <w:p w14:paraId="7EC9B302" w14:textId="21DEEBF0" w:rsidR="005E7281" w:rsidRDefault="005E7281" w:rsidP="00460D86">
      <w:pPr>
        <w:rPr>
          <w:rFonts w:ascii="Arial" w:hAnsi="Arial" w:cs="Arial"/>
          <w:color w:val="000000"/>
          <w:sz w:val="20"/>
          <w:szCs w:val="20"/>
        </w:rPr>
      </w:pPr>
    </w:p>
    <w:p w14:paraId="7B067ED0" w14:textId="1BCEFDE8" w:rsidR="00AE11CF" w:rsidRDefault="00AE11CF" w:rsidP="00797002">
      <w:pPr>
        <w:jc w:val="both"/>
        <w:rPr>
          <w:rFonts w:ascii="Arial" w:hAnsi="Arial" w:cs="Arial"/>
          <w:color w:val="000000"/>
          <w:sz w:val="20"/>
          <w:szCs w:val="20"/>
        </w:rPr>
      </w:pPr>
      <w:r>
        <w:rPr>
          <w:rFonts w:ascii="Arial" w:hAnsi="Arial" w:cs="Arial"/>
          <w:color w:val="000000"/>
          <w:sz w:val="20"/>
          <w:szCs w:val="20"/>
        </w:rPr>
        <w:lastRenderedPageBreak/>
        <w:t xml:space="preserve">In </w:t>
      </w:r>
      <w:r w:rsidRPr="00AE11CF">
        <w:rPr>
          <w:rFonts w:ascii="Arial" w:hAnsi="Arial" w:cs="Arial"/>
          <w:i/>
          <w:iCs/>
          <w:color w:val="000000"/>
          <w:sz w:val="20"/>
          <w:szCs w:val="20"/>
        </w:rPr>
        <w:t>DPP v Pallant</w:t>
      </w:r>
      <w:r>
        <w:rPr>
          <w:rFonts w:ascii="Arial" w:hAnsi="Arial" w:cs="Arial"/>
          <w:color w:val="000000"/>
          <w:sz w:val="20"/>
          <w:szCs w:val="20"/>
        </w:rPr>
        <w:t xml:space="preserve"> [2024] VSC 397 the accused had been convicted after trial of the murder of the 2 year old child of the woman with whom he had been living.  He maintained his innocence and therefore disputed the jury verdict.  The Crown alleged two previous occasions on which the accused had assaulted the deceased child.  The accu</w:t>
      </w:r>
      <w:r w:rsidR="00797002">
        <w:rPr>
          <w:rFonts w:ascii="Arial" w:hAnsi="Arial" w:cs="Arial"/>
          <w:color w:val="000000"/>
          <w:sz w:val="20"/>
          <w:szCs w:val="20"/>
        </w:rPr>
        <w:t xml:space="preserve">sed </w:t>
      </w:r>
      <w:r>
        <w:rPr>
          <w:rFonts w:ascii="Arial" w:hAnsi="Arial" w:cs="Arial"/>
          <w:color w:val="000000"/>
          <w:sz w:val="20"/>
          <w:szCs w:val="20"/>
        </w:rPr>
        <w:t xml:space="preserve">had a relevant prior criminal history. </w:t>
      </w:r>
      <w:r w:rsidR="00797002">
        <w:rPr>
          <w:rFonts w:ascii="Arial" w:hAnsi="Arial" w:cs="Arial"/>
          <w:color w:val="000000"/>
          <w:sz w:val="20"/>
          <w:szCs w:val="20"/>
        </w:rPr>
        <w:t xml:space="preserve"> Jane Dixon J imposed a sentence of IMP32y/25y, in her judgment referring, </w:t>
      </w:r>
      <w:r w:rsidR="00797002" w:rsidRPr="00797002">
        <w:rPr>
          <w:rFonts w:ascii="Arial" w:hAnsi="Arial" w:cs="Arial"/>
          <w:i/>
          <w:iCs/>
          <w:color w:val="000000"/>
          <w:sz w:val="20"/>
          <w:szCs w:val="20"/>
        </w:rPr>
        <w:t>inter alia</w:t>
      </w:r>
      <w:r w:rsidR="00797002">
        <w:rPr>
          <w:rFonts w:ascii="Arial" w:hAnsi="Arial" w:cs="Arial"/>
          <w:color w:val="000000"/>
          <w:sz w:val="20"/>
          <w:szCs w:val="20"/>
        </w:rPr>
        <w:t xml:space="preserve">, to the issues of delay, </w:t>
      </w:r>
      <w:r w:rsidRPr="00AE11CF">
        <w:rPr>
          <w:rFonts w:ascii="Arial" w:hAnsi="Arial" w:cs="Arial"/>
          <w:color w:val="000000"/>
          <w:sz w:val="20"/>
          <w:szCs w:val="20"/>
        </w:rPr>
        <w:t>rehabilitation, just punishment, denunciation, general and specific deterrence and community protection</w:t>
      </w:r>
      <w:r w:rsidR="00797002">
        <w:rPr>
          <w:rFonts w:ascii="Arial" w:hAnsi="Arial" w:cs="Arial"/>
          <w:color w:val="000000"/>
          <w:sz w:val="20"/>
          <w:szCs w:val="20"/>
        </w:rPr>
        <w:t>.</w:t>
      </w:r>
    </w:p>
    <w:p w14:paraId="72372EF0" w14:textId="77777777" w:rsidR="00797002" w:rsidRDefault="00797002" w:rsidP="00797002">
      <w:pPr>
        <w:jc w:val="both"/>
        <w:rPr>
          <w:rFonts w:ascii="Arial" w:hAnsi="Arial" w:cs="Arial"/>
          <w:color w:val="000000"/>
          <w:sz w:val="20"/>
          <w:szCs w:val="20"/>
        </w:rPr>
      </w:pPr>
    </w:p>
    <w:p w14:paraId="6D0DB3FA" w14:textId="77777777" w:rsidR="006C0B26" w:rsidRPr="001C6E0E" w:rsidRDefault="00261BEA" w:rsidP="008175BC">
      <w:pPr>
        <w:pStyle w:val="Heading2"/>
        <w:keepNext/>
        <w:keepLines/>
        <w:widowControl/>
        <w:tabs>
          <w:tab w:val="left" w:pos="567"/>
        </w:tabs>
        <w:spacing w:line="240" w:lineRule="auto"/>
        <w:rPr>
          <w:rFonts w:ascii="Arial" w:hAnsi="Arial" w:cs="Arial"/>
          <w:b/>
          <w:bCs/>
          <w:color w:val="000000"/>
        </w:rPr>
      </w:pPr>
      <w:bookmarkStart w:id="1127" w:name="_11.16_Sentencing_for"/>
      <w:bookmarkEnd w:id="1127"/>
      <w:r w:rsidRPr="00102D2A">
        <w:rPr>
          <w:rFonts w:ascii="Arial" w:hAnsi="Arial" w:cs="Arial"/>
          <w:b/>
          <w:bCs/>
          <w:color w:val="000000"/>
        </w:rPr>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8175BC">
      <w:pPr>
        <w:keepNext/>
        <w:keepLines/>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 xml:space="preserve">DPP (Cth)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offending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241;  </w:t>
      </w:r>
      <w:r w:rsidRPr="00DB4CE7">
        <w:rPr>
          <w:rFonts w:ascii="Arial" w:eastAsia="Book Antiqua" w:hAnsi="Arial" w:cs="Arial"/>
          <w:i/>
          <w:sz w:val="20"/>
        </w:rPr>
        <w:t xml:space="preserve">Azzopardi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5E7281">
      <w:pPr>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 xml:space="preserve">y the sentencing judge in the </w:t>
      </w:r>
      <w:r>
        <w:rPr>
          <w:rFonts w:ascii="Arial" w:hAnsi="Arial" w:cs="Arial"/>
          <w:sz w:val="20"/>
        </w:rPr>
        <w:lastRenderedPageBreak/>
        <w:t xml:space="preserve">present case….The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Dodds-Streeton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R v Nutter</w:t>
      </w:r>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r w:rsidRPr="00436A78">
        <w:rPr>
          <w:rFonts w:ascii="Arial" w:eastAsia="Book Antiqua" w:hAnsi="Arial" w:cs="Arial"/>
          <w:i/>
          <w:sz w:val="18"/>
        </w:rPr>
        <w:t>Sherritt v The Queen</w:t>
      </w:r>
      <w:r w:rsidRPr="00436A78">
        <w:rPr>
          <w:rFonts w:ascii="Arial" w:hAnsi="Arial" w:cs="Arial"/>
          <w:sz w:val="18"/>
        </w:rPr>
        <w:t xml:space="preserve"> [2015] VSCA 1 [34]–[35]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128" w:name="_11.17_Sentencing_of"/>
      <w:bookmarkEnd w:id="1128"/>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work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129" w:name="_11.18_Relevance_of"/>
      <w:bookmarkEnd w:id="1129"/>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r w:rsidRPr="00A7433A">
        <w:rPr>
          <w:rFonts w:ascii="Arial" w:hAnsi="Arial" w:cs="Arial"/>
          <w:i/>
          <w:iCs/>
          <w:color w:val="000000"/>
          <w:sz w:val="20"/>
          <w:szCs w:val="20"/>
        </w:rPr>
        <w:t>Guden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r>
        <w:rPr>
          <w:rFonts w:ascii="Arial" w:hAnsi="Arial" w:cs="Arial"/>
          <w:i/>
          <w:color w:val="000000"/>
          <w:sz w:val="20"/>
        </w:rPr>
        <w:t>Allouch</w:t>
      </w:r>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a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disovered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Guden v The Queen</w:t>
      </w:r>
      <w:r w:rsidRPr="003A61E5">
        <w:rPr>
          <w:rFonts w:ascii="Arial" w:hAnsi="Arial" w:cs="Arial"/>
          <w:sz w:val="20"/>
        </w:rPr>
        <w:t xml:space="preserve"> (2010) 28 VR 288, </w:t>
      </w:r>
      <w:r w:rsidRPr="003A61E5">
        <w:rPr>
          <w:rFonts w:ascii="Arial" w:hAnsi="Arial" w:cs="Arial"/>
          <w:i/>
          <w:sz w:val="20"/>
        </w:rPr>
        <w:t>Konamala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 xml:space="preserve">it may be relevant to the hardship that will be felt by an offender, uncertain as to whether at the end of the sentence, he (and perhaps his </w:t>
      </w:r>
      <w:r w:rsidR="001651C1">
        <w:rPr>
          <w:rFonts w:ascii="Arial" w:hAnsi="Arial" w:cs="Arial"/>
          <w:sz w:val="20"/>
        </w:rPr>
        <w:lastRenderedPageBreak/>
        <w:t>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02715B00"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(Cth) (‘the Act’). That section, in combination with other subsections</w:t>
      </w:r>
      <w:r>
        <w:rPr>
          <w:rFonts w:ascii="Arial" w:hAnsi="Arial" w:cs="Arial"/>
          <w:sz w:val="20"/>
        </w:rPr>
        <w:t xml:space="preserve"> [s</w:t>
      </w:r>
      <w:r w:rsidR="00C85AE3">
        <w:rPr>
          <w:rFonts w:ascii="Arial" w:hAnsi="Arial" w:cs="Arial"/>
          <w:sz w:val="20"/>
        </w:rPr>
        <w:t>s.501(6)(a), 501(7)(c), 501CA],</w:t>
      </w:r>
      <w:r w:rsidRPr="001651C1">
        <w:rPr>
          <w:rFonts w:ascii="Arial" w:hAnsi="Arial" w:cs="Arial"/>
          <w:sz w:val="20"/>
        </w:rPr>
        <w:t>relevantly provides that a ‘non-citizen’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the accused to TES IMP7y/4y on charges of aggravated burglary of his ex partner’s home, intentionally causing serious injury to a male guest at her home, contravention of a family violence safety notice and commiting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 xml:space="preserve">“[M]ost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r w:rsidR="00B42A9E" w:rsidRPr="00B42A9E">
        <w:rPr>
          <w:rFonts w:ascii="Arial" w:eastAsia="Book Antiqua" w:hAnsi="Arial" w:cs="Arial"/>
          <w:i/>
          <w:sz w:val="20"/>
          <w:szCs w:val="20"/>
        </w:rPr>
        <w:t>Guden v The Queen</w:t>
      </w:r>
      <w:r w:rsidR="00B42A9E" w:rsidRPr="00B42A9E">
        <w:rPr>
          <w:rFonts w:ascii="Arial" w:hAnsi="Arial" w:cs="Arial"/>
          <w:sz w:val="20"/>
          <w:szCs w:val="20"/>
        </w:rPr>
        <w:t xml:space="preserve"> (2010) 28 VR 288, 294 [25] (Maxwell P, Bongiorno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 xml:space="preserve">imprisonment will have ‘both during the currency of the incarceration and </w:t>
      </w:r>
      <w:r w:rsidRPr="00B42A9E">
        <w:rPr>
          <w:rFonts w:ascii="Arial" w:eastAsia="Book Antiqua" w:hAnsi="Arial" w:cs="Arial"/>
          <w:sz w:val="20"/>
          <w:szCs w:val="20"/>
        </w:rPr>
        <w:lastRenderedPageBreak/>
        <w:t>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t>prohibited ‘speculation’</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r w:rsidRPr="009364A3">
        <w:rPr>
          <w:rFonts w:ascii="Arial" w:hAnsi="Arial" w:cs="Arial"/>
          <w:i/>
          <w:iCs/>
          <w:color w:val="000000"/>
          <w:sz w:val="20"/>
          <w:szCs w:val="20"/>
        </w:rPr>
        <w:t>Ater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r w:rsidR="005844CE" w:rsidRPr="005844CE">
        <w:rPr>
          <w:rFonts w:ascii="Arial" w:eastAsia="Book Antiqua" w:hAnsi="Arial" w:cs="Arial"/>
          <w:i/>
          <w:sz w:val="20"/>
          <w:szCs w:val="20"/>
        </w:rPr>
        <w:t>Allouch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r w:rsidR="005844CE" w:rsidRPr="005844CE">
        <w:rPr>
          <w:rFonts w:ascii="Arial" w:eastAsia="Book Antiqua" w:hAnsi="Arial" w:cs="Arial"/>
          <w:i/>
          <w:sz w:val="20"/>
          <w:szCs w:val="20"/>
        </w:rPr>
        <w:t>Konamala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6FF2C282" w:rsidR="00910068" w:rsidRDefault="00910068" w:rsidP="00872EE1">
      <w:pPr>
        <w:jc w:val="both"/>
        <w:rPr>
          <w:rFonts w:ascii="Arial" w:hAnsi="Arial" w:cs="Arial"/>
          <w:color w:val="000000"/>
          <w:sz w:val="20"/>
          <w:szCs w:val="20"/>
        </w:rPr>
      </w:pPr>
    </w:p>
    <w:p w14:paraId="4F1CE0AC" w14:textId="6122F08B" w:rsidR="000F7381" w:rsidRDefault="000F7381" w:rsidP="00872EE1">
      <w:pPr>
        <w:jc w:val="both"/>
        <w:rPr>
          <w:rFonts w:ascii="Arial" w:hAnsi="Arial" w:cs="Arial"/>
          <w:color w:val="000000"/>
          <w:sz w:val="20"/>
          <w:szCs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In imposing a sentence of IMP4y3m/2y10m, Fox J said at [43]-[44] in relation to the risk of deportation:</w:t>
      </w:r>
    </w:p>
    <w:p w14:paraId="76EA7D2A" w14:textId="77777777" w:rsidR="00BC425B" w:rsidRDefault="005E7281" w:rsidP="00BC425B">
      <w:pPr>
        <w:spacing w:before="60"/>
        <w:ind w:left="567" w:right="567"/>
        <w:jc w:val="both"/>
        <w:rPr>
          <w:rFonts w:ascii="Arial" w:hAnsi="Arial" w:cs="Arial"/>
          <w:sz w:val="20"/>
          <w:szCs w:val="20"/>
        </w:rPr>
      </w:pPr>
      <w:r>
        <w:rPr>
          <w:rFonts w:ascii="Arial" w:hAnsi="Arial" w:cs="Arial"/>
          <w:sz w:val="20"/>
          <w:szCs w:val="20"/>
        </w:rPr>
        <w:t xml:space="preserve">[43] </w:t>
      </w:r>
      <w:r w:rsidR="000F7381" w:rsidRPr="000F7381">
        <w:rPr>
          <w:rFonts w:ascii="Arial" w:hAnsi="Arial" w:cs="Arial"/>
          <w:sz w:val="20"/>
          <w:szCs w:val="20"/>
        </w:rPr>
        <w:t>“The prospect of deportation is a significant matter in your case. Your current visa remains valid, and I am prohibited from having regard to any possibility or likelihood that the length of your sentence will be affected by executive action of any kind</w:t>
      </w:r>
      <w:r>
        <w:rPr>
          <w:rFonts w:ascii="Arial" w:hAnsi="Arial" w:cs="Arial"/>
          <w:sz w:val="20"/>
          <w:szCs w:val="20"/>
        </w:rPr>
        <w:t xml:space="preserve">: </w:t>
      </w:r>
      <w:r w:rsidRPr="000F7381">
        <w:rPr>
          <w:rFonts w:ascii="Arial" w:hAnsi="Arial" w:cs="Arial"/>
          <w:sz w:val="20"/>
          <w:szCs w:val="20"/>
        </w:rPr>
        <w:t>Sentencing Act 1991 (Vic) s 5(2AA)(a).</w:t>
      </w:r>
      <w:r>
        <w:rPr>
          <w:rFonts w:ascii="Arial" w:hAnsi="Arial" w:cs="Arial"/>
          <w:sz w:val="20"/>
          <w:szCs w:val="20"/>
        </w:rPr>
        <w:t xml:space="preserve">  </w:t>
      </w:r>
      <w:r w:rsidR="000F7381" w:rsidRPr="000F7381">
        <w:rPr>
          <w:rFonts w:ascii="Arial" w:hAnsi="Arial" w:cs="Arial"/>
          <w:sz w:val="20"/>
          <w:szCs w:val="20"/>
        </w:rPr>
        <w:t xml:space="preserve">The parties agree that pursuant to s 501 of the Migration Act 1958 (Cth), if you are sentenced to a single sentence of more than 12 months, you will not pass the ‘character test’ and face mandatory cancellation of your visa. If that were to occur, you would then be almost certainly deported, unless you request revocation of that decision and your request is successful. In all the circumstances, given the sentence I will impose, I accept there is a real prospect you will be liable to deportation. As recently set out in </w:t>
      </w:r>
      <w:r w:rsidR="000F7381" w:rsidRPr="00BC425B">
        <w:rPr>
          <w:rFonts w:ascii="Arial" w:hAnsi="Arial" w:cs="Arial"/>
          <w:i/>
          <w:iCs/>
          <w:sz w:val="20"/>
          <w:szCs w:val="20"/>
        </w:rPr>
        <w:t>Hague v The Queen</w:t>
      </w:r>
      <w:r w:rsidR="00BC425B">
        <w:rPr>
          <w:rFonts w:ascii="Arial" w:hAnsi="Arial" w:cs="Arial"/>
          <w:sz w:val="20"/>
          <w:szCs w:val="20"/>
        </w:rPr>
        <w:t xml:space="preserve"> [2022] VSCA 17, [28]-[31] {see </w:t>
      </w:r>
      <w:r w:rsidR="00BC425B" w:rsidRPr="00BC425B">
        <w:rPr>
          <w:rFonts w:ascii="Arial" w:hAnsi="Arial" w:cs="Arial"/>
          <w:i/>
          <w:iCs/>
          <w:sz w:val="20"/>
          <w:szCs w:val="20"/>
        </w:rPr>
        <w:t>DPP v Karpis</w:t>
      </w:r>
      <w:r w:rsidR="00BC425B">
        <w:rPr>
          <w:rFonts w:ascii="Arial" w:hAnsi="Arial" w:cs="Arial"/>
          <w:sz w:val="20"/>
          <w:szCs w:val="20"/>
        </w:rPr>
        <w:t xml:space="preserve"> [2005] VSCA 119, [15] per Callaway JA}, </w:t>
      </w:r>
      <w:r w:rsidR="000F7381" w:rsidRPr="000F7381">
        <w:rPr>
          <w:rFonts w:ascii="Arial" w:hAnsi="Arial" w:cs="Arial"/>
          <w:sz w:val="20"/>
          <w:szCs w:val="20"/>
        </w:rPr>
        <w:t>the Court may consider the considerable chance you will be deported in a number of ways. First, the prospect of deportation is a form of extra-curial punishment. This is particularly so when your four young children live here, and if you are deported, there is a real chance you will lose the opportunity to have a meaningful relationship with them or play any real role in their lives. You have endured a great deal throughout your life, and are now nearly 50 years old. As a result of this offending, you may have lost your chance to settle in the only peaceful country you have ever known. Second, your time in custody will undoubtedly be more burdensome than it is for other prisoners, due to your anxiety about the prospect of future deportation. This is particularly acute in your case, given you are a non-citizen, and the Australian Government cannot deport a stateless person. Such a scenario could result in you languishing in immigration detention after your sentence expires, until you are granted a visa by another country. For these reasons, the prospect that you will not be able to remain in Australia constitutes substantial extra-curial punishment and meaningfully mitigates the sentence I would otherwise impose.</w:t>
      </w:r>
    </w:p>
    <w:p w14:paraId="6B750C7D" w14:textId="49EEEFC2" w:rsidR="000F7381" w:rsidRPr="005E7281" w:rsidRDefault="00BC425B" w:rsidP="00BC425B">
      <w:pPr>
        <w:spacing w:before="60"/>
        <w:ind w:left="567" w:right="567"/>
        <w:jc w:val="both"/>
        <w:rPr>
          <w:rFonts w:ascii="Arial" w:hAnsi="Arial" w:cs="Arial"/>
          <w:sz w:val="20"/>
          <w:szCs w:val="20"/>
        </w:rPr>
      </w:pPr>
      <w:r>
        <w:rPr>
          <w:rFonts w:ascii="Arial" w:hAnsi="Arial" w:cs="Arial"/>
          <w:sz w:val="20"/>
          <w:szCs w:val="20"/>
        </w:rPr>
        <w:t>[</w:t>
      </w:r>
      <w:r w:rsidR="000F7381" w:rsidRPr="000F7381">
        <w:rPr>
          <w:rFonts w:ascii="Arial" w:hAnsi="Arial" w:cs="Arial"/>
          <w:sz w:val="20"/>
          <w:szCs w:val="20"/>
        </w:rPr>
        <w:t>44</w:t>
      </w:r>
      <w:r>
        <w:rPr>
          <w:rFonts w:ascii="Arial" w:hAnsi="Arial" w:cs="Arial"/>
          <w:sz w:val="20"/>
          <w:szCs w:val="20"/>
        </w:rPr>
        <w:t>]</w:t>
      </w:r>
      <w:r w:rsidR="000F7381" w:rsidRPr="000F7381">
        <w:rPr>
          <w:rFonts w:ascii="Arial" w:hAnsi="Arial" w:cs="Arial"/>
          <w:sz w:val="20"/>
          <w:szCs w:val="20"/>
        </w:rPr>
        <w:t xml:space="preserve"> Your counsel also argued that if your visa is cancelled, it may reduce or eliminate your prospects of being granted parole, and in turn your concern about whether you will be granted parole will also add to your burden of imprisonment. In my view, in the circumstances here, that factor is of little weight for two reasons. First, a court fixes a </w:t>
      </w:r>
      <w:r w:rsidR="000F7381" w:rsidRPr="000F7381">
        <w:rPr>
          <w:rFonts w:ascii="Arial" w:hAnsi="Arial" w:cs="Arial"/>
          <w:sz w:val="20"/>
          <w:szCs w:val="20"/>
        </w:rPr>
        <w:lastRenderedPageBreak/>
        <w:t>head sentence on the assumption that a prisoner may serve every day of that sentence.</w:t>
      </w:r>
      <w:r>
        <w:rPr>
          <w:rFonts w:ascii="Arial" w:hAnsi="Arial" w:cs="Arial"/>
          <w:sz w:val="20"/>
          <w:szCs w:val="20"/>
        </w:rPr>
        <w:t xml:space="preserve">  In Hague v The Queen, the question of whether the applicant’s perception of his reduced parole prospects added to the burden of is incarceration arose.  Without deciding, the Court at [32] noted that the question was ‘subsumed by the other more prominent factors that add to the applicant’s custodial burden’.  </w:t>
      </w:r>
      <w:r w:rsidR="000F7381" w:rsidRPr="000F7381">
        <w:rPr>
          <w:rFonts w:ascii="Arial" w:hAnsi="Arial" w:cs="Arial"/>
          <w:sz w:val="20"/>
          <w:szCs w:val="20"/>
        </w:rPr>
        <w:t>Second, given the magnitude of the other matters that make the prospect of deportation additionally burdensome in your case, this additional factor is really subsumed by those other matters.</w:t>
      </w:r>
      <w:r>
        <w:rPr>
          <w:rFonts w:ascii="Arial" w:hAnsi="Arial" w:cs="Arial"/>
          <w:sz w:val="20"/>
          <w:szCs w:val="20"/>
        </w:rPr>
        <w:t>”</w:t>
      </w:r>
    </w:p>
    <w:p w14:paraId="4A88246F" w14:textId="77777777" w:rsidR="000F7381" w:rsidRDefault="000F7381" w:rsidP="00872EE1">
      <w:pPr>
        <w:jc w:val="both"/>
        <w:rPr>
          <w:rFonts w:ascii="Arial" w:hAnsi="Arial" w:cs="Arial"/>
          <w:color w:val="000000"/>
          <w:sz w:val="20"/>
          <w:szCs w:val="20"/>
        </w:rPr>
      </w:pPr>
    </w:p>
    <w:p w14:paraId="7B151BA6" w14:textId="060B513C" w:rsidR="006B356B" w:rsidRDefault="006B356B" w:rsidP="00872EE1">
      <w:pPr>
        <w:jc w:val="both"/>
        <w:rPr>
          <w:rFonts w:ascii="Arial" w:hAnsi="Arial" w:cs="Arial"/>
          <w:sz w:val="20"/>
          <w:szCs w:val="20"/>
        </w:rPr>
      </w:pPr>
      <w:r>
        <w:rPr>
          <w:rFonts w:ascii="Arial" w:hAnsi="Arial" w:cs="Arial"/>
          <w:color w:val="000000"/>
          <w:sz w:val="20"/>
          <w:szCs w:val="20"/>
        </w:rPr>
        <w:t xml:space="preserve">In </w:t>
      </w:r>
      <w:r w:rsidRPr="006B356B">
        <w:rPr>
          <w:rFonts w:ascii="Arial" w:hAnsi="Arial" w:cs="Arial"/>
          <w:i/>
          <w:iCs/>
          <w:color w:val="000000"/>
          <w:sz w:val="20"/>
          <w:szCs w:val="20"/>
        </w:rPr>
        <w:t>Tufue v The King</w:t>
      </w:r>
      <w:r>
        <w:rPr>
          <w:rFonts w:ascii="Arial" w:hAnsi="Arial" w:cs="Arial"/>
          <w:color w:val="000000"/>
          <w:sz w:val="20"/>
          <w:szCs w:val="20"/>
        </w:rPr>
        <w:t xml:space="preserve"> [2024] VSCA 22 the applicant had pleaded guilty to </w:t>
      </w:r>
      <w:r w:rsidRPr="006B356B">
        <w:rPr>
          <w:rFonts w:ascii="Arial" w:hAnsi="Arial" w:cs="Arial"/>
          <w:sz w:val="20"/>
          <w:szCs w:val="20"/>
        </w:rPr>
        <w:t>attempted aggravated burglary, intentionally damage property, recklessly cause injury, reckless conduct endanger</w:t>
      </w:r>
      <w:r>
        <w:rPr>
          <w:rFonts w:ascii="Arial" w:hAnsi="Arial" w:cs="Arial"/>
          <w:sz w:val="20"/>
          <w:szCs w:val="20"/>
        </w:rPr>
        <w:t>ing</w:t>
      </w:r>
      <w:r w:rsidRPr="006B356B">
        <w:rPr>
          <w:rFonts w:ascii="Arial" w:hAnsi="Arial" w:cs="Arial"/>
          <w:sz w:val="20"/>
          <w:szCs w:val="20"/>
        </w:rPr>
        <w:t xml:space="preserve"> serious injury and related summary offences </w:t>
      </w:r>
      <w:r>
        <w:rPr>
          <w:rFonts w:ascii="Arial" w:hAnsi="Arial" w:cs="Arial"/>
          <w:sz w:val="20"/>
          <w:szCs w:val="20"/>
        </w:rPr>
        <w:t>and had been sentenced to an aggregate IMP572d plus a 2y community correction order.  Holding that the sentencing judge had made an error in his approach to considering the risk of deportation, the Court of Appeal granted leave to appeal, allowed the appeal and resentenced the applicant to an aggregate IMP16m plus a 2y community correction order.  At [28]-[31] Beach &amp; Macaulay JJA said:</w:t>
      </w:r>
    </w:p>
    <w:p w14:paraId="7E8CA74C" w14:textId="36E440D8" w:rsidR="006B356B" w:rsidRDefault="006B356B" w:rsidP="006B356B">
      <w:pPr>
        <w:spacing w:before="60"/>
        <w:ind w:left="567" w:right="567"/>
        <w:jc w:val="both"/>
        <w:rPr>
          <w:rFonts w:ascii="Arial" w:hAnsi="Arial" w:cs="Arial"/>
          <w:sz w:val="20"/>
          <w:szCs w:val="20"/>
        </w:rPr>
      </w:pPr>
      <w:r>
        <w:rPr>
          <w:rFonts w:ascii="Arial" w:hAnsi="Arial" w:cs="Arial"/>
          <w:sz w:val="20"/>
          <w:szCs w:val="20"/>
        </w:rPr>
        <w:t>[28] “</w:t>
      </w:r>
      <w:r w:rsidRPr="006B356B">
        <w:rPr>
          <w:rFonts w:ascii="Arial" w:hAnsi="Arial" w:cs="Arial"/>
          <w:sz w:val="20"/>
          <w:szCs w:val="20"/>
        </w:rPr>
        <w:t xml:space="preserve">Sections 501(3A)(a)(i), (6)(a) and (7)(c) of the </w:t>
      </w:r>
      <w:r w:rsidRPr="006B356B">
        <w:rPr>
          <w:rFonts w:ascii="Arial" w:hAnsi="Arial" w:cs="Arial"/>
          <w:i/>
          <w:iCs/>
          <w:sz w:val="20"/>
          <w:szCs w:val="20"/>
        </w:rPr>
        <w:t>Migration Act</w:t>
      </w:r>
      <w:r w:rsidRPr="006B356B">
        <w:rPr>
          <w:rFonts w:ascii="Arial" w:hAnsi="Arial" w:cs="Arial"/>
          <w:sz w:val="20"/>
          <w:szCs w:val="20"/>
        </w:rPr>
        <w:t xml:space="preserve"> </w:t>
      </w:r>
      <w:r w:rsidRPr="006B356B">
        <w:rPr>
          <w:rFonts w:ascii="Arial" w:hAnsi="Arial" w:cs="Arial"/>
          <w:i/>
          <w:iCs/>
          <w:sz w:val="20"/>
          <w:szCs w:val="20"/>
        </w:rPr>
        <w:t xml:space="preserve">1958 </w:t>
      </w:r>
      <w:r>
        <w:rPr>
          <w:rFonts w:ascii="Arial" w:hAnsi="Arial" w:cs="Arial"/>
          <w:sz w:val="20"/>
          <w:szCs w:val="20"/>
        </w:rPr>
        <w:t xml:space="preserve">(Cth) </w:t>
      </w:r>
      <w:r w:rsidRPr="006B356B">
        <w:rPr>
          <w:rFonts w:ascii="Arial" w:hAnsi="Arial" w:cs="Arial"/>
          <w:sz w:val="20"/>
          <w:szCs w:val="20"/>
        </w:rPr>
        <w:t>together provide that the Minister must cancel a visa that has been granted to a person if that person does not pass the character test on the basis that they had been sentenced to a term of imprisonment of 12 months or more. Upon representations made to the Minister by the person whose visa has been cancelled, the Minister may revoke the cancellation</w:t>
      </w:r>
      <w:r>
        <w:rPr>
          <w:rFonts w:ascii="Arial" w:hAnsi="Arial" w:cs="Arial"/>
          <w:sz w:val="20"/>
          <w:szCs w:val="20"/>
        </w:rPr>
        <w:t xml:space="preserve">: s.501CA(4) </w:t>
      </w:r>
      <w:r w:rsidRPr="006B356B">
        <w:rPr>
          <w:rFonts w:ascii="Arial" w:hAnsi="Arial" w:cs="Arial"/>
          <w:i/>
          <w:iCs/>
          <w:sz w:val="20"/>
          <w:szCs w:val="20"/>
        </w:rPr>
        <w:t>Migration Act</w:t>
      </w:r>
      <w:r w:rsidRPr="006B356B">
        <w:rPr>
          <w:rFonts w:ascii="Arial" w:hAnsi="Arial" w:cs="Arial"/>
          <w:sz w:val="20"/>
          <w:szCs w:val="20"/>
        </w:rPr>
        <w:t>.</w:t>
      </w:r>
      <w:r>
        <w:rPr>
          <w:rFonts w:ascii="Arial" w:hAnsi="Arial" w:cs="Arial"/>
          <w:sz w:val="20"/>
          <w:szCs w:val="20"/>
        </w:rPr>
        <w:t xml:space="preserve"> </w:t>
      </w:r>
      <w:r w:rsidRPr="006B356B">
        <w:rPr>
          <w:rFonts w:ascii="Arial" w:hAnsi="Arial" w:cs="Arial"/>
          <w:sz w:val="20"/>
          <w:szCs w:val="20"/>
        </w:rPr>
        <w:t>If the Minister does not revoke the cancellation, the affected person may apply to the Administrative Appeals Tribunal for a review of that decision.</w:t>
      </w:r>
    </w:p>
    <w:p w14:paraId="0E7A12CC" w14:textId="6E8012CE" w:rsidR="006B356B" w:rsidRDefault="006B356B" w:rsidP="006B356B">
      <w:pPr>
        <w:spacing w:before="60"/>
        <w:ind w:left="567" w:right="567"/>
        <w:jc w:val="both"/>
        <w:rPr>
          <w:rFonts w:ascii="Arial" w:hAnsi="Arial" w:cs="Arial"/>
          <w:sz w:val="20"/>
          <w:szCs w:val="20"/>
        </w:rPr>
      </w:pPr>
      <w:r>
        <w:rPr>
          <w:rFonts w:ascii="Arial" w:hAnsi="Arial" w:cs="Arial"/>
          <w:sz w:val="20"/>
          <w:szCs w:val="20"/>
        </w:rPr>
        <w:t xml:space="preserve">[29] </w:t>
      </w:r>
      <w:r w:rsidRPr="006B356B">
        <w:rPr>
          <w:rFonts w:ascii="Arial" w:hAnsi="Arial" w:cs="Arial"/>
          <w:sz w:val="20"/>
          <w:szCs w:val="20"/>
        </w:rPr>
        <w:t xml:space="preserve">When sentencing an offender who is not an Australian citizen but the holder of a visa issued under the </w:t>
      </w:r>
      <w:r w:rsidRPr="006B356B">
        <w:rPr>
          <w:rFonts w:ascii="Arial" w:hAnsi="Arial" w:cs="Arial"/>
          <w:i/>
          <w:iCs/>
          <w:sz w:val="20"/>
          <w:szCs w:val="20"/>
        </w:rPr>
        <w:t>Migration Act</w:t>
      </w:r>
      <w:r w:rsidRPr="006B356B">
        <w:rPr>
          <w:rFonts w:ascii="Arial" w:hAnsi="Arial" w:cs="Arial"/>
          <w:sz w:val="20"/>
          <w:szCs w:val="20"/>
        </w:rPr>
        <w:t>, the court may take into account the prospect of deportation following the sentence as a relevant sentencing factor in two ways: first, that the expectation of being deported following release may mean the burden of imprisonment will be greater for that person than for someone who faces no such risk; and secondly, in an appropriate case, it will be proper to take into account the fact that a sentence of imprisonment will result in the offender losing the opportunity of settling permanently in Australia</w:t>
      </w:r>
      <w:r>
        <w:rPr>
          <w:rFonts w:ascii="Arial" w:hAnsi="Arial" w:cs="Arial"/>
          <w:sz w:val="20"/>
          <w:szCs w:val="20"/>
        </w:rPr>
        <w:t xml:space="preserve">: </w:t>
      </w:r>
      <w:r w:rsidRPr="006B356B">
        <w:rPr>
          <w:rFonts w:ascii="Arial" w:hAnsi="Arial" w:cs="Arial"/>
          <w:i/>
          <w:iCs/>
          <w:sz w:val="20"/>
          <w:szCs w:val="20"/>
        </w:rPr>
        <w:t>Guden</w:t>
      </w:r>
      <w:r w:rsidRPr="006B356B">
        <w:rPr>
          <w:rFonts w:ascii="Arial" w:hAnsi="Arial" w:cs="Arial"/>
          <w:sz w:val="20"/>
          <w:szCs w:val="20"/>
        </w:rPr>
        <w:t xml:space="preserve"> (2010) 28 VR 288, 295 [27]</w:t>
      </w:r>
      <w:r>
        <w:rPr>
          <w:rFonts w:ascii="Arial" w:hAnsi="Arial" w:cs="Arial"/>
          <w:sz w:val="20"/>
          <w:szCs w:val="20"/>
        </w:rPr>
        <w:t xml:space="preserve">; </w:t>
      </w:r>
      <w:r w:rsidRPr="006B356B">
        <w:rPr>
          <w:rFonts w:ascii="Arial" w:hAnsi="Arial" w:cs="Arial"/>
          <w:sz w:val="20"/>
          <w:szCs w:val="20"/>
        </w:rPr>
        <w:t>[2010] VSCA 196. A</w:t>
      </w:r>
      <w:r>
        <w:rPr>
          <w:rFonts w:ascii="Arial" w:hAnsi="Arial" w:cs="Arial"/>
          <w:sz w:val="20"/>
          <w:szCs w:val="20"/>
        </w:rPr>
        <w:t> </w:t>
      </w:r>
      <w:r w:rsidRPr="006B356B">
        <w:rPr>
          <w:rFonts w:ascii="Arial" w:hAnsi="Arial" w:cs="Arial"/>
          <w:sz w:val="20"/>
          <w:szCs w:val="20"/>
        </w:rPr>
        <w:t>sentencing court should not speculate as to the risk of deportation or its impact; evidence is required to permit a sensible quantification of the risk</w:t>
      </w:r>
      <w:r>
        <w:rPr>
          <w:rFonts w:ascii="Arial" w:hAnsi="Arial" w:cs="Arial"/>
          <w:sz w:val="20"/>
          <w:szCs w:val="20"/>
        </w:rPr>
        <w:t xml:space="preserve">: </w:t>
      </w:r>
      <w:r w:rsidR="0021033A" w:rsidRPr="0021033A">
        <w:rPr>
          <w:rFonts w:ascii="Arial" w:hAnsi="Arial" w:cs="Arial"/>
          <w:i/>
          <w:iCs/>
          <w:sz w:val="20"/>
          <w:szCs w:val="20"/>
        </w:rPr>
        <w:t>Guden</w:t>
      </w:r>
      <w:r w:rsidR="0021033A" w:rsidRPr="006B356B">
        <w:rPr>
          <w:rFonts w:ascii="Arial" w:hAnsi="Arial" w:cs="Arial"/>
          <w:sz w:val="20"/>
          <w:szCs w:val="20"/>
        </w:rPr>
        <w:t xml:space="preserve"> (2010) 28 VR 288, 295 [29]</w:t>
      </w:r>
      <w:r w:rsidR="0021033A">
        <w:rPr>
          <w:rFonts w:ascii="Arial" w:hAnsi="Arial" w:cs="Arial"/>
          <w:sz w:val="20"/>
          <w:szCs w:val="20"/>
        </w:rPr>
        <w:t>.</w:t>
      </w:r>
    </w:p>
    <w:p w14:paraId="3B9FCE6B" w14:textId="18A2A4D2" w:rsid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[30] </w:t>
      </w:r>
      <w:r w:rsidRPr="006B356B">
        <w:rPr>
          <w:rFonts w:ascii="Arial" w:hAnsi="Arial" w:cs="Arial"/>
          <w:sz w:val="20"/>
          <w:szCs w:val="20"/>
        </w:rPr>
        <w:t xml:space="preserve">Further, it has been held on a number of occasions that it is erroneous for a sentencing court to artificially lower a sentence to avoid the consequences of the </w:t>
      </w:r>
      <w:r w:rsidRPr="0021033A">
        <w:rPr>
          <w:rFonts w:ascii="Arial" w:hAnsi="Arial" w:cs="Arial"/>
          <w:i/>
          <w:iCs/>
          <w:sz w:val="20"/>
          <w:szCs w:val="20"/>
        </w:rPr>
        <w:t>Migration Act</w:t>
      </w:r>
      <w:r>
        <w:rPr>
          <w:rFonts w:ascii="Arial" w:hAnsi="Arial" w:cs="Arial"/>
          <w:sz w:val="20"/>
          <w:szCs w:val="20"/>
        </w:rPr>
        <w:t xml:space="preserve">: </w:t>
      </w:r>
      <w:r w:rsidRPr="0021033A">
        <w:rPr>
          <w:rFonts w:ascii="Arial" w:hAnsi="Arial" w:cs="Arial"/>
          <w:i/>
          <w:iCs/>
          <w:sz w:val="20"/>
          <w:szCs w:val="20"/>
        </w:rPr>
        <w:t>Loftus v The Queen</w:t>
      </w:r>
      <w:r w:rsidRPr="0021033A">
        <w:rPr>
          <w:rFonts w:ascii="Arial" w:hAnsi="Arial" w:cs="Arial"/>
          <w:sz w:val="20"/>
          <w:szCs w:val="20"/>
        </w:rPr>
        <w:t xml:space="preserve"> [2019] VSCA 24, [81]; </w:t>
      </w:r>
      <w:r w:rsidRPr="0021033A">
        <w:rPr>
          <w:rFonts w:ascii="Arial" w:hAnsi="Arial" w:cs="Arial"/>
          <w:i/>
          <w:iCs/>
          <w:sz w:val="20"/>
          <w:szCs w:val="20"/>
        </w:rPr>
        <w:t>Matamata v The Queen</w:t>
      </w:r>
      <w:r w:rsidRPr="0021033A">
        <w:rPr>
          <w:rFonts w:ascii="Arial" w:hAnsi="Arial" w:cs="Arial"/>
          <w:sz w:val="20"/>
          <w:szCs w:val="20"/>
        </w:rPr>
        <w:t xml:space="preserve"> [2021] VSCA 253, [75]; </w:t>
      </w:r>
      <w:r w:rsidRPr="0021033A">
        <w:rPr>
          <w:rFonts w:ascii="Arial" w:hAnsi="Arial" w:cs="Arial"/>
          <w:i/>
          <w:iCs/>
          <w:sz w:val="20"/>
          <w:szCs w:val="20"/>
        </w:rPr>
        <w:t>Tuare v The King</w:t>
      </w:r>
      <w:r w:rsidRPr="0021033A">
        <w:rPr>
          <w:rFonts w:ascii="Arial" w:hAnsi="Arial" w:cs="Arial"/>
          <w:sz w:val="20"/>
          <w:szCs w:val="20"/>
        </w:rPr>
        <w:t xml:space="preserve"> [2023] VSCA 303, [79].</w:t>
      </w:r>
    </w:p>
    <w:p w14:paraId="4FC90618" w14:textId="0B4BE62E" w:rsidR="0021033A" w:rsidRP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[31] </w:t>
      </w:r>
      <w:r w:rsidRPr="006B356B">
        <w:rPr>
          <w:rFonts w:ascii="Arial" w:hAnsi="Arial" w:cs="Arial"/>
          <w:sz w:val="20"/>
          <w:szCs w:val="20"/>
        </w:rPr>
        <w:t xml:space="preserve">In addition, and regardless of any consideration of the risk of deportation, the calculation of pre-sentence detention has no bearing on the determination of the appropriate sentence. </w:t>
      </w:r>
      <w:r>
        <w:rPr>
          <w:rFonts w:ascii="Arial" w:hAnsi="Arial" w:cs="Arial"/>
          <w:sz w:val="20"/>
          <w:szCs w:val="20"/>
        </w:rPr>
        <w:t xml:space="preserve"> </w:t>
      </w:r>
      <w:r w:rsidRPr="006B356B">
        <w:rPr>
          <w:rFonts w:ascii="Arial" w:hAnsi="Arial" w:cs="Arial"/>
          <w:sz w:val="20"/>
          <w:szCs w:val="20"/>
        </w:rPr>
        <w:t xml:space="preserve">As this Court explained in </w:t>
      </w:r>
      <w:r w:rsidRPr="0021033A">
        <w:rPr>
          <w:rFonts w:ascii="Arial" w:hAnsi="Arial" w:cs="Arial"/>
          <w:i/>
          <w:iCs/>
          <w:sz w:val="20"/>
          <w:szCs w:val="20"/>
        </w:rPr>
        <w:t>DPP v T</w:t>
      </w:r>
      <w:r w:rsidR="00C046ED">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6803AE5D" w14:textId="48D970F1" w:rsidR="0021033A" w:rsidRDefault="0021033A" w:rsidP="0021033A">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23685F48" w14:textId="4ABF9E2B" w:rsidR="0021033A" w:rsidRDefault="0021033A" w:rsidP="006B356B">
      <w:pPr>
        <w:spacing w:before="60"/>
        <w:ind w:left="567" w:right="567"/>
        <w:jc w:val="both"/>
        <w:rPr>
          <w:rFonts w:ascii="Arial" w:hAnsi="Arial" w:cs="Arial"/>
          <w:i/>
          <w:iCs/>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5FA0F6C0" w14:textId="6EA0DA99" w:rsidR="0021033A" w:rsidRDefault="0021033A" w:rsidP="0021033A">
      <w:pPr>
        <w:jc w:val="both"/>
        <w:rPr>
          <w:rFonts w:ascii="Arial" w:hAnsi="Arial" w:cs="Arial"/>
          <w:sz w:val="20"/>
          <w:szCs w:val="20"/>
        </w:rPr>
      </w:pPr>
    </w:p>
    <w:p w14:paraId="7B9B419A" w14:textId="77AF5745"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r w:rsidR="00E7356D" w:rsidRPr="00E7356D">
        <w:rPr>
          <w:rFonts w:ascii="Arial" w:hAnsi="Arial" w:cs="Arial"/>
          <w:i/>
          <w:iCs/>
          <w:color w:val="000000"/>
          <w:sz w:val="20"/>
          <w:szCs w:val="20"/>
        </w:rPr>
        <w:t>Magedi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R v Shoma</w:t>
      </w:r>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r w:rsidR="00B178EF" w:rsidRPr="00B178EF">
        <w:rPr>
          <w:rFonts w:ascii="Arial" w:hAnsi="Arial" w:cs="Arial"/>
          <w:i/>
          <w:color w:val="000000"/>
          <w:sz w:val="20"/>
          <w:szCs w:val="20"/>
        </w:rPr>
        <w:t>Akot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DPP v Jayadev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R v Tafa</w:t>
      </w:r>
      <w:r w:rsidR="00F810BC">
        <w:rPr>
          <w:rFonts w:ascii="Arial" w:hAnsi="Arial" w:cs="Arial"/>
          <w:color w:val="000000"/>
          <w:sz w:val="20"/>
        </w:rPr>
        <w:t xml:space="preserve"> [2022] VSC 466 at [57]-[58]</w:t>
      </w:r>
      <w:r w:rsidR="003800FC">
        <w:rPr>
          <w:rFonts w:ascii="Arial" w:hAnsi="Arial" w:cs="Arial"/>
          <w:color w:val="000000"/>
          <w:sz w:val="20"/>
        </w:rPr>
        <w:t xml:space="preserve">; </w:t>
      </w:r>
      <w:r w:rsidR="003800FC" w:rsidRPr="003800FC">
        <w:rPr>
          <w:rFonts w:ascii="Arial" w:hAnsi="Arial" w:cs="Arial"/>
          <w:i/>
          <w:iCs/>
          <w:color w:val="000000"/>
          <w:sz w:val="20"/>
        </w:rPr>
        <w:t>Ong v The King</w:t>
      </w:r>
      <w:r w:rsidR="003800FC">
        <w:rPr>
          <w:rFonts w:ascii="Arial" w:hAnsi="Arial" w:cs="Arial"/>
          <w:color w:val="000000"/>
          <w:sz w:val="20"/>
        </w:rPr>
        <w:t xml:space="preserve"> [2023] VSCA </w:t>
      </w:r>
      <w:r w:rsidR="00CB1508">
        <w:rPr>
          <w:rFonts w:ascii="Arial" w:hAnsi="Arial" w:cs="Arial"/>
          <w:color w:val="000000"/>
          <w:sz w:val="20"/>
        </w:rPr>
        <w:t>116 at [</w:t>
      </w:r>
      <w:r w:rsidR="00E42515">
        <w:rPr>
          <w:rFonts w:ascii="Arial" w:hAnsi="Arial" w:cs="Arial"/>
          <w:color w:val="000000"/>
          <w:sz w:val="20"/>
        </w:rPr>
        <w:t>35</w:t>
      </w:r>
      <w:r w:rsidR="00CB1508">
        <w:rPr>
          <w:rFonts w:ascii="Arial" w:hAnsi="Arial" w:cs="Arial"/>
          <w:color w:val="000000"/>
          <w:sz w:val="20"/>
        </w:rPr>
        <w:t>]-[</w:t>
      </w:r>
      <w:r w:rsidR="00E42515">
        <w:rPr>
          <w:rFonts w:ascii="Arial" w:hAnsi="Arial" w:cs="Arial"/>
          <w:color w:val="000000"/>
          <w:sz w:val="20"/>
        </w:rPr>
        <w:t>58</w:t>
      </w:r>
      <w:r w:rsidR="00CB1508">
        <w:rPr>
          <w:rFonts w:ascii="Arial" w:hAnsi="Arial" w:cs="Arial"/>
          <w:color w:val="000000"/>
          <w:sz w:val="20"/>
        </w:rPr>
        <w:t>]</w:t>
      </w:r>
      <w:r w:rsidR="00EB54D8">
        <w:rPr>
          <w:rFonts w:ascii="Arial" w:hAnsi="Arial" w:cs="Arial"/>
          <w:color w:val="000000"/>
          <w:sz w:val="20"/>
        </w:rPr>
        <w:t xml:space="preserve">; </w:t>
      </w:r>
      <w:r w:rsidR="00EB54D8" w:rsidRPr="00EB54D8">
        <w:rPr>
          <w:rFonts w:ascii="Arial" w:hAnsi="Arial" w:cs="Arial"/>
          <w:i/>
          <w:iCs/>
          <w:color w:val="000000"/>
          <w:sz w:val="20"/>
        </w:rPr>
        <w:t>Varghese v The King</w:t>
      </w:r>
      <w:r w:rsidR="00EB54D8">
        <w:rPr>
          <w:rFonts w:ascii="Arial" w:hAnsi="Arial" w:cs="Arial"/>
          <w:color w:val="000000"/>
          <w:sz w:val="20"/>
        </w:rPr>
        <w:t xml:space="preserve"> [2024] VSCA 115 at [70]</w:t>
      </w:r>
      <w:r w:rsidR="00AB39A0">
        <w:rPr>
          <w:rFonts w:ascii="Arial" w:hAnsi="Arial" w:cs="Arial"/>
          <w:color w:val="000000"/>
          <w:sz w:val="20"/>
        </w:rPr>
        <w:t>.</w:t>
      </w:r>
    </w:p>
    <w:p w14:paraId="0E30BA98" w14:textId="1CB3F378"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r w:rsidRPr="00102D2A">
        <w:rPr>
          <w:rFonts w:ascii="Arial" w:hAnsi="Arial" w:cs="Arial"/>
          <w:i/>
          <w:color w:val="000000"/>
          <w:sz w:val="20"/>
          <w:szCs w:val="20"/>
        </w:rPr>
        <w:t>Guden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R v Strestha</w:t>
      </w:r>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 xml:space="preserve">Shrestha v The </w:t>
      </w:r>
      <w:r w:rsidRPr="00102D2A">
        <w:rPr>
          <w:rFonts w:ascii="Arial" w:hAnsi="Arial" w:cs="Arial"/>
          <w:i/>
          <w:color w:val="000000"/>
          <w:sz w:val="20"/>
        </w:rPr>
        <w:lastRenderedPageBreak/>
        <w:t>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130" w:name="_11.19_The_‘standard"/>
      <w:bookmarkEnd w:id="1130"/>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Legislative Assembly, 25 May 2017, 1509 (Mr Martin Pakula,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lastRenderedPageBreak/>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r w:rsidRPr="00A253A6">
        <w:rPr>
          <w:rFonts w:ascii="Arial" w:eastAsia="Book Antiqua" w:hAnsi="Arial" w:cs="Arial"/>
          <w:i/>
          <w:sz w:val="20"/>
          <w:szCs w:val="20"/>
        </w:rPr>
        <w:t>Muldrock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and is to be understood as but one factor 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‘twostage’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44620761" w14:textId="61A05041" w:rsidR="00892B6F" w:rsidRDefault="00892B6F" w:rsidP="00892B6F">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had pleaded guilty to the stabbing murder of a 23 year old victim following breaking into the victim’s home in the context of an obsessive fixation on the victim </w:t>
      </w:r>
      <w:r>
        <w:rPr>
          <w:rFonts w:ascii="Arial" w:hAnsi="Arial" w:cs="Arial"/>
          <w:color w:val="000000"/>
          <w:sz w:val="20"/>
        </w:rPr>
        <w:lastRenderedPageBreak/>
        <w:t>who was the offender’s team leader at his previous workplace.  In imposing a sentence of IMP36y/30y Jane Dixon J said at [105]-[106]:</w:t>
      </w:r>
    </w:p>
    <w:p w14:paraId="4512C061" w14:textId="4C0EB6CD" w:rsidR="00892B6F" w:rsidRDefault="00892B6F" w:rsidP="00892B6F">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105</w:t>
      </w:r>
      <w:r>
        <w:rPr>
          <w:rFonts w:ascii="Arial" w:hAnsi="Arial" w:cs="Arial"/>
          <w:sz w:val="20"/>
          <w:szCs w:val="20"/>
        </w:rPr>
        <w:t>]</w:t>
      </w:r>
      <w:r w:rsidRPr="00977CC8">
        <w:rPr>
          <w:rFonts w:ascii="Arial" w:hAnsi="Arial" w:cs="Arial"/>
          <w:sz w:val="20"/>
          <w:szCs w:val="20"/>
        </w:rPr>
        <w:t xml:space="preserve"> </w:t>
      </w:r>
      <w:r>
        <w:rPr>
          <w:rFonts w:ascii="Arial" w:hAnsi="Arial" w:cs="Arial"/>
          <w:sz w:val="20"/>
          <w:szCs w:val="20"/>
        </w:rPr>
        <w:t>“</w:t>
      </w:r>
      <w:r w:rsidRPr="00977CC8">
        <w:rPr>
          <w:rFonts w:ascii="Arial" w:hAnsi="Arial" w:cs="Arial"/>
          <w:sz w:val="20"/>
          <w:szCs w:val="20"/>
        </w:rPr>
        <w:t>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As noted by Hollingworth J in </w:t>
      </w:r>
      <w:r w:rsidRPr="0082709A">
        <w:rPr>
          <w:rFonts w:ascii="Arial" w:hAnsi="Arial" w:cs="Arial"/>
          <w:i/>
          <w:iCs/>
          <w:sz w:val="20"/>
          <w:szCs w:val="20"/>
        </w:rPr>
        <w:t>Herrmann</w:t>
      </w:r>
      <w:r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Pr="00977CC8">
        <w:rPr>
          <w:rFonts w:ascii="Arial" w:hAnsi="Arial" w:cs="Arial"/>
          <w:sz w:val="20"/>
          <w:szCs w:val="20"/>
        </w:rPr>
        <w:t>. Justice Hollingworth said</w:t>
      </w:r>
      <w:r>
        <w:rPr>
          <w:rFonts w:ascii="Arial" w:hAnsi="Arial" w:cs="Arial"/>
          <w:sz w:val="20"/>
          <w:szCs w:val="20"/>
        </w:rPr>
        <w:t xml:space="preserve"> at [104]</w:t>
      </w:r>
      <w:r w:rsidRPr="00977CC8">
        <w:rPr>
          <w:rFonts w:ascii="Arial" w:hAnsi="Arial" w:cs="Arial"/>
          <w:sz w:val="20"/>
          <w:szCs w:val="20"/>
        </w:rPr>
        <w:t>:</w:t>
      </w:r>
    </w:p>
    <w:p w14:paraId="7B6B1D74" w14:textId="77777777" w:rsidR="00892B6F" w:rsidRPr="0082709A" w:rsidRDefault="00892B6F" w:rsidP="00892B6F">
      <w:pPr>
        <w:spacing w:before="60"/>
        <w:ind w:left="1021" w:right="1021"/>
        <w:jc w:val="both"/>
        <w:rPr>
          <w:rFonts w:ascii="Arial" w:hAnsi="Arial" w:cs="Arial"/>
          <w:sz w:val="18"/>
          <w:szCs w:val="18"/>
        </w:rPr>
      </w:pPr>
      <w:r w:rsidRPr="0082709A">
        <w:rPr>
          <w:rFonts w:ascii="Arial" w:hAnsi="Arial" w:cs="Arial"/>
          <w:sz w:val="18"/>
          <w:szCs w:val="18"/>
        </w:rPr>
        <w:t>‘A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method of sentencing.</w:t>
      </w:r>
      <w:r>
        <w:rPr>
          <w:rFonts w:ascii="Arial" w:hAnsi="Arial" w:cs="Arial"/>
          <w:sz w:val="18"/>
          <w:szCs w:val="18"/>
        </w:rPr>
        <w:t>’</w:t>
      </w:r>
    </w:p>
    <w:p w14:paraId="3A417FD2" w14:textId="53F62EA8" w:rsidR="00892B6F" w:rsidRDefault="00892B6F" w:rsidP="00892B6F">
      <w:pPr>
        <w:spacing w:before="60"/>
        <w:ind w:left="567" w:right="567"/>
        <w:jc w:val="both"/>
        <w:rPr>
          <w:rFonts w:ascii="Arial" w:hAnsi="Arial" w:cs="Arial"/>
          <w:sz w:val="20"/>
          <w:szCs w:val="20"/>
        </w:rPr>
      </w:pPr>
      <w:r>
        <w:rPr>
          <w:rFonts w:ascii="Arial" w:hAnsi="Arial" w:cs="Arial"/>
          <w:sz w:val="20"/>
          <w:szCs w:val="20"/>
        </w:rPr>
        <w:t xml:space="preserve">[106] </w:t>
      </w:r>
      <w:r w:rsidRPr="00977CC8">
        <w:rPr>
          <w:rFonts w:ascii="Arial" w:hAnsi="Arial" w:cs="Arial"/>
          <w:sz w:val="20"/>
          <w:szCs w:val="20"/>
        </w:rPr>
        <w:t>In my view, the objective factors attaching to your offence place it well above the ‘middle of the range’ of seriousness. However, in sentencing you, I am required to synthesise all of the matters I have discussed, including matters personal to you.</w:t>
      </w:r>
      <w:r>
        <w:rPr>
          <w:rFonts w:ascii="Arial" w:hAnsi="Arial" w:cs="Arial"/>
          <w:sz w:val="20"/>
          <w:szCs w:val="20"/>
        </w:rPr>
        <w:t>”</w:t>
      </w:r>
    </w:p>
    <w:p w14:paraId="5886C3CF" w14:textId="77777777" w:rsidR="00892B6F" w:rsidRDefault="00892B6F" w:rsidP="004409C5">
      <w:pPr>
        <w:jc w:val="both"/>
        <w:rPr>
          <w:rFonts w:ascii="Arial" w:hAnsi="Arial" w:cs="Arial"/>
          <w:color w:val="000000"/>
          <w:sz w:val="20"/>
        </w:rPr>
      </w:pPr>
    </w:p>
    <w:p w14:paraId="4A138312" w14:textId="4021C56F"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R v Pozzebon</w:t>
      </w:r>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r w:rsidR="008074D1" w:rsidRPr="008074D1">
        <w:rPr>
          <w:rFonts w:ascii="Arial" w:hAnsi="Arial" w:cs="Arial"/>
          <w:i/>
          <w:iCs/>
          <w:color w:val="000000"/>
          <w:sz w:val="20"/>
        </w:rPr>
        <w:t>Phongthaihong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R v Wilio</w:t>
      </w:r>
      <w:r w:rsidR="001D3FDB">
        <w:rPr>
          <w:rFonts w:ascii="Arial" w:hAnsi="Arial" w:cs="Arial"/>
          <w:color w:val="000000"/>
          <w:sz w:val="20"/>
        </w:rPr>
        <w:t xml:space="preserve"> [2022] VSC 86 at [93]-[100]</w:t>
      </w:r>
      <w:r w:rsidR="008A63C6">
        <w:rPr>
          <w:rFonts w:ascii="Arial" w:hAnsi="Arial" w:cs="Arial"/>
          <w:color w:val="000000"/>
          <w:sz w:val="20"/>
        </w:rPr>
        <w:t xml:space="preserve"> – leave to appeal refused </w:t>
      </w:r>
      <w:r w:rsidR="008A63C6" w:rsidRPr="008A63C6">
        <w:rPr>
          <w:rFonts w:ascii="Arial" w:hAnsi="Arial" w:cs="Arial"/>
          <w:i/>
          <w:iCs/>
          <w:color w:val="000000"/>
          <w:sz w:val="20"/>
        </w:rPr>
        <w:t>Wilio v The King</w:t>
      </w:r>
      <w:r w:rsidR="008A63C6">
        <w:rPr>
          <w:rFonts w:ascii="Arial" w:hAnsi="Arial" w:cs="Arial"/>
          <w:color w:val="000000"/>
          <w:sz w:val="20"/>
        </w:rPr>
        <w:t xml:space="preserve"> [2023] VSCA 88 at [93]-[98]</w:t>
      </w:r>
      <w:r w:rsidR="00CC6947">
        <w:rPr>
          <w:rFonts w:ascii="Arial" w:hAnsi="Arial" w:cs="Arial"/>
          <w:color w:val="000000"/>
          <w:sz w:val="20"/>
        </w:rPr>
        <w:t xml:space="preserve">; </w:t>
      </w:r>
      <w:r w:rsidR="00CC6947" w:rsidRPr="00CC6947">
        <w:rPr>
          <w:rFonts w:ascii="Arial" w:hAnsi="Arial" w:cs="Arial"/>
          <w:i/>
          <w:iCs/>
          <w:color w:val="000000"/>
          <w:sz w:val="20"/>
        </w:rPr>
        <w:t>Weir (a pseudonym) v The King</w:t>
      </w:r>
      <w:r w:rsidR="00CC6947">
        <w:rPr>
          <w:rFonts w:ascii="Arial" w:hAnsi="Arial" w:cs="Arial"/>
          <w:color w:val="000000"/>
          <w:sz w:val="20"/>
        </w:rPr>
        <w:t xml:space="preserve"> [2023] VSCA 113 at [26]-[27]</w:t>
      </w:r>
      <w:r w:rsidR="00256B7A">
        <w:rPr>
          <w:rFonts w:ascii="Arial" w:hAnsi="Arial" w:cs="Arial"/>
          <w:color w:val="000000"/>
          <w:sz w:val="20"/>
        </w:rPr>
        <w:t xml:space="preserve">; </w:t>
      </w:r>
      <w:r w:rsidR="00256B7A" w:rsidRPr="006E461B">
        <w:rPr>
          <w:rFonts w:ascii="Arial" w:hAnsi="Arial" w:cs="Arial"/>
          <w:i/>
          <w:iCs/>
          <w:color w:val="000000"/>
          <w:sz w:val="20"/>
        </w:rPr>
        <w:t>Nelis v The King</w:t>
      </w:r>
      <w:r w:rsidR="00256B7A">
        <w:rPr>
          <w:rFonts w:ascii="Arial" w:hAnsi="Arial" w:cs="Arial"/>
          <w:color w:val="000000"/>
          <w:sz w:val="20"/>
        </w:rPr>
        <w:t xml:space="preserve"> [2023] VSCA 128 at [18]-[27]</w:t>
      </w:r>
      <w:r w:rsidR="00797002">
        <w:rPr>
          <w:rFonts w:ascii="Arial" w:hAnsi="Arial" w:cs="Arial"/>
          <w:color w:val="000000"/>
          <w:sz w:val="20"/>
        </w:rPr>
        <w:t xml:space="preserve">; </w:t>
      </w:r>
      <w:r w:rsidR="00797002" w:rsidRPr="00797002">
        <w:rPr>
          <w:rFonts w:ascii="Arial" w:hAnsi="Arial" w:cs="Arial"/>
          <w:i/>
          <w:iCs/>
          <w:color w:val="000000"/>
          <w:sz w:val="20"/>
        </w:rPr>
        <w:t>DPP v Pallant</w:t>
      </w:r>
      <w:r w:rsidR="00797002">
        <w:rPr>
          <w:rFonts w:ascii="Arial" w:hAnsi="Arial" w:cs="Arial"/>
          <w:color w:val="000000"/>
          <w:sz w:val="20"/>
        </w:rPr>
        <w:t xml:space="preserve"> [2024] VSC 397 at [149]-[152].</w:t>
      </w:r>
    </w:p>
    <w:p w14:paraId="2990B303" w14:textId="5D62CA6D" w:rsidR="00256B7A" w:rsidRDefault="00256B7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131" w:name="_11.20_Alcohol_exclusion"/>
      <w:bookmarkEnd w:id="1131"/>
      <w:r w:rsidRPr="00102D2A">
        <w:rPr>
          <w:rFonts w:ascii="Arial" w:hAnsi="Arial" w:cs="Arial"/>
          <w:b/>
          <w:bCs/>
          <w:color w:val="000000"/>
        </w:rPr>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3AC3105E" w14:textId="4A1535A1" w:rsidR="00A9110F"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 xml:space="preserve">were introduced as and from 01/09/2014 </w:t>
      </w:r>
      <w:r w:rsidR="00686903">
        <w:rPr>
          <w:rFonts w:ascii="Arial" w:hAnsi="Arial" w:cs="Arial"/>
          <w:color w:val="000000"/>
          <w:sz w:val="20"/>
        </w:rPr>
        <w:t xml:space="preserve">by the </w:t>
      </w:r>
      <w:r w:rsidR="00686903" w:rsidRPr="00686903">
        <w:rPr>
          <w:rFonts w:ascii="Arial" w:hAnsi="Arial" w:cs="Arial"/>
          <w:i/>
          <w:iCs/>
          <w:color w:val="000000"/>
          <w:sz w:val="20"/>
        </w:rPr>
        <w:t xml:space="preserve">Summary Offences and Sentencing Amendment </w:t>
      </w:r>
      <w:r w:rsidR="00686903">
        <w:rPr>
          <w:rFonts w:ascii="Arial" w:hAnsi="Arial" w:cs="Arial"/>
          <w:i/>
          <w:iCs/>
          <w:color w:val="000000"/>
          <w:sz w:val="20"/>
        </w:rPr>
        <w:t>Act</w:t>
      </w:r>
      <w:r w:rsidR="00686903" w:rsidRPr="00686903">
        <w:rPr>
          <w:rFonts w:ascii="Arial" w:hAnsi="Arial" w:cs="Arial"/>
          <w:i/>
          <w:iCs/>
          <w:color w:val="000000"/>
          <w:sz w:val="20"/>
        </w:rPr>
        <w:t xml:space="preserve"> 2013</w:t>
      </w:r>
      <w:r w:rsidR="00686903">
        <w:rPr>
          <w:rFonts w:ascii="Arial" w:hAnsi="Arial" w:cs="Arial"/>
          <w:color w:val="000000"/>
          <w:sz w:val="20"/>
        </w:rPr>
        <w:t xml:space="preserve"> </w:t>
      </w:r>
      <w:r>
        <w:rPr>
          <w:rFonts w:ascii="Arial" w:hAnsi="Arial" w:cs="Arial"/>
          <w:color w:val="000000"/>
          <w:sz w:val="20"/>
        </w:rPr>
        <w:t>and are governed by ss.</w:t>
      </w:r>
      <w:r w:rsidR="00D6202D">
        <w:rPr>
          <w:rFonts w:ascii="Arial" w:hAnsi="Arial" w:cs="Arial"/>
          <w:color w:val="000000"/>
          <w:sz w:val="20"/>
        </w:rPr>
        <w:t xml:space="preserve">89DC-89DH </w:t>
      </w:r>
      <w:r w:rsidR="0084544E">
        <w:rPr>
          <w:rFonts w:ascii="Arial" w:hAnsi="Arial" w:cs="Arial"/>
          <w:color w:val="000000"/>
          <w:sz w:val="20"/>
        </w:rPr>
        <w:t xml:space="preserve">in Part 4 </w:t>
      </w:r>
      <w:r w:rsidR="00D6202D">
        <w:rPr>
          <w:rFonts w:ascii="Arial" w:hAnsi="Arial" w:cs="Arial"/>
          <w:color w:val="000000"/>
          <w:sz w:val="20"/>
        </w:rPr>
        <w:t xml:space="preserve">of the </w:t>
      </w:r>
      <w:r w:rsidR="00D6202D" w:rsidRPr="00D6202D">
        <w:rPr>
          <w:rFonts w:ascii="Arial" w:hAnsi="Arial" w:cs="Arial"/>
          <w:i/>
          <w:iCs/>
          <w:color w:val="000000"/>
          <w:sz w:val="20"/>
        </w:rPr>
        <w:t>Sentencing Act 1991</w:t>
      </w:r>
      <w:r w:rsidR="0084544E">
        <w:rPr>
          <w:rFonts w:ascii="Arial" w:hAnsi="Arial" w:cs="Arial"/>
          <w:color w:val="000000"/>
          <w:sz w:val="20"/>
        </w:rPr>
        <w:t xml:space="preserve">. </w:t>
      </w:r>
      <w:r w:rsidR="00A9110F">
        <w:rPr>
          <w:rFonts w:ascii="Arial" w:hAnsi="Arial" w:cs="Arial"/>
          <w:color w:val="000000"/>
          <w:sz w:val="20"/>
        </w:rPr>
        <w:t>It is not entirely clear whether the Children’s Court has power under these provisions to make an AEO.</w:t>
      </w:r>
    </w:p>
    <w:p w14:paraId="07D21114" w14:textId="77777777" w:rsidR="00A9110F" w:rsidRDefault="00A9110F" w:rsidP="00C25DD3">
      <w:pPr>
        <w:jc w:val="both"/>
        <w:rPr>
          <w:rFonts w:ascii="Arial" w:hAnsi="Arial" w:cs="Arial"/>
          <w:color w:val="000000"/>
          <w:sz w:val="20"/>
        </w:rPr>
      </w:pPr>
    </w:p>
    <w:p w14:paraId="58377144" w14:textId="51CD5CE8" w:rsidR="00686903" w:rsidRDefault="00A9110F" w:rsidP="00C25DD3">
      <w:pPr>
        <w:jc w:val="both"/>
        <w:rPr>
          <w:rFonts w:ascii="Arial" w:hAnsi="Arial" w:cs="Arial"/>
          <w:color w:val="000000"/>
          <w:sz w:val="20"/>
        </w:rPr>
      </w:pPr>
      <w:r>
        <w:rPr>
          <w:rFonts w:ascii="Arial" w:hAnsi="Arial" w:cs="Arial"/>
          <w:color w:val="000000"/>
          <w:sz w:val="20"/>
        </w:rPr>
        <w:t xml:space="preserve">On the one hand, s.4 of the </w:t>
      </w:r>
      <w:r w:rsidRPr="00A9110F">
        <w:rPr>
          <w:rFonts w:ascii="Arial" w:hAnsi="Arial" w:cs="Arial"/>
          <w:i/>
          <w:iCs/>
          <w:color w:val="000000"/>
          <w:sz w:val="20"/>
        </w:rPr>
        <w:t>Sentencing Act 1991</w:t>
      </w:r>
      <w:r>
        <w:rPr>
          <w:rFonts w:ascii="Arial" w:hAnsi="Arial" w:cs="Arial"/>
          <w:color w:val="000000"/>
          <w:sz w:val="20"/>
        </w:rPr>
        <w:t xml:space="preserve"> provides: “</w:t>
      </w:r>
      <w:r w:rsidRPr="00A9110F">
        <w:rPr>
          <w:rFonts w:ascii="Arial" w:hAnsi="Arial" w:cs="Arial"/>
          <w:sz w:val="20"/>
          <w:szCs w:val="16"/>
        </w:rPr>
        <w:t>This Act applies to all courts except the Children's Court.</w:t>
      </w:r>
      <w:r>
        <w:rPr>
          <w:rFonts w:ascii="Arial" w:hAnsi="Arial" w:cs="Arial"/>
          <w:sz w:val="20"/>
          <w:szCs w:val="16"/>
        </w:rPr>
        <w:t xml:space="preserve">” Further, </w:t>
      </w:r>
      <w:r>
        <w:rPr>
          <w:rFonts w:ascii="Arial" w:hAnsi="Arial" w:cs="Arial"/>
          <w:color w:val="000000"/>
          <w:sz w:val="20"/>
        </w:rPr>
        <w:t>s.</w:t>
      </w:r>
      <w:r w:rsidR="00686903">
        <w:rPr>
          <w:rFonts w:ascii="Arial" w:hAnsi="Arial" w:cs="Arial"/>
          <w:color w:val="000000"/>
          <w:sz w:val="20"/>
        </w:rPr>
        <w:t>89DD expressly provides for an application for an AEO to be filed in the Magistrates’ Court:</w:t>
      </w:r>
    </w:p>
    <w:p w14:paraId="0FFAD797" w14:textId="70165CC0"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(1)</w:t>
      </w:r>
      <w:r w:rsidRPr="00686903">
        <w:rPr>
          <w:rFonts w:ascii="Arial" w:hAnsi="Arial" w:cs="Arial"/>
          <w:sz w:val="20"/>
          <w:szCs w:val="16"/>
        </w:rPr>
        <w:tab/>
      </w:r>
      <w:r>
        <w:rPr>
          <w:rFonts w:ascii="Arial" w:hAnsi="Arial" w:cs="Arial"/>
          <w:sz w:val="20"/>
          <w:szCs w:val="16"/>
        </w:rPr>
        <w:tab/>
      </w:r>
      <w:r w:rsidRPr="00686903">
        <w:rPr>
          <w:rFonts w:ascii="Arial" w:hAnsi="Arial" w:cs="Arial"/>
          <w:sz w:val="20"/>
          <w:szCs w:val="16"/>
        </w:rPr>
        <w:t>If a person has been charged with a relevant offence, the Director of Public Prosecutions or a police officer may make an application for an alcohol exclusion order.</w:t>
      </w:r>
    </w:p>
    <w:p w14:paraId="5683D8C7" w14:textId="3AE62039"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(2)</w:t>
      </w:r>
      <w:r w:rsidRPr="00686903">
        <w:rPr>
          <w:rFonts w:ascii="Arial" w:hAnsi="Arial" w:cs="Arial"/>
          <w:sz w:val="20"/>
          <w:szCs w:val="16"/>
        </w:rPr>
        <w:tab/>
        <w:t>An application for an alcohol exclusion order under this section must be filed and served on the accused who is the subject of the application—</w:t>
      </w:r>
    </w:p>
    <w:p w14:paraId="5A516A58" w14:textId="0863241B"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(a)</w:t>
      </w:r>
      <w:r w:rsidRPr="00686903">
        <w:rPr>
          <w:rFonts w:ascii="Arial" w:hAnsi="Arial" w:cs="Arial"/>
          <w:sz w:val="20"/>
          <w:szCs w:val="16"/>
        </w:rPr>
        <w:tab/>
        <w:t>in the case of a proceeding listed for a summary hearing in the Magistrates' Court, before the first mention hearing, or later with the leave of the court; or</w:t>
      </w:r>
    </w:p>
    <w:p w14:paraId="59D37E21" w14:textId="460C5352"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(b)</w:t>
      </w:r>
      <w:r w:rsidRPr="00686903">
        <w:rPr>
          <w:rFonts w:ascii="Arial" w:hAnsi="Arial" w:cs="Arial"/>
          <w:sz w:val="20"/>
          <w:szCs w:val="16"/>
        </w:rPr>
        <w:tab/>
        <w:t>in the case of a committal proceeding, before the committal mention hearing, or later with the leave of the court; or</w:t>
      </w:r>
    </w:p>
    <w:p w14:paraId="61E5436F" w14:textId="73AC4CC7"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(c)</w:t>
      </w:r>
      <w:r w:rsidRPr="00686903">
        <w:rPr>
          <w:rFonts w:ascii="Arial" w:hAnsi="Arial" w:cs="Arial"/>
          <w:sz w:val="20"/>
          <w:szCs w:val="16"/>
        </w:rPr>
        <w:tab/>
        <w:t>in any other case, before the first directions hearing, or later with the leave of the court.</w:t>
      </w:r>
    </w:p>
    <w:p w14:paraId="0124FC2B" w14:textId="4F3779E5"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(3)</w:t>
      </w:r>
      <w:r>
        <w:rPr>
          <w:rFonts w:ascii="Arial" w:hAnsi="Arial" w:cs="Arial"/>
          <w:sz w:val="20"/>
          <w:szCs w:val="16"/>
        </w:rPr>
        <w:tab/>
      </w:r>
      <w:r w:rsidRPr="00686903">
        <w:rPr>
          <w:rFonts w:ascii="Arial" w:hAnsi="Arial" w:cs="Arial"/>
          <w:sz w:val="20"/>
          <w:szCs w:val="16"/>
        </w:rPr>
        <w:t>An application for an alcohol exclusion order may be withdrawn by the Director of Public Prosecutions or a police officer at any time before it is determined.</w:t>
      </w:r>
    </w:p>
    <w:p w14:paraId="066DB609" w14:textId="191F9C06"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(4)</w:t>
      </w:r>
      <w:r>
        <w:rPr>
          <w:rFonts w:ascii="Arial" w:hAnsi="Arial" w:cs="Arial"/>
          <w:sz w:val="20"/>
          <w:szCs w:val="16"/>
        </w:rPr>
        <w:tab/>
      </w:r>
      <w:r w:rsidRPr="00686903">
        <w:rPr>
          <w:rFonts w:ascii="Arial" w:hAnsi="Arial" w:cs="Arial"/>
          <w:sz w:val="20"/>
          <w:szCs w:val="16"/>
        </w:rPr>
        <w:t>A court may also make an alcohol exclusion order in respect of an offender on the court's own motion if it is satisfied that the circumstances set out in section 89DE(1) apply to the offender.</w:t>
      </w:r>
    </w:p>
    <w:p w14:paraId="7EF7FA70" w14:textId="17082E2E"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(5)</w:t>
      </w:r>
      <w:r>
        <w:rPr>
          <w:rFonts w:ascii="Arial" w:hAnsi="Arial" w:cs="Arial"/>
          <w:sz w:val="20"/>
          <w:szCs w:val="16"/>
        </w:rPr>
        <w:tab/>
      </w:r>
      <w:r w:rsidRPr="00686903">
        <w:rPr>
          <w:rFonts w:ascii="Arial" w:hAnsi="Arial" w:cs="Arial"/>
          <w:sz w:val="20"/>
          <w:szCs w:val="16"/>
        </w:rPr>
        <w:t>When making an alcohol exclusion order, the Supreme Court may direct that any application for the variation of that order is to be made to the Magistrates' Court for determination.</w:t>
      </w:r>
    </w:p>
    <w:p w14:paraId="5837CE4B" w14:textId="77777777" w:rsidR="00686903" w:rsidRDefault="00686903" w:rsidP="00C25DD3">
      <w:pPr>
        <w:jc w:val="both"/>
        <w:rPr>
          <w:rFonts w:ascii="Arial" w:hAnsi="Arial" w:cs="Arial"/>
          <w:color w:val="000000"/>
          <w:sz w:val="20"/>
        </w:rPr>
      </w:pPr>
    </w:p>
    <w:p w14:paraId="5AB4DC44" w14:textId="77777777" w:rsidR="00A9110F" w:rsidRDefault="00A9110F" w:rsidP="00C25DD3">
      <w:pPr>
        <w:jc w:val="both"/>
        <w:rPr>
          <w:rFonts w:ascii="Arial" w:hAnsi="Arial" w:cs="Arial"/>
          <w:color w:val="000000"/>
          <w:sz w:val="20"/>
        </w:rPr>
      </w:pPr>
      <w:r>
        <w:rPr>
          <w:rFonts w:ascii="Arial" w:hAnsi="Arial" w:cs="Arial"/>
          <w:color w:val="000000"/>
          <w:sz w:val="20"/>
        </w:rPr>
        <w:t>On the other hand s.</w:t>
      </w:r>
      <w:r w:rsidR="0084544E">
        <w:rPr>
          <w:rFonts w:ascii="Arial" w:hAnsi="Arial" w:cs="Arial"/>
          <w:color w:val="000000"/>
          <w:sz w:val="20"/>
        </w:rPr>
        <w:t>417 of the CYFA provides:</w:t>
      </w:r>
    </w:p>
    <w:p w14:paraId="2A7C707C" w14:textId="2A149178" w:rsidR="00A9110F" w:rsidRDefault="0084544E" w:rsidP="00025B20">
      <w:pPr>
        <w:pStyle w:val="DraftHeading2"/>
        <w:numPr>
          <w:ilvl w:val="0"/>
          <w:numId w:val="143"/>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The</w:t>
      </w:r>
      <w:r w:rsidR="00A9110F">
        <w:rPr>
          <w:rFonts w:ascii="Arial" w:hAnsi="Arial" w:cs="Arial"/>
          <w:color w:val="000000"/>
          <w:sz w:val="20"/>
        </w:rPr>
        <w:t xml:space="preserve"> </w:t>
      </w:r>
      <w:r>
        <w:rPr>
          <w:rFonts w:ascii="Arial" w:hAnsi="Arial" w:cs="Arial"/>
          <w:color w:val="000000"/>
          <w:sz w:val="20"/>
        </w:rPr>
        <w:t xml:space="preserve">provisions in Part 4 of the </w:t>
      </w:r>
      <w:r w:rsidRPr="00A9110F">
        <w:rPr>
          <w:rFonts w:ascii="Arial" w:hAnsi="Arial" w:cs="Arial"/>
          <w:i/>
          <w:iCs/>
          <w:color w:val="000000"/>
          <w:sz w:val="20"/>
        </w:rPr>
        <w:t>Sentencing Act 1991</w:t>
      </w:r>
      <w:r>
        <w:rPr>
          <w:rFonts w:ascii="Arial" w:hAnsi="Arial" w:cs="Arial"/>
          <w:color w:val="000000"/>
          <w:sz w:val="20"/>
        </w:rPr>
        <w:t xml:space="preserve"> apply to a proceeding in the Criminal Division [of the Children’s Court</w:t>
      </w:r>
      <w:r w:rsidR="0029528E">
        <w:rPr>
          <w:rFonts w:ascii="Arial" w:hAnsi="Arial" w:cs="Arial"/>
          <w:color w:val="000000"/>
          <w:sz w:val="20"/>
        </w:rPr>
        <w:t>]</w:t>
      </w:r>
      <w:r>
        <w:rPr>
          <w:rFonts w:ascii="Arial" w:hAnsi="Arial" w:cs="Arial"/>
          <w:color w:val="000000"/>
          <w:sz w:val="20"/>
        </w:rPr>
        <w:t xml:space="preserve"> with any necessary modificatio</w:t>
      </w:r>
      <w:r w:rsidR="00A9110F">
        <w:rPr>
          <w:rFonts w:ascii="Arial" w:hAnsi="Arial" w:cs="Arial"/>
          <w:color w:val="000000"/>
          <w:sz w:val="20"/>
        </w:rPr>
        <w:t xml:space="preserve">n </w:t>
      </w:r>
      <w:r w:rsidR="00686903">
        <w:rPr>
          <w:rFonts w:ascii="Arial" w:hAnsi="Arial" w:cs="Arial"/>
          <w:color w:val="000000"/>
          <w:sz w:val="20"/>
        </w:rPr>
        <w:t xml:space="preserve">and as if in </w:t>
      </w:r>
      <w:r w:rsidR="00A9110F">
        <w:rPr>
          <w:rFonts w:ascii="Arial" w:hAnsi="Arial" w:cs="Arial"/>
          <w:color w:val="000000"/>
          <w:sz w:val="20"/>
        </w:rPr>
        <w:t xml:space="preserve">ss.85H(1), 86(2) and 87J(1) for ‘may’ there were submitted ‘must’ and as if in </w:t>
      </w:r>
      <w:r w:rsidR="00686903">
        <w:rPr>
          <w:rFonts w:ascii="Arial" w:hAnsi="Arial" w:cs="Arial"/>
          <w:color w:val="000000"/>
          <w:sz w:val="20"/>
        </w:rPr>
        <w:lastRenderedPageBreak/>
        <w:t>s.85C(1)(b)(iii)(B) the reference to the Magistrates’ Court were a reference to the Criminal Division</w:t>
      </w:r>
      <w:r w:rsidR="00A9110F">
        <w:rPr>
          <w:rFonts w:ascii="Arial" w:hAnsi="Arial" w:cs="Arial"/>
          <w:color w:val="000000"/>
          <w:sz w:val="20"/>
        </w:rPr>
        <w:t>.</w:t>
      </w:r>
      <w:r>
        <w:rPr>
          <w:rFonts w:ascii="Arial" w:hAnsi="Arial" w:cs="Arial"/>
          <w:color w:val="000000"/>
          <w:sz w:val="20"/>
        </w:rPr>
        <w:t>”</w:t>
      </w:r>
    </w:p>
    <w:p w14:paraId="01F4028F" w14:textId="38406DD7" w:rsidR="00025B20" w:rsidRDefault="00025B20" w:rsidP="00025B20">
      <w:pPr>
        <w:pStyle w:val="DraftHeading2"/>
        <w:numPr>
          <w:ilvl w:val="0"/>
          <w:numId w:val="143"/>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 xml:space="preserve">The maximum amount that the [Children’s] Court may order an offender to pay under Part 4 of the </w:t>
      </w:r>
      <w:r w:rsidRPr="00025B20">
        <w:rPr>
          <w:rFonts w:ascii="Arial" w:hAnsi="Arial" w:cs="Arial"/>
          <w:i/>
          <w:iCs/>
          <w:color w:val="000000"/>
          <w:sz w:val="20"/>
        </w:rPr>
        <w:t>Sentencing Act 1991</w:t>
      </w:r>
      <w:r>
        <w:rPr>
          <w:rFonts w:ascii="Arial" w:hAnsi="Arial" w:cs="Arial"/>
          <w:color w:val="000000"/>
          <w:sz w:val="20"/>
        </w:rPr>
        <w:t xml:space="preserve"> is $1000.</w:t>
      </w:r>
    </w:p>
    <w:p w14:paraId="3DE618B7" w14:textId="70529073" w:rsidR="00686903" w:rsidRDefault="00A9110F" w:rsidP="00A9110F">
      <w:pPr>
        <w:spacing w:before="60"/>
        <w:jc w:val="both"/>
        <w:rPr>
          <w:rFonts w:ascii="Arial" w:hAnsi="Arial" w:cs="Arial"/>
          <w:color w:val="000000"/>
          <w:sz w:val="20"/>
        </w:rPr>
      </w:pPr>
      <w:r>
        <w:rPr>
          <w:rFonts w:ascii="Arial" w:hAnsi="Arial" w:cs="Arial"/>
          <w:color w:val="000000"/>
          <w:sz w:val="20"/>
        </w:rPr>
        <w:t>Further, s.528(1) of the CYFA provides: “The [Children’s] Court has and may exercise in relation to all matters over which it has jurisdiction all the powers and authorities that the Magistrates’ Court has in relation to matters over which it has jurisdiction.”</w:t>
      </w:r>
    </w:p>
    <w:p w14:paraId="56037000" w14:textId="65ED1CAC" w:rsidR="00686903" w:rsidRDefault="00686903" w:rsidP="00C25DD3">
      <w:pPr>
        <w:jc w:val="both"/>
        <w:rPr>
          <w:rFonts w:ascii="Arial" w:hAnsi="Arial" w:cs="Arial"/>
          <w:color w:val="000000"/>
          <w:sz w:val="20"/>
        </w:rPr>
      </w:pPr>
    </w:p>
    <w:p w14:paraId="604751EF" w14:textId="77777777" w:rsidR="00A41BEB" w:rsidRDefault="00025B20" w:rsidP="00C25DD3">
      <w:pPr>
        <w:jc w:val="both"/>
        <w:rPr>
          <w:rFonts w:ascii="Arial" w:hAnsi="Arial" w:cs="Arial"/>
          <w:color w:val="000000"/>
          <w:sz w:val="20"/>
        </w:rPr>
      </w:pPr>
      <w:r>
        <w:rPr>
          <w:rFonts w:ascii="Arial" w:hAnsi="Arial" w:cs="Arial"/>
          <w:color w:val="000000"/>
          <w:sz w:val="20"/>
        </w:rPr>
        <w:t xml:space="preserve">The wording of s.417 might – on one reading – imply that it is intended to be limited to those provisions in Part 4 that relate to </w:t>
      </w:r>
    </w:p>
    <w:p w14:paraId="45AEACDA" w14:textId="3BCC07B0" w:rsidR="00A41BEB" w:rsidRDefault="00025B20" w:rsidP="00A41BEB">
      <w:pPr>
        <w:numPr>
          <w:ilvl w:val="0"/>
          <w:numId w:val="28"/>
        </w:numPr>
        <w:tabs>
          <w:tab w:val="clear" w:pos="420"/>
          <w:tab w:val="num" w:pos="357"/>
        </w:tabs>
        <w:ind w:left="357" w:hanging="357"/>
        <w:jc w:val="both"/>
        <w:rPr>
          <w:rFonts w:ascii="Arial" w:hAnsi="Arial" w:cs="Arial"/>
          <w:color w:val="000000"/>
          <w:sz w:val="20"/>
        </w:rPr>
      </w:pPr>
      <w:r>
        <w:rPr>
          <w:rFonts w:ascii="Arial" w:hAnsi="Arial" w:cs="Arial"/>
          <w:color w:val="000000"/>
          <w:sz w:val="20"/>
        </w:rPr>
        <w:t>restitution (Division 1)</w:t>
      </w:r>
      <w:r w:rsidR="00A41BEB">
        <w:rPr>
          <w:rFonts w:ascii="Arial" w:hAnsi="Arial" w:cs="Arial"/>
          <w:color w:val="000000"/>
          <w:sz w:val="20"/>
        </w:rPr>
        <w:t>;</w:t>
      </w:r>
    </w:p>
    <w:p w14:paraId="58AF8E27" w14:textId="4B3DE0F0"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compensation (Division 2)</w:t>
      </w:r>
      <w:r w:rsidR="00A41BEB">
        <w:rPr>
          <w:rFonts w:ascii="Arial" w:hAnsi="Arial" w:cs="Arial"/>
          <w:color w:val="000000"/>
          <w:sz w:val="20"/>
        </w:rPr>
        <w:t>;</w:t>
      </w:r>
    </w:p>
    <w:p w14:paraId="01BE8E2B" w14:textId="5FB9041C"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 xml:space="preserve">recovery of assistance paid under the </w:t>
      </w:r>
      <w:r w:rsidRPr="00A41BEB">
        <w:rPr>
          <w:rFonts w:ascii="Arial" w:hAnsi="Arial" w:cs="Arial"/>
          <w:i/>
          <w:iCs/>
          <w:color w:val="000000"/>
          <w:sz w:val="20"/>
        </w:rPr>
        <w:t>Victims of Crime Assistance Act 1996</w:t>
      </w:r>
      <w:r w:rsidRPr="00A41BEB">
        <w:rPr>
          <w:rFonts w:ascii="Arial" w:hAnsi="Arial" w:cs="Arial"/>
          <w:color w:val="000000"/>
          <w:sz w:val="20"/>
        </w:rPr>
        <w:t xml:space="preserve"> (Division 2A)</w:t>
      </w:r>
      <w:r w:rsidR="00A41BEB">
        <w:rPr>
          <w:rFonts w:ascii="Arial" w:hAnsi="Arial" w:cs="Arial"/>
          <w:color w:val="000000"/>
          <w:sz w:val="20"/>
        </w:rPr>
        <w:t>; and</w:t>
      </w:r>
    </w:p>
    <w:p w14:paraId="4F32FC42" w14:textId="05A900A4" w:rsidR="00A41BEB" w:rsidRDefault="00025B20" w:rsidP="00C25DD3">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recovery of costs incurred by emergency service agencies (Division 2B).</w:t>
      </w:r>
    </w:p>
    <w:p w14:paraId="7C3C8E92" w14:textId="0CD67C5A" w:rsidR="00686903" w:rsidRPr="00A41BEB" w:rsidRDefault="00025B20" w:rsidP="00A41BEB">
      <w:pPr>
        <w:jc w:val="both"/>
        <w:rPr>
          <w:rFonts w:ascii="Arial" w:hAnsi="Arial" w:cs="Arial"/>
          <w:color w:val="000000"/>
          <w:sz w:val="20"/>
        </w:rPr>
      </w:pPr>
      <w:r w:rsidRPr="00A41BEB">
        <w:rPr>
          <w:rFonts w:ascii="Arial" w:hAnsi="Arial" w:cs="Arial"/>
          <w:color w:val="000000"/>
          <w:sz w:val="20"/>
        </w:rPr>
        <w:t xml:space="preserve">This restricted reading is </w:t>
      </w:r>
      <w:r w:rsidR="00A41BEB">
        <w:rPr>
          <w:rFonts w:ascii="Arial" w:hAnsi="Arial" w:cs="Arial"/>
          <w:color w:val="000000"/>
          <w:sz w:val="20"/>
        </w:rPr>
        <w:t>supported by s.418 which relates to enforcement of orders in addition to sentence and refers specifically to “jurisdiction to enforce a debt”.</w:t>
      </w:r>
    </w:p>
    <w:p w14:paraId="57EAE770" w14:textId="77777777" w:rsidR="00686903" w:rsidRDefault="00686903" w:rsidP="00C25DD3">
      <w:pPr>
        <w:jc w:val="both"/>
        <w:rPr>
          <w:rFonts w:ascii="Arial" w:hAnsi="Arial" w:cs="Arial"/>
          <w:color w:val="000000"/>
          <w:sz w:val="20"/>
        </w:rPr>
      </w:pPr>
    </w:p>
    <w:p w14:paraId="28B75C89" w14:textId="0A0313B1" w:rsidR="00686903" w:rsidRDefault="00A41BEB" w:rsidP="00C25DD3">
      <w:pPr>
        <w:jc w:val="both"/>
        <w:rPr>
          <w:rFonts w:ascii="Arial" w:hAnsi="Arial" w:cs="Arial"/>
          <w:color w:val="000000"/>
          <w:sz w:val="20"/>
        </w:rPr>
      </w:pPr>
      <w:r>
        <w:rPr>
          <w:rFonts w:ascii="Arial" w:hAnsi="Arial" w:cs="Arial"/>
          <w:color w:val="000000"/>
          <w:sz w:val="20"/>
        </w:rPr>
        <w:t xml:space="preserve">However, there is nothing in the Explanatory Memorandum that accompanied the </w:t>
      </w:r>
      <w:r w:rsidRPr="00686903">
        <w:rPr>
          <w:rFonts w:ascii="Arial" w:hAnsi="Arial" w:cs="Arial"/>
          <w:i/>
          <w:iCs/>
          <w:color w:val="000000"/>
          <w:sz w:val="20"/>
        </w:rPr>
        <w:t xml:space="preserve">Summary Offences and Sentencing Amendment </w:t>
      </w:r>
      <w:r>
        <w:rPr>
          <w:rFonts w:ascii="Arial" w:hAnsi="Arial" w:cs="Arial"/>
          <w:i/>
          <w:iCs/>
          <w:color w:val="000000"/>
          <w:sz w:val="20"/>
        </w:rPr>
        <w:t>Bill</w:t>
      </w:r>
      <w:r w:rsidRPr="00686903">
        <w:rPr>
          <w:rFonts w:ascii="Arial" w:hAnsi="Arial" w:cs="Arial"/>
          <w:i/>
          <w:iCs/>
          <w:color w:val="000000"/>
          <w:sz w:val="20"/>
        </w:rPr>
        <w:t xml:space="preserve"> 2013</w:t>
      </w:r>
      <w:r>
        <w:rPr>
          <w:rFonts w:ascii="Arial" w:hAnsi="Arial" w:cs="Arial"/>
          <w:i/>
          <w:iCs/>
          <w:color w:val="000000"/>
          <w:sz w:val="20"/>
        </w:rPr>
        <w:t xml:space="preserve"> </w:t>
      </w:r>
      <w:r w:rsidRPr="00A41BEB">
        <w:rPr>
          <w:rFonts w:ascii="Arial" w:hAnsi="Arial" w:cs="Arial"/>
          <w:color w:val="000000"/>
          <w:sz w:val="20"/>
        </w:rPr>
        <w:t xml:space="preserve">which would </w:t>
      </w:r>
      <w:r>
        <w:rPr>
          <w:rFonts w:ascii="Arial" w:hAnsi="Arial" w:cs="Arial"/>
          <w:color w:val="000000"/>
          <w:sz w:val="20"/>
        </w:rPr>
        <w:t xml:space="preserve">suggest that </w:t>
      </w:r>
      <w:r w:rsidR="00716D62">
        <w:rPr>
          <w:rFonts w:ascii="Arial" w:hAnsi="Arial" w:cs="Arial"/>
          <w:color w:val="000000"/>
          <w:sz w:val="20"/>
        </w:rPr>
        <w:t>s.417 was intended to exclude the other Divisions of Part 4 and specifically the AEO provisions in Division 4. Further, the purpose of AEOs was described by the Attorney-General in the Second Reading Speech in terms which are equally applicable to adults and juveniles, apart from the peripheral reference to general deterrence:</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244F27A0" w14:textId="3DE7AA10" w:rsidR="00716D62" w:rsidRDefault="00716D62" w:rsidP="00716D62">
      <w:pPr>
        <w:jc w:val="both"/>
        <w:rPr>
          <w:rFonts w:ascii="Arial" w:hAnsi="Arial" w:cs="Arial"/>
          <w:color w:val="000000"/>
          <w:sz w:val="20"/>
        </w:rPr>
      </w:pPr>
      <w:r>
        <w:rPr>
          <w:rFonts w:ascii="Arial" w:hAnsi="Arial" w:cs="Arial"/>
          <w:color w:val="000000"/>
          <w:sz w:val="20"/>
        </w:rPr>
        <w:t>Accordingly, the writer believes that it is more likely that the AEO provisions apply not only to adults but also to children and young persons sentenced under the CYFA.</w:t>
      </w:r>
    </w:p>
    <w:p w14:paraId="367DAD51" w14:textId="77777777" w:rsidR="00716D62" w:rsidRDefault="00716D62" w:rsidP="00C25DD3">
      <w:pPr>
        <w:jc w:val="both"/>
        <w:rPr>
          <w:rFonts w:ascii="Arial" w:hAnsi="Arial" w:cs="Arial"/>
          <w:color w:val="000000"/>
          <w:sz w:val="20"/>
        </w:rPr>
      </w:pPr>
    </w:p>
    <w:p w14:paraId="71A2F0DF" w14:textId="73E4C1E3" w:rsidR="00FE7952" w:rsidRDefault="00FE7952" w:rsidP="00C25DD3">
      <w:pPr>
        <w:jc w:val="both"/>
        <w:rPr>
          <w:rFonts w:ascii="Arial" w:hAnsi="Arial" w:cs="Arial"/>
          <w:color w:val="000000"/>
          <w:sz w:val="20"/>
        </w:rPr>
      </w:pPr>
      <w:r>
        <w:rPr>
          <w:rFonts w:ascii="Arial" w:hAnsi="Arial" w:cs="Arial"/>
          <w:color w:val="000000"/>
          <w:sz w:val="20"/>
        </w:rPr>
        <w:t xml:space="preserve">Section 89DE(1)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r w:rsidR="000B0E3C">
        <w:rPr>
          <w:rFonts w:ascii="Arial" w:hAnsi="Arial" w:cs="Arial"/>
          <w:color w:val="000000"/>
          <w:sz w:val="20"/>
        </w:rPr>
        <w:t>–</w:t>
      </w:r>
    </w:p>
    <w:p w14:paraId="6EFBAC74" w14:textId="0C197325" w:rsid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rsidP="00C223DA">
      <w:pPr>
        <w:pStyle w:val="ListParagraph"/>
        <w:numPr>
          <w:ilvl w:val="0"/>
          <w:numId w:val="101"/>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89DE(3)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763590DC" w:rsidR="00F97A36" w:rsidRDefault="00982225" w:rsidP="004409C5">
      <w:pPr>
        <w:jc w:val="both"/>
        <w:rPr>
          <w:rFonts w:ascii="Arial" w:hAnsi="Arial" w:cs="Arial"/>
          <w:sz w:val="20"/>
          <w:szCs w:val="20"/>
        </w:rPr>
      </w:pPr>
      <w:r>
        <w:rPr>
          <w:rFonts w:ascii="Arial" w:hAnsi="Arial" w:cs="Arial"/>
          <w:sz w:val="20"/>
          <w:szCs w:val="20"/>
        </w:rPr>
        <w:t xml:space="preserve">Section 89DE(4)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s.89DE(5), an AEO prohibits an offender from</w:t>
      </w:r>
      <w:r w:rsidR="000B0E3C">
        <w:rPr>
          <w:rFonts w:ascii="Arial" w:hAnsi="Arial" w:cs="Arial"/>
          <w:sz w:val="20"/>
          <w:szCs w:val="20"/>
        </w:rPr>
        <w:t>–</w:t>
      </w:r>
    </w:p>
    <w:p w14:paraId="05D3F8D5" w14:textId="29200AD9"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any licensed premises characterised as a nightclub, bar, restaurant, cafe, reception centre or function centre; and</w:t>
      </w:r>
    </w:p>
    <w:p w14:paraId="4D4CEDA4" w14:textId="45958201"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r w:rsidRPr="004F0C26">
        <w:rPr>
          <w:rFonts w:ascii="Arial" w:hAnsi="Arial" w:cs="Arial"/>
          <w:i/>
          <w:iCs/>
          <w:sz w:val="20"/>
          <w:szCs w:val="20"/>
        </w:rPr>
        <w:t>Frecker v The Queen</w:t>
      </w:r>
      <w:r w:rsidRPr="004F0C26">
        <w:rPr>
          <w:rFonts w:ascii="Arial" w:hAnsi="Arial" w:cs="Arial"/>
          <w:sz w:val="20"/>
          <w:szCs w:val="20"/>
        </w:rPr>
        <w:t xml:space="preserve"> [2021] VSCA 331 t</w:t>
      </w:r>
      <w:r w:rsidR="00C25DD3" w:rsidRPr="004F0C26">
        <w:rPr>
          <w:rFonts w:ascii="Arial" w:hAnsi="Arial" w:cs="Arial"/>
          <w:sz w:val="20"/>
          <w:szCs w:val="20"/>
        </w:rPr>
        <w:t xml:space="preserve">he AEO made by the judge reflected the prohibitions set out in s 89DE(4) and did not contain any exemptions under s 89DE(5).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w:t>
      </w:r>
      <w:r w:rsidR="004F0C26" w:rsidRPr="004F0C26">
        <w:rPr>
          <w:rFonts w:ascii="Arial" w:hAnsi="Arial" w:cs="Arial"/>
          <w:sz w:val="20"/>
          <w:szCs w:val="20"/>
        </w:rPr>
        <w:lastRenderedPageBreak/>
        <w:t>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r w:rsidRPr="004F0C26">
        <w:rPr>
          <w:rFonts w:ascii="Arial" w:hAnsi="Arial" w:cs="Arial"/>
          <w:i/>
          <w:iCs/>
          <w:sz w:val="20"/>
          <w:szCs w:val="20"/>
        </w:rPr>
        <w:t>Akoka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 xml:space="preserve">However, the adverse impacts of an AEO may be ameliorated by an exemption granted under s 89DE(5). </w:t>
      </w:r>
      <w:r w:rsidR="004F5633">
        <w:rPr>
          <w:rFonts w:ascii="Arial" w:hAnsi="Arial" w:cs="Arial"/>
          <w:sz w:val="20"/>
          <w:szCs w:val="20"/>
        </w:rPr>
        <w:t xml:space="preserve"> </w:t>
      </w:r>
      <w:r w:rsidRPr="00C25DD3">
        <w:rPr>
          <w:rFonts w:ascii="Arial" w:hAnsi="Arial" w:cs="Arial"/>
          <w:sz w:val="20"/>
          <w:szCs w:val="20"/>
        </w:rPr>
        <w:t>For example, the sentencing court could grant an exemption permitting the offender to 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89DE(5)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Mr Frecker</w:t>
      </w:r>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132"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133" w:name="_11.21_Mandatory_sentencing"/>
      <w:bookmarkEnd w:id="1133"/>
      <w:r w:rsidRPr="00102D2A">
        <w:rPr>
          <w:rFonts w:ascii="Arial" w:hAnsi="Arial" w:cs="Arial"/>
          <w:b/>
          <w:bCs/>
          <w:color w:val="000000"/>
        </w:rPr>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18 year old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 xml:space="preserve">Under s 10AD(2)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lastRenderedPageBreak/>
        <w:t xml:space="preserve">[2] </w:t>
      </w:r>
      <w:r w:rsidRPr="008F2AEB">
        <w:rPr>
          <w:rFonts w:ascii="Arial" w:hAnsi="Arial" w:cs="Arial"/>
          <w:sz w:val="20"/>
          <w:szCs w:val="20"/>
        </w:rPr>
        <w:t>Each of the mandatory sentencing provisions includes what purports to be an exception to the obligation to imprison. That exception applies if the sentencing court is satisfied that ‘a special reason exists which would justify’ a different disposition. A judge can only find that a ‘special reason’ exists if he or she is satisfied (relevantly) that there are ‘substantial 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In deciding whether this near-impossible test is satisfied, the court is expressly prohibited from taking into account the offender’s previous good character, prospects of 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 v Bradley</w:t>
      </w:r>
      <w:r w:rsidR="004D3F19" w:rsidRPr="004D3F19">
        <w:rPr>
          <w:rFonts w:ascii="Arial" w:hAnsi="Arial" w:cs="Arial"/>
          <w:sz w:val="20"/>
          <w:szCs w:val="20"/>
        </w:rPr>
        <w:t xml:space="preserve"> (1997) 6 NTLR 175, 187 (Mildren J)</w:t>
      </w:r>
      <w:r w:rsidRPr="00E17915">
        <w:rPr>
          <w:rFonts w:ascii="Arial" w:hAnsi="Arial" w:cs="Arial"/>
          <w:b/>
          <w:bCs/>
          <w:sz w:val="20"/>
          <w:szCs w:val="20"/>
        </w:rPr>
        <w:t>.  Mandating imprisonment in this way must be seen to reflect the ascendancy of a punitive sentiment and a disregard of the 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eg, </w:t>
      </w:r>
      <w:r w:rsidR="00067EEA" w:rsidRPr="00067EEA">
        <w:rPr>
          <w:rFonts w:ascii="Arial" w:hAnsi="Arial" w:cs="Arial"/>
          <w:i/>
          <w:iCs/>
          <w:sz w:val="20"/>
          <w:szCs w:val="20"/>
        </w:rPr>
        <w:t>DPP v Tokava</w:t>
      </w:r>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r w:rsidR="00067EEA" w:rsidRPr="008F2AEB">
        <w:rPr>
          <w:rFonts w:ascii="Arial" w:hAnsi="Arial" w:cs="Arial"/>
          <w:sz w:val="20"/>
          <w:szCs w:val="20"/>
        </w:rPr>
        <w:t>Cunneen,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conditions.</w:t>
      </w:r>
      <w:r w:rsidR="00067EEA">
        <w:rPr>
          <w:rFonts w:ascii="Arial" w:hAnsi="Arial" w:cs="Arial"/>
          <w:sz w:val="20"/>
          <w:szCs w:val="20"/>
        </w:rPr>
        <w:t xml:space="preserve">  </w:t>
      </w:r>
      <w:r w:rsidR="00067EEA" w:rsidRPr="008F2AEB">
        <w:rPr>
          <w:rFonts w:ascii="Arial" w:hAnsi="Arial" w:cs="Arial"/>
          <w:sz w:val="20"/>
          <w:szCs w:val="20"/>
        </w:rPr>
        <w:t xml:space="preserve">Neither a CCO nor a YJC order is a ‘term of imprisonment’ for the purposes of s 10AD(1)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 xml:space="preserve">A YJC order would have resulted in the applicant being detained in one of Victoria’s two youth justice facilities, for a period that could theoretically have been as long as four years. Typically, young offenders are released on parole after serving a portion of their </w:t>
      </w:r>
      <w:r w:rsidRPr="008F2AEB">
        <w:rPr>
          <w:rFonts w:ascii="Arial" w:hAnsi="Arial" w:cs="Arial"/>
          <w:sz w:val="20"/>
          <w:szCs w:val="20"/>
        </w:rPr>
        <w:lastRenderedPageBreak/>
        <w:t>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subject to mental health 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[107]</w:t>
      </w:r>
      <w:r w:rsidR="00F32987">
        <w:rPr>
          <w:rFonts w:ascii="Arial" w:hAnsi="Arial" w:cs="Arial"/>
          <w:sz w:val="20"/>
          <w:szCs w:val="20"/>
        </w:rPr>
        <w:noBreakHyphen/>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In this case, the judge was prevented by law from considering either a period of detention in a YJC or a CCO appropriately conditioned. This blunt, oppressive sentencing 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lastRenderedPageBreak/>
        <w:t>In holding that ‘exceptional and rare’ circumstances were not made out, Maxwell P &amp; T Forrest JA said at [43]-[46]:</w:t>
      </w:r>
    </w:p>
    <w:p w14:paraId="26426727" w14:textId="69AF64B0" w:rsidR="007029E5" w:rsidRDefault="007029E5" w:rsidP="00BC425B">
      <w:pPr>
        <w:spacing w:before="60"/>
        <w:ind w:left="567" w:right="567"/>
        <w:jc w:val="both"/>
        <w:rPr>
          <w:rFonts w:ascii="Arial" w:hAnsi="Arial" w:cs="Arial"/>
          <w:sz w:val="20"/>
          <w:szCs w:val="20"/>
        </w:rPr>
      </w:pPr>
      <w:r>
        <w:rPr>
          <w:rFonts w:ascii="Arial" w:hAnsi="Arial" w:cs="Arial"/>
          <w:sz w:val="20"/>
          <w:szCs w:val="20"/>
        </w:rPr>
        <w:t>[43] “</w:t>
      </w:r>
      <w:r w:rsidRPr="007029E5">
        <w:rPr>
          <w:rFonts w:ascii="Arial" w:hAnsi="Arial" w:cs="Arial"/>
          <w:sz w:val="20"/>
          <w:szCs w:val="20"/>
        </w:rPr>
        <w:t>The principal matters relied on by the applicant, both at first instance and in this Court, were his youth, his significant immaturity, his difficulties during adolescence and his likely vulnerability in prison. On ordinary principles, those matters taken in combination might well constitute ‘substantial and compelling circumstances’ justifying a non-custodial order. But the sad reality of our criminal justice system is that such 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JA agreeing); </w:t>
      </w:r>
      <w:r w:rsidRPr="007029E5">
        <w:rPr>
          <w:rFonts w:ascii="Arial" w:hAnsi="Arial" w:cs="Arial"/>
          <w:i/>
          <w:iCs/>
          <w:sz w:val="20"/>
          <w:szCs w:val="20"/>
        </w:rPr>
        <w:t>Azzopardi</w:t>
      </w:r>
      <w:r w:rsidRPr="007029E5">
        <w:rPr>
          <w:rFonts w:ascii="Arial" w:hAnsi="Arial" w:cs="Arial"/>
          <w:sz w:val="20"/>
          <w:szCs w:val="20"/>
        </w:rPr>
        <w:t xml:space="preserve"> (2011) 35 VR 43, 53–57 [34]–[43]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five member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Courts sentencing young offenders are cognisant that the effect of incarceration in an adult prison on a young offender will more likely impair, rather than improve, the offender’s prospects of successful rehabilitation. While in prison a youthful offender is 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p w14:paraId="1F623E5D" w14:textId="77777777" w:rsidR="00E161EE" w:rsidRDefault="00E161EE" w:rsidP="00E161EE">
      <w:pPr>
        <w:pBdr>
          <w:top w:val="thinThickThinSmallGap" w:sz="24" w:space="1" w:color="auto"/>
        </w:pBdr>
        <w:jc w:val="both"/>
        <w:rPr>
          <w:rFonts w:ascii="Arial" w:hAnsi="Arial" w:cs="Arial"/>
          <w:sz w:val="20"/>
          <w:szCs w:val="20"/>
        </w:rPr>
      </w:pPr>
    </w:p>
    <w:p w14:paraId="38D63FF5" w14:textId="65E159CC" w:rsidR="00E161EE" w:rsidRDefault="00E161EE" w:rsidP="005A587F">
      <w:pPr>
        <w:jc w:val="both"/>
        <w:rPr>
          <w:rFonts w:ascii="Arial" w:hAnsi="Arial" w:cs="Arial"/>
          <w:sz w:val="20"/>
          <w:szCs w:val="20"/>
        </w:rPr>
      </w:pPr>
      <w:r>
        <w:rPr>
          <w:rFonts w:ascii="Arial" w:hAnsi="Arial" w:cs="Arial"/>
          <w:sz w:val="20"/>
          <w:szCs w:val="20"/>
        </w:rPr>
        <w:t>There are a number of statutory offences which provide for minimum terms of imprisonment</w:t>
      </w:r>
      <w:r w:rsidR="005C0E61">
        <w:rPr>
          <w:rFonts w:ascii="Arial" w:hAnsi="Arial" w:cs="Arial"/>
          <w:sz w:val="20"/>
          <w:szCs w:val="20"/>
        </w:rPr>
        <w:t>.  T</w:t>
      </w:r>
      <w:r w:rsidR="00BA3232">
        <w:rPr>
          <w:rFonts w:ascii="Arial" w:hAnsi="Arial" w:cs="Arial"/>
          <w:sz w:val="20"/>
          <w:szCs w:val="20"/>
        </w:rPr>
        <w:t xml:space="preserve">here are also some </w:t>
      </w:r>
      <w:r w:rsidR="005C0E61">
        <w:rPr>
          <w:rFonts w:ascii="Arial" w:hAnsi="Arial" w:cs="Arial"/>
          <w:sz w:val="20"/>
          <w:szCs w:val="20"/>
        </w:rPr>
        <w:t xml:space="preserve">general </w:t>
      </w:r>
      <w:r w:rsidR="00BA3232">
        <w:rPr>
          <w:rFonts w:ascii="Arial" w:hAnsi="Arial" w:cs="Arial"/>
          <w:sz w:val="20"/>
          <w:szCs w:val="20"/>
        </w:rPr>
        <w:t xml:space="preserve">statutory provisions </w:t>
      </w:r>
      <w:r w:rsidR="00794A61">
        <w:rPr>
          <w:rFonts w:ascii="Arial" w:hAnsi="Arial" w:cs="Arial"/>
          <w:sz w:val="20"/>
          <w:szCs w:val="20"/>
        </w:rPr>
        <w:t xml:space="preserve">in the </w:t>
      </w:r>
      <w:r w:rsidR="00794A61" w:rsidRPr="00133604">
        <w:rPr>
          <w:rFonts w:ascii="Arial" w:hAnsi="Arial" w:cs="Arial"/>
          <w:i/>
          <w:iCs/>
          <w:sz w:val="20"/>
          <w:szCs w:val="20"/>
        </w:rPr>
        <w:t>Crimes Act</w:t>
      </w:r>
      <w:r w:rsidR="00794A61" w:rsidRPr="005C0E61">
        <w:rPr>
          <w:rFonts w:ascii="Arial" w:hAnsi="Arial" w:cs="Arial"/>
          <w:i/>
          <w:iCs/>
          <w:sz w:val="20"/>
        </w:rPr>
        <w:t xml:space="preserve"> 1914 </w:t>
      </w:r>
      <w:r w:rsidR="00794A61">
        <w:rPr>
          <w:rFonts w:ascii="Arial" w:hAnsi="Arial" w:cs="Arial"/>
          <w:sz w:val="20"/>
        </w:rPr>
        <w:t xml:space="preserve">(Cth) </w:t>
      </w:r>
      <w:r w:rsidR="00BA3232">
        <w:rPr>
          <w:rFonts w:ascii="Arial" w:hAnsi="Arial" w:cs="Arial"/>
          <w:sz w:val="20"/>
          <w:szCs w:val="20"/>
        </w:rPr>
        <w:t xml:space="preserve">which allow for a sentence of </w:t>
      </w:r>
      <w:r w:rsidR="00BA3232">
        <w:rPr>
          <w:rFonts w:ascii="Arial" w:hAnsi="Arial" w:cs="Arial"/>
          <w:sz w:val="20"/>
          <w:szCs w:val="20"/>
        </w:rPr>
        <w:lastRenderedPageBreak/>
        <w:t xml:space="preserve">less than the prescribed minimum in certain circumstances.  </w:t>
      </w:r>
      <w:r>
        <w:rPr>
          <w:rFonts w:ascii="Arial" w:hAnsi="Arial" w:cs="Arial"/>
          <w:sz w:val="20"/>
          <w:szCs w:val="20"/>
        </w:rPr>
        <w:t xml:space="preserve">In </w:t>
      </w:r>
      <w:r w:rsidRPr="00A405FB">
        <w:rPr>
          <w:rFonts w:ascii="Arial" w:hAnsi="Arial" w:cs="Arial"/>
          <w:i/>
          <w:iCs/>
          <w:sz w:val="20"/>
          <w:szCs w:val="20"/>
        </w:rPr>
        <w:t xml:space="preserve">Trinh </w:t>
      </w:r>
      <w:r w:rsidR="00A405FB" w:rsidRPr="00A405FB">
        <w:rPr>
          <w:rFonts w:ascii="Arial" w:hAnsi="Arial" w:cs="Arial"/>
          <w:i/>
          <w:iCs/>
          <w:sz w:val="20"/>
          <w:szCs w:val="20"/>
        </w:rPr>
        <w:t>v</w:t>
      </w:r>
      <w:r w:rsidRPr="00A405FB">
        <w:rPr>
          <w:rFonts w:ascii="Arial" w:hAnsi="Arial" w:cs="Arial"/>
          <w:i/>
          <w:iCs/>
          <w:sz w:val="20"/>
          <w:szCs w:val="20"/>
        </w:rPr>
        <w:t xml:space="preserve"> The King</w:t>
      </w:r>
      <w:r>
        <w:rPr>
          <w:rFonts w:ascii="Arial" w:hAnsi="Arial" w:cs="Arial"/>
          <w:sz w:val="20"/>
          <w:szCs w:val="20"/>
        </w:rPr>
        <w:t xml:space="preserve"> </w:t>
      </w:r>
      <w:r w:rsidR="00A405FB">
        <w:rPr>
          <w:rFonts w:ascii="Arial" w:hAnsi="Arial" w:cs="Arial"/>
          <w:sz w:val="20"/>
          <w:szCs w:val="20"/>
        </w:rPr>
        <w:t>[2024] VSCA 61 the applicant had pleaded guilty to a charge of engaging in sexual activity with a person under 18 years of age using a carriage service contrary to s.474.25A(1) of the</w:t>
      </w:r>
      <w:r w:rsidR="00A405FB" w:rsidRPr="00A405FB">
        <w:rPr>
          <w:rFonts w:ascii="Arial" w:hAnsi="Arial" w:cs="Arial"/>
          <w:i/>
          <w:iCs/>
          <w:sz w:val="20"/>
          <w:szCs w:val="20"/>
        </w:rPr>
        <w:t xml:space="preserve"> Criminal Code (Cth)</w:t>
      </w:r>
      <w:r w:rsidR="00A405FB">
        <w:rPr>
          <w:rFonts w:ascii="Arial" w:hAnsi="Arial" w:cs="Arial"/>
          <w:sz w:val="20"/>
          <w:szCs w:val="20"/>
        </w:rPr>
        <w:t xml:space="preserve"> which provided a statutory minimum of 5</w:t>
      </w:r>
      <w:r w:rsidR="005C0E61">
        <w:rPr>
          <w:rFonts w:ascii="Arial" w:hAnsi="Arial" w:cs="Arial"/>
          <w:sz w:val="20"/>
          <w:szCs w:val="20"/>
        </w:rPr>
        <w:t> </w:t>
      </w:r>
      <w:r w:rsidR="00A405FB">
        <w:rPr>
          <w:rFonts w:ascii="Arial" w:hAnsi="Arial" w:cs="Arial"/>
          <w:sz w:val="20"/>
          <w:szCs w:val="20"/>
        </w:rPr>
        <w:t>years imprisonment.  The Court of Appeal allowed an appeal against a sentence of IMP6y6m imposed on this charge and substituted a sentence of IMP4y6m</w:t>
      </w:r>
      <w:r w:rsidR="00BA3232">
        <w:rPr>
          <w:rFonts w:ascii="Arial" w:hAnsi="Arial" w:cs="Arial"/>
          <w:sz w:val="20"/>
          <w:szCs w:val="20"/>
        </w:rPr>
        <w:t xml:space="preserve"> which was less than the prescribed statutory minimum.  At [73]</w:t>
      </w:r>
      <w:r w:rsidR="00133604">
        <w:rPr>
          <w:rFonts w:ascii="Arial" w:hAnsi="Arial" w:cs="Arial"/>
          <w:sz w:val="20"/>
          <w:szCs w:val="20"/>
        </w:rPr>
        <w:t xml:space="preserve"> Taylor JA (with whom Priest &amp; Kaye JJA agreed) s</w:t>
      </w:r>
      <w:r w:rsidR="00BA3232">
        <w:rPr>
          <w:rFonts w:ascii="Arial" w:hAnsi="Arial" w:cs="Arial"/>
          <w:sz w:val="20"/>
          <w:szCs w:val="20"/>
        </w:rPr>
        <w:t>aid</w:t>
      </w:r>
      <w:r w:rsidR="00133604">
        <w:rPr>
          <w:rFonts w:ascii="Arial" w:hAnsi="Arial" w:cs="Arial"/>
          <w:sz w:val="20"/>
          <w:szCs w:val="20"/>
        </w:rPr>
        <w:t>:</w:t>
      </w:r>
    </w:p>
    <w:p w14:paraId="78C4FA69" w14:textId="5E1E6D58" w:rsidR="00346CB0" w:rsidRDefault="00133604" w:rsidP="00797002">
      <w:pPr>
        <w:pStyle w:val="Normal-Indent"/>
        <w:widowControl/>
        <w:spacing w:before="60" w:line="240" w:lineRule="auto"/>
        <w:ind w:left="567" w:right="567"/>
        <w:rPr>
          <w:rFonts w:ascii="Arial" w:hAnsi="Arial" w:cs="Arial"/>
          <w:sz w:val="20"/>
        </w:rPr>
      </w:pPr>
      <w:r>
        <w:rPr>
          <w:rFonts w:ascii="Arial" w:hAnsi="Arial" w:cs="Arial"/>
          <w:sz w:val="20"/>
        </w:rPr>
        <w:t>“</w:t>
      </w:r>
      <w:r w:rsidR="00346CB0" w:rsidRPr="009F050C">
        <w:rPr>
          <w:rFonts w:ascii="Arial" w:hAnsi="Arial" w:cs="Arial"/>
          <w:sz w:val="20"/>
        </w:rPr>
        <w:t>It is to be noted that the applicant’s counsel correctly conceded on the plea that the applicant’s offending was in the ‘mid-range’ of objective seriousness.</w:t>
      </w:r>
      <w:r w:rsidR="00346CB0">
        <w:rPr>
          <w:rFonts w:ascii="Arial" w:hAnsi="Arial" w:cs="Arial"/>
          <w:sz w:val="20"/>
        </w:rPr>
        <w:t xml:space="preserve"> </w:t>
      </w:r>
      <w:r w:rsidR="00346CB0" w:rsidRPr="009F050C">
        <w:rPr>
          <w:rFonts w:ascii="Arial" w:hAnsi="Arial" w:cs="Arial"/>
          <w:sz w:val="20"/>
        </w:rPr>
        <w:t xml:space="preserve"> Ordinarily, such objectively serious offending would warrant a sentence in excess of the statutory minimum, notwithstanding the reductions available pursuant to s 16AAC(3) of the </w:t>
      </w:r>
      <w:r w:rsidR="00346CB0" w:rsidRPr="00133604">
        <w:rPr>
          <w:rFonts w:ascii="Arial" w:hAnsi="Arial" w:cs="Arial"/>
          <w:i/>
          <w:iCs/>
          <w:sz w:val="20"/>
        </w:rPr>
        <w:t>Crimes Act</w:t>
      </w:r>
      <w:r w:rsidRPr="005C0E61">
        <w:rPr>
          <w:rFonts w:ascii="Arial" w:hAnsi="Arial" w:cs="Arial"/>
          <w:i/>
          <w:iCs/>
          <w:sz w:val="20"/>
        </w:rPr>
        <w:t xml:space="preserve"> </w:t>
      </w:r>
      <w:r w:rsidR="005C0E61" w:rsidRPr="005C0E61">
        <w:rPr>
          <w:rFonts w:ascii="Arial" w:hAnsi="Arial" w:cs="Arial"/>
          <w:i/>
          <w:iCs/>
          <w:sz w:val="20"/>
        </w:rPr>
        <w:t xml:space="preserve">1914 </w:t>
      </w:r>
      <w:r w:rsidR="005C0E61">
        <w:rPr>
          <w:rFonts w:ascii="Arial" w:hAnsi="Arial" w:cs="Arial"/>
          <w:sz w:val="20"/>
        </w:rPr>
        <w:t>(</w:t>
      </w:r>
      <w:r>
        <w:rPr>
          <w:rFonts w:ascii="Arial" w:hAnsi="Arial" w:cs="Arial"/>
          <w:sz w:val="20"/>
        </w:rPr>
        <w:t>Cth</w:t>
      </w:r>
      <w:r w:rsidR="005C0E61">
        <w:rPr>
          <w:rFonts w:ascii="Arial" w:hAnsi="Arial" w:cs="Arial"/>
          <w:sz w:val="20"/>
        </w:rPr>
        <w:t>)</w:t>
      </w:r>
      <w:r>
        <w:rPr>
          <w:rFonts w:ascii="Arial" w:hAnsi="Arial" w:cs="Arial"/>
          <w:sz w:val="20"/>
        </w:rPr>
        <w:t xml:space="preserve">. </w:t>
      </w:r>
      <w:r w:rsidR="00346CB0" w:rsidRPr="009F050C">
        <w:rPr>
          <w:rFonts w:ascii="Arial" w:hAnsi="Arial" w:cs="Arial"/>
          <w:sz w:val="20"/>
        </w:rPr>
        <w:t xml:space="preserve"> However, the exceptional subjective circumstances of the applicant’s case, in combination with the reductions the applicant is entitled to in accordance with s</w:t>
      </w:r>
      <w:r w:rsidR="00346CB0">
        <w:rPr>
          <w:rFonts w:ascii="Arial" w:hAnsi="Arial" w:cs="Arial"/>
          <w:sz w:val="20"/>
        </w:rPr>
        <w:t>.</w:t>
      </w:r>
      <w:r w:rsidR="00346CB0" w:rsidRPr="009F050C">
        <w:rPr>
          <w:rFonts w:ascii="Arial" w:hAnsi="Arial" w:cs="Arial"/>
          <w:sz w:val="20"/>
        </w:rPr>
        <w:t>16AAC(3), have compelled me to reach the conclusion that in the unique circumstances of this case it is appropriate to impose a sentence that is less than the statutory minimum.</w:t>
      </w:r>
      <w:r>
        <w:rPr>
          <w:rFonts w:ascii="Arial" w:hAnsi="Arial" w:cs="Arial"/>
          <w:sz w:val="20"/>
        </w:rPr>
        <w:t>”</w:t>
      </w:r>
    </w:p>
    <w:p w14:paraId="1F436D4E" w14:textId="77777777" w:rsidR="00346CB0" w:rsidRDefault="00346CB0" w:rsidP="005A587F">
      <w:pPr>
        <w:jc w:val="both"/>
        <w:rPr>
          <w:rFonts w:ascii="Arial" w:hAnsi="Arial" w:cs="Arial"/>
          <w:sz w:val="20"/>
          <w:szCs w:val="20"/>
        </w:rPr>
      </w:pPr>
    </w:p>
    <w:p w14:paraId="1765E014" w14:textId="7192548D" w:rsidR="00E161EE" w:rsidRDefault="00133604" w:rsidP="005A587F">
      <w:pPr>
        <w:jc w:val="both"/>
        <w:rPr>
          <w:rFonts w:ascii="Arial" w:hAnsi="Arial" w:cs="Arial"/>
          <w:sz w:val="20"/>
          <w:szCs w:val="20"/>
        </w:rPr>
      </w:pPr>
      <w:r>
        <w:rPr>
          <w:rFonts w:ascii="Arial" w:hAnsi="Arial" w:cs="Arial"/>
          <w:sz w:val="20"/>
          <w:szCs w:val="20"/>
        </w:rPr>
        <w:t xml:space="preserve">At [40]-[44] Taylor JA detailed the </w:t>
      </w:r>
      <w:r w:rsidR="00EE27AF">
        <w:rPr>
          <w:rFonts w:ascii="Arial" w:hAnsi="Arial" w:cs="Arial"/>
          <w:sz w:val="20"/>
          <w:szCs w:val="20"/>
        </w:rPr>
        <w:t xml:space="preserve">general </w:t>
      </w:r>
      <w:r>
        <w:rPr>
          <w:rFonts w:ascii="Arial" w:hAnsi="Arial" w:cs="Arial"/>
          <w:sz w:val="20"/>
          <w:szCs w:val="20"/>
        </w:rPr>
        <w:t xml:space="preserve">approach to sentencing for </w:t>
      </w:r>
      <w:r w:rsidR="00794A61">
        <w:rPr>
          <w:rFonts w:ascii="Arial" w:hAnsi="Arial" w:cs="Arial"/>
          <w:sz w:val="20"/>
          <w:szCs w:val="20"/>
        </w:rPr>
        <w:t xml:space="preserve">Commonwealth </w:t>
      </w:r>
      <w:r>
        <w:rPr>
          <w:rFonts w:ascii="Arial" w:hAnsi="Arial" w:cs="Arial"/>
          <w:sz w:val="20"/>
          <w:szCs w:val="20"/>
        </w:rPr>
        <w:t>offences with statutory minimum terms of imprisonment as follows:</w:t>
      </w:r>
    </w:p>
    <w:p w14:paraId="233F6518" w14:textId="45D4B05C" w:rsidR="00133604" w:rsidRDefault="00133604" w:rsidP="005C0E61">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40</w:t>
      </w:r>
      <w:r>
        <w:rPr>
          <w:rFonts w:ascii="Arial" w:hAnsi="Arial" w:cs="Arial"/>
          <w:sz w:val="20"/>
        </w:rPr>
        <w:t>]</w:t>
      </w:r>
      <w:r w:rsidR="00E161EE" w:rsidRPr="00E161EE">
        <w:rPr>
          <w:rFonts w:ascii="Arial" w:hAnsi="Arial" w:cs="Arial"/>
          <w:sz w:val="20"/>
        </w:rPr>
        <w:t xml:space="preserve"> Following </w:t>
      </w:r>
      <w:r w:rsidR="00E161EE" w:rsidRPr="005C0E61">
        <w:rPr>
          <w:rFonts w:ascii="Arial" w:hAnsi="Arial" w:cs="Arial"/>
          <w:i/>
          <w:iCs/>
          <w:sz w:val="20"/>
        </w:rPr>
        <w:t>Hurt</w:t>
      </w:r>
      <w:r w:rsidR="005C0E61" w:rsidRPr="005C0E61">
        <w:rPr>
          <w:rFonts w:ascii="Arial" w:hAnsi="Arial" w:cs="Arial"/>
          <w:i/>
          <w:iCs/>
          <w:sz w:val="20"/>
        </w:rPr>
        <w:t xml:space="preserve"> v The King; Delzotto v The King</w:t>
      </w:r>
      <w:r w:rsidR="005C0E61">
        <w:rPr>
          <w:rFonts w:ascii="Arial" w:hAnsi="Arial" w:cs="Arial"/>
          <w:sz w:val="20"/>
        </w:rPr>
        <w:t xml:space="preserve"> [2024] HCA 8 (‘</w:t>
      </w:r>
      <w:r w:rsidR="005C0E61" w:rsidRPr="005C0E61">
        <w:rPr>
          <w:rFonts w:ascii="Arial" w:hAnsi="Arial" w:cs="Arial"/>
          <w:i/>
          <w:iCs/>
          <w:sz w:val="20"/>
        </w:rPr>
        <w:t>Hurt</w:t>
      </w:r>
      <w:r w:rsidR="005C0E61">
        <w:rPr>
          <w:rFonts w:ascii="Arial" w:hAnsi="Arial" w:cs="Arial"/>
          <w:sz w:val="20"/>
        </w:rPr>
        <w:t>’)</w:t>
      </w:r>
      <w:r w:rsidR="00E161EE" w:rsidRPr="00E161EE">
        <w:rPr>
          <w:rFonts w:ascii="Arial" w:hAnsi="Arial" w:cs="Arial"/>
          <w:sz w:val="20"/>
        </w:rPr>
        <w:t>, it is beyond doubt that the correct approach to statutory minimum sentences is the ‘double function’ approach. That is, the minimum sentence restricts sentencing power to the minimum period of imprisonment, subject to the exceptions, and provides a yardstick representing ‘the least worst possible case warranting imprisonment against which the case before the court at the time can be measured’</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[39]} or </w:t>
      </w:r>
      <w:r w:rsidR="00E161EE" w:rsidRPr="00E161EE">
        <w:rPr>
          <w:rFonts w:ascii="Arial" w:hAnsi="Arial" w:cs="Arial"/>
          <w:sz w:val="20"/>
        </w:rPr>
        <w:t>‘the offence in the least serious circumstances’</w:t>
      </w:r>
      <w:r w:rsidR="005C0E61">
        <w:rPr>
          <w:rFonts w:ascii="Arial" w:hAnsi="Arial" w:cs="Arial"/>
          <w:sz w:val="20"/>
        </w:rPr>
        <w:t xml:space="preserve"> {</w:t>
      </w:r>
      <w:r w:rsidR="005C0E61" w:rsidRPr="00794A61">
        <w:rPr>
          <w:rFonts w:ascii="Arial" w:hAnsi="Arial" w:cs="Arial"/>
          <w:i/>
          <w:iCs/>
          <w:sz w:val="20"/>
        </w:rPr>
        <w:t>Hurt</w:t>
      </w:r>
      <w:r w:rsidR="005C0E61">
        <w:rPr>
          <w:rFonts w:ascii="Arial" w:hAnsi="Arial" w:cs="Arial"/>
          <w:sz w:val="20"/>
        </w:rPr>
        <w:t xml:space="preserve"> at [54]}</w:t>
      </w:r>
      <w:r w:rsidR="00E161EE" w:rsidRPr="00E161EE">
        <w:rPr>
          <w:rFonts w:ascii="Arial" w:hAnsi="Arial" w:cs="Arial"/>
          <w:sz w:val="20"/>
        </w:rPr>
        <w:t>. Thereby the statutory minimum operates to increase the appropriate term of imprisonment generally for that offence</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[43]}</w:t>
      </w:r>
      <w:r w:rsidR="00E161EE" w:rsidRPr="00E161EE">
        <w:rPr>
          <w:rFonts w:ascii="Arial" w:hAnsi="Arial" w:cs="Arial"/>
          <w:sz w:val="20"/>
        </w:rPr>
        <w:t>.</w:t>
      </w:r>
    </w:p>
    <w:p w14:paraId="6E18FF58" w14:textId="1053020D" w:rsidR="00133604" w:rsidRDefault="00133604" w:rsidP="00133604">
      <w:pPr>
        <w:pStyle w:val="Normal-Indent"/>
        <w:spacing w:before="60" w:line="240" w:lineRule="auto"/>
        <w:ind w:left="567" w:right="567"/>
        <w:rPr>
          <w:rFonts w:ascii="Arial" w:hAnsi="Arial" w:cs="Arial"/>
          <w:sz w:val="20"/>
        </w:rPr>
      </w:pPr>
      <w:r>
        <w:rPr>
          <w:rFonts w:ascii="Arial" w:hAnsi="Arial" w:cs="Arial"/>
          <w:sz w:val="20"/>
        </w:rPr>
        <w:t xml:space="preserve">[41] </w:t>
      </w:r>
      <w:r w:rsidR="00E161EE" w:rsidRPr="00E161EE">
        <w:rPr>
          <w:rFonts w:ascii="Arial" w:hAnsi="Arial" w:cs="Arial"/>
          <w:sz w:val="20"/>
        </w:rPr>
        <w:t>Nonetheless, in very limited circumstances, where an adult</w:t>
      </w:r>
      <w:r w:rsidR="005C0E61">
        <w:rPr>
          <w:rFonts w:ascii="Arial" w:hAnsi="Arial" w:cs="Arial"/>
          <w:sz w:val="20"/>
        </w:rPr>
        <w:t xml:space="preserve"> under s.16AAC(1) </w:t>
      </w:r>
      <w:r w:rsidR="005C0E61" w:rsidRPr="00794A61">
        <w:rPr>
          <w:rFonts w:ascii="Arial" w:hAnsi="Arial" w:cs="Arial"/>
          <w:i/>
          <w:iCs/>
          <w:sz w:val="20"/>
        </w:rPr>
        <w:t xml:space="preserve">Crimes Act </w:t>
      </w:r>
      <w:r w:rsidR="00794A61" w:rsidRPr="00794A61">
        <w:rPr>
          <w:rFonts w:ascii="Arial" w:hAnsi="Arial" w:cs="Arial"/>
          <w:i/>
          <w:iCs/>
          <w:sz w:val="20"/>
        </w:rPr>
        <w:t>1914</w:t>
      </w:r>
      <w:r w:rsidR="00794A61">
        <w:rPr>
          <w:rFonts w:ascii="Arial" w:hAnsi="Arial" w:cs="Arial"/>
          <w:sz w:val="20"/>
        </w:rPr>
        <w:t xml:space="preserve"> (Cth) </w:t>
      </w:r>
      <w:r w:rsidR="00E161EE" w:rsidRPr="00E161EE">
        <w:rPr>
          <w:rFonts w:ascii="Arial" w:hAnsi="Arial" w:cs="Arial"/>
          <w:sz w:val="20"/>
        </w:rPr>
        <w:t xml:space="preserve">falls to be sentenced for an offence which attracts a minimum term, sub-section 16AAC(2) of the </w:t>
      </w:r>
      <w:r w:rsidR="00E161EE" w:rsidRPr="00794A61">
        <w:rPr>
          <w:rFonts w:ascii="Arial" w:hAnsi="Arial" w:cs="Arial"/>
          <w:i/>
          <w:iCs/>
          <w:sz w:val="20"/>
        </w:rPr>
        <w:t>Crimes Act</w:t>
      </w:r>
      <w:r w:rsidR="00E161EE" w:rsidRPr="00E161EE">
        <w:rPr>
          <w:rFonts w:ascii="Arial" w:hAnsi="Arial" w:cs="Arial"/>
          <w:sz w:val="20"/>
        </w:rPr>
        <w:t xml:space="preserve"> allows a court to impose a sentence of imprisonment of less than the prescribed minimum. Those circumstances arise ‘only if the court considers it appropriate’ because that person has pleaded guilty or cooperated with law enforcement agencies or both. Sub-section 16AAC(3) then prescribes the manner in which any such reduction is to be made. For either a plea of guilty or cooperation, the court may reduce the sentence by an amount that is up to 25% of the prescribed minimum. If both factors are operative, the court may reduce the sentence by an amount that is up to 50% of the prescribed minimum</w:t>
      </w:r>
      <w:r w:rsidR="00794A61">
        <w:rPr>
          <w:rFonts w:ascii="Arial" w:hAnsi="Arial" w:cs="Arial"/>
          <w:sz w:val="20"/>
        </w:rPr>
        <w:t>: s.16AAC(3)(c).</w:t>
      </w:r>
    </w:p>
    <w:p w14:paraId="7BA12117" w14:textId="77777777" w:rsidR="00794A61" w:rsidRDefault="00133604"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42</w:t>
      </w:r>
      <w:r>
        <w:rPr>
          <w:rFonts w:ascii="Arial" w:hAnsi="Arial" w:cs="Arial"/>
          <w:sz w:val="20"/>
        </w:rPr>
        <w:t>]</w:t>
      </w:r>
      <w:r w:rsidR="00E161EE" w:rsidRPr="00E161EE">
        <w:rPr>
          <w:rFonts w:ascii="Arial" w:hAnsi="Arial" w:cs="Arial"/>
          <w:sz w:val="20"/>
        </w:rPr>
        <w:t xml:space="preserve"> It follows that the reductions available for a plea of guilty and/or cooperation with law enforcement agencies do not automatically result in a sentence below the statutory minimum. </w:t>
      </w:r>
      <w:r w:rsidR="00794A61">
        <w:rPr>
          <w:rFonts w:ascii="Arial" w:hAnsi="Arial" w:cs="Arial"/>
          <w:sz w:val="20"/>
        </w:rPr>
        <w:t xml:space="preserve"> </w:t>
      </w:r>
      <w:r w:rsidR="00E161EE" w:rsidRPr="00E161EE">
        <w:rPr>
          <w:rFonts w:ascii="Arial" w:hAnsi="Arial" w:cs="Arial"/>
          <w:sz w:val="20"/>
        </w:rPr>
        <w:t>A plea of guilty and cooperation are matters which if ‘relevant and known to the court’ must always be taken into account in passing sentence ‘of an order that is of a severity appropriate in all the circumstances’</w:t>
      </w:r>
      <w:r w:rsidR="00794A61">
        <w:rPr>
          <w:rFonts w:ascii="Arial" w:hAnsi="Arial" w:cs="Arial"/>
          <w:sz w:val="20"/>
        </w:rPr>
        <w:t xml:space="preserve"> {s.16A(1)}</w:t>
      </w:r>
      <w:r w:rsidR="00E161EE" w:rsidRPr="00E161EE">
        <w:rPr>
          <w:rFonts w:ascii="Arial" w:hAnsi="Arial" w:cs="Arial"/>
          <w:sz w:val="20"/>
        </w:rPr>
        <w:t xml:space="preserve"> pursuant to paragraphs 16A(2)(g) and 16A(2)(h) of the </w:t>
      </w:r>
      <w:r w:rsidR="00E161EE" w:rsidRPr="00794A61">
        <w:rPr>
          <w:rFonts w:ascii="Arial" w:hAnsi="Arial" w:cs="Arial"/>
          <w:i/>
          <w:iCs/>
          <w:sz w:val="20"/>
        </w:rPr>
        <w:t>Crimes Act</w:t>
      </w:r>
      <w:r w:rsidR="00E161EE" w:rsidRPr="00E161EE">
        <w:rPr>
          <w:rFonts w:ascii="Arial" w:hAnsi="Arial" w:cs="Arial"/>
          <w:sz w:val="20"/>
        </w:rPr>
        <w:t xml:space="preserve"> respectively. As explained by Gageler CJ and Jagot J in </w:t>
      </w:r>
      <w:r w:rsidR="00E161EE" w:rsidRPr="00EE27AF">
        <w:rPr>
          <w:rFonts w:ascii="Arial" w:hAnsi="Arial" w:cs="Arial"/>
          <w:i/>
          <w:iCs/>
          <w:sz w:val="20"/>
        </w:rPr>
        <w:t>Hurt</w:t>
      </w:r>
      <w:r w:rsidR="00EE27AF">
        <w:rPr>
          <w:rFonts w:ascii="Arial" w:hAnsi="Arial" w:cs="Arial"/>
          <w:sz w:val="20"/>
        </w:rPr>
        <w:t xml:space="preserve"> at [39]</w:t>
      </w:r>
      <w:r w:rsidR="00E161EE" w:rsidRPr="00E161EE">
        <w:rPr>
          <w:rFonts w:ascii="Arial" w:hAnsi="Arial" w:cs="Arial"/>
          <w:sz w:val="20"/>
        </w:rPr>
        <w:t>:</w:t>
      </w:r>
    </w:p>
    <w:p w14:paraId="5612D9F1" w14:textId="270104F5" w:rsidR="00794A61" w:rsidRPr="00BA3232" w:rsidRDefault="00E161EE" w:rsidP="00794A61">
      <w:pPr>
        <w:pStyle w:val="Normal-Indent"/>
        <w:spacing w:before="60" w:line="240" w:lineRule="auto"/>
        <w:ind w:left="1021" w:right="1021"/>
        <w:rPr>
          <w:rFonts w:ascii="Arial" w:hAnsi="Arial" w:cs="Arial"/>
          <w:sz w:val="18"/>
          <w:szCs w:val="18"/>
        </w:rPr>
      </w:pPr>
      <w:r w:rsidRPr="00E161EE">
        <w:rPr>
          <w:rFonts w:ascii="Arial" w:hAnsi="Arial" w:cs="Arial"/>
          <w:sz w:val="20"/>
        </w:rPr>
        <w:t>the reduction in s 16AAC(2) and (3) is available to all offenders who have pleaded guilty or who have cooperated with law enforcement agencies whether that reduction would decrease the sentence below the statutory minimum or not.</w:t>
      </w:r>
    </w:p>
    <w:p w14:paraId="5950661C" w14:textId="0634E824" w:rsidR="00BA3232" w:rsidRDefault="00BA3232"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43</w:t>
      </w:r>
      <w:r>
        <w:rPr>
          <w:rFonts w:ascii="Arial" w:hAnsi="Arial" w:cs="Arial"/>
          <w:sz w:val="20"/>
        </w:rPr>
        <w:t>]</w:t>
      </w:r>
      <w:r w:rsidR="00E161EE" w:rsidRPr="00E161EE">
        <w:rPr>
          <w:rFonts w:ascii="Arial" w:hAnsi="Arial" w:cs="Arial"/>
          <w:sz w:val="20"/>
        </w:rPr>
        <w:t xml:space="preserve"> Thus, as stated by Edelman, Steward and Gleeson JJ</w:t>
      </w:r>
      <w:r>
        <w:rPr>
          <w:rFonts w:ascii="Arial" w:hAnsi="Arial" w:cs="Arial"/>
          <w:sz w:val="20"/>
        </w:rPr>
        <w:t xml:space="preserve"> at [104]</w:t>
      </w:r>
      <w:r w:rsidR="00E161EE" w:rsidRPr="00E161EE">
        <w:rPr>
          <w:rFonts w:ascii="Arial" w:hAnsi="Arial" w:cs="Arial"/>
          <w:sz w:val="20"/>
        </w:rPr>
        <w:t>:</w:t>
      </w:r>
    </w:p>
    <w:p w14:paraId="252B6F60" w14:textId="7DA0D1BB" w:rsidR="00BA3232" w:rsidRPr="00BA3232" w:rsidRDefault="00BA3232" w:rsidP="00BA3232">
      <w:pPr>
        <w:pStyle w:val="Normal-Indent"/>
        <w:spacing w:before="60" w:line="240" w:lineRule="auto"/>
        <w:ind w:left="1021" w:right="1021"/>
        <w:rPr>
          <w:rFonts w:ascii="Arial" w:hAnsi="Arial" w:cs="Arial"/>
          <w:sz w:val="18"/>
          <w:szCs w:val="18"/>
        </w:rPr>
      </w:pPr>
      <w:r>
        <w:rPr>
          <w:rFonts w:ascii="Arial" w:hAnsi="Arial" w:cs="Arial"/>
          <w:sz w:val="18"/>
          <w:szCs w:val="18"/>
        </w:rPr>
        <w:t>‘</w:t>
      </w:r>
      <w:r w:rsidR="00E161EE" w:rsidRPr="00BA3232">
        <w:rPr>
          <w:rFonts w:ascii="Arial" w:hAnsi="Arial" w:cs="Arial"/>
          <w:sz w:val="18"/>
          <w:szCs w:val="18"/>
        </w:rPr>
        <w:t>The exceptional circumstances in which a discount can lead to a sentence of imprisonment below the minimum prescribed sentence do not detract from the role of the minimum sentence as a yardstick. Rather, the process contemplated by s 16AAC reinforces the yardstick role of the minimum sentence. The discretion in s 16AAC(2) applies where it is ‘appropriate to reduce the sentence’, implying that a legitimate procedure will involve determining a prima facie sentence with the use of the prescribed minimum sentence as a yardstick, prior to considering the discount. The subsequent and transparent consideration of the discounts in s 16A(2)(g) (plea of guilty) and s 16A(2)(h) (co-operation with law enforcement agencies) reinforces the utilitarian goals underlying those considerations.</w:t>
      </w:r>
      <w:r>
        <w:rPr>
          <w:rFonts w:ascii="Arial" w:hAnsi="Arial" w:cs="Arial"/>
          <w:sz w:val="18"/>
          <w:szCs w:val="18"/>
        </w:rPr>
        <w:t>’</w:t>
      </w:r>
    </w:p>
    <w:p w14:paraId="21AD744C" w14:textId="3E00E458" w:rsidR="00BA3232" w:rsidRDefault="00BA3232" w:rsidP="00BA3232">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44</w:t>
      </w:r>
      <w:r>
        <w:rPr>
          <w:rFonts w:ascii="Arial" w:hAnsi="Arial" w:cs="Arial"/>
          <w:sz w:val="20"/>
        </w:rPr>
        <w:t>]</w:t>
      </w:r>
      <w:r w:rsidR="00E161EE" w:rsidRPr="00E161EE">
        <w:rPr>
          <w:rFonts w:ascii="Arial" w:hAnsi="Arial" w:cs="Arial"/>
          <w:sz w:val="20"/>
        </w:rPr>
        <w:t xml:space="preserve"> In other words, an offender who has neither pleaded guilty nor cooperated in the relevant sense cannot receive a sentence that is less than the statutory minimum. Because of the practical benefits to the legal system of an offender pleading guilty and/or </w:t>
      </w:r>
      <w:r w:rsidR="00E161EE" w:rsidRPr="00E161EE">
        <w:rPr>
          <w:rFonts w:ascii="Arial" w:hAnsi="Arial" w:cs="Arial"/>
          <w:sz w:val="20"/>
        </w:rPr>
        <w:lastRenderedPageBreak/>
        <w:t>assisting authorities in the investigation of their own offending or child sexual offending generally, an offender who has done one or both of those things may, but not must, receive a sentence less than the statutory minimum. The sentencing process requires the judge to determine a prima facie sentence – which involves (but is not limited to) consideration of the offending measured against the yardstick minimum term which is for the ‘least worst possible case’ deserving of imprisonment – and then to overtly consider whether the fact and quality of either the plea or cooperation or both renders it ‘appropriate’ in all the circumstances to impose a sentence less than the prescribed minimum. This does not involve ‘double counting’ of a guilty plea and/or cooperation. Rather, it requires a sentencing judge to separately and expressly consider whether the instinctive synthesis of all relevant sentencing considerations has given adequate expression to those matters if the sentence remains at or above the statutory minimum. In all cases an offender who has pleaded guilty and/or cooperated with law enforcement agencies will receive a benefit for the plea and cooperation. In only some cases will that benefit extend to a sentence of imprisonment of less than the minimum term.</w:t>
      </w:r>
      <w:r w:rsidR="005C0E61">
        <w:rPr>
          <w:rFonts w:ascii="Arial" w:hAnsi="Arial" w:cs="Arial"/>
          <w:sz w:val="20"/>
        </w:rPr>
        <w:t>”</w:t>
      </w:r>
    </w:p>
    <w:p w14:paraId="59A3D58D" w14:textId="641083F8" w:rsidR="00AF33FE" w:rsidRPr="00053005" w:rsidRDefault="00E378B2" w:rsidP="002A5E31">
      <w:pPr>
        <w:jc w:val="center"/>
        <w:rPr>
          <w:rFonts w:ascii="Arial" w:hAnsi="Arial" w:cs="Arial"/>
          <w:color w:val="000000"/>
          <w:sz w:val="20"/>
        </w:rPr>
      </w:pPr>
      <w:bookmarkStart w:id="1134" w:name="_Hlk169171447"/>
      <w:bookmarkEnd w:id="1132"/>
      <w:r>
        <w:rPr>
          <w:noProof/>
          <w:sz w:val="20"/>
        </w:rPr>
        <w:drawing>
          <wp:inline distT="0" distB="0" distL="0" distR="0" wp14:anchorId="352CF527" wp14:editId="2BF7FF79">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bookmarkEnd w:id="1134"/>
    </w:p>
    <w:sectPr w:rsidR="00AF33FE" w:rsidRPr="00053005" w:rsidSect="00C570D9">
      <w:footerReference w:type="default" r:id="rId59"/>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A8309" w14:textId="77777777" w:rsidR="00893F61" w:rsidRDefault="00893F61">
      <w:r>
        <w:separator/>
      </w:r>
    </w:p>
  </w:endnote>
  <w:endnote w:type="continuationSeparator" w:id="0">
    <w:p w14:paraId="27980579" w14:textId="77777777" w:rsidR="00893F61" w:rsidRDefault="00893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CF8D9" w14:textId="77777777" w:rsidR="00A1066C" w:rsidRDefault="00A106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3763" w14:textId="6EAA116D"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2AFCE2AD"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1B76BC">
      <w:rPr>
        <w:rStyle w:val="PageNumber"/>
        <w:rFonts w:ascii="Arial" w:hAnsi="Arial" w:cs="Arial"/>
        <w:b/>
        <w:bCs/>
        <w:color w:val="000000"/>
        <w:sz w:val="16"/>
      </w:rPr>
      <w:t>1</w:t>
    </w:r>
    <w:r w:rsidR="00A1066C">
      <w:rPr>
        <w:rStyle w:val="PageNumber"/>
        <w:rFonts w:ascii="Arial" w:hAnsi="Arial" w:cs="Arial"/>
        <w:b/>
        <w:bCs/>
        <w:color w:val="000000"/>
        <w:sz w:val="16"/>
      </w:rPr>
      <w:t>4 April</w:t>
    </w:r>
    <w:r w:rsidR="00B1063D">
      <w:rPr>
        <w:rStyle w:val="PageNumber"/>
        <w:rFonts w:ascii="Arial" w:hAnsi="Arial" w:cs="Arial"/>
        <w:b/>
        <w:bCs/>
        <w:color w:val="000000"/>
        <w:sz w:val="16"/>
      </w:rPr>
      <w:t xml:space="preserve"> 2025</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06DD4" w14:textId="77777777" w:rsidR="00A1066C" w:rsidRDefault="00A106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6EDCC47F"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1B76BC">
      <w:rPr>
        <w:rStyle w:val="PageNumber"/>
        <w:rFonts w:ascii="Arial" w:hAnsi="Arial" w:cs="Arial"/>
        <w:b/>
        <w:bCs/>
        <w:color w:val="000000"/>
        <w:sz w:val="16"/>
      </w:rPr>
      <w:t>1</w:t>
    </w:r>
    <w:r w:rsidR="00A1066C">
      <w:rPr>
        <w:rStyle w:val="PageNumber"/>
        <w:rFonts w:ascii="Arial" w:hAnsi="Arial" w:cs="Arial"/>
        <w:b/>
        <w:bCs/>
        <w:color w:val="000000"/>
        <w:sz w:val="16"/>
      </w:rPr>
      <w:t>4 April</w:t>
    </w:r>
    <w:r w:rsidR="00B1063D">
      <w:rPr>
        <w:rStyle w:val="PageNumber"/>
        <w:rFonts w:ascii="Arial" w:hAnsi="Arial" w:cs="Arial"/>
        <w:b/>
        <w:bCs/>
        <w:color w:val="000000"/>
        <w:sz w:val="16"/>
      </w:rPr>
      <w:t xml:space="preserve"> 2025</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D47C7" w14:textId="77777777" w:rsidR="00893F61" w:rsidRDefault="00893F61">
      <w:r>
        <w:separator/>
      </w:r>
    </w:p>
  </w:footnote>
  <w:footnote w:type="continuationSeparator" w:id="0">
    <w:p w14:paraId="00D1D429" w14:textId="77777777" w:rsidR="00893F61" w:rsidRDefault="00893F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859D3" w14:textId="77777777" w:rsidR="00A1066C" w:rsidRDefault="00A106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D6797" w14:textId="77777777" w:rsidR="00A1066C" w:rsidRDefault="00A106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136FE" w14:textId="77777777" w:rsidR="00A1066C" w:rsidRDefault="00A106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D3698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C85AA24C"/>
    <w:lvl w:ilvl="0">
      <w:numFmt w:val="decimal"/>
      <w:lvlText w:val="*"/>
      <w:lvlJc w:val="left"/>
    </w:lvl>
  </w:abstractNum>
  <w:abstractNum w:abstractNumId="2"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C05101"/>
    <w:multiLevelType w:val="hybridMultilevel"/>
    <w:tmpl w:val="EEB2C13E"/>
    <w:lvl w:ilvl="0" w:tplc="0E5089D0">
      <w:start w:val="1"/>
      <w:numFmt w:val="decimal"/>
      <w:lvlText w:val="(%1)"/>
      <w:lvlJc w:val="left"/>
      <w:pPr>
        <w:ind w:left="774" w:hanging="360"/>
      </w:pPr>
      <w:rPr>
        <w:rFonts w:ascii="Arial" w:eastAsia="Times New Roman" w:hAnsi="Arial" w:cs="Arial"/>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3C003E"/>
    <w:multiLevelType w:val="hybridMultilevel"/>
    <w:tmpl w:val="EEF84C96"/>
    <w:lvl w:ilvl="0" w:tplc="EF8E9C7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0A837FE1"/>
    <w:multiLevelType w:val="hybridMultilevel"/>
    <w:tmpl w:val="42EA7CD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DB93302"/>
    <w:multiLevelType w:val="hybridMultilevel"/>
    <w:tmpl w:val="25C45A4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4BA4A8F"/>
    <w:multiLevelType w:val="hybridMultilevel"/>
    <w:tmpl w:val="876EE70C"/>
    <w:lvl w:ilvl="0" w:tplc="3530BE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3"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6DD48C5"/>
    <w:multiLevelType w:val="hybridMultilevel"/>
    <w:tmpl w:val="70FCE756"/>
    <w:lvl w:ilvl="0" w:tplc="5796AE2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5"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6" w15:restartNumberingAfterBreak="0">
    <w:nsid w:val="17E2773D"/>
    <w:multiLevelType w:val="hybridMultilevel"/>
    <w:tmpl w:val="56C8CD6E"/>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30"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C9F3001"/>
    <w:multiLevelType w:val="multilevel"/>
    <w:tmpl w:val="A0149F0A"/>
    <w:lvl w:ilvl="0">
      <w:start w:val="1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6"/>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4"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2792C6C"/>
    <w:multiLevelType w:val="hybridMultilevel"/>
    <w:tmpl w:val="B1046106"/>
    <w:lvl w:ilvl="0" w:tplc="5C849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4A2130E"/>
    <w:multiLevelType w:val="hybridMultilevel"/>
    <w:tmpl w:val="B26091D4"/>
    <w:lvl w:ilvl="0" w:tplc="17D6E696">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8" w15:restartNumberingAfterBreak="0">
    <w:nsid w:val="270B067B"/>
    <w:multiLevelType w:val="hybridMultilevel"/>
    <w:tmpl w:val="1E6C6506"/>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EDBE4850">
      <w:start w:val="1"/>
      <w:numFmt w:val="decimal"/>
      <w:lvlText w:val="(%5)"/>
      <w:lvlJc w:val="left"/>
      <w:pPr>
        <w:ind w:left="3600" w:hanging="360"/>
      </w:pPr>
      <w:rPr>
        <w:rFonts w:hint="default"/>
      </w:rPr>
    </w:lvl>
    <w:lvl w:ilvl="5" w:tplc="A004447C">
      <w:start w:val="1"/>
      <w:numFmt w:val="lowerLetter"/>
      <w:lvlText w:val="(%6)"/>
      <w:lvlJc w:val="left"/>
      <w:pPr>
        <w:ind w:left="4500" w:hanging="360"/>
      </w:pPr>
      <w:rPr>
        <w:rFonts w:hint="default"/>
        <w:color w:val="auto"/>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B12143D"/>
    <w:multiLevelType w:val="hybridMultilevel"/>
    <w:tmpl w:val="BC20B1D4"/>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9BA8164A">
      <w:start w:val="48"/>
      <w:numFmt w:val="bullet"/>
      <w:lvlText w:val="-"/>
      <w:lvlJc w:val="left"/>
      <w:pPr>
        <w:ind w:left="2547" w:hanging="360"/>
      </w:pPr>
      <w:rPr>
        <w:rFonts w:ascii="Arial" w:eastAsia="Times New Roman" w:hAnsi="Arial" w:cs="Arial" w:hint="default"/>
      </w:r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42" w15:restartNumberingAfterBreak="0">
    <w:nsid w:val="2B9E0B41"/>
    <w:multiLevelType w:val="hybridMultilevel"/>
    <w:tmpl w:val="16E0EC3E"/>
    <w:lvl w:ilvl="0" w:tplc="89A4F40C">
      <w:start w:val="1"/>
      <w:numFmt w:val="bullet"/>
      <w:lvlText w:val=""/>
      <w:lvlJc w:val="left"/>
      <w:pPr>
        <w:ind w:left="720" w:hanging="360"/>
      </w:pPr>
      <w:rPr>
        <w:rFonts w:ascii="Symbol" w:hAnsi="Symbol" w:cs="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2C550610"/>
    <w:multiLevelType w:val="hybridMultilevel"/>
    <w:tmpl w:val="3690C226"/>
    <w:lvl w:ilvl="0" w:tplc="0EC27A5A">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D217B24"/>
    <w:multiLevelType w:val="hybridMultilevel"/>
    <w:tmpl w:val="6DFCEB96"/>
    <w:lvl w:ilvl="0" w:tplc="7A30E130">
      <w:start w:val="1"/>
      <w:numFmt w:val="lowerRoman"/>
      <w:lvlText w:val="(%1)"/>
      <w:lvlJc w:val="left"/>
      <w:pPr>
        <w:ind w:left="1437" w:hanging="72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6" w15:restartNumberingAfterBreak="0">
    <w:nsid w:val="2DD623F5"/>
    <w:multiLevelType w:val="hybridMultilevel"/>
    <w:tmpl w:val="50484FCE"/>
    <w:lvl w:ilvl="0" w:tplc="9FBC5DF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0" w15:restartNumberingAfterBreak="0">
    <w:nsid w:val="302E09E9"/>
    <w:multiLevelType w:val="multilevel"/>
    <w:tmpl w:val="19BCA79C"/>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start w:val="1"/>
      <w:numFmt w:val="decimal"/>
      <w:lvlText w:val="(%9)"/>
      <w:lvlJc w:val="left"/>
      <w:pPr>
        <w:ind w:left="1647" w:hanging="360"/>
      </w:pPr>
      <w:rPr>
        <w:rFonts w:hint="default"/>
      </w:rPr>
    </w:lvl>
  </w:abstractNum>
  <w:abstractNum w:abstractNumId="51" w15:restartNumberingAfterBreak="0">
    <w:nsid w:val="309F7A2C"/>
    <w:multiLevelType w:val="hybridMultilevel"/>
    <w:tmpl w:val="5A6AEBEA"/>
    <w:lvl w:ilvl="0" w:tplc="5A6C680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4" w15:restartNumberingAfterBreak="0">
    <w:nsid w:val="325D5A6B"/>
    <w:multiLevelType w:val="hybridMultilevel"/>
    <w:tmpl w:val="EBC813E6"/>
    <w:lvl w:ilvl="0" w:tplc="B4E8A6C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32703112"/>
    <w:multiLevelType w:val="hybridMultilevel"/>
    <w:tmpl w:val="91281B20"/>
    <w:lvl w:ilvl="0" w:tplc="EEE8C942">
      <w:start w:val="1"/>
      <w:numFmt w:val="lowerRoman"/>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6"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57"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8" w15:restartNumberingAfterBreak="0">
    <w:nsid w:val="333D6F89"/>
    <w:multiLevelType w:val="hybridMultilevel"/>
    <w:tmpl w:val="5566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0"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2"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3" w15:restartNumberingAfterBreak="0">
    <w:nsid w:val="3C0F5707"/>
    <w:multiLevelType w:val="hybridMultilevel"/>
    <w:tmpl w:val="F24E562E"/>
    <w:lvl w:ilvl="0" w:tplc="F81A9AA6">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4" w15:restartNumberingAfterBreak="0">
    <w:nsid w:val="3DB453AD"/>
    <w:multiLevelType w:val="hybridMultilevel"/>
    <w:tmpl w:val="98A69274"/>
    <w:lvl w:ilvl="0" w:tplc="FFFFFFFF">
      <w:start w:val="1"/>
      <w:numFmt w:val="lowerLetter"/>
      <w:lvlText w:val="(%1)"/>
      <w:lvlJc w:val="left"/>
      <w:pPr>
        <w:ind w:left="1738" w:hanging="360"/>
      </w:pPr>
      <w:rPr>
        <w:rFonts w:hint="default"/>
      </w:rPr>
    </w:lvl>
    <w:lvl w:ilvl="1" w:tplc="FFFFFFFF" w:tentative="1">
      <w:start w:val="1"/>
      <w:numFmt w:val="lowerLetter"/>
      <w:lvlText w:val="%2."/>
      <w:lvlJc w:val="left"/>
      <w:pPr>
        <w:ind w:left="2458" w:hanging="360"/>
      </w:pPr>
    </w:lvl>
    <w:lvl w:ilvl="2" w:tplc="FFFFFFFF" w:tentative="1">
      <w:start w:val="1"/>
      <w:numFmt w:val="lowerRoman"/>
      <w:lvlText w:val="%3."/>
      <w:lvlJc w:val="right"/>
      <w:pPr>
        <w:ind w:left="3178" w:hanging="180"/>
      </w:pPr>
    </w:lvl>
    <w:lvl w:ilvl="3" w:tplc="FFFFFFFF" w:tentative="1">
      <w:start w:val="1"/>
      <w:numFmt w:val="decimal"/>
      <w:lvlText w:val="%4."/>
      <w:lvlJc w:val="left"/>
      <w:pPr>
        <w:ind w:left="3898" w:hanging="360"/>
      </w:pPr>
    </w:lvl>
    <w:lvl w:ilvl="4" w:tplc="FFFFFFFF" w:tentative="1">
      <w:start w:val="1"/>
      <w:numFmt w:val="lowerLetter"/>
      <w:lvlText w:val="%5."/>
      <w:lvlJc w:val="left"/>
      <w:pPr>
        <w:ind w:left="4618" w:hanging="360"/>
      </w:pPr>
    </w:lvl>
    <w:lvl w:ilvl="5" w:tplc="FFFFFFFF" w:tentative="1">
      <w:start w:val="1"/>
      <w:numFmt w:val="lowerRoman"/>
      <w:lvlText w:val="%6."/>
      <w:lvlJc w:val="right"/>
      <w:pPr>
        <w:ind w:left="5338" w:hanging="180"/>
      </w:pPr>
    </w:lvl>
    <w:lvl w:ilvl="6" w:tplc="FFFFFFFF" w:tentative="1">
      <w:start w:val="1"/>
      <w:numFmt w:val="decimal"/>
      <w:lvlText w:val="%7."/>
      <w:lvlJc w:val="left"/>
      <w:pPr>
        <w:ind w:left="6058" w:hanging="360"/>
      </w:pPr>
    </w:lvl>
    <w:lvl w:ilvl="7" w:tplc="FFFFFFFF" w:tentative="1">
      <w:start w:val="1"/>
      <w:numFmt w:val="lowerLetter"/>
      <w:lvlText w:val="%8."/>
      <w:lvlJc w:val="left"/>
      <w:pPr>
        <w:ind w:left="6778" w:hanging="360"/>
      </w:pPr>
    </w:lvl>
    <w:lvl w:ilvl="8" w:tplc="FFFFFFFF" w:tentative="1">
      <w:start w:val="1"/>
      <w:numFmt w:val="lowerRoman"/>
      <w:lvlText w:val="%9."/>
      <w:lvlJc w:val="right"/>
      <w:pPr>
        <w:ind w:left="7498" w:hanging="180"/>
      </w:pPr>
    </w:lvl>
  </w:abstractNum>
  <w:abstractNum w:abstractNumId="65"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6" w15:restartNumberingAfterBreak="0">
    <w:nsid w:val="4015206B"/>
    <w:multiLevelType w:val="hybridMultilevel"/>
    <w:tmpl w:val="C346EF54"/>
    <w:lvl w:ilvl="0" w:tplc="39BE9F2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0397C20"/>
    <w:multiLevelType w:val="hybridMultilevel"/>
    <w:tmpl w:val="619AC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14C4DA5"/>
    <w:multiLevelType w:val="hybridMultilevel"/>
    <w:tmpl w:val="31FCEAB4"/>
    <w:lvl w:ilvl="0" w:tplc="262605F6">
      <w:start w:val="1"/>
      <w:numFmt w:val="decimal"/>
      <w:lvlText w:val="(%1)"/>
      <w:lvlJc w:val="left"/>
      <w:pPr>
        <w:ind w:left="1069" w:hanging="360"/>
      </w:pPr>
      <w:rPr>
        <w:rFonts w:hint="default"/>
        <w:sz w:val="18"/>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2"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3"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5"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45504F88"/>
    <w:multiLevelType w:val="hybridMultilevel"/>
    <w:tmpl w:val="9564B148"/>
    <w:lvl w:ilvl="0" w:tplc="BFFE070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4AEB6EF5"/>
    <w:multiLevelType w:val="hybridMultilevel"/>
    <w:tmpl w:val="C1A0CF36"/>
    <w:lvl w:ilvl="0" w:tplc="32266AC0">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0"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5"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6" w15:restartNumberingAfterBreak="0">
    <w:nsid w:val="51961DB7"/>
    <w:multiLevelType w:val="hybridMultilevel"/>
    <w:tmpl w:val="33D861E8"/>
    <w:lvl w:ilvl="0" w:tplc="84A637BA">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1D930D8"/>
    <w:multiLevelType w:val="hybridMultilevel"/>
    <w:tmpl w:val="B7DC1820"/>
    <w:lvl w:ilvl="0" w:tplc="CAAA6C18">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89" w15:restartNumberingAfterBreak="0">
    <w:nsid w:val="53E7068F"/>
    <w:multiLevelType w:val="hybridMultilevel"/>
    <w:tmpl w:val="91DE92B4"/>
    <w:lvl w:ilvl="0" w:tplc="89FE6740">
      <w:start w:val="1"/>
      <w:numFmt w:val="lowerRoman"/>
      <w:lvlText w:val="(%1)"/>
      <w:lvlJc w:val="left"/>
      <w:pPr>
        <w:ind w:left="1077" w:hanging="360"/>
      </w:pPr>
      <w:rPr>
        <w:rFonts w:ascii="Arial" w:hAnsi="Arial" w:hint="default"/>
        <w:b w:val="0"/>
        <w:i w:val="0"/>
        <w:color w:val="000000"/>
        <w:sz w:val="20"/>
        <w:szCs w:val="3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0" w15:restartNumberingAfterBreak="0">
    <w:nsid w:val="541F6B33"/>
    <w:multiLevelType w:val="hybridMultilevel"/>
    <w:tmpl w:val="9C96B690"/>
    <w:lvl w:ilvl="0" w:tplc="C2329D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3"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4" w15:restartNumberingAfterBreak="0">
    <w:nsid w:val="571347D5"/>
    <w:multiLevelType w:val="hybridMultilevel"/>
    <w:tmpl w:val="06B25F54"/>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6" w15:restartNumberingAfterBreak="0">
    <w:nsid w:val="58520187"/>
    <w:multiLevelType w:val="hybridMultilevel"/>
    <w:tmpl w:val="41886312"/>
    <w:lvl w:ilvl="0" w:tplc="9F5C35F4">
      <w:start w:val="1"/>
      <w:numFmt w:val="lowerLetter"/>
      <w:lvlText w:val="(%1)"/>
      <w:lvlJc w:val="left"/>
      <w:pPr>
        <w:ind w:left="814" w:hanging="360"/>
      </w:pPr>
      <w:rPr>
        <w:rFonts w:hint="default"/>
        <w:color w:val="00000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97"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0"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5CC00B99"/>
    <w:multiLevelType w:val="hybridMultilevel"/>
    <w:tmpl w:val="64D6F862"/>
    <w:lvl w:ilvl="0" w:tplc="D868CD02">
      <w:start w:val="1"/>
      <w:numFmt w:val="lowerLetter"/>
      <w:lvlText w:val="(%1)"/>
      <w:lvlJc w:val="left"/>
      <w:pPr>
        <w:ind w:left="1324" w:hanging="36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03"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5"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6"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3D76BD0"/>
    <w:multiLevelType w:val="hybridMultilevel"/>
    <w:tmpl w:val="5ABC56F0"/>
    <w:lvl w:ilvl="0" w:tplc="733E9AA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1" w15:restartNumberingAfterBreak="0">
    <w:nsid w:val="6460158E"/>
    <w:multiLevelType w:val="hybridMultilevel"/>
    <w:tmpl w:val="98A69274"/>
    <w:lvl w:ilvl="0" w:tplc="FBC09B5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12"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652C0AAF"/>
    <w:multiLevelType w:val="hybridMultilevel"/>
    <w:tmpl w:val="CA825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668A0BE2"/>
    <w:multiLevelType w:val="hybridMultilevel"/>
    <w:tmpl w:val="1C649588"/>
    <w:lvl w:ilvl="0" w:tplc="C44878B6">
      <w:start w:val="1"/>
      <w:numFmt w:val="decimal"/>
      <w:lvlText w:val="(%1)"/>
      <w:lvlJc w:val="left"/>
      <w:pPr>
        <w:ind w:left="411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66AB0144"/>
    <w:multiLevelType w:val="hybridMultilevel"/>
    <w:tmpl w:val="9D708372"/>
    <w:lvl w:ilvl="0" w:tplc="F05EDE38">
      <w:start w:val="2"/>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7"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A021D14"/>
    <w:multiLevelType w:val="hybridMultilevel"/>
    <w:tmpl w:val="62248B4A"/>
    <w:lvl w:ilvl="0" w:tplc="33DCD1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6C4A2AD6"/>
    <w:multiLevelType w:val="hybridMultilevel"/>
    <w:tmpl w:val="3642D4E0"/>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CA40DEE"/>
    <w:multiLevelType w:val="hybridMultilevel"/>
    <w:tmpl w:val="C13C9826"/>
    <w:lvl w:ilvl="0" w:tplc="676AEE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22"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3" w15:restartNumberingAfterBreak="0">
    <w:nsid w:val="6E063729"/>
    <w:multiLevelType w:val="hybridMultilevel"/>
    <w:tmpl w:val="DDD834AA"/>
    <w:lvl w:ilvl="0" w:tplc="0332120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F7C310C"/>
    <w:multiLevelType w:val="hybridMultilevel"/>
    <w:tmpl w:val="CED42C10"/>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7"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9"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32" w15:restartNumberingAfterBreak="0">
    <w:nsid w:val="75436395"/>
    <w:multiLevelType w:val="hybridMultilevel"/>
    <w:tmpl w:val="5206175A"/>
    <w:lvl w:ilvl="0" w:tplc="844E4EA8">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1429"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5"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7414483"/>
    <w:multiLevelType w:val="hybridMultilevel"/>
    <w:tmpl w:val="52A0172C"/>
    <w:lvl w:ilvl="0" w:tplc="A9221296">
      <w:start w:val="1"/>
      <w:numFmt w:val="bullet"/>
      <w:lvlText w:val=""/>
      <w:lvlJc w:val="left"/>
      <w:pPr>
        <w:ind w:left="774" w:hanging="360"/>
      </w:pPr>
      <w:rPr>
        <w:rFonts w:ascii="Wingdings" w:hAnsi="Wingdings"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7" w15:restartNumberingAfterBreak="0">
    <w:nsid w:val="785642C1"/>
    <w:multiLevelType w:val="hybridMultilevel"/>
    <w:tmpl w:val="5E683608"/>
    <w:lvl w:ilvl="0" w:tplc="43603BE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9"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0" w15:restartNumberingAfterBreak="0">
    <w:nsid w:val="79F45CE2"/>
    <w:multiLevelType w:val="hybridMultilevel"/>
    <w:tmpl w:val="05F84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7A8505BC"/>
    <w:multiLevelType w:val="hybridMultilevel"/>
    <w:tmpl w:val="6D0A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3" w15:restartNumberingAfterBreak="0">
    <w:nsid w:val="7B7622D8"/>
    <w:multiLevelType w:val="hybridMultilevel"/>
    <w:tmpl w:val="F5904118"/>
    <w:lvl w:ilvl="0" w:tplc="5B24029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44"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47"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745396">
    <w:abstractNumId w:val="91"/>
  </w:num>
  <w:num w:numId="2" w16cid:durableId="1545630300">
    <w:abstractNumId w:val="131"/>
  </w:num>
  <w:num w:numId="3" w16cid:durableId="2125147826">
    <w:abstractNumId w:val="56"/>
  </w:num>
  <w:num w:numId="4" w16cid:durableId="1001008316">
    <w:abstractNumId w:val="98"/>
  </w:num>
  <w:num w:numId="5" w16cid:durableId="969750919">
    <w:abstractNumId w:val="21"/>
  </w:num>
  <w:num w:numId="6" w16cid:durableId="1476676465">
    <w:abstractNumId w:val="95"/>
  </w:num>
  <w:num w:numId="7" w16cid:durableId="596716591">
    <w:abstractNumId w:val="59"/>
  </w:num>
  <w:num w:numId="8" w16cid:durableId="583998690">
    <w:abstractNumId w:val="122"/>
  </w:num>
  <w:num w:numId="9" w16cid:durableId="1522015096">
    <w:abstractNumId w:val="23"/>
  </w:num>
  <w:num w:numId="10" w16cid:durableId="436482347">
    <w:abstractNumId w:val="77"/>
  </w:num>
  <w:num w:numId="11" w16cid:durableId="167672266">
    <w:abstractNumId w:val="31"/>
  </w:num>
  <w:num w:numId="12" w16cid:durableId="955526178">
    <w:abstractNumId w:val="101"/>
  </w:num>
  <w:num w:numId="13" w16cid:durableId="2009362439">
    <w:abstractNumId w:val="82"/>
  </w:num>
  <w:num w:numId="14" w16cid:durableId="1971282335">
    <w:abstractNumId w:val="138"/>
  </w:num>
  <w:num w:numId="15" w16cid:durableId="56512203">
    <w:abstractNumId w:val="133"/>
  </w:num>
  <w:num w:numId="16" w16cid:durableId="2071345355">
    <w:abstractNumId w:val="27"/>
  </w:num>
  <w:num w:numId="17" w16cid:durableId="1211116198">
    <w:abstractNumId w:val="99"/>
  </w:num>
  <w:num w:numId="18" w16cid:durableId="640232151">
    <w:abstractNumId w:val="9"/>
  </w:num>
  <w:num w:numId="19" w16cid:durableId="114636458">
    <w:abstractNumId w:val="60"/>
  </w:num>
  <w:num w:numId="20" w16cid:durableId="639267168">
    <w:abstractNumId w:val="135"/>
  </w:num>
  <w:num w:numId="21" w16cid:durableId="1994943338">
    <w:abstractNumId w:val="85"/>
  </w:num>
  <w:num w:numId="22" w16cid:durableId="1804927812">
    <w:abstractNumId w:val="74"/>
  </w:num>
  <w:num w:numId="23" w16cid:durableId="1928222094">
    <w:abstractNumId w:val="79"/>
  </w:num>
  <w:num w:numId="24" w16cid:durableId="61879141">
    <w:abstractNumId w:val="39"/>
  </w:num>
  <w:num w:numId="25" w16cid:durableId="2145925369">
    <w:abstractNumId w:val="146"/>
  </w:num>
  <w:num w:numId="26" w16cid:durableId="938490658">
    <w:abstractNumId w:val="53"/>
  </w:num>
  <w:num w:numId="27" w16cid:durableId="616182118">
    <w:abstractNumId w:val="107"/>
  </w:num>
  <w:num w:numId="28" w16cid:durableId="1060665550">
    <w:abstractNumId w:val="43"/>
  </w:num>
  <w:num w:numId="29" w16cid:durableId="76750985">
    <w:abstractNumId w:val="145"/>
  </w:num>
  <w:num w:numId="30" w16cid:durableId="350231804">
    <w:abstractNumId w:val="130"/>
  </w:num>
  <w:num w:numId="31" w16cid:durableId="1137264147">
    <w:abstractNumId w:val="134"/>
  </w:num>
  <w:num w:numId="32" w16cid:durableId="326445258">
    <w:abstractNumId w:val="25"/>
  </w:num>
  <w:num w:numId="33" w16cid:durableId="1756977781">
    <w:abstractNumId w:val="41"/>
  </w:num>
  <w:num w:numId="34" w16cid:durableId="774864102">
    <w:abstractNumId w:val="17"/>
  </w:num>
  <w:num w:numId="35" w16cid:durableId="1839926705">
    <w:abstractNumId w:val="139"/>
  </w:num>
  <w:num w:numId="36" w16cid:durableId="433945585">
    <w:abstractNumId w:val="33"/>
  </w:num>
  <w:num w:numId="37" w16cid:durableId="176966313">
    <w:abstractNumId w:val="81"/>
  </w:num>
  <w:num w:numId="38" w16cid:durableId="1475828378">
    <w:abstractNumId w:val="129"/>
  </w:num>
  <w:num w:numId="39" w16cid:durableId="588391603">
    <w:abstractNumId w:val="128"/>
  </w:num>
  <w:num w:numId="40" w16cid:durableId="1684086068">
    <w:abstractNumId w:val="5"/>
  </w:num>
  <w:num w:numId="41" w16cid:durableId="701901762">
    <w:abstractNumId w:val="88"/>
  </w:num>
  <w:num w:numId="42" w16cid:durableId="1974674153">
    <w:abstractNumId w:val="116"/>
  </w:num>
  <w:num w:numId="43" w16cid:durableId="569732079">
    <w:abstractNumId w:val="84"/>
  </w:num>
  <w:num w:numId="44" w16cid:durableId="2122261712">
    <w:abstractNumId w:val="105"/>
  </w:num>
  <w:num w:numId="45" w16cid:durableId="1897205224">
    <w:abstractNumId w:val="104"/>
  </w:num>
  <w:num w:numId="46" w16cid:durableId="656306550">
    <w:abstractNumId w:val="12"/>
  </w:num>
  <w:num w:numId="47" w16cid:durableId="1896627248">
    <w:abstractNumId w:val="61"/>
  </w:num>
  <w:num w:numId="48" w16cid:durableId="1199663633">
    <w:abstractNumId w:val="68"/>
  </w:num>
  <w:num w:numId="49" w16cid:durableId="687802744">
    <w:abstractNumId w:val="62"/>
  </w:num>
  <w:num w:numId="50" w16cid:durableId="954943241">
    <w:abstractNumId w:val="125"/>
  </w:num>
  <w:num w:numId="51" w16cid:durableId="1302078870">
    <w:abstractNumId w:val="10"/>
  </w:num>
  <w:num w:numId="52" w16cid:durableId="1368799867">
    <w:abstractNumId w:val="13"/>
  </w:num>
  <w:num w:numId="53" w16cid:durableId="1190216270">
    <w:abstractNumId w:val="109"/>
  </w:num>
  <w:num w:numId="54" w16cid:durableId="1743528295">
    <w:abstractNumId w:val="103"/>
  </w:num>
  <w:num w:numId="55" w16cid:durableId="1117019351">
    <w:abstractNumId w:val="106"/>
  </w:num>
  <w:num w:numId="56" w16cid:durableId="773355988">
    <w:abstractNumId w:val="47"/>
  </w:num>
  <w:num w:numId="57" w16cid:durableId="1340809728">
    <w:abstractNumId w:val="34"/>
  </w:num>
  <w:num w:numId="58" w16cid:durableId="1973099561">
    <w:abstractNumId w:val="73"/>
  </w:num>
  <w:num w:numId="59" w16cid:durableId="1862357581">
    <w:abstractNumId w:val="30"/>
  </w:num>
  <w:num w:numId="60" w16cid:durableId="812677112">
    <w:abstractNumId w:val="7"/>
  </w:num>
  <w:num w:numId="61" w16cid:durableId="409889720">
    <w:abstractNumId w:val="70"/>
  </w:num>
  <w:num w:numId="62" w16cid:durableId="1412584731">
    <w:abstractNumId w:val="28"/>
  </w:num>
  <w:num w:numId="63" w16cid:durableId="2015063098">
    <w:abstractNumId w:val="117"/>
  </w:num>
  <w:num w:numId="64" w16cid:durableId="1595868316">
    <w:abstractNumId w:val="148"/>
  </w:num>
  <w:num w:numId="65" w16cid:durableId="5324514">
    <w:abstractNumId w:val="112"/>
  </w:num>
  <w:num w:numId="66" w16cid:durableId="1321613948">
    <w:abstractNumId w:val="36"/>
  </w:num>
  <w:num w:numId="67" w16cid:durableId="474833781">
    <w:abstractNumId w:val="121"/>
  </w:num>
  <w:num w:numId="68" w16cid:durableId="139539246">
    <w:abstractNumId w:val="38"/>
  </w:num>
  <w:num w:numId="69" w16cid:durableId="122575314">
    <w:abstractNumId w:val="20"/>
  </w:num>
  <w:num w:numId="70" w16cid:durableId="175697504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477915986">
    <w:abstractNumId w:val="124"/>
  </w:num>
  <w:num w:numId="72" w16cid:durableId="2057384691">
    <w:abstractNumId w:val="15"/>
  </w:num>
  <w:num w:numId="73" w16cid:durableId="587153800">
    <w:abstractNumId w:val="75"/>
  </w:num>
  <w:num w:numId="74" w16cid:durableId="118914962">
    <w:abstractNumId w:val="29"/>
  </w:num>
  <w:num w:numId="75" w16cid:durableId="596057361">
    <w:abstractNumId w:val="2"/>
  </w:num>
  <w:num w:numId="76" w16cid:durableId="282154928">
    <w:abstractNumId w:val="42"/>
  </w:num>
  <w:num w:numId="77" w16cid:durableId="1849445063">
    <w:abstractNumId w:val="83"/>
  </w:num>
  <w:num w:numId="78" w16cid:durableId="1941180976">
    <w:abstractNumId w:val="100"/>
  </w:num>
  <w:num w:numId="79" w16cid:durableId="1891113534">
    <w:abstractNumId w:val="87"/>
  </w:num>
  <w:num w:numId="80" w16cid:durableId="616253302">
    <w:abstractNumId w:val="108"/>
  </w:num>
  <w:num w:numId="81" w16cid:durableId="785731496">
    <w:abstractNumId w:val="119"/>
  </w:num>
  <w:num w:numId="82" w16cid:durableId="1557549719">
    <w:abstractNumId w:val="26"/>
  </w:num>
  <w:num w:numId="83" w16cid:durableId="1456677244">
    <w:abstractNumId w:val="94"/>
  </w:num>
  <w:num w:numId="84" w16cid:durableId="1837720129">
    <w:abstractNumId w:val="80"/>
  </w:num>
  <w:num w:numId="85" w16cid:durableId="387073272">
    <w:abstractNumId w:val="6"/>
  </w:num>
  <w:num w:numId="86" w16cid:durableId="1791776193">
    <w:abstractNumId w:val="93"/>
  </w:num>
  <w:num w:numId="87" w16cid:durableId="1833910394">
    <w:abstractNumId w:val="18"/>
  </w:num>
  <w:num w:numId="88" w16cid:durableId="1997569837">
    <w:abstractNumId w:val="57"/>
  </w:num>
  <w:num w:numId="89" w16cid:durableId="962082503">
    <w:abstractNumId w:val="49"/>
  </w:num>
  <w:num w:numId="90" w16cid:durableId="392198611">
    <w:abstractNumId w:val="69"/>
  </w:num>
  <w:num w:numId="91" w16cid:durableId="1494225638">
    <w:abstractNumId w:val="72"/>
  </w:num>
  <w:num w:numId="92" w16cid:durableId="1072696614">
    <w:abstractNumId w:val="50"/>
  </w:num>
  <w:num w:numId="93" w16cid:durableId="972754315">
    <w:abstractNumId w:val="32"/>
  </w:num>
  <w:num w:numId="94" w16cid:durableId="227111806">
    <w:abstractNumId w:val="52"/>
  </w:num>
  <w:num w:numId="95" w16cid:durableId="1835533433">
    <w:abstractNumId w:val="144"/>
  </w:num>
  <w:num w:numId="96" w16cid:durableId="1487473366">
    <w:abstractNumId w:val="3"/>
  </w:num>
  <w:num w:numId="97" w16cid:durableId="382943409">
    <w:abstractNumId w:val="97"/>
  </w:num>
  <w:num w:numId="98" w16cid:durableId="2059012608">
    <w:abstractNumId w:val="142"/>
  </w:num>
  <w:num w:numId="99" w16cid:durableId="829325224">
    <w:abstractNumId w:val="127"/>
  </w:num>
  <w:num w:numId="100" w16cid:durableId="621116706">
    <w:abstractNumId w:val="65"/>
  </w:num>
  <w:num w:numId="101" w16cid:durableId="1901748289">
    <w:abstractNumId w:val="48"/>
  </w:num>
  <w:num w:numId="102" w16cid:durableId="1969580216">
    <w:abstractNumId w:val="19"/>
  </w:num>
  <w:num w:numId="103" w16cid:durableId="1092705154">
    <w:abstractNumId w:val="40"/>
  </w:num>
  <w:num w:numId="104" w16cid:durableId="190532749">
    <w:abstractNumId w:val="147"/>
  </w:num>
  <w:num w:numId="105" w16cid:durableId="2030333998">
    <w:abstractNumId w:val="141"/>
  </w:num>
  <w:num w:numId="106" w16cid:durableId="1869878779">
    <w:abstractNumId w:val="92"/>
  </w:num>
  <w:num w:numId="107" w16cid:durableId="1611812119">
    <w:abstractNumId w:val="16"/>
  </w:num>
  <w:num w:numId="108" w16cid:durableId="1026902246">
    <w:abstractNumId w:val="54"/>
  </w:num>
  <w:num w:numId="109" w16cid:durableId="2090424229">
    <w:abstractNumId w:val="22"/>
  </w:num>
  <w:num w:numId="110" w16cid:durableId="958608104">
    <w:abstractNumId w:val="45"/>
  </w:num>
  <w:num w:numId="111" w16cid:durableId="2110352882">
    <w:abstractNumId w:val="137"/>
  </w:num>
  <w:num w:numId="112" w16cid:durableId="2125490615">
    <w:abstractNumId w:val="44"/>
  </w:num>
  <w:num w:numId="113" w16cid:durableId="622344086">
    <w:abstractNumId w:val="136"/>
  </w:num>
  <w:num w:numId="114" w16cid:durableId="758335010">
    <w:abstractNumId w:val="110"/>
  </w:num>
  <w:num w:numId="115" w16cid:durableId="1948660447">
    <w:abstractNumId w:val="51"/>
  </w:num>
  <w:num w:numId="116" w16cid:durableId="999693688">
    <w:abstractNumId w:val="46"/>
  </w:num>
  <w:num w:numId="117" w16cid:durableId="1648316245">
    <w:abstractNumId w:val="132"/>
  </w:num>
  <w:num w:numId="118" w16cid:durableId="278873127">
    <w:abstractNumId w:val="115"/>
  </w:num>
  <w:num w:numId="119" w16cid:durableId="1755397968">
    <w:abstractNumId w:val="76"/>
  </w:num>
  <w:num w:numId="120" w16cid:durableId="1483541583">
    <w:abstractNumId w:val="35"/>
  </w:num>
  <w:num w:numId="121" w16cid:durableId="1316493593">
    <w:abstractNumId w:val="143"/>
  </w:num>
  <w:num w:numId="122" w16cid:durableId="483396575">
    <w:abstractNumId w:val="8"/>
  </w:num>
  <w:num w:numId="123" w16cid:durableId="1765802856">
    <w:abstractNumId w:val="63"/>
  </w:num>
  <w:num w:numId="124" w16cid:durableId="1399212128">
    <w:abstractNumId w:val="78"/>
  </w:num>
  <w:num w:numId="125" w16cid:durableId="1687638980">
    <w:abstractNumId w:val="89"/>
  </w:num>
  <w:num w:numId="126" w16cid:durableId="1693609249">
    <w:abstractNumId w:val="86"/>
  </w:num>
  <w:num w:numId="127" w16cid:durableId="1239099854">
    <w:abstractNumId w:val="4"/>
  </w:num>
  <w:num w:numId="128" w16cid:durableId="2101028359">
    <w:abstractNumId w:val="14"/>
  </w:num>
  <w:num w:numId="129" w16cid:durableId="1806966735">
    <w:abstractNumId w:val="11"/>
  </w:num>
  <w:num w:numId="130" w16cid:durableId="332729038">
    <w:abstractNumId w:val="58"/>
  </w:num>
  <w:num w:numId="131" w16cid:durableId="228880272">
    <w:abstractNumId w:val="67"/>
  </w:num>
  <w:num w:numId="132" w16cid:durableId="1416901477">
    <w:abstractNumId w:val="126"/>
  </w:num>
  <w:num w:numId="133" w16cid:durableId="1032613620">
    <w:abstractNumId w:val="114"/>
  </w:num>
  <w:num w:numId="134" w16cid:durableId="686951093">
    <w:abstractNumId w:val="140"/>
  </w:num>
  <w:num w:numId="135" w16cid:durableId="1701978055">
    <w:abstractNumId w:val="66"/>
  </w:num>
  <w:num w:numId="136" w16cid:durableId="2063090010">
    <w:abstractNumId w:val="118"/>
  </w:num>
  <w:num w:numId="137" w16cid:durableId="1707020121">
    <w:abstractNumId w:val="123"/>
  </w:num>
  <w:num w:numId="138" w16cid:durableId="330178704">
    <w:abstractNumId w:val="113"/>
  </w:num>
  <w:num w:numId="139" w16cid:durableId="318583394">
    <w:abstractNumId w:val="71"/>
  </w:num>
  <w:num w:numId="140" w16cid:durableId="849101200">
    <w:abstractNumId w:val="111"/>
  </w:num>
  <w:num w:numId="141" w16cid:durableId="1218469221">
    <w:abstractNumId w:val="64"/>
  </w:num>
  <w:num w:numId="142" w16cid:durableId="511184528">
    <w:abstractNumId w:val="0"/>
  </w:num>
  <w:num w:numId="143" w16cid:durableId="165630838">
    <w:abstractNumId w:val="37"/>
  </w:num>
  <w:num w:numId="144" w16cid:durableId="1838880824">
    <w:abstractNumId w:val="96"/>
  </w:num>
  <w:num w:numId="145" w16cid:durableId="442923977">
    <w:abstractNumId w:val="24"/>
  </w:num>
  <w:num w:numId="146" w16cid:durableId="1237209931">
    <w:abstractNumId w:val="120"/>
  </w:num>
  <w:num w:numId="147" w16cid:durableId="1865096242">
    <w:abstractNumId w:val="102"/>
  </w:num>
  <w:num w:numId="148" w16cid:durableId="1547452565">
    <w:abstractNumId w:val="90"/>
  </w:num>
  <w:num w:numId="149" w16cid:durableId="1520316241">
    <w:abstractNumId w:val="55"/>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colormru v:ext="edit" colors="#f30,#f7f7f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0769"/>
    <w:rsid w:val="000001FA"/>
    <w:rsid w:val="000008FC"/>
    <w:rsid w:val="00000B04"/>
    <w:rsid w:val="00000D58"/>
    <w:rsid w:val="0000163C"/>
    <w:rsid w:val="00001891"/>
    <w:rsid w:val="00001E78"/>
    <w:rsid w:val="00001F8B"/>
    <w:rsid w:val="00002157"/>
    <w:rsid w:val="000023EC"/>
    <w:rsid w:val="00002C03"/>
    <w:rsid w:val="00002C81"/>
    <w:rsid w:val="000030ED"/>
    <w:rsid w:val="00003311"/>
    <w:rsid w:val="000037DC"/>
    <w:rsid w:val="00003D40"/>
    <w:rsid w:val="0000479D"/>
    <w:rsid w:val="00004EB4"/>
    <w:rsid w:val="00005078"/>
    <w:rsid w:val="00005664"/>
    <w:rsid w:val="000066D0"/>
    <w:rsid w:val="000070A8"/>
    <w:rsid w:val="00007176"/>
    <w:rsid w:val="0000746C"/>
    <w:rsid w:val="00007A1F"/>
    <w:rsid w:val="00007A7D"/>
    <w:rsid w:val="000109A0"/>
    <w:rsid w:val="00010B41"/>
    <w:rsid w:val="00010B81"/>
    <w:rsid w:val="00010D98"/>
    <w:rsid w:val="00010E40"/>
    <w:rsid w:val="00010E6B"/>
    <w:rsid w:val="0001128F"/>
    <w:rsid w:val="0001189C"/>
    <w:rsid w:val="00011ABD"/>
    <w:rsid w:val="00011BDB"/>
    <w:rsid w:val="00011CC0"/>
    <w:rsid w:val="00011F4D"/>
    <w:rsid w:val="00011F96"/>
    <w:rsid w:val="00012232"/>
    <w:rsid w:val="00012361"/>
    <w:rsid w:val="00012365"/>
    <w:rsid w:val="00012D2B"/>
    <w:rsid w:val="00012E79"/>
    <w:rsid w:val="000131F5"/>
    <w:rsid w:val="00013336"/>
    <w:rsid w:val="000134E1"/>
    <w:rsid w:val="00013507"/>
    <w:rsid w:val="00014510"/>
    <w:rsid w:val="00014907"/>
    <w:rsid w:val="000149F9"/>
    <w:rsid w:val="00014EA6"/>
    <w:rsid w:val="00014F63"/>
    <w:rsid w:val="00014F74"/>
    <w:rsid w:val="0001512D"/>
    <w:rsid w:val="000163A7"/>
    <w:rsid w:val="000166A4"/>
    <w:rsid w:val="000169CE"/>
    <w:rsid w:val="000175A5"/>
    <w:rsid w:val="0001798D"/>
    <w:rsid w:val="000202DD"/>
    <w:rsid w:val="000208B2"/>
    <w:rsid w:val="0002091C"/>
    <w:rsid w:val="000212FD"/>
    <w:rsid w:val="00021790"/>
    <w:rsid w:val="00022279"/>
    <w:rsid w:val="00022404"/>
    <w:rsid w:val="000232A5"/>
    <w:rsid w:val="00023664"/>
    <w:rsid w:val="00023AF9"/>
    <w:rsid w:val="00023D43"/>
    <w:rsid w:val="00023D66"/>
    <w:rsid w:val="00023E85"/>
    <w:rsid w:val="0002489D"/>
    <w:rsid w:val="00024A2E"/>
    <w:rsid w:val="00024E2D"/>
    <w:rsid w:val="00025643"/>
    <w:rsid w:val="00025736"/>
    <w:rsid w:val="000259D8"/>
    <w:rsid w:val="00025B20"/>
    <w:rsid w:val="00025C03"/>
    <w:rsid w:val="00026A3A"/>
    <w:rsid w:val="00026A7B"/>
    <w:rsid w:val="00026C2F"/>
    <w:rsid w:val="00027268"/>
    <w:rsid w:val="000272BC"/>
    <w:rsid w:val="00027636"/>
    <w:rsid w:val="0002789D"/>
    <w:rsid w:val="000278E1"/>
    <w:rsid w:val="0002790A"/>
    <w:rsid w:val="00027C8B"/>
    <w:rsid w:val="00027F1B"/>
    <w:rsid w:val="00030274"/>
    <w:rsid w:val="000305B4"/>
    <w:rsid w:val="00030624"/>
    <w:rsid w:val="00030B49"/>
    <w:rsid w:val="00030EB1"/>
    <w:rsid w:val="00031572"/>
    <w:rsid w:val="000316B5"/>
    <w:rsid w:val="00031719"/>
    <w:rsid w:val="000319C3"/>
    <w:rsid w:val="000319E3"/>
    <w:rsid w:val="00031C48"/>
    <w:rsid w:val="00031DEA"/>
    <w:rsid w:val="00032829"/>
    <w:rsid w:val="00032BF4"/>
    <w:rsid w:val="00032C77"/>
    <w:rsid w:val="00033045"/>
    <w:rsid w:val="00033A63"/>
    <w:rsid w:val="00033B4E"/>
    <w:rsid w:val="00033DBF"/>
    <w:rsid w:val="00033EE4"/>
    <w:rsid w:val="0003407D"/>
    <w:rsid w:val="00034154"/>
    <w:rsid w:val="00034736"/>
    <w:rsid w:val="0003477F"/>
    <w:rsid w:val="00034921"/>
    <w:rsid w:val="0003582E"/>
    <w:rsid w:val="00035EDB"/>
    <w:rsid w:val="00036065"/>
    <w:rsid w:val="000365CE"/>
    <w:rsid w:val="00037059"/>
    <w:rsid w:val="0003757F"/>
    <w:rsid w:val="00037F69"/>
    <w:rsid w:val="00037FB9"/>
    <w:rsid w:val="000401F1"/>
    <w:rsid w:val="000402ED"/>
    <w:rsid w:val="00040514"/>
    <w:rsid w:val="000405D9"/>
    <w:rsid w:val="00040985"/>
    <w:rsid w:val="0004110D"/>
    <w:rsid w:val="00041DA2"/>
    <w:rsid w:val="0004206E"/>
    <w:rsid w:val="00042353"/>
    <w:rsid w:val="00042F27"/>
    <w:rsid w:val="000430CB"/>
    <w:rsid w:val="0004310F"/>
    <w:rsid w:val="0004340A"/>
    <w:rsid w:val="000435D1"/>
    <w:rsid w:val="00044133"/>
    <w:rsid w:val="000441EA"/>
    <w:rsid w:val="000449F9"/>
    <w:rsid w:val="00045FAD"/>
    <w:rsid w:val="00046254"/>
    <w:rsid w:val="000462AB"/>
    <w:rsid w:val="00046C2A"/>
    <w:rsid w:val="000471C3"/>
    <w:rsid w:val="000473B1"/>
    <w:rsid w:val="000475F6"/>
    <w:rsid w:val="00047C28"/>
    <w:rsid w:val="00047F3A"/>
    <w:rsid w:val="00050220"/>
    <w:rsid w:val="000509E7"/>
    <w:rsid w:val="00050BD9"/>
    <w:rsid w:val="000511F9"/>
    <w:rsid w:val="00051278"/>
    <w:rsid w:val="000519C2"/>
    <w:rsid w:val="00051F2D"/>
    <w:rsid w:val="000522A2"/>
    <w:rsid w:val="0005288B"/>
    <w:rsid w:val="00052F95"/>
    <w:rsid w:val="00053005"/>
    <w:rsid w:val="000530A2"/>
    <w:rsid w:val="000530B2"/>
    <w:rsid w:val="0005328A"/>
    <w:rsid w:val="000536DB"/>
    <w:rsid w:val="0005378F"/>
    <w:rsid w:val="000538AE"/>
    <w:rsid w:val="00053D78"/>
    <w:rsid w:val="00053F50"/>
    <w:rsid w:val="0005424C"/>
    <w:rsid w:val="000543AE"/>
    <w:rsid w:val="00054486"/>
    <w:rsid w:val="000546A8"/>
    <w:rsid w:val="00054803"/>
    <w:rsid w:val="00054970"/>
    <w:rsid w:val="00054B7F"/>
    <w:rsid w:val="00054C51"/>
    <w:rsid w:val="00054C6B"/>
    <w:rsid w:val="000557F0"/>
    <w:rsid w:val="00056048"/>
    <w:rsid w:val="0005605A"/>
    <w:rsid w:val="00056B0C"/>
    <w:rsid w:val="00056DFE"/>
    <w:rsid w:val="000571C8"/>
    <w:rsid w:val="00057890"/>
    <w:rsid w:val="00060273"/>
    <w:rsid w:val="000606FB"/>
    <w:rsid w:val="00060B0E"/>
    <w:rsid w:val="00060DFB"/>
    <w:rsid w:val="00062445"/>
    <w:rsid w:val="00062639"/>
    <w:rsid w:val="00063B3E"/>
    <w:rsid w:val="00063BD2"/>
    <w:rsid w:val="00063D7C"/>
    <w:rsid w:val="0006458F"/>
    <w:rsid w:val="000648DF"/>
    <w:rsid w:val="0006502D"/>
    <w:rsid w:val="000651D1"/>
    <w:rsid w:val="00065798"/>
    <w:rsid w:val="00065899"/>
    <w:rsid w:val="00065A7D"/>
    <w:rsid w:val="00066164"/>
    <w:rsid w:val="000661BC"/>
    <w:rsid w:val="00066304"/>
    <w:rsid w:val="00066528"/>
    <w:rsid w:val="00066732"/>
    <w:rsid w:val="00066CD1"/>
    <w:rsid w:val="0006724B"/>
    <w:rsid w:val="0006749E"/>
    <w:rsid w:val="00067822"/>
    <w:rsid w:val="0006789C"/>
    <w:rsid w:val="00067EEA"/>
    <w:rsid w:val="00070418"/>
    <w:rsid w:val="0007089E"/>
    <w:rsid w:val="000708B6"/>
    <w:rsid w:val="00070CE1"/>
    <w:rsid w:val="00070D40"/>
    <w:rsid w:val="00071460"/>
    <w:rsid w:val="000717A0"/>
    <w:rsid w:val="00071D0F"/>
    <w:rsid w:val="000720E6"/>
    <w:rsid w:val="000722FA"/>
    <w:rsid w:val="00072642"/>
    <w:rsid w:val="000727D0"/>
    <w:rsid w:val="00072F63"/>
    <w:rsid w:val="000730B2"/>
    <w:rsid w:val="000734AC"/>
    <w:rsid w:val="00073F56"/>
    <w:rsid w:val="00074024"/>
    <w:rsid w:val="00074071"/>
    <w:rsid w:val="00074D5E"/>
    <w:rsid w:val="00075155"/>
    <w:rsid w:val="000751DD"/>
    <w:rsid w:val="000751DE"/>
    <w:rsid w:val="00075AFA"/>
    <w:rsid w:val="00075FF6"/>
    <w:rsid w:val="00076646"/>
    <w:rsid w:val="00076693"/>
    <w:rsid w:val="000767AE"/>
    <w:rsid w:val="00076B16"/>
    <w:rsid w:val="00077267"/>
    <w:rsid w:val="00077AA1"/>
    <w:rsid w:val="00077CA2"/>
    <w:rsid w:val="00080420"/>
    <w:rsid w:val="0008085E"/>
    <w:rsid w:val="00080E96"/>
    <w:rsid w:val="000810D5"/>
    <w:rsid w:val="000819C1"/>
    <w:rsid w:val="00081AFC"/>
    <w:rsid w:val="000820C4"/>
    <w:rsid w:val="0008217D"/>
    <w:rsid w:val="000821A3"/>
    <w:rsid w:val="0008299D"/>
    <w:rsid w:val="00082AB6"/>
    <w:rsid w:val="00083F08"/>
    <w:rsid w:val="00083FF9"/>
    <w:rsid w:val="00084708"/>
    <w:rsid w:val="00084AF2"/>
    <w:rsid w:val="00084EAF"/>
    <w:rsid w:val="00085F5A"/>
    <w:rsid w:val="00086120"/>
    <w:rsid w:val="000862D9"/>
    <w:rsid w:val="000865F7"/>
    <w:rsid w:val="000873AD"/>
    <w:rsid w:val="000878DD"/>
    <w:rsid w:val="00087B98"/>
    <w:rsid w:val="00087D58"/>
    <w:rsid w:val="000901CC"/>
    <w:rsid w:val="00090970"/>
    <w:rsid w:val="00090E23"/>
    <w:rsid w:val="00090EF5"/>
    <w:rsid w:val="0009118B"/>
    <w:rsid w:val="00091336"/>
    <w:rsid w:val="000917A7"/>
    <w:rsid w:val="000929B5"/>
    <w:rsid w:val="00092D5D"/>
    <w:rsid w:val="000931CF"/>
    <w:rsid w:val="00093488"/>
    <w:rsid w:val="00093D9A"/>
    <w:rsid w:val="00093DFA"/>
    <w:rsid w:val="000947E2"/>
    <w:rsid w:val="00094BFE"/>
    <w:rsid w:val="000956A1"/>
    <w:rsid w:val="00095BDF"/>
    <w:rsid w:val="00095E84"/>
    <w:rsid w:val="00096153"/>
    <w:rsid w:val="0009637D"/>
    <w:rsid w:val="000967D7"/>
    <w:rsid w:val="00097606"/>
    <w:rsid w:val="00097A83"/>
    <w:rsid w:val="00097D0D"/>
    <w:rsid w:val="000A069A"/>
    <w:rsid w:val="000A1028"/>
    <w:rsid w:val="000A104F"/>
    <w:rsid w:val="000A1053"/>
    <w:rsid w:val="000A11B3"/>
    <w:rsid w:val="000A14B5"/>
    <w:rsid w:val="000A1D3B"/>
    <w:rsid w:val="000A22D0"/>
    <w:rsid w:val="000A2686"/>
    <w:rsid w:val="000A344F"/>
    <w:rsid w:val="000A3A97"/>
    <w:rsid w:val="000A3B87"/>
    <w:rsid w:val="000A3F45"/>
    <w:rsid w:val="000A40DD"/>
    <w:rsid w:val="000A422C"/>
    <w:rsid w:val="000A425B"/>
    <w:rsid w:val="000A458D"/>
    <w:rsid w:val="000A4685"/>
    <w:rsid w:val="000A47C8"/>
    <w:rsid w:val="000A4B93"/>
    <w:rsid w:val="000A50CA"/>
    <w:rsid w:val="000A5146"/>
    <w:rsid w:val="000A5411"/>
    <w:rsid w:val="000A54C7"/>
    <w:rsid w:val="000A5740"/>
    <w:rsid w:val="000A5A70"/>
    <w:rsid w:val="000A5ACE"/>
    <w:rsid w:val="000A6042"/>
    <w:rsid w:val="000A61EE"/>
    <w:rsid w:val="000A66EA"/>
    <w:rsid w:val="000A6763"/>
    <w:rsid w:val="000A6ADB"/>
    <w:rsid w:val="000A6B08"/>
    <w:rsid w:val="000A6F1D"/>
    <w:rsid w:val="000A6F81"/>
    <w:rsid w:val="000A7842"/>
    <w:rsid w:val="000A7991"/>
    <w:rsid w:val="000A79E1"/>
    <w:rsid w:val="000A79FC"/>
    <w:rsid w:val="000A7B05"/>
    <w:rsid w:val="000A7CAB"/>
    <w:rsid w:val="000B0BBD"/>
    <w:rsid w:val="000B0D0A"/>
    <w:rsid w:val="000B0E3C"/>
    <w:rsid w:val="000B196F"/>
    <w:rsid w:val="000B1BBD"/>
    <w:rsid w:val="000B20FC"/>
    <w:rsid w:val="000B2131"/>
    <w:rsid w:val="000B2147"/>
    <w:rsid w:val="000B2281"/>
    <w:rsid w:val="000B387E"/>
    <w:rsid w:val="000B39F1"/>
    <w:rsid w:val="000B3AD3"/>
    <w:rsid w:val="000B3D6B"/>
    <w:rsid w:val="000B3F82"/>
    <w:rsid w:val="000B44EE"/>
    <w:rsid w:val="000B45FE"/>
    <w:rsid w:val="000B49E2"/>
    <w:rsid w:val="000B54B0"/>
    <w:rsid w:val="000B6254"/>
    <w:rsid w:val="000B69E4"/>
    <w:rsid w:val="000B74E7"/>
    <w:rsid w:val="000B797B"/>
    <w:rsid w:val="000B7BF2"/>
    <w:rsid w:val="000C0BF9"/>
    <w:rsid w:val="000C13B4"/>
    <w:rsid w:val="000C17E8"/>
    <w:rsid w:val="000C1C93"/>
    <w:rsid w:val="000C1F8A"/>
    <w:rsid w:val="000C236F"/>
    <w:rsid w:val="000C2382"/>
    <w:rsid w:val="000C26B7"/>
    <w:rsid w:val="000C26F4"/>
    <w:rsid w:val="000C28C7"/>
    <w:rsid w:val="000C3154"/>
    <w:rsid w:val="000C3766"/>
    <w:rsid w:val="000C37F4"/>
    <w:rsid w:val="000C37FA"/>
    <w:rsid w:val="000C464C"/>
    <w:rsid w:val="000C4940"/>
    <w:rsid w:val="000C4BEA"/>
    <w:rsid w:val="000C5ED6"/>
    <w:rsid w:val="000C5F9F"/>
    <w:rsid w:val="000C6028"/>
    <w:rsid w:val="000C60D2"/>
    <w:rsid w:val="000C6359"/>
    <w:rsid w:val="000C6CEB"/>
    <w:rsid w:val="000C6E3C"/>
    <w:rsid w:val="000C7341"/>
    <w:rsid w:val="000C74DB"/>
    <w:rsid w:val="000C75C7"/>
    <w:rsid w:val="000C7746"/>
    <w:rsid w:val="000C7762"/>
    <w:rsid w:val="000C7780"/>
    <w:rsid w:val="000C7F56"/>
    <w:rsid w:val="000C7FF7"/>
    <w:rsid w:val="000D01F2"/>
    <w:rsid w:val="000D0367"/>
    <w:rsid w:val="000D062E"/>
    <w:rsid w:val="000D0B3E"/>
    <w:rsid w:val="000D10DE"/>
    <w:rsid w:val="000D1248"/>
    <w:rsid w:val="000D15BA"/>
    <w:rsid w:val="000D1A2A"/>
    <w:rsid w:val="000D1AF3"/>
    <w:rsid w:val="000D1B56"/>
    <w:rsid w:val="000D1C94"/>
    <w:rsid w:val="000D1E42"/>
    <w:rsid w:val="000D2258"/>
    <w:rsid w:val="000D22EF"/>
    <w:rsid w:val="000D25AD"/>
    <w:rsid w:val="000D2CD1"/>
    <w:rsid w:val="000D2EBD"/>
    <w:rsid w:val="000D2ECE"/>
    <w:rsid w:val="000D3112"/>
    <w:rsid w:val="000D393C"/>
    <w:rsid w:val="000D44EA"/>
    <w:rsid w:val="000D505F"/>
    <w:rsid w:val="000D5109"/>
    <w:rsid w:val="000D5456"/>
    <w:rsid w:val="000D55B1"/>
    <w:rsid w:val="000D5818"/>
    <w:rsid w:val="000D5D3B"/>
    <w:rsid w:val="000D6057"/>
    <w:rsid w:val="000D63D2"/>
    <w:rsid w:val="000D685A"/>
    <w:rsid w:val="000D6992"/>
    <w:rsid w:val="000D6BB8"/>
    <w:rsid w:val="000D71D5"/>
    <w:rsid w:val="000D7490"/>
    <w:rsid w:val="000D7828"/>
    <w:rsid w:val="000D7BAC"/>
    <w:rsid w:val="000D7C37"/>
    <w:rsid w:val="000D7CD2"/>
    <w:rsid w:val="000E0180"/>
    <w:rsid w:val="000E0722"/>
    <w:rsid w:val="000E0843"/>
    <w:rsid w:val="000E09BC"/>
    <w:rsid w:val="000E09C8"/>
    <w:rsid w:val="000E0B0E"/>
    <w:rsid w:val="000E148A"/>
    <w:rsid w:val="000E162D"/>
    <w:rsid w:val="000E1A36"/>
    <w:rsid w:val="000E1F42"/>
    <w:rsid w:val="000E28EB"/>
    <w:rsid w:val="000E2B0E"/>
    <w:rsid w:val="000E2CFE"/>
    <w:rsid w:val="000E2F99"/>
    <w:rsid w:val="000E3105"/>
    <w:rsid w:val="000E3FE8"/>
    <w:rsid w:val="000E5C94"/>
    <w:rsid w:val="000E6203"/>
    <w:rsid w:val="000E6816"/>
    <w:rsid w:val="000E7664"/>
    <w:rsid w:val="000F0530"/>
    <w:rsid w:val="000F07C1"/>
    <w:rsid w:val="000F0C06"/>
    <w:rsid w:val="000F1502"/>
    <w:rsid w:val="000F1973"/>
    <w:rsid w:val="000F1E95"/>
    <w:rsid w:val="000F2391"/>
    <w:rsid w:val="000F2F04"/>
    <w:rsid w:val="000F32B0"/>
    <w:rsid w:val="000F35FA"/>
    <w:rsid w:val="000F360E"/>
    <w:rsid w:val="000F38C1"/>
    <w:rsid w:val="000F4BE7"/>
    <w:rsid w:val="000F4EEE"/>
    <w:rsid w:val="000F4F5C"/>
    <w:rsid w:val="000F50D4"/>
    <w:rsid w:val="000F54EB"/>
    <w:rsid w:val="000F57FF"/>
    <w:rsid w:val="000F5924"/>
    <w:rsid w:val="000F6039"/>
    <w:rsid w:val="000F63E8"/>
    <w:rsid w:val="000F6649"/>
    <w:rsid w:val="000F6ECE"/>
    <w:rsid w:val="000F6F8A"/>
    <w:rsid w:val="000F702A"/>
    <w:rsid w:val="000F7109"/>
    <w:rsid w:val="000F713F"/>
    <w:rsid w:val="000F7381"/>
    <w:rsid w:val="000F7B40"/>
    <w:rsid w:val="000F7BC4"/>
    <w:rsid w:val="000F7FFD"/>
    <w:rsid w:val="001004F7"/>
    <w:rsid w:val="00100577"/>
    <w:rsid w:val="00100630"/>
    <w:rsid w:val="001008D0"/>
    <w:rsid w:val="00100AFC"/>
    <w:rsid w:val="001010F7"/>
    <w:rsid w:val="001016FF"/>
    <w:rsid w:val="0010187C"/>
    <w:rsid w:val="0010193D"/>
    <w:rsid w:val="00101FC4"/>
    <w:rsid w:val="00102357"/>
    <w:rsid w:val="001023EC"/>
    <w:rsid w:val="001025F1"/>
    <w:rsid w:val="0010266E"/>
    <w:rsid w:val="00102900"/>
    <w:rsid w:val="00102A23"/>
    <w:rsid w:val="00102D2A"/>
    <w:rsid w:val="00102FB6"/>
    <w:rsid w:val="001035E4"/>
    <w:rsid w:val="00103805"/>
    <w:rsid w:val="00103E0F"/>
    <w:rsid w:val="00103E35"/>
    <w:rsid w:val="00103F02"/>
    <w:rsid w:val="00104179"/>
    <w:rsid w:val="00104413"/>
    <w:rsid w:val="001046D3"/>
    <w:rsid w:val="001046E2"/>
    <w:rsid w:val="00104945"/>
    <w:rsid w:val="00104C14"/>
    <w:rsid w:val="00104EFD"/>
    <w:rsid w:val="00104F87"/>
    <w:rsid w:val="00104FA8"/>
    <w:rsid w:val="0010535F"/>
    <w:rsid w:val="0010576F"/>
    <w:rsid w:val="001060C3"/>
    <w:rsid w:val="001072E0"/>
    <w:rsid w:val="001073D9"/>
    <w:rsid w:val="00107F30"/>
    <w:rsid w:val="00107FBF"/>
    <w:rsid w:val="001101CD"/>
    <w:rsid w:val="001113D6"/>
    <w:rsid w:val="0011146F"/>
    <w:rsid w:val="00111697"/>
    <w:rsid w:val="001116E8"/>
    <w:rsid w:val="00111AC9"/>
    <w:rsid w:val="00111F08"/>
    <w:rsid w:val="00111FD4"/>
    <w:rsid w:val="00112339"/>
    <w:rsid w:val="00113289"/>
    <w:rsid w:val="00113654"/>
    <w:rsid w:val="0011388C"/>
    <w:rsid w:val="00113EF2"/>
    <w:rsid w:val="001144E9"/>
    <w:rsid w:val="00114FB9"/>
    <w:rsid w:val="00115202"/>
    <w:rsid w:val="00115480"/>
    <w:rsid w:val="001161A9"/>
    <w:rsid w:val="001161F1"/>
    <w:rsid w:val="00116223"/>
    <w:rsid w:val="0011725C"/>
    <w:rsid w:val="00117286"/>
    <w:rsid w:val="0011757E"/>
    <w:rsid w:val="00117B2B"/>
    <w:rsid w:val="001200EA"/>
    <w:rsid w:val="0012090E"/>
    <w:rsid w:val="00120E24"/>
    <w:rsid w:val="0012102B"/>
    <w:rsid w:val="001212B2"/>
    <w:rsid w:val="001212BE"/>
    <w:rsid w:val="001213FE"/>
    <w:rsid w:val="00121DC9"/>
    <w:rsid w:val="00122366"/>
    <w:rsid w:val="0012240C"/>
    <w:rsid w:val="0012248B"/>
    <w:rsid w:val="0012250C"/>
    <w:rsid w:val="0012250E"/>
    <w:rsid w:val="0012273D"/>
    <w:rsid w:val="001232C5"/>
    <w:rsid w:val="0012338C"/>
    <w:rsid w:val="00123700"/>
    <w:rsid w:val="001238D4"/>
    <w:rsid w:val="00123EF1"/>
    <w:rsid w:val="00124F99"/>
    <w:rsid w:val="001252A0"/>
    <w:rsid w:val="001254F4"/>
    <w:rsid w:val="00125768"/>
    <w:rsid w:val="00125C71"/>
    <w:rsid w:val="00126142"/>
    <w:rsid w:val="0012632E"/>
    <w:rsid w:val="00126355"/>
    <w:rsid w:val="00126C77"/>
    <w:rsid w:val="001270E9"/>
    <w:rsid w:val="00127335"/>
    <w:rsid w:val="00127381"/>
    <w:rsid w:val="00127494"/>
    <w:rsid w:val="00127BB9"/>
    <w:rsid w:val="0013009D"/>
    <w:rsid w:val="0013082F"/>
    <w:rsid w:val="00130F4C"/>
    <w:rsid w:val="00131196"/>
    <w:rsid w:val="0013141F"/>
    <w:rsid w:val="001317E1"/>
    <w:rsid w:val="00131CD0"/>
    <w:rsid w:val="00131E2F"/>
    <w:rsid w:val="00131EBC"/>
    <w:rsid w:val="0013243A"/>
    <w:rsid w:val="001326C7"/>
    <w:rsid w:val="00132885"/>
    <w:rsid w:val="0013296E"/>
    <w:rsid w:val="00132B3C"/>
    <w:rsid w:val="001330E3"/>
    <w:rsid w:val="001335DE"/>
    <w:rsid w:val="00133604"/>
    <w:rsid w:val="001336F7"/>
    <w:rsid w:val="001338AE"/>
    <w:rsid w:val="001338D4"/>
    <w:rsid w:val="00133921"/>
    <w:rsid w:val="00133929"/>
    <w:rsid w:val="0013431B"/>
    <w:rsid w:val="00135388"/>
    <w:rsid w:val="0013582B"/>
    <w:rsid w:val="001358E2"/>
    <w:rsid w:val="00136744"/>
    <w:rsid w:val="001368F2"/>
    <w:rsid w:val="00136B26"/>
    <w:rsid w:val="0013787D"/>
    <w:rsid w:val="00140163"/>
    <w:rsid w:val="001408C2"/>
    <w:rsid w:val="00140A2A"/>
    <w:rsid w:val="001414D0"/>
    <w:rsid w:val="00141BDB"/>
    <w:rsid w:val="00141C79"/>
    <w:rsid w:val="00142491"/>
    <w:rsid w:val="0014268A"/>
    <w:rsid w:val="0014292D"/>
    <w:rsid w:val="00142B57"/>
    <w:rsid w:val="00142D97"/>
    <w:rsid w:val="0014324C"/>
    <w:rsid w:val="001449CC"/>
    <w:rsid w:val="001456BF"/>
    <w:rsid w:val="00145817"/>
    <w:rsid w:val="00145B22"/>
    <w:rsid w:val="00145C6B"/>
    <w:rsid w:val="00146412"/>
    <w:rsid w:val="00146562"/>
    <w:rsid w:val="001467EF"/>
    <w:rsid w:val="0014681B"/>
    <w:rsid w:val="00146BB0"/>
    <w:rsid w:val="00146C67"/>
    <w:rsid w:val="00146E81"/>
    <w:rsid w:val="00146EAC"/>
    <w:rsid w:val="00147D0E"/>
    <w:rsid w:val="00147E33"/>
    <w:rsid w:val="00147F70"/>
    <w:rsid w:val="00150255"/>
    <w:rsid w:val="0015045B"/>
    <w:rsid w:val="0015077B"/>
    <w:rsid w:val="00150A81"/>
    <w:rsid w:val="00150FD3"/>
    <w:rsid w:val="00151145"/>
    <w:rsid w:val="00151548"/>
    <w:rsid w:val="00151C8C"/>
    <w:rsid w:val="00151D2B"/>
    <w:rsid w:val="00151DA6"/>
    <w:rsid w:val="001526E6"/>
    <w:rsid w:val="0015278B"/>
    <w:rsid w:val="00152884"/>
    <w:rsid w:val="00152AFC"/>
    <w:rsid w:val="00152FCA"/>
    <w:rsid w:val="001536AF"/>
    <w:rsid w:val="0015405E"/>
    <w:rsid w:val="001542F0"/>
    <w:rsid w:val="00154E8C"/>
    <w:rsid w:val="00155868"/>
    <w:rsid w:val="00156573"/>
    <w:rsid w:val="001565A2"/>
    <w:rsid w:val="001567E2"/>
    <w:rsid w:val="00157249"/>
    <w:rsid w:val="001574A4"/>
    <w:rsid w:val="001574F3"/>
    <w:rsid w:val="00157628"/>
    <w:rsid w:val="001576E0"/>
    <w:rsid w:val="001578E4"/>
    <w:rsid w:val="001579BC"/>
    <w:rsid w:val="00157BC0"/>
    <w:rsid w:val="00157D26"/>
    <w:rsid w:val="001603D4"/>
    <w:rsid w:val="00160AFC"/>
    <w:rsid w:val="0016123D"/>
    <w:rsid w:val="001619F9"/>
    <w:rsid w:val="00161D5A"/>
    <w:rsid w:val="00161F6C"/>
    <w:rsid w:val="00162208"/>
    <w:rsid w:val="0016252D"/>
    <w:rsid w:val="001626FF"/>
    <w:rsid w:val="00162867"/>
    <w:rsid w:val="001628E4"/>
    <w:rsid w:val="00162D9E"/>
    <w:rsid w:val="00163428"/>
    <w:rsid w:val="00163439"/>
    <w:rsid w:val="00164988"/>
    <w:rsid w:val="00164C39"/>
    <w:rsid w:val="00164D51"/>
    <w:rsid w:val="00164DA2"/>
    <w:rsid w:val="00165092"/>
    <w:rsid w:val="001651C1"/>
    <w:rsid w:val="0016571D"/>
    <w:rsid w:val="00165DFB"/>
    <w:rsid w:val="0016610C"/>
    <w:rsid w:val="0016673F"/>
    <w:rsid w:val="00167690"/>
    <w:rsid w:val="00167725"/>
    <w:rsid w:val="00167ECE"/>
    <w:rsid w:val="00167F66"/>
    <w:rsid w:val="00170067"/>
    <w:rsid w:val="00170185"/>
    <w:rsid w:val="001701CF"/>
    <w:rsid w:val="00170474"/>
    <w:rsid w:val="00170E6C"/>
    <w:rsid w:val="00171808"/>
    <w:rsid w:val="001718CD"/>
    <w:rsid w:val="00171A14"/>
    <w:rsid w:val="00171BBD"/>
    <w:rsid w:val="00171FE6"/>
    <w:rsid w:val="001727B3"/>
    <w:rsid w:val="001729C5"/>
    <w:rsid w:val="001732DF"/>
    <w:rsid w:val="00173556"/>
    <w:rsid w:val="00173AAF"/>
    <w:rsid w:val="00173EFB"/>
    <w:rsid w:val="001748FA"/>
    <w:rsid w:val="00175289"/>
    <w:rsid w:val="0017595D"/>
    <w:rsid w:val="00176C17"/>
    <w:rsid w:val="00177683"/>
    <w:rsid w:val="00177F45"/>
    <w:rsid w:val="00180206"/>
    <w:rsid w:val="0018039E"/>
    <w:rsid w:val="00180593"/>
    <w:rsid w:val="001808F7"/>
    <w:rsid w:val="00180CF8"/>
    <w:rsid w:val="00180E74"/>
    <w:rsid w:val="0018175E"/>
    <w:rsid w:val="00181785"/>
    <w:rsid w:val="00181DED"/>
    <w:rsid w:val="00181F92"/>
    <w:rsid w:val="0018226F"/>
    <w:rsid w:val="00182352"/>
    <w:rsid w:val="0018257B"/>
    <w:rsid w:val="001830E4"/>
    <w:rsid w:val="0018338C"/>
    <w:rsid w:val="001833DF"/>
    <w:rsid w:val="001835DE"/>
    <w:rsid w:val="0018366E"/>
    <w:rsid w:val="00183775"/>
    <w:rsid w:val="0018379D"/>
    <w:rsid w:val="001837C1"/>
    <w:rsid w:val="00183989"/>
    <w:rsid w:val="00183C9E"/>
    <w:rsid w:val="00183D32"/>
    <w:rsid w:val="00184451"/>
    <w:rsid w:val="00184F09"/>
    <w:rsid w:val="001854FF"/>
    <w:rsid w:val="00185EC4"/>
    <w:rsid w:val="00185EC7"/>
    <w:rsid w:val="00186237"/>
    <w:rsid w:val="001864F6"/>
    <w:rsid w:val="00186D0D"/>
    <w:rsid w:val="00187131"/>
    <w:rsid w:val="0018753A"/>
    <w:rsid w:val="00187D7A"/>
    <w:rsid w:val="00187F4C"/>
    <w:rsid w:val="001905F4"/>
    <w:rsid w:val="001909BB"/>
    <w:rsid w:val="00190A88"/>
    <w:rsid w:val="00190F5F"/>
    <w:rsid w:val="00191515"/>
    <w:rsid w:val="00191682"/>
    <w:rsid w:val="00191723"/>
    <w:rsid w:val="00191938"/>
    <w:rsid w:val="00191E9F"/>
    <w:rsid w:val="0019215D"/>
    <w:rsid w:val="00192280"/>
    <w:rsid w:val="001924B6"/>
    <w:rsid w:val="0019303A"/>
    <w:rsid w:val="00193963"/>
    <w:rsid w:val="00193BB9"/>
    <w:rsid w:val="00193E69"/>
    <w:rsid w:val="0019413E"/>
    <w:rsid w:val="0019415B"/>
    <w:rsid w:val="00194301"/>
    <w:rsid w:val="00194316"/>
    <w:rsid w:val="001944D8"/>
    <w:rsid w:val="0019495C"/>
    <w:rsid w:val="0019499F"/>
    <w:rsid w:val="00194C57"/>
    <w:rsid w:val="001951E9"/>
    <w:rsid w:val="001954B0"/>
    <w:rsid w:val="001955C0"/>
    <w:rsid w:val="00195E13"/>
    <w:rsid w:val="001971EC"/>
    <w:rsid w:val="00197EB8"/>
    <w:rsid w:val="00197ED1"/>
    <w:rsid w:val="001A0332"/>
    <w:rsid w:val="001A0746"/>
    <w:rsid w:val="001A0A07"/>
    <w:rsid w:val="001A0A76"/>
    <w:rsid w:val="001A0D1E"/>
    <w:rsid w:val="001A1218"/>
    <w:rsid w:val="001A16E2"/>
    <w:rsid w:val="001A1A4D"/>
    <w:rsid w:val="001A1D42"/>
    <w:rsid w:val="001A26E7"/>
    <w:rsid w:val="001A2942"/>
    <w:rsid w:val="001A2D8E"/>
    <w:rsid w:val="001A329B"/>
    <w:rsid w:val="001A4305"/>
    <w:rsid w:val="001A4DEC"/>
    <w:rsid w:val="001A512B"/>
    <w:rsid w:val="001A636E"/>
    <w:rsid w:val="001A64BB"/>
    <w:rsid w:val="001A64D2"/>
    <w:rsid w:val="001A6C33"/>
    <w:rsid w:val="001A70AD"/>
    <w:rsid w:val="001A7C22"/>
    <w:rsid w:val="001B0886"/>
    <w:rsid w:val="001B0DCA"/>
    <w:rsid w:val="001B104A"/>
    <w:rsid w:val="001B1DD9"/>
    <w:rsid w:val="001B2767"/>
    <w:rsid w:val="001B2A2A"/>
    <w:rsid w:val="001B2CA0"/>
    <w:rsid w:val="001B2E93"/>
    <w:rsid w:val="001B320B"/>
    <w:rsid w:val="001B3382"/>
    <w:rsid w:val="001B3DC8"/>
    <w:rsid w:val="001B4040"/>
    <w:rsid w:val="001B48B0"/>
    <w:rsid w:val="001B57E0"/>
    <w:rsid w:val="001B5D8B"/>
    <w:rsid w:val="001B612C"/>
    <w:rsid w:val="001B6187"/>
    <w:rsid w:val="001B6261"/>
    <w:rsid w:val="001B70BA"/>
    <w:rsid w:val="001B73F7"/>
    <w:rsid w:val="001B76BC"/>
    <w:rsid w:val="001C0086"/>
    <w:rsid w:val="001C023A"/>
    <w:rsid w:val="001C076D"/>
    <w:rsid w:val="001C1328"/>
    <w:rsid w:val="001C1743"/>
    <w:rsid w:val="001C19E2"/>
    <w:rsid w:val="001C1FEB"/>
    <w:rsid w:val="001C2097"/>
    <w:rsid w:val="001C384F"/>
    <w:rsid w:val="001C3995"/>
    <w:rsid w:val="001C40B4"/>
    <w:rsid w:val="001C441B"/>
    <w:rsid w:val="001C4487"/>
    <w:rsid w:val="001C4B03"/>
    <w:rsid w:val="001C4E42"/>
    <w:rsid w:val="001C4F68"/>
    <w:rsid w:val="001C538C"/>
    <w:rsid w:val="001C55BF"/>
    <w:rsid w:val="001C5EF5"/>
    <w:rsid w:val="001C5FD3"/>
    <w:rsid w:val="001C6775"/>
    <w:rsid w:val="001C6933"/>
    <w:rsid w:val="001C6B0F"/>
    <w:rsid w:val="001C6B49"/>
    <w:rsid w:val="001C6C72"/>
    <w:rsid w:val="001C6E0E"/>
    <w:rsid w:val="001C6FF4"/>
    <w:rsid w:val="001C71F3"/>
    <w:rsid w:val="001C73AB"/>
    <w:rsid w:val="001C7A49"/>
    <w:rsid w:val="001D05B7"/>
    <w:rsid w:val="001D106B"/>
    <w:rsid w:val="001D1A04"/>
    <w:rsid w:val="001D22D9"/>
    <w:rsid w:val="001D2459"/>
    <w:rsid w:val="001D2791"/>
    <w:rsid w:val="001D2FDF"/>
    <w:rsid w:val="001D310A"/>
    <w:rsid w:val="001D3230"/>
    <w:rsid w:val="001D3B7A"/>
    <w:rsid w:val="001D3FDB"/>
    <w:rsid w:val="001D420A"/>
    <w:rsid w:val="001D4554"/>
    <w:rsid w:val="001D4C66"/>
    <w:rsid w:val="001D4E38"/>
    <w:rsid w:val="001D57DE"/>
    <w:rsid w:val="001D5B3C"/>
    <w:rsid w:val="001D5FF0"/>
    <w:rsid w:val="001D6155"/>
    <w:rsid w:val="001D6806"/>
    <w:rsid w:val="001D6EEA"/>
    <w:rsid w:val="001D7030"/>
    <w:rsid w:val="001D7A13"/>
    <w:rsid w:val="001E01A9"/>
    <w:rsid w:val="001E064E"/>
    <w:rsid w:val="001E084A"/>
    <w:rsid w:val="001E093C"/>
    <w:rsid w:val="001E0E4C"/>
    <w:rsid w:val="001E1FC2"/>
    <w:rsid w:val="001E249B"/>
    <w:rsid w:val="001E2519"/>
    <w:rsid w:val="001E2785"/>
    <w:rsid w:val="001E2967"/>
    <w:rsid w:val="001E2DE0"/>
    <w:rsid w:val="001E3285"/>
    <w:rsid w:val="001E33F4"/>
    <w:rsid w:val="001E3450"/>
    <w:rsid w:val="001E3767"/>
    <w:rsid w:val="001E38AD"/>
    <w:rsid w:val="001E45AD"/>
    <w:rsid w:val="001E487E"/>
    <w:rsid w:val="001E4B83"/>
    <w:rsid w:val="001E4D5B"/>
    <w:rsid w:val="001E4DC2"/>
    <w:rsid w:val="001E4E24"/>
    <w:rsid w:val="001E5245"/>
    <w:rsid w:val="001E54FA"/>
    <w:rsid w:val="001E5CE6"/>
    <w:rsid w:val="001E6BE9"/>
    <w:rsid w:val="001E6DB0"/>
    <w:rsid w:val="001E700F"/>
    <w:rsid w:val="001E72B4"/>
    <w:rsid w:val="001E77F5"/>
    <w:rsid w:val="001E7EA6"/>
    <w:rsid w:val="001E7F54"/>
    <w:rsid w:val="001F027C"/>
    <w:rsid w:val="001F089D"/>
    <w:rsid w:val="001F0BF6"/>
    <w:rsid w:val="001F14E7"/>
    <w:rsid w:val="001F197D"/>
    <w:rsid w:val="001F1FBE"/>
    <w:rsid w:val="001F24BF"/>
    <w:rsid w:val="001F27BE"/>
    <w:rsid w:val="001F2C81"/>
    <w:rsid w:val="001F2C8E"/>
    <w:rsid w:val="001F2FDC"/>
    <w:rsid w:val="001F34F0"/>
    <w:rsid w:val="001F3C1C"/>
    <w:rsid w:val="001F3E4D"/>
    <w:rsid w:val="001F4A42"/>
    <w:rsid w:val="001F51DF"/>
    <w:rsid w:val="001F5B54"/>
    <w:rsid w:val="001F61C7"/>
    <w:rsid w:val="001F6BE0"/>
    <w:rsid w:val="001F76BA"/>
    <w:rsid w:val="001F7B17"/>
    <w:rsid w:val="002000FD"/>
    <w:rsid w:val="002001A6"/>
    <w:rsid w:val="0020027F"/>
    <w:rsid w:val="002002C3"/>
    <w:rsid w:val="002007F2"/>
    <w:rsid w:val="00200834"/>
    <w:rsid w:val="00200C90"/>
    <w:rsid w:val="00200CF6"/>
    <w:rsid w:val="00200E7B"/>
    <w:rsid w:val="00200E86"/>
    <w:rsid w:val="0020186A"/>
    <w:rsid w:val="00202010"/>
    <w:rsid w:val="00202220"/>
    <w:rsid w:val="00202963"/>
    <w:rsid w:val="00202C74"/>
    <w:rsid w:val="00202E9D"/>
    <w:rsid w:val="00203114"/>
    <w:rsid w:val="00203573"/>
    <w:rsid w:val="00203649"/>
    <w:rsid w:val="00203727"/>
    <w:rsid w:val="0020418D"/>
    <w:rsid w:val="002041AA"/>
    <w:rsid w:val="002043D0"/>
    <w:rsid w:val="0020443E"/>
    <w:rsid w:val="002046F6"/>
    <w:rsid w:val="00204825"/>
    <w:rsid w:val="00204847"/>
    <w:rsid w:val="00204EF2"/>
    <w:rsid w:val="0020524F"/>
    <w:rsid w:val="00205436"/>
    <w:rsid w:val="00205913"/>
    <w:rsid w:val="00205B4F"/>
    <w:rsid w:val="00206733"/>
    <w:rsid w:val="00206B15"/>
    <w:rsid w:val="00206DE0"/>
    <w:rsid w:val="00206DE8"/>
    <w:rsid w:val="0020767B"/>
    <w:rsid w:val="002076B4"/>
    <w:rsid w:val="00207CC2"/>
    <w:rsid w:val="0021033A"/>
    <w:rsid w:val="00211056"/>
    <w:rsid w:val="00211CFA"/>
    <w:rsid w:val="00211FC3"/>
    <w:rsid w:val="00212253"/>
    <w:rsid w:val="00212601"/>
    <w:rsid w:val="00212B38"/>
    <w:rsid w:val="00212D30"/>
    <w:rsid w:val="0021325B"/>
    <w:rsid w:val="002135FE"/>
    <w:rsid w:val="002143A0"/>
    <w:rsid w:val="0021442B"/>
    <w:rsid w:val="00214990"/>
    <w:rsid w:val="0021499A"/>
    <w:rsid w:val="0021499F"/>
    <w:rsid w:val="00214D19"/>
    <w:rsid w:val="00214D74"/>
    <w:rsid w:val="00214FFD"/>
    <w:rsid w:val="002151C2"/>
    <w:rsid w:val="0021594F"/>
    <w:rsid w:val="00215D9E"/>
    <w:rsid w:val="00215E85"/>
    <w:rsid w:val="00216308"/>
    <w:rsid w:val="0021670C"/>
    <w:rsid w:val="00216890"/>
    <w:rsid w:val="00216C73"/>
    <w:rsid w:val="00216CC8"/>
    <w:rsid w:val="00216D6F"/>
    <w:rsid w:val="00216F0C"/>
    <w:rsid w:val="00217196"/>
    <w:rsid w:val="00217E13"/>
    <w:rsid w:val="00217EFA"/>
    <w:rsid w:val="002200A9"/>
    <w:rsid w:val="00220250"/>
    <w:rsid w:val="002207D4"/>
    <w:rsid w:val="002209E7"/>
    <w:rsid w:val="00220AC8"/>
    <w:rsid w:val="00220B9E"/>
    <w:rsid w:val="0022107B"/>
    <w:rsid w:val="002212F3"/>
    <w:rsid w:val="002215FB"/>
    <w:rsid w:val="00221A99"/>
    <w:rsid w:val="00221C8E"/>
    <w:rsid w:val="00221D08"/>
    <w:rsid w:val="00222DF0"/>
    <w:rsid w:val="002231BB"/>
    <w:rsid w:val="00223833"/>
    <w:rsid w:val="00223A1A"/>
    <w:rsid w:val="00223B16"/>
    <w:rsid w:val="00223F8B"/>
    <w:rsid w:val="0022473A"/>
    <w:rsid w:val="00225254"/>
    <w:rsid w:val="0022654A"/>
    <w:rsid w:val="00226926"/>
    <w:rsid w:val="00226A67"/>
    <w:rsid w:val="00227403"/>
    <w:rsid w:val="00227722"/>
    <w:rsid w:val="002277A3"/>
    <w:rsid w:val="00227A8B"/>
    <w:rsid w:val="00227ADE"/>
    <w:rsid w:val="002300E1"/>
    <w:rsid w:val="00230BE2"/>
    <w:rsid w:val="00230DB4"/>
    <w:rsid w:val="00230DF5"/>
    <w:rsid w:val="00231422"/>
    <w:rsid w:val="00231AB3"/>
    <w:rsid w:val="00232073"/>
    <w:rsid w:val="0023244C"/>
    <w:rsid w:val="00233315"/>
    <w:rsid w:val="00233792"/>
    <w:rsid w:val="002339D6"/>
    <w:rsid w:val="00233AEA"/>
    <w:rsid w:val="00234075"/>
    <w:rsid w:val="0023433A"/>
    <w:rsid w:val="00234808"/>
    <w:rsid w:val="00234903"/>
    <w:rsid w:val="00235EF8"/>
    <w:rsid w:val="00236146"/>
    <w:rsid w:val="0023621C"/>
    <w:rsid w:val="002367ED"/>
    <w:rsid w:val="00236855"/>
    <w:rsid w:val="00236BA0"/>
    <w:rsid w:val="00236C13"/>
    <w:rsid w:val="002372E1"/>
    <w:rsid w:val="0023765A"/>
    <w:rsid w:val="0024016A"/>
    <w:rsid w:val="00240892"/>
    <w:rsid w:val="00240AE0"/>
    <w:rsid w:val="00240B9F"/>
    <w:rsid w:val="00240E38"/>
    <w:rsid w:val="002412F7"/>
    <w:rsid w:val="002414DA"/>
    <w:rsid w:val="002417F8"/>
    <w:rsid w:val="00241979"/>
    <w:rsid w:val="00241B22"/>
    <w:rsid w:val="002420CC"/>
    <w:rsid w:val="0024226E"/>
    <w:rsid w:val="0024228E"/>
    <w:rsid w:val="002425E6"/>
    <w:rsid w:val="00242867"/>
    <w:rsid w:val="00242ABB"/>
    <w:rsid w:val="00242BB7"/>
    <w:rsid w:val="00242BC5"/>
    <w:rsid w:val="00242C47"/>
    <w:rsid w:val="00243040"/>
    <w:rsid w:val="00243561"/>
    <w:rsid w:val="002435BB"/>
    <w:rsid w:val="002435F4"/>
    <w:rsid w:val="00243BF4"/>
    <w:rsid w:val="00244726"/>
    <w:rsid w:val="00244EB1"/>
    <w:rsid w:val="00244FC5"/>
    <w:rsid w:val="00244FD9"/>
    <w:rsid w:val="00245312"/>
    <w:rsid w:val="00245388"/>
    <w:rsid w:val="00245981"/>
    <w:rsid w:val="00245B15"/>
    <w:rsid w:val="00245CEE"/>
    <w:rsid w:val="00245D2E"/>
    <w:rsid w:val="00246167"/>
    <w:rsid w:val="00246583"/>
    <w:rsid w:val="00246B46"/>
    <w:rsid w:val="00246EA3"/>
    <w:rsid w:val="002475AD"/>
    <w:rsid w:val="00247625"/>
    <w:rsid w:val="002477AD"/>
    <w:rsid w:val="0024788C"/>
    <w:rsid w:val="00247ADD"/>
    <w:rsid w:val="00247F41"/>
    <w:rsid w:val="0025006F"/>
    <w:rsid w:val="00250113"/>
    <w:rsid w:val="0025023B"/>
    <w:rsid w:val="00250429"/>
    <w:rsid w:val="002516BD"/>
    <w:rsid w:val="002519AD"/>
    <w:rsid w:val="0025203F"/>
    <w:rsid w:val="00252216"/>
    <w:rsid w:val="00252D61"/>
    <w:rsid w:val="00252D85"/>
    <w:rsid w:val="00252E33"/>
    <w:rsid w:val="002534E8"/>
    <w:rsid w:val="00253614"/>
    <w:rsid w:val="002537EB"/>
    <w:rsid w:val="00253AA7"/>
    <w:rsid w:val="00253CA2"/>
    <w:rsid w:val="00253FB5"/>
    <w:rsid w:val="0025465C"/>
    <w:rsid w:val="002547AD"/>
    <w:rsid w:val="0025487F"/>
    <w:rsid w:val="002549CA"/>
    <w:rsid w:val="00254B8E"/>
    <w:rsid w:val="00256183"/>
    <w:rsid w:val="002561A3"/>
    <w:rsid w:val="0025627B"/>
    <w:rsid w:val="00256B7A"/>
    <w:rsid w:val="00256DF1"/>
    <w:rsid w:val="00257FBC"/>
    <w:rsid w:val="00260027"/>
    <w:rsid w:val="00260248"/>
    <w:rsid w:val="00260273"/>
    <w:rsid w:val="00260308"/>
    <w:rsid w:val="0026045A"/>
    <w:rsid w:val="00260567"/>
    <w:rsid w:val="0026092C"/>
    <w:rsid w:val="0026179B"/>
    <w:rsid w:val="00261BEA"/>
    <w:rsid w:val="00261D4E"/>
    <w:rsid w:val="00262110"/>
    <w:rsid w:val="002622CA"/>
    <w:rsid w:val="002623B7"/>
    <w:rsid w:val="002624FB"/>
    <w:rsid w:val="0026258E"/>
    <w:rsid w:val="002625C8"/>
    <w:rsid w:val="002627F3"/>
    <w:rsid w:val="00262D2F"/>
    <w:rsid w:val="00262D5C"/>
    <w:rsid w:val="0026313E"/>
    <w:rsid w:val="00263309"/>
    <w:rsid w:val="00263850"/>
    <w:rsid w:val="002639DC"/>
    <w:rsid w:val="00263B71"/>
    <w:rsid w:val="00263D3B"/>
    <w:rsid w:val="00263F12"/>
    <w:rsid w:val="00264562"/>
    <w:rsid w:val="002645E7"/>
    <w:rsid w:val="00264B05"/>
    <w:rsid w:val="002656C3"/>
    <w:rsid w:val="00265A0E"/>
    <w:rsid w:val="00265B5D"/>
    <w:rsid w:val="00265B93"/>
    <w:rsid w:val="00265DCC"/>
    <w:rsid w:val="0026627A"/>
    <w:rsid w:val="00266440"/>
    <w:rsid w:val="00266983"/>
    <w:rsid w:val="00266CC8"/>
    <w:rsid w:val="00267303"/>
    <w:rsid w:val="00267CB8"/>
    <w:rsid w:val="00267E50"/>
    <w:rsid w:val="00270221"/>
    <w:rsid w:val="00270C45"/>
    <w:rsid w:val="00270C97"/>
    <w:rsid w:val="002718EF"/>
    <w:rsid w:val="00271C05"/>
    <w:rsid w:val="00272221"/>
    <w:rsid w:val="0027320E"/>
    <w:rsid w:val="0027362C"/>
    <w:rsid w:val="00273D2E"/>
    <w:rsid w:val="002745C1"/>
    <w:rsid w:val="00274EB3"/>
    <w:rsid w:val="00275E1E"/>
    <w:rsid w:val="0027698F"/>
    <w:rsid w:val="00276B79"/>
    <w:rsid w:val="00276D25"/>
    <w:rsid w:val="002772A0"/>
    <w:rsid w:val="00277362"/>
    <w:rsid w:val="002777F1"/>
    <w:rsid w:val="002779D2"/>
    <w:rsid w:val="00277AEF"/>
    <w:rsid w:val="00277E5D"/>
    <w:rsid w:val="00280123"/>
    <w:rsid w:val="002802AB"/>
    <w:rsid w:val="00280B65"/>
    <w:rsid w:val="00280C53"/>
    <w:rsid w:val="002814A8"/>
    <w:rsid w:val="002814E3"/>
    <w:rsid w:val="002815F9"/>
    <w:rsid w:val="0028173F"/>
    <w:rsid w:val="00282BB6"/>
    <w:rsid w:val="00282CD1"/>
    <w:rsid w:val="00282F38"/>
    <w:rsid w:val="00283200"/>
    <w:rsid w:val="00283BE5"/>
    <w:rsid w:val="00283BF1"/>
    <w:rsid w:val="00284102"/>
    <w:rsid w:val="00284187"/>
    <w:rsid w:val="002844E8"/>
    <w:rsid w:val="00284EE6"/>
    <w:rsid w:val="002854EC"/>
    <w:rsid w:val="002854F0"/>
    <w:rsid w:val="0028588E"/>
    <w:rsid w:val="00285DFE"/>
    <w:rsid w:val="002861F4"/>
    <w:rsid w:val="002863C2"/>
    <w:rsid w:val="002865A9"/>
    <w:rsid w:val="00286639"/>
    <w:rsid w:val="00286E7C"/>
    <w:rsid w:val="00286FE4"/>
    <w:rsid w:val="00287295"/>
    <w:rsid w:val="002879D7"/>
    <w:rsid w:val="00287B03"/>
    <w:rsid w:val="00290008"/>
    <w:rsid w:val="00290F30"/>
    <w:rsid w:val="00290F5C"/>
    <w:rsid w:val="00291090"/>
    <w:rsid w:val="00291771"/>
    <w:rsid w:val="00291F1C"/>
    <w:rsid w:val="00291F52"/>
    <w:rsid w:val="00292170"/>
    <w:rsid w:val="002921BF"/>
    <w:rsid w:val="0029289A"/>
    <w:rsid w:val="00292980"/>
    <w:rsid w:val="00292B7B"/>
    <w:rsid w:val="00292F71"/>
    <w:rsid w:val="002933C2"/>
    <w:rsid w:val="00293545"/>
    <w:rsid w:val="00294365"/>
    <w:rsid w:val="0029472E"/>
    <w:rsid w:val="00294926"/>
    <w:rsid w:val="0029528E"/>
    <w:rsid w:val="0029591E"/>
    <w:rsid w:val="002959C4"/>
    <w:rsid w:val="00295D1C"/>
    <w:rsid w:val="00296C99"/>
    <w:rsid w:val="00297209"/>
    <w:rsid w:val="002979EC"/>
    <w:rsid w:val="00297A14"/>
    <w:rsid w:val="00297BED"/>
    <w:rsid w:val="002A02A7"/>
    <w:rsid w:val="002A0923"/>
    <w:rsid w:val="002A0ACC"/>
    <w:rsid w:val="002A1008"/>
    <w:rsid w:val="002A106A"/>
    <w:rsid w:val="002A1FE1"/>
    <w:rsid w:val="002A22FC"/>
    <w:rsid w:val="002A27C5"/>
    <w:rsid w:val="002A29A0"/>
    <w:rsid w:val="002A2B0E"/>
    <w:rsid w:val="002A2E15"/>
    <w:rsid w:val="002A312B"/>
    <w:rsid w:val="002A3204"/>
    <w:rsid w:val="002A38ED"/>
    <w:rsid w:val="002A38EF"/>
    <w:rsid w:val="002A40D9"/>
    <w:rsid w:val="002A475D"/>
    <w:rsid w:val="002A47EA"/>
    <w:rsid w:val="002A4872"/>
    <w:rsid w:val="002A4A7C"/>
    <w:rsid w:val="002A51AA"/>
    <w:rsid w:val="002A5203"/>
    <w:rsid w:val="002A56D4"/>
    <w:rsid w:val="002A5A73"/>
    <w:rsid w:val="002A5B47"/>
    <w:rsid w:val="002A5D50"/>
    <w:rsid w:val="002A5E31"/>
    <w:rsid w:val="002A66CA"/>
    <w:rsid w:val="002A6AB3"/>
    <w:rsid w:val="002A6D2A"/>
    <w:rsid w:val="002A6DBC"/>
    <w:rsid w:val="002A6DBD"/>
    <w:rsid w:val="002A715C"/>
    <w:rsid w:val="002A785D"/>
    <w:rsid w:val="002B01C9"/>
    <w:rsid w:val="002B0584"/>
    <w:rsid w:val="002B0EA0"/>
    <w:rsid w:val="002B0EBF"/>
    <w:rsid w:val="002B1E82"/>
    <w:rsid w:val="002B2038"/>
    <w:rsid w:val="002B2D7F"/>
    <w:rsid w:val="002B30AE"/>
    <w:rsid w:val="002B3101"/>
    <w:rsid w:val="002B3591"/>
    <w:rsid w:val="002B3A45"/>
    <w:rsid w:val="002B4075"/>
    <w:rsid w:val="002B4B33"/>
    <w:rsid w:val="002B4C93"/>
    <w:rsid w:val="002B4E29"/>
    <w:rsid w:val="002B4ED8"/>
    <w:rsid w:val="002B4F90"/>
    <w:rsid w:val="002B5087"/>
    <w:rsid w:val="002B5314"/>
    <w:rsid w:val="002B5378"/>
    <w:rsid w:val="002B5681"/>
    <w:rsid w:val="002B5D4B"/>
    <w:rsid w:val="002B5E35"/>
    <w:rsid w:val="002B6091"/>
    <w:rsid w:val="002B6114"/>
    <w:rsid w:val="002B65C5"/>
    <w:rsid w:val="002B6B2A"/>
    <w:rsid w:val="002B7B94"/>
    <w:rsid w:val="002B7CA8"/>
    <w:rsid w:val="002C0374"/>
    <w:rsid w:val="002C07C4"/>
    <w:rsid w:val="002C08A6"/>
    <w:rsid w:val="002C1DB9"/>
    <w:rsid w:val="002C1E2E"/>
    <w:rsid w:val="002C2268"/>
    <w:rsid w:val="002C2904"/>
    <w:rsid w:val="002C3562"/>
    <w:rsid w:val="002C3B85"/>
    <w:rsid w:val="002C4008"/>
    <w:rsid w:val="002C4A22"/>
    <w:rsid w:val="002C5315"/>
    <w:rsid w:val="002C5510"/>
    <w:rsid w:val="002C588B"/>
    <w:rsid w:val="002C5958"/>
    <w:rsid w:val="002C59A9"/>
    <w:rsid w:val="002C5E79"/>
    <w:rsid w:val="002C5F29"/>
    <w:rsid w:val="002C64B7"/>
    <w:rsid w:val="002C69EB"/>
    <w:rsid w:val="002C6E0D"/>
    <w:rsid w:val="002C6E40"/>
    <w:rsid w:val="002C7035"/>
    <w:rsid w:val="002C7A6D"/>
    <w:rsid w:val="002C7AE9"/>
    <w:rsid w:val="002C7CBE"/>
    <w:rsid w:val="002C7F00"/>
    <w:rsid w:val="002D00FB"/>
    <w:rsid w:val="002D034B"/>
    <w:rsid w:val="002D049F"/>
    <w:rsid w:val="002D0CC4"/>
    <w:rsid w:val="002D167C"/>
    <w:rsid w:val="002D1951"/>
    <w:rsid w:val="002D22BF"/>
    <w:rsid w:val="002D268C"/>
    <w:rsid w:val="002D2CA3"/>
    <w:rsid w:val="002D30D2"/>
    <w:rsid w:val="002D323B"/>
    <w:rsid w:val="002D35C3"/>
    <w:rsid w:val="002D3730"/>
    <w:rsid w:val="002D3909"/>
    <w:rsid w:val="002D3EC7"/>
    <w:rsid w:val="002D40E6"/>
    <w:rsid w:val="002D479C"/>
    <w:rsid w:val="002D48E5"/>
    <w:rsid w:val="002D5DB6"/>
    <w:rsid w:val="002D5EBC"/>
    <w:rsid w:val="002D6480"/>
    <w:rsid w:val="002D6E26"/>
    <w:rsid w:val="002D6E7E"/>
    <w:rsid w:val="002D6F9C"/>
    <w:rsid w:val="002D76A5"/>
    <w:rsid w:val="002D7CB4"/>
    <w:rsid w:val="002E0DEA"/>
    <w:rsid w:val="002E0E28"/>
    <w:rsid w:val="002E0F64"/>
    <w:rsid w:val="002E103C"/>
    <w:rsid w:val="002E10DE"/>
    <w:rsid w:val="002E1361"/>
    <w:rsid w:val="002E1AE1"/>
    <w:rsid w:val="002E1CDD"/>
    <w:rsid w:val="002E235E"/>
    <w:rsid w:val="002E2452"/>
    <w:rsid w:val="002E2D6E"/>
    <w:rsid w:val="002E2EA0"/>
    <w:rsid w:val="002E39EA"/>
    <w:rsid w:val="002E4250"/>
    <w:rsid w:val="002E434D"/>
    <w:rsid w:val="002E4C49"/>
    <w:rsid w:val="002E4F45"/>
    <w:rsid w:val="002E510D"/>
    <w:rsid w:val="002E513D"/>
    <w:rsid w:val="002E53F5"/>
    <w:rsid w:val="002E6319"/>
    <w:rsid w:val="002E67E7"/>
    <w:rsid w:val="002E67EA"/>
    <w:rsid w:val="002E6948"/>
    <w:rsid w:val="002E6C7E"/>
    <w:rsid w:val="002E6DE6"/>
    <w:rsid w:val="002E6EFD"/>
    <w:rsid w:val="002E76D6"/>
    <w:rsid w:val="002E789F"/>
    <w:rsid w:val="002E7D07"/>
    <w:rsid w:val="002E7F0B"/>
    <w:rsid w:val="002F0D70"/>
    <w:rsid w:val="002F0F66"/>
    <w:rsid w:val="002F124A"/>
    <w:rsid w:val="002F1321"/>
    <w:rsid w:val="002F198E"/>
    <w:rsid w:val="002F203B"/>
    <w:rsid w:val="002F4198"/>
    <w:rsid w:val="002F45B3"/>
    <w:rsid w:val="002F4815"/>
    <w:rsid w:val="002F4B3E"/>
    <w:rsid w:val="002F4B72"/>
    <w:rsid w:val="002F4B9C"/>
    <w:rsid w:val="002F4ED1"/>
    <w:rsid w:val="002F5189"/>
    <w:rsid w:val="002F6233"/>
    <w:rsid w:val="002F6322"/>
    <w:rsid w:val="002F640A"/>
    <w:rsid w:val="002F693B"/>
    <w:rsid w:val="002F7214"/>
    <w:rsid w:val="002F745B"/>
    <w:rsid w:val="002F7BA5"/>
    <w:rsid w:val="00300D65"/>
    <w:rsid w:val="00300D87"/>
    <w:rsid w:val="00301FF4"/>
    <w:rsid w:val="00302335"/>
    <w:rsid w:val="0030259C"/>
    <w:rsid w:val="00302666"/>
    <w:rsid w:val="003026A0"/>
    <w:rsid w:val="003026DD"/>
    <w:rsid w:val="00302A94"/>
    <w:rsid w:val="00302ABA"/>
    <w:rsid w:val="00302CF8"/>
    <w:rsid w:val="00302EFC"/>
    <w:rsid w:val="0030313F"/>
    <w:rsid w:val="00303693"/>
    <w:rsid w:val="003036E1"/>
    <w:rsid w:val="0030397F"/>
    <w:rsid w:val="00303CCD"/>
    <w:rsid w:val="00303D59"/>
    <w:rsid w:val="0030456A"/>
    <w:rsid w:val="00304E93"/>
    <w:rsid w:val="00305C2B"/>
    <w:rsid w:val="003063B4"/>
    <w:rsid w:val="00306CC3"/>
    <w:rsid w:val="00307B22"/>
    <w:rsid w:val="00307F94"/>
    <w:rsid w:val="0031017E"/>
    <w:rsid w:val="00310580"/>
    <w:rsid w:val="00310814"/>
    <w:rsid w:val="00310976"/>
    <w:rsid w:val="00310B78"/>
    <w:rsid w:val="00310E54"/>
    <w:rsid w:val="00311394"/>
    <w:rsid w:val="0031153A"/>
    <w:rsid w:val="0031155A"/>
    <w:rsid w:val="00312209"/>
    <w:rsid w:val="00312271"/>
    <w:rsid w:val="00312391"/>
    <w:rsid w:val="00312BCC"/>
    <w:rsid w:val="00313245"/>
    <w:rsid w:val="003134CB"/>
    <w:rsid w:val="00313A42"/>
    <w:rsid w:val="00313DF4"/>
    <w:rsid w:val="00313E75"/>
    <w:rsid w:val="00314215"/>
    <w:rsid w:val="00314500"/>
    <w:rsid w:val="003151D3"/>
    <w:rsid w:val="00315913"/>
    <w:rsid w:val="00316278"/>
    <w:rsid w:val="003169F2"/>
    <w:rsid w:val="00316C30"/>
    <w:rsid w:val="00316E8E"/>
    <w:rsid w:val="00317E70"/>
    <w:rsid w:val="003201D7"/>
    <w:rsid w:val="00320A78"/>
    <w:rsid w:val="00320D72"/>
    <w:rsid w:val="00320E47"/>
    <w:rsid w:val="0032108B"/>
    <w:rsid w:val="003213CF"/>
    <w:rsid w:val="00321468"/>
    <w:rsid w:val="00321CDD"/>
    <w:rsid w:val="003221D7"/>
    <w:rsid w:val="00322B31"/>
    <w:rsid w:val="0032394B"/>
    <w:rsid w:val="00324008"/>
    <w:rsid w:val="0032424C"/>
    <w:rsid w:val="003242EC"/>
    <w:rsid w:val="00324BF7"/>
    <w:rsid w:val="00324D7F"/>
    <w:rsid w:val="00324DE2"/>
    <w:rsid w:val="0032504F"/>
    <w:rsid w:val="00325156"/>
    <w:rsid w:val="003253FB"/>
    <w:rsid w:val="0032608A"/>
    <w:rsid w:val="003262BB"/>
    <w:rsid w:val="00326479"/>
    <w:rsid w:val="00326981"/>
    <w:rsid w:val="003269FA"/>
    <w:rsid w:val="00326E60"/>
    <w:rsid w:val="00326F20"/>
    <w:rsid w:val="003271FC"/>
    <w:rsid w:val="003272DD"/>
    <w:rsid w:val="00327C40"/>
    <w:rsid w:val="00327FDD"/>
    <w:rsid w:val="00330691"/>
    <w:rsid w:val="0033075B"/>
    <w:rsid w:val="00330A4E"/>
    <w:rsid w:val="00330BBA"/>
    <w:rsid w:val="00330DE4"/>
    <w:rsid w:val="0033135F"/>
    <w:rsid w:val="00331B63"/>
    <w:rsid w:val="00331C68"/>
    <w:rsid w:val="00331DCC"/>
    <w:rsid w:val="00331DF8"/>
    <w:rsid w:val="003326B9"/>
    <w:rsid w:val="00332FAE"/>
    <w:rsid w:val="003331C5"/>
    <w:rsid w:val="00333E65"/>
    <w:rsid w:val="003350D5"/>
    <w:rsid w:val="003357E6"/>
    <w:rsid w:val="00335A47"/>
    <w:rsid w:val="00335BD7"/>
    <w:rsid w:val="003360D8"/>
    <w:rsid w:val="0033619A"/>
    <w:rsid w:val="00336662"/>
    <w:rsid w:val="003367A6"/>
    <w:rsid w:val="003368C7"/>
    <w:rsid w:val="00336FC3"/>
    <w:rsid w:val="00337236"/>
    <w:rsid w:val="0033743C"/>
    <w:rsid w:val="00337BF0"/>
    <w:rsid w:val="00337CD5"/>
    <w:rsid w:val="00337F62"/>
    <w:rsid w:val="00340EB1"/>
    <w:rsid w:val="003412C1"/>
    <w:rsid w:val="003413EF"/>
    <w:rsid w:val="00341525"/>
    <w:rsid w:val="00341666"/>
    <w:rsid w:val="003418D2"/>
    <w:rsid w:val="00341AD8"/>
    <w:rsid w:val="003426C2"/>
    <w:rsid w:val="0034270F"/>
    <w:rsid w:val="00342872"/>
    <w:rsid w:val="003428EC"/>
    <w:rsid w:val="00342AF4"/>
    <w:rsid w:val="00342E57"/>
    <w:rsid w:val="0034304E"/>
    <w:rsid w:val="0034359D"/>
    <w:rsid w:val="003435EE"/>
    <w:rsid w:val="0034365F"/>
    <w:rsid w:val="00343877"/>
    <w:rsid w:val="0034387E"/>
    <w:rsid w:val="00343918"/>
    <w:rsid w:val="00343A28"/>
    <w:rsid w:val="00343C9F"/>
    <w:rsid w:val="00343D5E"/>
    <w:rsid w:val="0034407C"/>
    <w:rsid w:val="003444E5"/>
    <w:rsid w:val="00344D3E"/>
    <w:rsid w:val="00345034"/>
    <w:rsid w:val="0034590A"/>
    <w:rsid w:val="00345E84"/>
    <w:rsid w:val="00346328"/>
    <w:rsid w:val="003463BA"/>
    <w:rsid w:val="003464C6"/>
    <w:rsid w:val="0034672F"/>
    <w:rsid w:val="00346963"/>
    <w:rsid w:val="003469E4"/>
    <w:rsid w:val="00346CB0"/>
    <w:rsid w:val="00346D50"/>
    <w:rsid w:val="003472B1"/>
    <w:rsid w:val="0034782B"/>
    <w:rsid w:val="00347E0C"/>
    <w:rsid w:val="00347F98"/>
    <w:rsid w:val="00347FD7"/>
    <w:rsid w:val="00350414"/>
    <w:rsid w:val="00350629"/>
    <w:rsid w:val="00350E88"/>
    <w:rsid w:val="003512A4"/>
    <w:rsid w:val="00351374"/>
    <w:rsid w:val="0035196B"/>
    <w:rsid w:val="00351E78"/>
    <w:rsid w:val="00351EDE"/>
    <w:rsid w:val="00352E7D"/>
    <w:rsid w:val="003535D9"/>
    <w:rsid w:val="003544A9"/>
    <w:rsid w:val="00354973"/>
    <w:rsid w:val="00354C26"/>
    <w:rsid w:val="00355136"/>
    <w:rsid w:val="0035569B"/>
    <w:rsid w:val="00355913"/>
    <w:rsid w:val="003559BD"/>
    <w:rsid w:val="00355C48"/>
    <w:rsid w:val="0035663C"/>
    <w:rsid w:val="003568F3"/>
    <w:rsid w:val="00357A8D"/>
    <w:rsid w:val="0036020D"/>
    <w:rsid w:val="0036094E"/>
    <w:rsid w:val="00360A2F"/>
    <w:rsid w:val="00360A83"/>
    <w:rsid w:val="003613EC"/>
    <w:rsid w:val="003619C4"/>
    <w:rsid w:val="00362714"/>
    <w:rsid w:val="003630C6"/>
    <w:rsid w:val="00363248"/>
    <w:rsid w:val="003633D7"/>
    <w:rsid w:val="003634DA"/>
    <w:rsid w:val="00363676"/>
    <w:rsid w:val="0036375C"/>
    <w:rsid w:val="0036381E"/>
    <w:rsid w:val="00363943"/>
    <w:rsid w:val="0036414B"/>
    <w:rsid w:val="00364353"/>
    <w:rsid w:val="0036467F"/>
    <w:rsid w:val="00364A7B"/>
    <w:rsid w:val="00364BDF"/>
    <w:rsid w:val="00364CE4"/>
    <w:rsid w:val="00365024"/>
    <w:rsid w:val="0036504B"/>
    <w:rsid w:val="0036552B"/>
    <w:rsid w:val="003655BF"/>
    <w:rsid w:val="003656BC"/>
    <w:rsid w:val="00365AB1"/>
    <w:rsid w:val="00365E9D"/>
    <w:rsid w:val="003665FE"/>
    <w:rsid w:val="003671D7"/>
    <w:rsid w:val="00367FA2"/>
    <w:rsid w:val="00370554"/>
    <w:rsid w:val="003706EC"/>
    <w:rsid w:val="003709E8"/>
    <w:rsid w:val="00370E71"/>
    <w:rsid w:val="00371162"/>
    <w:rsid w:val="003711F8"/>
    <w:rsid w:val="00371230"/>
    <w:rsid w:val="0037152B"/>
    <w:rsid w:val="003719E7"/>
    <w:rsid w:val="00371C1C"/>
    <w:rsid w:val="0037387B"/>
    <w:rsid w:val="00373A76"/>
    <w:rsid w:val="00373E28"/>
    <w:rsid w:val="00374931"/>
    <w:rsid w:val="0037599F"/>
    <w:rsid w:val="0037612A"/>
    <w:rsid w:val="00376343"/>
    <w:rsid w:val="00376447"/>
    <w:rsid w:val="00377166"/>
    <w:rsid w:val="003800FC"/>
    <w:rsid w:val="00380230"/>
    <w:rsid w:val="00381464"/>
    <w:rsid w:val="0038150E"/>
    <w:rsid w:val="003819CA"/>
    <w:rsid w:val="00381A57"/>
    <w:rsid w:val="00381D79"/>
    <w:rsid w:val="0038246F"/>
    <w:rsid w:val="00382680"/>
    <w:rsid w:val="00382A78"/>
    <w:rsid w:val="00382DB0"/>
    <w:rsid w:val="00383448"/>
    <w:rsid w:val="00383E84"/>
    <w:rsid w:val="00384047"/>
    <w:rsid w:val="00384154"/>
    <w:rsid w:val="00384321"/>
    <w:rsid w:val="003847E3"/>
    <w:rsid w:val="00384AC3"/>
    <w:rsid w:val="00384ED9"/>
    <w:rsid w:val="003855A7"/>
    <w:rsid w:val="00385629"/>
    <w:rsid w:val="00385969"/>
    <w:rsid w:val="003859A1"/>
    <w:rsid w:val="00385E8F"/>
    <w:rsid w:val="003860BE"/>
    <w:rsid w:val="00386EED"/>
    <w:rsid w:val="00386F26"/>
    <w:rsid w:val="00387016"/>
    <w:rsid w:val="0038732D"/>
    <w:rsid w:val="003873B4"/>
    <w:rsid w:val="0038740E"/>
    <w:rsid w:val="00387BF8"/>
    <w:rsid w:val="00387DD9"/>
    <w:rsid w:val="00387E56"/>
    <w:rsid w:val="00390166"/>
    <w:rsid w:val="00390CB9"/>
    <w:rsid w:val="00390D8E"/>
    <w:rsid w:val="00390E97"/>
    <w:rsid w:val="00391311"/>
    <w:rsid w:val="0039134B"/>
    <w:rsid w:val="003913D0"/>
    <w:rsid w:val="00391B02"/>
    <w:rsid w:val="0039227B"/>
    <w:rsid w:val="003922A9"/>
    <w:rsid w:val="0039262C"/>
    <w:rsid w:val="00392918"/>
    <w:rsid w:val="00392AD6"/>
    <w:rsid w:val="00392D59"/>
    <w:rsid w:val="00393A82"/>
    <w:rsid w:val="00393EF4"/>
    <w:rsid w:val="0039404E"/>
    <w:rsid w:val="00394254"/>
    <w:rsid w:val="003944EA"/>
    <w:rsid w:val="0039452C"/>
    <w:rsid w:val="003945D3"/>
    <w:rsid w:val="0039501D"/>
    <w:rsid w:val="00395CC2"/>
    <w:rsid w:val="003960E2"/>
    <w:rsid w:val="003962B9"/>
    <w:rsid w:val="0039670A"/>
    <w:rsid w:val="0039671C"/>
    <w:rsid w:val="003968C0"/>
    <w:rsid w:val="003970F7"/>
    <w:rsid w:val="003972BC"/>
    <w:rsid w:val="003972EF"/>
    <w:rsid w:val="00397515"/>
    <w:rsid w:val="0039755B"/>
    <w:rsid w:val="0039770C"/>
    <w:rsid w:val="00397986"/>
    <w:rsid w:val="00397A89"/>
    <w:rsid w:val="00397C01"/>
    <w:rsid w:val="00397CAD"/>
    <w:rsid w:val="00397CB8"/>
    <w:rsid w:val="00397F59"/>
    <w:rsid w:val="003A00A2"/>
    <w:rsid w:val="003A00D7"/>
    <w:rsid w:val="003A0154"/>
    <w:rsid w:val="003A0295"/>
    <w:rsid w:val="003A042E"/>
    <w:rsid w:val="003A0869"/>
    <w:rsid w:val="003A0EFE"/>
    <w:rsid w:val="003A108D"/>
    <w:rsid w:val="003A154E"/>
    <w:rsid w:val="003A1E45"/>
    <w:rsid w:val="003A219E"/>
    <w:rsid w:val="003A2A23"/>
    <w:rsid w:val="003A2CB3"/>
    <w:rsid w:val="003A2FF2"/>
    <w:rsid w:val="003A319E"/>
    <w:rsid w:val="003A3511"/>
    <w:rsid w:val="003A3732"/>
    <w:rsid w:val="003A37AD"/>
    <w:rsid w:val="003A39A9"/>
    <w:rsid w:val="003A3CEF"/>
    <w:rsid w:val="003A4050"/>
    <w:rsid w:val="003A4148"/>
    <w:rsid w:val="003A4243"/>
    <w:rsid w:val="003A4483"/>
    <w:rsid w:val="003A4960"/>
    <w:rsid w:val="003A4B76"/>
    <w:rsid w:val="003A4C1E"/>
    <w:rsid w:val="003A4F41"/>
    <w:rsid w:val="003A518E"/>
    <w:rsid w:val="003A5193"/>
    <w:rsid w:val="003A57D7"/>
    <w:rsid w:val="003A5F72"/>
    <w:rsid w:val="003A61E5"/>
    <w:rsid w:val="003A6AAD"/>
    <w:rsid w:val="003A6F54"/>
    <w:rsid w:val="003A729A"/>
    <w:rsid w:val="003A752E"/>
    <w:rsid w:val="003B0558"/>
    <w:rsid w:val="003B0983"/>
    <w:rsid w:val="003B0CE7"/>
    <w:rsid w:val="003B0D50"/>
    <w:rsid w:val="003B1780"/>
    <w:rsid w:val="003B18F5"/>
    <w:rsid w:val="003B2005"/>
    <w:rsid w:val="003B218B"/>
    <w:rsid w:val="003B2511"/>
    <w:rsid w:val="003B25A5"/>
    <w:rsid w:val="003B2D07"/>
    <w:rsid w:val="003B2EA7"/>
    <w:rsid w:val="003B2F4C"/>
    <w:rsid w:val="003B31F4"/>
    <w:rsid w:val="003B3BB4"/>
    <w:rsid w:val="003B4025"/>
    <w:rsid w:val="003B4775"/>
    <w:rsid w:val="003B4D22"/>
    <w:rsid w:val="003B5104"/>
    <w:rsid w:val="003B5609"/>
    <w:rsid w:val="003B5715"/>
    <w:rsid w:val="003B576E"/>
    <w:rsid w:val="003B588B"/>
    <w:rsid w:val="003B5BFC"/>
    <w:rsid w:val="003B60FB"/>
    <w:rsid w:val="003B61FF"/>
    <w:rsid w:val="003B6A65"/>
    <w:rsid w:val="003B6F17"/>
    <w:rsid w:val="003B7286"/>
    <w:rsid w:val="003B7930"/>
    <w:rsid w:val="003B7DD4"/>
    <w:rsid w:val="003C00EB"/>
    <w:rsid w:val="003C048B"/>
    <w:rsid w:val="003C07E3"/>
    <w:rsid w:val="003C0B03"/>
    <w:rsid w:val="003C0B14"/>
    <w:rsid w:val="003C0DE3"/>
    <w:rsid w:val="003C0F4A"/>
    <w:rsid w:val="003C1843"/>
    <w:rsid w:val="003C251D"/>
    <w:rsid w:val="003C26A8"/>
    <w:rsid w:val="003C275F"/>
    <w:rsid w:val="003C2A37"/>
    <w:rsid w:val="003C380F"/>
    <w:rsid w:val="003C3824"/>
    <w:rsid w:val="003C3F57"/>
    <w:rsid w:val="003C46F1"/>
    <w:rsid w:val="003C4928"/>
    <w:rsid w:val="003C495F"/>
    <w:rsid w:val="003C5302"/>
    <w:rsid w:val="003C5E3F"/>
    <w:rsid w:val="003C649D"/>
    <w:rsid w:val="003C6FD0"/>
    <w:rsid w:val="003C73FA"/>
    <w:rsid w:val="003C7592"/>
    <w:rsid w:val="003C75D6"/>
    <w:rsid w:val="003C7732"/>
    <w:rsid w:val="003C7A0F"/>
    <w:rsid w:val="003C7B3E"/>
    <w:rsid w:val="003C7C45"/>
    <w:rsid w:val="003C7E47"/>
    <w:rsid w:val="003D0792"/>
    <w:rsid w:val="003D0980"/>
    <w:rsid w:val="003D0ACC"/>
    <w:rsid w:val="003D0D5F"/>
    <w:rsid w:val="003D0D7F"/>
    <w:rsid w:val="003D0EC2"/>
    <w:rsid w:val="003D1261"/>
    <w:rsid w:val="003D1524"/>
    <w:rsid w:val="003D2059"/>
    <w:rsid w:val="003D21AD"/>
    <w:rsid w:val="003D21EB"/>
    <w:rsid w:val="003D22FD"/>
    <w:rsid w:val="003D239F"/>
    <w:rsid w:val="003D23EC"/>
    <w:rsid w:val="003D294C"/>
    <w:rsid w:val="003D34B1"/>
    <w:rsid w:val="003D34C2"/>
    <w:rsid w:val="003D3C0F"/>
    <w:rsid w:val="003D4968"/>
    <w:rsid w:val="003D4F6D"/>
    <w:rsid w:val="003D5866"/>
    <w:rsid w:val="003D58B2"/>
    <w:rsid w:val="003D5D64"/>
    <w:rsid w:val="003D6643"/>
    <w:rsid w:val="003D7533"/>
    <w:rsid w:val="003D7926"/>
    <w:rsid w:val="003E00DE"/>
    <w:rsid w:val="003E1651"/>
    <w:rsid w:val="003E19D0"/>
    <w:rsid w:val="003E21DB"/>
    <w:rsid w:val="003E28AD"/>
    <w:rsid w:val="003E2A2C"/>
    <w:rsid w:val="003E2FBE"/>
    <w:rsid w:val="003E304D"/>
    <w:rsid w:val="003E3098"/>
    <w:rsid w:val="003E3494"/>
    <w:rsid w:val="003E3645"/>
    <w:rsid w:val="003E3A4E"/>
    <w:rsid w:val="003E3B38"/>
    <w:rsid w:val="003E3C54"/>
    <w:rsid w:val="003E40CC"/>
    <w:rsid w:val="003E4D0B"/>
    <w:rsid w:val="003E4D19"/>
    <w:rsid w:val="003E4FCC"/>
    <w:rsid w:val="003E561A"/>
    <w:rsid w:val="003E5795"/>
    <w:rsid w:val="003E620A"/>
    <w:rsid w:val="003E6AC1"/>
    <w:rsid w:val="003E6ACA"/>
    <w:rsid w:val="003E6E24"/>
    <w:rsid w:val="003E6E75"/>
    <w:rsid w:val="003E7016"/>
    <w:rsid w:val="003E711A"/>
    <w:rsid w:val="003F04C3"/>
    <w:rsid w:val="003F0690"/>
    <w:rsid w:val="003F0DAE"/>
    <w:rsid w:val="003F0E44"/>
    <w:rsid w:val="003F0FF3"/>
    <w:rsid w:val="003F1139"/>
    <w:rsid w:val="003F13AB"/>
    <w:rsid w:val="003F14E4"/>
    <w:rsid w:val="003F1E16"/>
    <w:rsid w:val="003F1E77"/>
    <w:rsid w:val="003F24FE"/>
    <w:rsid w:val="003F2AEE"/>
    <w:rsid w:val="003F2FF1"/>
    <w:rsid w:val="003F3726"/>
    <w:rsid w:val="003F3B96"/>
    <w:rsid w:val="003F3D1B"/>
    <w:rsid w:val="003F420C"/>
    <w:rsid w:val="003F4A91"/>
    <w:rsid w:val="003F4C25"/>
    <w:rsid w:val="003F52D6"/>
    <w:rsid w:val="003F5D1F"/>
    <w:rsid w:val="003F6344"/>
    <w:rsid w:val="003F6BA5"/>
    <w:rsid w:val="003F6EAE"/>
    <w:rsid w:val="003F6ED9"/>
    <w:rsid w:val="003F7043"/>
    <w:rsid w:val="003F7068"/>
    <w:rsid w:val="003F7B0A"/>
    <w:rsid w:val="003F7C38"/>
    <w:rsid w:val="003F7CF1"/>
    <w:rsid w:val="004006A1"/>
    <w:rsid w:val="004016C5"/>
    <w:rsid w:val="00401C36"/>
    <w:rsid w:val="00402050"/>
    <w:rsid w:val="00402052"/>
    <w:rsid w:val="0040208A"/>
    <w:rsid w:val="0040271D"/>
    <w:rsid w:val="004028AE"/>
    <w:rsid w:val="00402F17"/>
    <w:rsid w:val="0040306B"/>
    <w:rsid w:val="0040332C"/>
    <w:rsid w:val="00403345"/>
    <w:rsid w:val="0040339A"/>
    <w:rsid w:val="00403814"/>
    <w:rsid w:val="004039AE"/>
    <w:rsid w:val="00403A70"/>
    <w:rsid w:val="00403B63"/>
    <w:rsid w:val="00403BD3"/>
    <w:rsid w:val="00404109"/>
    <w:rsid w:val="00404976"/>
    <w:rsid w:val="00404DA5"/>
    <w:rsid w:val="004050FE"/>
    <w:rsid w:val="004053AC"/>
    <w:rsid w:val="00405835"/>
    <w:rsid w:val="00405C7B"/>
    <w:rsid w:val="00405CD6"/>
    <w:rsid w:val="0040710D"/>
    <w:rsid w:val="004074F4"/>
    <w:rsid w:val="0040761A"/>
    <w:rsid w:val="0040788E"/>
    <w:rsid w:val="00410098"/>
    <w:rsid w:val="004100EA"/>
    <w:rsid w:val="00410827"/>
    <w:rsid w:val="00410EE0"/>
    <w:rsid w:val="00411364"/>
    <w:rsid w:val="004115B2"/>
    <w:rsid w:val="0041160E"/>
    <w:rsid w:val="00412007"/>
    <w:rsid w:val="00412AEA"/>
    <w:rsid w:val="00412C4E"/>
    <w:rsid w:val="0041343F"/>
    <w:rsid w:val="00413682"/>
    <w:rsid w:val="00413A37"/>
    <w:rsid w:val="00413DC5"/>
    <w:rsid w:val="00413FAD"/>
    <w:rsid w:val="004144A2"/>
    <w:rsid w:val="00414565"/>
    <w:rsid w:val="004145CE"/>
    <w:rsid w:val="00414BEB"/>
    <w:rsid w:val="00414E82"/>
    <w:rsid w:val="0041513A"/>
    <w:rsid w:val="004155EA"/>
    <w:rsid w:val="0041583D"/>
    <w:rsid w:val="00415D0F"/>
    <w:rsid w:val="00415FBE"/>
    <w:rsid w:val="004168E5"/>
    <w:rsid w:val="00416D29"/>
    <w:rsid w:val="00416D33"/>
    <w:rsid w:val="00416D7A"/>
    <w:rsid w:val="0041706B"/>
    <w:rsid w:val="004170BF"/>
    <w:rsid w:val="004175F0"/>
    <w:rsid w:val="0042032C"/>
    <w:rsid w:val="0042050F"/>
    <w:rsid w:val="00420680"/>
    <w:rsid w:val="004214A4"/>
    <w:rsid w:val="0042172A"/>
    <w:rsid w:val="004218DE"/>
    <w:rsid w:val="00421952"/>
    <w:rsid w:val="00422640"/>
    <w:rsid w:val="00422C67"/>
    <w:rsid w:val="004230A6"/>
    <w:rsid w:val="00423318"/>
    <w:rsid w:val="00423372"/>
    <w:rsid w:val="0042358A"/>
    <w:rsid w:val="00423AFC"/>
    <w:rsid w:val="00423DBB"/>
    <w:rsid w:val="00423E41"/>
    <w:rsid w:val="004240FF"/>
    <w:rsid w:val="00424AE4"/>
    <w:rsid w:val="00424CB3"/>
    <w:rsid w:val="0042537C"/>
    <w:rsid w:val="00425C35"/>
    <w:rsid w:val="00425C39"/>
    <w:rsid w:val="004266A7"/>
    <w:rsid w:val="00426908"/>
    <w:rsid w:val="00426D76"/>
    <w:rsid w:val="00426E9A"/>
    <w:rsid w:val="0042708F"/>
    <w:rsid w:val="0042798C"/>
    <w:rsid w:val="00427CF2"/>
    <w:rsid w:val="00427CF3"/>
    <w:rsid w:val="00427D57"/>
    <w:rsid w:val="004305AC"/>
    <w:rsid w:val="00430B31"/>
    <w:rsid w:val="00430E60"/>
    <w:rsid w:val="00430F2C"/>
    <w:rsid w:val="004310CA"/>
    <w:rsid w:val="004312B0"/>
    <w:rsid w:val="00431653"/>
    <w:rsid w:val="00432D61"/>
    <w:rsid w:val="0043300A"/>
    <w:rsid w:val="0043305D"/>
    <w:rsid w:val="0043312F"/>
    <w:rsid w:val="0043368D"/>
    <w:rsid w:val="00433728"/>
    <w:rsid w:val="00433F18"/>
    <w:rsid w:val="004341DF"/>
    <w:rsid w:val="00434218"/>
    <w:rsid w:val="00434255"/>
    <w:rsid w:val="0043495E"/>
    <w:rsid w:val="00435740"/>
    <w:rsid w:val="004359CB"/>
    <w:rsid w:val="00435D2C"/>
    <w:rsid w:val="0043606B"/>
    <w:rsid w:val="004362B7"/>
    <w:rsid w:val="00436A78"/>
    <w:rsid w:val="00437529"/>
    <w:rsid w:val="00437549"/>
    <w:rsid w:val="00437B07"/>
    <w:rsid w:val="00440026"/>
    <w:rsid w:val="004409C5"/>
    <w:rsid w:val="00440E3D"/>
    <w:rsid w:val="00440EA9"/>
    <w:rsid w:val="00441934"/>
    <w:rsid w:val="00441A3C"/>
    <w:rsid w:val="00441D7F"/>
    <w:rsid w:val="00442170"/>
    <w:rsid w:val="0044218F"/>
    <w:rsid w:val="00442484"/>
    <w:rsid w:val="00442773"/>
    <w:rsid w:val="00442984"/>
    <w:rsid w:val="00442CCC"/>
    <w:rsid w:val="00442EE8"/>
    <w:rsid w:val="004431DD"/>
    <w:rsid w:val="00443508"/>
    <w:rsid w:val="004436AC"/>
    <w:rsid w:val="00443824"/>
    <w:rsid w:val="00443871"/>
    <w:rsid w:val="00443951"/>
    <w:rsid w:val="0044397F"/>
    <w:rsid w:val="00443A4C"/>
    <w:rsid w:val="00444072"/>
    <w:rsid w:val="0044421C"/>
    <w:rsid w:val="004442B9"/>
    <w:rsid w:val="00444D89"/>
    <w:rsid w:val="0044515C"/>
    <w:rsid w:val="0044589A"/>
    <w:rsid w:val="00445C03"/>
    <w:rsid w:val="00445FC4"/>
    <w:rsid w:val="004460AB"/>
    <w:rsid w:val="004468B6"/>
    <w:rsid w:val="00446A78"/>
    <w:rsid w:val="00446D43"/>
    <w:rsid w:val="00446E2F"/>
    <w:rsid w:val="004470D8"/>
    <w:rsid w:val="00447AF6"/>
    <w:rsid w:val="00447D06"/>
    <w:rsid w:val="00447E06"/>
    <w:rsid w:val="0045003F"/>
    <w:rsid w:val="0045023A"/>
    <w:rsid w:val="004502A6"/>
    <w:rsid w:val="004504D4"/>
    <w:rsid w:val="004512E1"/>
    <w:rsid w:val="004515A2"/>
    <w:rsid w:val="00451F5B"/>
    <w:rsid w:val="00452366"/>
    <w:rsid w:val="0045242D"/>
    <w:rsid w:val="00452472"/>
    <w:rsid w:val="00452569"/>
    <w:rsid w:val="0045269D"/>
    <w:rsid w:val="00452C21"/>
    <w:rsid w:val="00452F2E"/>
    <w:rsid w:val="004533A6"/>
    <w:rsid w:val="0045397F"/>
    <w:rsid w:val="00453A4C"/>
    <w:rsid w:val="00453B00"/>
    <w:rsid w:val="00453B5E"/>
    <w:rsid w:val="00453E86"/>
    <w:rsid w:val="00454284"/>
    <w:rsid w:val="00454687"/>
    <w:rsid w:val="00454A56"/>
    <w:rsid w:val="00454C20"/>
    <w:rsid w:val="00454D85"/>
    <w:rsid w:val="00454FF4"/>
    <w:rsid w:val="0045543C"/>
    <w:rsid w:val="0045574A"/>
    <w:rsid w:val="004558D4"/>
    <w:rsid w:val="00455A25"/>
    <w:rsid w:val="0045618B"/>
    <w:rsid w:val="0045625D"/>
    <w:rsid w:val="0045696D"/>
    <w:rsid w:val="00456C26"/>
    <w:rsid w:val="004570B6"/>
    <w:rsid w:val="004571DA"/>
    <w:rsid w:val="0045762F"/>
    <w:rsid w:val="0046071C"/>
    <w:rsid w:val="00460802"/>
    <w:rsid w:val="00460D86"/>
    <w:rsid w:val="004610FE"/>
    <w:rsid w:val="004611F2"/>
    <w:rsid w:val="004612D1"/>
    <w:rsid w:val="0046220C"/>
    <w:rsid w:val="00462322"/>
    <w:rsid w:val="00462368"/>
    <w:rsid w:val="00462798"/>
    <w:rsid w:val="00462C63"/>
    <w:rsid w:val="004635D2"/>
    <w:rsid w:val="004642AE"/>
    <w:rsid w:val="004648C9"/>
    <w:rsid w:val="00464BFE"/>
    <w:rsid w:val="00464CFA"/>
    <w:rsid w:val="004651B1"/>
    <w:rsid w:val="00465674"/>
    <w:rsid w:val="0046577D"/>
    <w:rsid w:val="00465BD2"/>
    <w:rsid w:val="00465EE8"/>
    <w:rsid w:val="004660CF"/>
    <w:rsid w:val="00466395"/>
    <w:rsid w:val="0046639A"/>
    <w:rsid w:val="0046642E"/>
    <w:rsid w:val="0046649A"/>
    <w:rsid w:val="00466613"/>
    <w:rsid w:val="00466B39"/>
    <w:rsid w:val="00467FD7"/>
    <w:rsid w:val="004709E6"/>
    <w:rsid w:val="00471BB1"/>
    <w:rsid w:val="00471F41"/>
    <w:rsid w:val="00472385"/>
    <w:rsid w:val="00472929"/>
    <w:rsid w:val="00472AC8"/>
    <w:rsid w:val="00472CC2"/>
    <w:rsid w:val="00472E89"/>
    <w:rsid w:val="004731E3"/>
    <w:rsid w:val="00473236"/>
    <w:rsid w:val="0047360A"/>
    <w:rsid w:val="00474160"/>
    <w:rsid w:val="0047452D"/>
    <w:rsid w:val="004746AE"/>
    <w:rsid w:val="00474ABA"/>
    <w:rsid w:val="00474F0A"/>
    <w:rsid w:val="004750CF"/>
    <w:rsid w:val="00475327"/>
    <w:rsid w:val="004757F1"/>
    <w:rsid w:val="00475883"/>
    <w:rsid w:val="00475C8E"/>
    <w:rsid w:val="00475F68"/>
    <w:rsid w:val="00476DB3"/>
    <w:rsid w:val="004773A7"/>
    <w:rsid w:val="00477CAE"/>
    <w:rsid w:val="004801B2"/>
    <w:rsid w:val="004804C7"/>
    <w:rsid w:val="00480BA2"/>
    <w:rsid w:val="004812E5"/>
    <w:rsid w:val="004814D4"/>
    <w:rsid w:val="004819F4"/>
    <w:rsid w:val="00482084"/>
    <w:rsid w:val="004827D1"/>
    <w:rsid w:val="00482EB2"/>
    <w:rsid w:val="00483781"/>
    <w:rsid w:val="004838D2"/>
    <w:rsid w:val="004839D3"/>
    <w:rsid w:val="00483A27"/>
    <w:rsid w:val="00483BB3"/>
    <w:rsid w:val="00484E81"/>
    <w:rsid w:val="0048552C"/>
    <w:rsid w:val="00485958"/>
    <w:rsid w:val="00485F2A"/>
    <w:rsid w:val="00486087"/>
    <w:rsid w:val="00486553"/>
    <w:rsid w:val="00486C94"/>
    <w:rsid w:val="00487367"/>
    <w:rsid w:val="00487576"/>
    <w:rsid w:val="004875A4"/>
    <w:rsid w:val="00490329"/>
    <w:rsid w:val="00491470"/>
    <w:rsid w:val="00491A3C"/>
    <w:rsid w:val="00491A82"/>
    <w:rsid w:val="00492298"/>
    <w:rsid w:val="00492744"/>
    <w:rsid w:val="00493329"/>
    <w:rsid w:val="00493497"/>
    <w:rsid w:val="00493A17"/>
    <w:rsid w:val="00493D21"/>
    <w:rsid w:val="00494023"/>
    <w:rsid w:val="00494922"/>
    <w:rsid w:val="00494C2B"/>
    <w:rsid w:val="00495328"/>
    <w:rsid w:val="004961A5"/>
    <w:rsid w:val="00496961"/>
    <w:rsid w:val="00496E2A"/>
    <w:rsid w:val="004976B4"/>
    <w:rsid w:val="004977B5"/>
    <w:rsid w:val="00497828"/>
    <w:rsid w:val="00497912"/>
    <w:rsid w:val="00497D09"/>
    <w:rsid w:val="004A0530"/>
    <w:rsid w:val="004A05F1"/>
    <w:rsid w:val="004A0D89"/>
    <w:rsid w:val="004A10BD"/>
    <w:rsid w:val="004A10F5"/>
    <w:rsid w:val="004A1A58"/>
    <w:rsid w:val="004A1B84"/>
    <w:rsid w:val="004A27EA"/>
    <w:rsid w:val="004A2E76"/>
    <w:rsid w:val="004A2EE0"/>
    <w:rsid w:val="004A2F6D"/>
    <w:rsid w:val="004A329C"/>
    <w:rsid w:val="004A3C01"/>
    <w:rsid w:val="004A3D6B"/>
    <w:rsid w:val="004A3F63"/>
    <w:rsid w:val="004A4740"/>
    <w:rsid w:val="004A4A2A"/>
    <w:rsid w:val="004A4CBF"/>
    <w:rsid w:val="004A65F9"/>
    <w:rsid w:val="004A7B02"/>
    <w:rsid w:val="004A7D63"/>
    <w:rsid w:val="004B0741"/>
    <w:rsid w:val="004B14A3"/>
    <w:rsid w:val="004B24E3"/>
    <w:rsid w:val="004B250A"/>
    <w:rsid w:val="004B2652"/>
    <w:rsid w:val="004B2712"/>
    <w:rsid w:val="004B2876"/>
    <w:rsid w:val="004B2B74"/>
    <w:rsid w:val="004B2DA4"/>
    <w:rsid w:val="004B2E18"/>
    <w:rsid w:val="004B2E94"/>
    <w:rsid w:val="004B33BB"/>
    <w:rsid w:val="004B3499"/>
    <w:rsid w:val="004B35E6"/>
    <w:rsid w:val="004B4372"/>
    <w:rsid w:val="004B4B0B"/>
    <w:rsid w:val="004B4C27"/>
    <w:rsid w:val="004B5517"/>
    <w:rsid w:val="004B57D4"/>
    <w:rsid w:val="004B58B3"/>
    <w:rsid w:val="004B5D94"/>
    <w:rsid w:val="004B6289"/>
    <w:rsid w:val="004B63C7"/>
    <w:rsid w:val="004B644A"/>
    <w:rsid w:val="004B6C37"/>
    <w:rsid w:val="004B796D"/>
    <w:rsid w:val="004B7A9A"/>
    <w:rsid w:val="004B7F6F"/>
    <w:rsid w:val="004C0DCB"/>
    <w:rsid w:val="004C1400"/>
    <w:rsid w:val="004C1B14"/>
    <w:rsid w:val="004C1BF1"/>
    <w:rsid w:val="004C1E89"/>
    <w:rsid w:val="004C2171"/>
    <w:rsid w:val="004C22EB"/>
    <w:rsid w:val="004C239D"/>
    <w:rsid w:val="004C2832"/>
    <w:rsid w:val="004C291B"/>
    <w:rsid w:val="004C3276"/>
    <w:rsid w:val="004C3340"/>
    <w:rsid w:val="004C337C"/>
    <w:rsid w:val="004C35CD"/>
    <w:rsid w:val="004C3BB6"/>
    <w:rsid w:val="004C4FE4"/>
    <w:rsid w:val="004C51C3"/>
    <w:rsid w:val="004C5837"/>
    <w:rsid w:val="004C5914"/>
    <w:rsid w:val="004C71F0"/>
    <w:rsid w:val="004C7773"/>
    <w:rsid w:val="004C779D"/>
    <w:rsid w:val="004C7988"/>
    <w:rsid w:val="004C7A97"/>
    <w:rsid w:val="004C7D21"/>
    <w:rsid w:val="004D05A1"/>
    <w:rsid w:val="004D0624"/>
    <w:rsid w:val="004D06AE"/>
    <w:rsid w:val="004D0CFA"/>
    <w:rsid w:val="004D0EB2"/>
    <w:rsid w:val="004D0F9C"/>
    <w:rsid w:val="004D106B"/>
    <w:rsid w:val="004D1A9B"/>
    <w:rsid w:val="004D1E88"/>
    <w:rsid w:val="004D1EFA"/>
    <w:rsid w:val="004D2134"/>
    <w:rsid w:val="004D261D"/>
    <w:rsid w:val="004D28EF"/>
    <w:rsid w:val="004D2CCB"/>
    <w:rsid w:val="004D2F1F"/>
    <w:rsid w:val="004D3458"/>
    <w:rsid w:val="004D3ABE"/>
    <w:rsid w:val="004D3BC3"/>
    <w:rsid w:val="004D3C99"/>
    <w:rsid w:val="004D3F19"/>
    <w:rsid w:val="004D3F41"/>
    <w:rsid w:val="004D4098"/>
    <w:rsid w:val="004D4487"/>
    <w:rsid w:val="004D4D8B"/>
    <w:rsid w:val="004D52F1"/>
    <w:rsid w:val="004D621A"/>
    <w:rsid w:val="004D74D7"/>
    <w:rsid w:val="004D765D"/>
    <w:rsid w:val="004D7921"/>
    <w:rsid w:val="004D7A5F"/>
    <w:rsid w:val="004D7BB3"/>
    <w:rsid w:val="004E051E"/>
    <w:rsid w:val="004E08D0"/>
    <w:rsid w:val="004E0BBF"/>
    <w:rsid w:val="004E0CAD"/>
    <w:rsid w:val="004E0F71"/>
    <w:rsid w:val="004E1004"/>
    <w:rsid w:val="004E1580"/>
    <w:rsid w:val="004E1A40"/>
    <w:rsid w:val="004E1E04"/>
    <w:rsid w:val="004E20A3"/>
    <w:rsid w:val="004E20A4"/>
    <w:rsid w:val="004E217A"/>
    <w:rsid w:val="004E25D9"/>
    <w:rsid w:val="004E2B2E"/>
    <w:rsid w:val="004E31BA"/>
    <w:rsid w:val="004E3353"/>
    <w:rsid w:val="004E34E3"/>
    <w:rsid w:val="004E40BD"/>
    <w:rsid w:val="004E4510"/>
    <w:rsid w:val="004E4D34"/>
    <w:rsid w:val="004E5263"/>
    <w:rsid w:val="004E5518"/>
    <w:rsid w:val="004E55AF"/>
    <w:rsid w:val="004E56C5"/>
    <w:rsid w:val="004E56E2"/>
    <w:rsid w:val="004E5B71"/>
    <w:rsid w:val="004E60A5"/>
    <w:rsid w:val="004E6265"/>
    <w:rsid w:val="004E62B1"/>
    <w:rsid w:val="004E6346"/>
    <w:rsid w:val="004E6805"/>
    <w:rsid w:val="004E6B7D"/>
    <w:rsid w:val="004E7026"/>
    <w:rsid w:val="004E73C5"/>
    <w:rsid w:val="004E764E"/>
    <w:rsid w:val="004E76F5"/>
    <w:rsid w:val="004E77D5"/>
    <w:rsid w:val="004E7ACC"/>
    <w:rsid w:val="004E7D03"/>
    <w:rsid w:val="004E7FE8"/>
    <w:rsid w:val="004F0636"/>
    <w:rsid w:val="004F07DA"/>
    <w:rsid w:val="004F082C"/>
    <w:rsid w:val="004F0C26"/>
    <w:rsid w:val="004F0C71"/>
    <w:rsid w:val="004F0CA7"/>
    <w:rsid w:val="004F158F"/>
    <w:rsid w:val="004F1865"/>
    <w:rsid w:val="004F1E57"/>
    <w:rsid w:val="004F30A4"/>
    <w:rsid w:val="004F372E"/>
    <w:rsid w:val="004F37BD"/>
    <w:rsid w:val="004F3951"/>
    <w:rsid w:val="004F4169"/>
    <w:rsid w:val="004F43E7"/>
    <w:rsid w:val="004F4A4F"/>
    <w:rsid w:val="004F4B44"/>
    <w:rsid w:val="004F4C7F"/>
    <w:rsid w:val="004F50D1"/>
    <w:rsid w:val="004F523E"/>
    <w:rsid w:val="004F5633"/>
    <w:rsid w:val="004F57AC"/>
    <w:rsid w:val="004F58A8"/>
    <w:rsid w:val="004F5AAB"/>
    <w:rsid w:val="004F5F01"/>
    <w:rsid w:val="004F610C"/>
    <w:rsid w:val="004F6625"/>
    <w:rsid w:val="004F6956"/>
    <w:rsid w:val="004F6A81"/>
    <w:rsid w:val="004F77BB"/>
    <w:rsid w:val="004F7866"/>
    <w:rsid w:val="004F79E2"/>
    <w:rsid w:val="004F7AB5"/>
    <w:rsid w:val="004F7BF8"/>
    <w:rsid w:val="004F7E0D"/>
    <w:rsid w:val="00500AD0"/>
    <w:rsid w:val="00500F74"/>
    <w:rsid w:val="00500FC1"/>
    <w:rsid w:val="005010A6"/>
    <w:rsid w:val="0050159B"/>
    <w:rsid w:val="005017C0"/>
    <w:rsid w:val="00501F4F"/>
    <w:rsid w:val="0050207F"/>
    <w:rsid w:val="005020C4"/>
    <w:rsid w:val="00502539"/>
    <w:rsid w:val="00502584"/>
    <w:rsid w:val="005026A9"/>
    <w:rsid w:val="00502717"/>
    <w:rsid w:val="00502A3B"/>
    <w:rsid w:val="00502BA3"/>
    <w:rsid w:val="00502D49"/>
    <w:rsid w:val="00503386"/>
    <w:rsid w:val="005036F6"/>
    <w:rsid w:val="00503788"/>
    <w:rsid w:val="00503BB1"/>
    <w:rsid w:val="00503C7D"/>
    <w:rsid w:val="00504170"/>
    <w:rsid w:val="0050466E"/>
    <w:rsid w:val="00505308"/>
    <w:rsid w:val="00505490"/>
    <w:rsid w:val="00505587"/>
    <w:rsid w:val="005057EF"/>
    <w:rsid w:val="00505A47"/>
    <w:rsid w:val="00505E34"/>
    <w:rsid w:val="0050602B"/>
    <w:rsid w:val="005060E2"/>
    <w:rsid w:val="0050619F"/>
    <w:rsid w:val="00506325"/>
    <w:rsid w:val="0050697D"/>
    <w:rsid w:val="00506BE5"/>
    <w:rsid w:val="00506DEF"/>
    <w:rsid w:val="00506E6B"/>
    <w:rsid w:val="005077C7"/>
    <w:rsid w:val="00507B2E"/>
    <w:rsid w:val="00507F90"/>
    <w:rsid w:val="005104C2"/>
    <w:rsid w:val="00510C5E"/>
    <w:rsid w:val="00511311"/>
    <w:rsid w:val="00511B4D"/>
    <w:rsid w:val="00511B62"/>
    <w:rsid w:val="00511D57"/>
    <w:rsid w:val="00511FC2"/>
    <w:rsid w:val="00512083"/>
    <w:rsid w:val="0051211F"/>
    <w:rsid w:val="0051286E"/>
    <w:rsid w:val="005128FD"/>
    <w:rsid w:val="00512905"/>
    <w:rsid w:val="00512C1E"/>
    <w:rsid w:val="00512CFD"/>
    <w:rsid w:val="00512FBD"/>
    <w:rsid w:val="00513AA5"/>
    <w:rsid w:val="00514103"/>
    <w:rsid w:val="0051420E"/>
    <w:rsid w:val="00514634"/>
    <w:rsid w:val="005147EB"/>
    <w:rsid w:val="00514BCC"/>
    <w:rsid w:val="005154A4"/>
    <w:rsid w:val="005176D8"/>
    <w:rsid w:val="00517D8D"/>
    <w:rsid w:val="00520210"/>
    <w:rsid w:val="0052021E"/>
    <w:rsid w:val="00520574"/>
    <w:rsid w:val="0052062E"/>
    <w:rsid w:val="00520816"/>
    <w:rsid w:val="0052088A"/>
    <w:rsid w:val="00520973"/>
    <w:rsid w:val="0052102D"/>
    <w:rsid w:val="00521471"/>
    <w:rsid w:val="00521524"/>
    <w:rsid w:val="0052165F"/>
    <w:rsid w:val="005219E6"/>
    <w:rsid w:val="00521E00"/>
    <w:rsid w:val="00522C52"/>
    <w:rsid w:val="00522EEE"/>
    <w:rsid w:val="00523039"/>
    <w:rsid w:val="0052326F"/>
    <w:rsid w:val="0052379B"/>
    <w:rsid w:val="00523A04"/>
    <w:rsid w:val="00523A69"/>
    <w:rsid w:val="00523ACB"/>
    <w:rsid w:val="00523DAE"/>
    <w:rsid w:val="00523DCA"/>
    <w:rsid w:val="00524062"/>
    <w:rsid w:val="005244BA"/>
    <w:rsid w:val="0052463F"/>
    <w:rsid w:val="005246A0"/>
    <w:rsid w:val="0052473B"/>
    <w:rsid w:val="00525123"/>
    <w:rsid w:val="005257DD"/>
    <w:rsid w:val="0052583B"/>
    <w:rsid w:val="005258C7"/>
    <w:rsid w:val="00525AFE"/>
    <w:rsid w:val="00525EF3"/>
    <w:rsid w:val="00526382"/>
    <w:rsid w:val="005263B9"/>
    <w:rsid w:val="005268F9"/>
    <w:rsid w:val="00526E13"/>
    <w:rsid w:val="00526FDA"/>
    <w:rsid w:val="00527028"/>
    <w:rsid w:val="00527177"/>
    <w:rsid w:val="00527B31"/>
    <w:rsid w:val="0053034C"/>
    <w:rsid w:val="005304EF"/>
    <w:rsid w:val="00530D9D"/>
    <w:rsid w:val="005312E1"/>
    <w:rsid w:val="00531994"/>
    <w:rsid w:val="00531D4B"/>
    <w:rsid w:val="00531F5B"/>
    <w:rsid w:val="0053259B"/>
    <w:rsid w:val="00532A73"/>
    <w:rsid w:val="00532AD1"/>
    <w:rsid w:val="00532C1F"/>
    <w:rsid w:val="005330DF"/>
    <w:rsid w:val="0053359E"/>
    <w:rsid w:val="00533B4B"/>
    <w:rsid w:val="005340BB"/>
    <w:rsid w:val="005340FA"/>
    <w:rsid w:val="0053432F"/>
    <w:rsid w:val="00534532"/>
    <w:rsid w:val="00534A3D"/>
    <w:rsid w:val="00534C4C"/>
    <w:rsid w:val="00534D1D"/>
    <w:rsid w:val="00534E60"/>
    <w:rsid w:val="0053547A"/>
    <w:rsid w:val="005358F1"/>
    <w:rsid w:val="005359BC"/>
    <w:rsid w:val="00535D24"/>
    <w:rsid w:val="00535F80"/>
    <w:rsid w:val="00536290"/>
    <w:rsid w:val="0053634B"/>
    <w:rsid w:val="00536540"/>
    <w:rsid w:val="00536EC3"/>
    <w:rsid w:val="00536FF2"/>
    <w:rsid w:val="00537194"/>
    <w:rsid w:val="005372C5"/>
    <w:rsid w:val="00537340"/>
    <w:rsid w:val="005373D9"/>
    <w:rsid w:val="005376A0"/>
    <w:rsid w:val="0053786B"/>
    <w:rsid w:val="00537893"/>
    <w:rsid w:val="00540170"/>
    <w:rsid w:val="005406ED"/>
    <w:rsid w:val="0054096C"/>
    <w:rsid w:val="00541346"/>
    <w:rsid w:val="00541387"/>
    <w:rsid w:val="005414E4"/>
    <w:rsid w:val="0054161B"/>
    <w:rsid w:val="005416D0"/>
    <w:rsid w:val="00541823"/>
    <w:rsid w:val="00541B03"/>
    <w:rsid w:val="00541E23"/>
    <w:rsid w:val="00542EEE"/>
    <w:rsid w:val="005434D8"/>
    <w:rsid w:val="00543F0D"/>
    <w:rsid w:val="00544003"/>
    <w:rsid w:val="00544507"/>
    <w:rsid w:val="00544E42"/>
    <w:rsid w:val="00545262"/>
    <w:rsid w:val="00545D01"/>
    <w:rsid w:val="00546668"/>
    <w:rsid w:val="005468C4"/>
    <w:rsid w:val="00546A4D"/>
    <w:rsid w:val="00546DF1"/>
    <w:rsid w:val="00547226"/>
    <w:rsid w:val="00547A55"/>
    <w:rsid w:val="00550159"/>
    <w:rsid w:val="00550620"/>
    <w:rsid w:val="00550721"/>
    <w:rsid w:val="0055093E"/>
    <w:rsid w:val="00550DD8"/>
    <w:rsid w:val="00550F4E"/>
    <w:rsid w:val="00552043"/>
    <w:rsid w:val="0055216D"/>
    <w:rsid w:val="0055219E"/>
    <w:rsid w:val="00552403"/>
    <w:rsid w:val="0055276D"/>
    <w:rsid w:val="0055301F"/>
    <w:rsid w:val="005538ED"/>
    <w:rsid w:val="00554565"/>
    <w:rsid w:val="0055494C"/>
    <w:rsid w:val="00554A73"/>
    <w:rsid w:val="00554AD0"/>
    <w:rsid w:val="00554B06"/>
    <w:rsid w:val="00554FE7"/>
    <w:rsid w:val="00555503"/>
    <w:rsid w:val="0055577A"/>
    <w:rsid w:val="00555D9C"/>
    <w:rsid w:val="00555E37"/>
    <w:rsid w:val="0055635A"/>
    <w:rsid w:val="00556856"/>
    <w:rsid w:val="00557155"/>
    <w:rsid w:val="00557237"/>
    <w:rsid w:val="00557321"/>
    <w:rsid w:val="00557AA7"/>
    <w:rsid w:val="00560A5A"/>
    <w:rsid w:val="00561014"/>
    <w:rsid w:val="005611E6"/>
    <w:rsid w:val="005615DF"/>
    <w:rsid w:val="00561959"/>
    <w:rsid w:val="00562751"/>
    <w:rsid w:val="00562AA7"/>
    <w:rsid w:val="00562ACA"/>
    <w:rsid w:val="00562F7D"/>
    <w:rsid w:val="00563253"/>
    <w:rsid w:val="00563D5E"/>
    <w:rsid w:val="00563DEC"/>
    <w:rsid w:val="00564013"/>
    <w:rsid w:val="005640FC"/>
    <w:rsid w:val="00564AEC"/>
    <w:rsid w:val="00565558"/>
    <w:rsid w:val="00565FB5"/>
    <w:rsid w:val="00566396"/>
    <w:rsid w:val="0056643B"/>
    <w:rsid w:val="005668B3"/>
    <w:rsid w:val="005669F9"/>
    <w:rsid w:val="00566E12"/>
    <w:rsid w:val="0056791F"/>
    <w:rsid w:val="00567C8E"/>
    <w:rsid w:val="005702C9"/>
    <w:rsid w:val="00570428"/>
    <w:rsid w:val="00570648"/>
    <w:rsid w:val="00570FBD"/>
    <w:rsid w:val="00571247"/>
    <w:rsid w:val="0057128C"/>
    <w:rsid w:val="0057153D"/>
    <w:rsid w:val="00572089"/>
    <w:rsid w:val="005724AB"/>
    <w:rsid w:val="0057265C"/>
    <w:rsid w:val="00572865"/>
    <w:rsid w:val="00572B63"/>
    <w:rsid w:val="005737B9"/>
    <w:rsid w:val="005739C4"/>
    <w:rsid w:val="00573DFB"/>
    <w:rsid w:val="00574752"/>
    <w:rsid w:val="0057482A"/>
    <w:rsid w:val="00575038"/>
    <w:rsid w:val="005751F7"/>
    <w:rsid w:val="0057520C"/>
    <w:rsid w:val="00575401"/>
    <w:rsid w:val="0057547D"/>
    <w:rsid w:val="00575949"/>
    <w:rsid w:val="005763FD"/>
    <w:rsid w:val="00576880"/>
    <w:rsid w:val="00576913"/>
    <w:rsid w:val="00576C38"/>
    <w:rsid w:val="00576E0D"/>
    <w:rsid w:val="00576FAC"/>
    <w:rsid w:val="005772D4"/>
    <w:rsid w:val="00577A9B"/>
    <w:rsid w:val="00577BB5"/>
    <w:rsid w:val="00577C77"/>
    <w:rsid w:val="00577D19"/>
    <w:rsid w:val="00580392"/>
    <w:rsid w:val="005808FC"/>
    <w:rsid w:val="00580966"/>
    <w:rsid w:val="00580D31"/>
    <w:rsid w:val="00581015"/>
    <w:rsid w:val="005817CD"/>
    <w:rsid w:val="00581AEC"/>
    <w:rsid w:val="00581DC9"/>
    <w:rsid w:val="00581EDE"/>
    <w:rsid w:val="00582973"/>
    <w:rsid w:val="005844CE"/>
    <w:rsid w:val="00584598"/>
    <w:rsid w:val="0058473F"/>
    <w:rsid w:val="0058561A"/>
    <w:rsid w:val="00585872"/>
    <w:rsid w:val="00586133"/>
    <w:rsid w:val="005863D8"/>
    <w:rsid w:val="0058673C"/>
    <w:rsid w:val="0058674B"/>
    <w:rsid w:val="0058695E"/>
    <w:rsid w:val="00586A9B"/>
    <w:rsid w:val="00586D85"/>
    <w:rsid w:val="00587BCC"/>
    <w:rsid w:val="0059035D"/>
    <w:rsid w:val="00590AE5"/>
    <w:rsid w:val="00590D92"/>
    <w:rsid w:val="00591F0D"/>
    <w:rsid w:val="005920D2"/>
    <w:rsid w:val="0059236B"/>
    <w:rsid w:val="005933B0"/>
    <w:rsid w:val="0059482D"/>
    <w:rsid w:val="00594A81"/>
    <w:rsid w:val="00594EE2"/>
    <w:rsid w:val="00595419"/>
    <w:rsid w:val="00595AF0"/>
    <w:rsid w:val="00595D45"/>
    <w:rsid w:val="00595FCB"/>
    <w:rsid w:val="005963F5"/>
    <w:rsid w:val="00596704"/>
    <w:rsid w:val="005967BB"/>
    <w:rsid w:val="00597F15"/>
    <w:rsid w:val="00597F55"/>
    <w:rsid w:val="005A0715"/>
    <w:rsid w:val="005A0986"/>
    <w:rsid w:val="005A1559"/>
    <w:rsid w:val="005A18C1"/>
    <w:rsid w:val="005A1D56"/>
    <w:rsid w:val="005A1EEE"/>
    <w:rsid w:val="005A2898"/>
    <w:rsid w:val="005A33E1"/>
    <w:rsid w:val="005A3DBE"/>
    <w:rsid w:val="005A3EF1"/>
    <w:rsid w:val="005A43CF"/>
    <w:rsid w:val="005A5132"/>
    <w:rsid w:val="005A52B4"/>
    <w:rsid w:val="005A52C0"/>
    <w:rsid w:val="005A5334"/>
    <w:rsid w:val="005A587F"/>
    <w:rsid w:val="005A58F5"/>
    <w:rsid w:val="005A610D"/>
    <w:rsid w:val="005A6235"/>
    <w:rsid w:val="005A63DD"/>
    <w:rsid w:val="005A6469"/>
    <w:rsid w:val="005A64CB"/>
    <w:rsid w:val="005A654B"/>
    <w:rsid w:val="005A65F0"/>
    <w:rsid w:val="005A69DA"/>
    <w:rsid w:val="005A6C49"/>
    <w:rsid w:val="005A73ED"/>
    <w:rsid w:val="005A748D"/>
    <w:rsid w:val="005A761D"/>
    <w:rsid w:val="005A7F94"/>
    <w:rsid w:val="005B067C"/>
    <w:rsid w:val="005B0AEE"/>
    <w:rsid w:val="005B0C73"/>
    <w:rsid w:val="005B0CE0"/>
    <w:rsid w:val="005B17AE"/>
    <w:rsid w:val="005B1BC3"/>
    <w:rsid w:val="005B248C"/>
    <w:rsid w:val="005B2599"/>
    <w:rsid w:val="005B26FE"/>
    <w:rsid w:val="005B276B"/>
    <w:rsid w:val="005B2BDB"/>
    <w:rsid w:val="005B2CD6"/>
    <w:rsid w:val="005B2CF6"/>
    <w:rsid w:val="005B2ED9"/>
    <w:rsid w:val="005B366D"/>
    <w:rsid w:val="005B3FDA"/>
    <w:rsid w:val="005B4049"/>
    <w:rsid w:val="005B40B2"/>
    <w:rsid w:val="005B4175"/>
    <w:rsid w:val="005B41DC"/>
    <w:rsid w:val="005B4512"/>
    <w:rsid w:val="005B45DE"/>
    <w:rsid w:val="005B53E3"/>
    <w:rsid w:val="005B56A4"/>
    <w:rsid w:val="005B60DD"/>
    <w:rsid w:val="005B61C8"/>
    <w:rsid w:val="005B62B5"/>
    <w:rsid w:val="005B6312"/>
    <w:rsid w:val="005B64FF"/>
    <w:rsid w:val="005B6AE1"/>
    <w:rsid w:val="005B6CA3"/>
    <w:rsid w:val="005B723B"/>
    <w:rsid w:val="005B74A4"/>
    <w:rsid w:val="005C0078"/>
    <w:rsid w:val="005C0326"/>
    <w:rsid w:val="005C03AF"/>
    <w:rsid w:val="005C0423"/>
    <w:rsid w:val="005C066A"/>
    <w:rsid w:val="005C094F"/>
    <w:rsid w:val="005C0A0F"/>
    <w:rsid w:val="005C0CE0"/>
    <w:rsid w:val="005C0E61"/>
    <w:rsid w:val="005C100E"/>
    <w:rsid w:val="005C14A8"/>
    <w:rsid w:val="005C17D8"/>
    <w:rsid w:val="005C18C7"/>
    <w:rsid w:val="005C23E3"/>
    <w:rsid w:val="005C35E7"/>
    <w:rsid w:val="005C3753"/>
    <w:rsid w:val="005C3781"/>
    <w:rsid w:val="005C3FD2"/>
    <w:rsid w:val="005C431E"/>
    <w:rsid w:val="005C43DB"/>
    <w:rsid w:val="005C45B1"/>
    <w:rsid w:val="005C477E"/>
    <w:rsid w:val="005C4EDD"/>
    <w:rsid w:val="005C6100"/>
    <w:rsid w:val="005C6922"/>
    <w:rsid w:val="005C6D9E"/>
    <w:rsid w:val="005C6DC3"/>
    <w:rsid w:val="005C6EC8"/>
    <w:rsid w:val="005C6F71"/>
    <w:rsid w:val="005C7403"/>
    <w:rsid w:val="005C74E0"/>
    <w:rsid w:val="005C74E8"/>
    <w:rsid w:val="005C76BB"/>
    <w:rsid w:val="005C793B"/>
    <w:rsid w:val="005C7F34"/>
    <w:rsid w:val="005D031D"/>
    <w:rsid w:val="005D06C2"/>
    <w:rsid w:val="005D08F3"/>
    <w:rsid w:val="005D0EAD"/>
    <w:rsid w:val="005D122F"/>
    <w:rsid w:val="005D1478"/>
    <w:rsid w:val="005D180E"/>
    <w:rsid w:val="005D1CBC"/>
    <w:rsid w:val="005D2150"/>
    <w:rsid w:val="005D2259"/>
    <w:rsid w:val="005D27A7"/>
    <w:rsid w:val="005D29C0"/>
    <w:rsid w:val="005D2AEF"/>
    <w:rsid w:val="005D2B6E"/>
    <w:rsid w:val="005D2D32"/>
    <w:rsid w:val="005D3246"/>
    <w:rsid w:val="005D3616"/>
    <w:rsid w:val="005D457F"/>
    <w:rsid w:val="005D459E"/>
    <w:rsid w:val="005D46C5"/>
    <w:rsid w:val="005D4957"/>
    <w:rsid w:val="005D4D39"/>
    <w:rsid w:val="005D549E"/>
    <w:rsid w:val="005D5C55"/>
    <w:rsid w:val="005D63B6"/>
    <w:rsid w:val="005D6588"/>
    <w:rsid w:val="005D6914"/>
    <w:rsid w:val="005D6E93"/>
    <w:rsid w:val="005D7250"/>
    <w:rsid w:val="005E0812"/>
    <w:rsid w:val="005E0961"/>
    <w:rsid w:val="005E0B60"/>
    <w:rsid w:val="005E0C70"/>
    <w:rsid w:val="005E0FB8"/>
    <w:rsid w:val="005E0FE6"/>
    <w:rsid w:val="005E1AA8"/>
    <w:rsid w:val="005E20F7"/>
    <w:rsid w:val="005E2302"/>
    <w:rsid w:val="005E2698"/>
    <w:rsid w:val="005E26C7"/>
    <w:rsid w:val="005E30E8"/>
    <w:rsid w:val="005E3863"/>
    <w:rsid w:val="005E39DF"/>
    <w:rsid w:val="005E3AD3"/>
    <w:rsid w:val="005E4106"/>
    <w:rsid w:val="005E43F4"/>
    <w:rsid w:val="005E489B"/>
    <w:rsid w:val="005E4A9C"/>
    <w:rsid w:val="005E4FFA"/>
    <w:rsid w:val="005E50EF"/>
    <w:rsid w:val="005E5462"/>
    <w:rsid w:val="005E54A8"/>
    <w:rsid w:val="005E54C1"/>
    <w:rsid w:val="005E57C5"/>
    <w:rsid w:val="005E598C"/>
    <w:rsid w:val="005E6604"/>
    <w:rsid w:val="005E70F8"/>
    <w:rsid w:val="005E7281"/>
    <w:rsid w:val="005E72C7"/>
    <w:rsid w:val="005E7595"/>
    <w:rsid w:val="005E7AAC"/>
    <w:rsid w:val="005E7B39"/>
    <w:rsid w:val="005E7C71"/>
    <w:rsid w:val="005E7E1C"/>
    <w:rsid w:val="005E7EB4"/>
    <w:rsid w:val="005F02BE"/>
    <w:rsid w:val="005F04A4"/>
    <w:rsid w:val="005F07E4"/>
    <w:rsid w:val="005F09FE"/>
    <w:rsid w:val="005F0CED"/>
    <w:rsid w:val="005F15BE"/>
    <w:rsid w:val="005F1689"/>
    <w:rsid w:val="005F1D79"/>
    <w:rsid w:val="005F2875"/>
    <w:rsid w:val="005F2DEA"/>
    <w:rsid w:val="005F304A"/>
    <w:rsid w:val="005F318B"/>
    <w:rsid w:val="005F3357"/>
    <w:rsid w:val="005F3677"/>
    <w:rsid w:val="005F3DEF"/>
    <w:rsid w:val="005F491C"/>
    <w:rsid w:val="005F52DE"/>
    <w:rsid w:val="005F57C0"/>
    <w:rsid w:val="005F5C6F"/>
    <w:rsid w:val="005F6226"/>
    <w:rsid w:val="005F673C"/>
    <w:rsid w:val="005F6C9B"/>
    <w:rsid w:val="005F702E"/>
    <w:rsid w:val="005F7095"/>
    <w:rsid w:val="005F741E"/>
    <w:rsid w:val="005F77B9"/>
    <w:rsid w:val="005F7D51"/>
    <w:rsid w:val="005F7EBD"/>
    <w:rsid w:val="00600643"/>
    <w:rsid w:val="00600A4C"/>
    <w:rsid w:val="00600C28"/>
    <w:rsid w:val="00600DCD"/>
    <w:rsid w:val="00600DDF"/>
    <w:rsid w:val="006012FA"/>
    <w:rsid w:val="00601304"/>
    <w:rsid w:val="00601783"/>
    <w:rsid w:val="00601ADB"/>
    <w:rsid w:val="0060221E"/>
    <w:rsid w:val="0060285F"/>
    <w:rsid w:val="00602F86"/>
    <w:rsid w:val="0060306A"/>
    <w:rsid w:val="006034BB"/>
    <w:rsid w:val="00603630"/>
    <w:rsid w:val="00603ADE"/>
    <w:rsid w:val="00604AB4"/>
    <w:rsid w:val="00604BC8"/>
    <w:rsid w:val="00604FB4"/>
    <w:rsid w:val="0060509F"/>
    <w:rsid w:val="0060533F"/>
    <w:rsid w:val="0060548A"/>
    <w:rsid w:val="00605917"/>
    <w:rsid w:val="00605AD8"/>
    <w:rsid w:val="00606295"/>
    <w:rsid w:val="00606310"/>
    <w:rsid w:val="00606D17"/>
    <w:rsid w:val="00610811"/>
    <w:rsid w:val="00610FFE"/>
    <w:rsid w:val="0061117B"/>
    <w:rsid w:val="00611DF4"/>
    <w:rsid w:val="00612751"/>
    <w:rsid w:val="00612780"/>
    <w:rsid w:val="00612C24"/>
    <w:rsid w:val="00612C71"/>
    <w:rsid w:val="0061315A"/>
    <w:rsid w:val="006135E3"/>
    <w:rsid w:val="006135EA"/>
    <w:rsid w:val="00613AAA"/>
    <w:rsid w:val="00613B28"/>
    <w:rsid w:val="00613BEB"/>
    <w:rsid w:val="00614393"/>
    <w:rsid w:val="006146E3"/>
    <w:rsid w:val="0061542D"/>
    <w:rsid w:val="00615CF1"/>
    <w:rsid w:val="0061649E"/>
    <w:rsid w:val="00616839"/>
    <w:rsid w:val="00616999"/>
    <w:rsid w:val="00616E1F"/>
    <w:rsid w:val="00616E66"/>
    <w:rsid w:val="0061722C"/>
    <w:rsid w:val="006173B1"/>
    <w:rsid w:val="0061747E"/>
    <w:rsid w:val="00617838"/>
    <w:rsid w:val="00617997"/>
    <w:rsid w:val="00617F91"/>
    <w:rsid w:val="00620013"/>
    <w:rsid w:val="00620119"/>
    <w:rsid w:val="006202F3"/>
    <w:rsid w:val="006203EF"/>
    <w:rsid w:val="00620633"/>
    <w:rsid w:val="00620A37"/>
    <w:rsid w:val="00620A4A"/>
    <w:rsid w:val="00620D6A"/>
    <w:rsid w:val="00621530"/>
    <w:rsid w:val="00621854"/>
    <w:rsid w:val="006219E6"/>
    <w:rsid w:val="00621BA3"/>
    <w:rsid w:val="0062224E"/>
    <w:rsid w:val="006225B8"/>
    <w:rsid w:val="006227EB"/>
    <w:rsid w:val="00622F4D"/>
    <w:rsid w:val="00622F6D"/>
    <w:rsid w:val="006230A8"/>
    <w:rsid w:val="0062316C"/>
    <w:rsid w:val="006232CB"/>
    <w:rsid w:val="00623C25"/>
    <w:rsid w:val="00623D16"/>
    <w:rsid w:val="00624BDB"/>
    <w:rsid w:val="00624CBA"/>
    <w:rsid w:val="006254E1"/>
    <w:rsid w:val="006259C0"/>
    <w:rsid w:val="00625FDE"/>
    <w:rsid w:val="00626845"/>
    <w:rsid w:val="006268D4"/>
    <w:rsid w:val="00627054"/>
    <w:rsid w:val="00627F24"/>
    <w:rsid w:val="0063004C"/>
    <w:rsid w:val="006300EA"/>
    <w:rsid w:val="006305BA"/>
    <w:rsid w:val="0063075B"/>
    <w:rsid w:val="00630CBF"/>
    <w:rsid w:val="00630DB9"/>
    <w:rsid w:val="00630E7D"/>
    <w:rsid w:val="006313E6"/>
    <w:rsid w:val="0063160E"/>
    <w:rsid w:val="006318D8"/>
    <w:rsid w:val="00631C2C"/>
    <w:rsid w:val="00632E8C"/>
    <w:rsid w:val="00633BDB"/>
    <w:rsid w:val="00633EE7"/>
    <w:rsid w:val="00633FFC"/>
    <w:rsid w:val="00634B57"/>
    <w:rsid w:val="00634B6C"/>
    <w:rsid w:val="0063545B"/>
    <w:rsid w:val="006354BF"/>
    <w:rsid w:val="00635DE7"/>
    <w:rsid w:val="00636448"/>
    <w:rsid w:val="006364A1"/>
    <w:rsid w:val="006369D4"/>
    <w:rsid w:val="00636F31"/>
    <w:rsid w:val="00636FAD"/>
    <w:rsid w:val="00637CC2"/>
    <w:rsid w:val="00637E3D"/>
    <w:rsid w:val="0064094A"/>
    <w:rsid w:val="00640F08"/>
    <w:rsid w:val="006418E5"/>
    <w:rsid w:val="00642516"/>
    <w:rsid w:val="00642ED9"/>
    <w:rsid w:val="00642F38"/>
    <w:rsid w:val="00643063"/>
    <w:rsid w:val="006434C7"/>
    <w:rsid w:val="006439FB"/>
    <w:rsid w:val="00643AAF"/>
    <w:rsid w:val="00644206"/>
    <w:rsid w:val="006459F1"/>
    <w:rsid w:val="006459F7"/>
    <w:rsid w:val="00645E0C"/>
    <w:rsid w:val="0064631E"/>
    <w:rsid w:val="0064635A"/>
    <w:rsid w:val="0064646E"/>
    <w:rsid w:val="00646CDD"/>
    <w:rsid w:val="00646ED0"/>
    <w:rsid w:val="006475DE"/>
    <w:rsid w:val="006479B3"/>
    <w:rsid w:val="00647DF2"/>
    <w:rsid w:val="00647F94"/>
    <w:rsid w:val="0065048E"/>
    <w:rsid w:val="00650681"/>
    <w:rsid w:val="00650BA7"/>
    <w:rsid w:val="00650D36"/>
    <w:rsid w:val="00650F37"/>
    <w:rsid w:val="0065174E"/>
    <w:rsid w:val="00651E35"/>
    <w:rsid w:val="00651EF4"/>
    <w:rsid w:val="006524F3"/>
    <w:rsid w:val="00652636"/>
    <w:rsid w:val="00652B30"/>
    <w:rsid w:val="00652BC0"/>
    <w:rsid w:val="00652FC9"/>
    <w:rsid w:val="006537DC"/>
    <w:rsid w:val="00653AA4"/>
    <w:rsid w:val="00654270"/>
    <w:rsid w:val="00654727"/>
    <w:rsid w:val="00654777"/>
    <w:rsid w:val="00654E60"/>
    <w:rsid w:val="006551A7"/>
    <w:rsid w:val="00655312"/>
    <w:rsid w:val="006554E3"/>
    <w:rsid w:val="00655875"/>
    <w:rsid w:val="00655B49"/>
    <w:rsid w:val="00655B96"/>
    <w:rsid w:val="00655BB5"/>
    <w:rsid w:val="00655FF6"/>
    <w:rsid w:val="006565C9"/>
    <w:rsid w:val="006569E9"/>
    <w:rsid w:val="00656D83"/>
    <w:rsid w:val="00656F1C"/>
    <w:rsid w:val="00657275"/>
    <w:rsid w:val="00657531"/>
    <w:rsid w:val="00657560"/>
    <w:rsid w:val="006578DB"/>
    <w:rsid w:val="0065793F"/>
    <w:rsid w:val="00657BA0"/>
    <w:rsid w:val="00657E36"/>
    <w:rsid w:val="00657EC0"/>
    <w:rsid w:val="006601F7"/>
    <w:rsid w:val="00660E86"/>
    <w:rsid w:val="006611DC"/>
    <w:rsid w:val="006621DD"/>
    <w:rsid w:val="0066283A"/>
    <w:rsid w:val="00662B66"/>
    <w:rsid w:val="00662BC4"/>
    <w:rsid w:val="00662DEA"/>
    <w:rsid w:val="00663467"/>
    <w:rsid w:val="006638F2"/>
    <w:rsid w:val="00663AC4"/>
    <w:rsid w:val="00663D2A"/>
    <w:rsid w:val="0066448F"/>
    <w:rsid w:val="0066473D"/>
    <w:rsid w:val="00664A52"/>
    <w:rsid w:val="00664B11"/>
    <w:rsid w:val="00664CBE"/>
    <w:rsid w:val="00664F3C"/>
    <w:rsid w:val="00664FD0"/>
    <w:rsid w:val="006650B2"/>
    <w:rsid w:val="00665A15"/>
    <w:rsid w:val="00666237"/>
    <w:rsid w:val="006662E0"/>
    <w:rsid w:val="006665ED"/>
    <w:rsid w:val="00666AB2"/>
    <w:rsid w:val="00666FCA"/>
    <w:rsid w:val="0066736B"/>
    <w:rsid w:val="00667427"/>
    <w:rsid w:val="00667452"/>
    <w:rsid w:val="0066791E"/>
    <w:rsid w:val="00667A3C"/>
    <w:rsid w:val="00667B5B"/>
    <w:rsid w:val="00667BA7"/>
    <w:rsid w:val="00670642"/>
    <w:rsid w:val="0067099D"/>
    <w:rsid w:val="00670EF9"/>
    <w:rsid w:val="00671EE8"/>
    <w:rsid w:val="00671FA7"/>
    <w:rsid w:val="006720B1"/>
    <w:rsid w:val="00672445"/>
    <w:rsid w:val="0067311F"/>
    <w:rsid w:val="0067322A"/>
    <w:rsid w:val="006736E9"/>
    <w:rsid w:val="00673700"/>
    <w:rsid w:val="00673C5E"/>
    <w:rsid w:val="00674335"/>
    <w:rsid w:val="00674505"/>
    <w:rsid w:val="00675E6F"/>
    <w:rsid w:val="006764DC"/>
    <w:rsid w:val="0067659C"/>
    <w:rsid w:val="00676A64"/>
    <w:rsid w:val="00676BA4"/>
    <w:rsid w:val="00676C36"/>
    <w:rsid w:val="00676DF9"/>
    <w:rsid w:val="00677418"/>
    <w:rsid w:val="0067751F"/>
    <w:rsid w:val="00677929"/>
    <w:rsid w:val="00677FAA"/>
    <w:rsid w:val="00677FD4"/>
    <w:rsid w:val="0068050F"/>
    <w:rsid w:val="0068073E"/>
    <w:rsid w:val="00680944"/>
    <w:rsid w:val="00680A79"/>
    <w:rsid w:val="00681080"/>
    <w:rsid w:val="006810A9"/>
    <w:rsid w:val="0068140A"/>
    <w:rsid w:val="00681689"/>
    <w:rsid w:val="00681799"/>
    <w:rsid w:val="0068182D"/>
    <w:rsid w:val="006818D8"/>
    <w:rsid w:val="00682198"/>
    <w:rsid w:val="006824B2"/>
    <w:rsid w:val="00682678"/>
    <w:rsid w:val="006827EC"/>
    <w:rsid w:val="00682A64"/>
    <w:rsid w:val="00682B9C"/>
    <w:rsid w:val="00682BB5"/>
    <w:rsid w:val="00683B4B"/>
    <w:rsid w:val="00683EEF"/>
    <w:rsid w:val="0068410F"/>
    <w:rsid w:val="0068436E"/>
    <w:rsid w:val="0068454F"/>
    <w:rsid w:val="006849E2"/>
    <w:rsid w:val="00684C21"/>
    <w:rsid w:val="00684E16"/>
    <w:rsid w:val="006854E1"/>
    <w:rsid w:val="00685718"/>
    <w:rsid w:val="00685AE8"/>
    <w:rsid w:val="0068672A"/>
    <w:rsid w:val="00686903"/>
    <w:rsid w:val="00686E1B"/>
    <w:rsid w:val="00687021"/>
    <w:rsid w:val="00687782"/>
    <w:rsid w:val="00687E62"/>
    <w:rsid w:val="006903A8"/>
    <w:rsid w:val="006903FE"/>
    <w:rsid w:val="00690848"/>
    <w:rsid w:val="00690881"/>
    <w:rsid w:val="00690A6A"/>
    <w:rsid w:val="00690C66"/>
    <w:rsid w:val="006918D5"/>
    <w:rsid w:val="00691A65"/>
    <w:rsid w:val="00691F12"/>
    <w:rsid w:val="00692185"/>
    <w:rsid w:val="00692594"/>
    <w:rsid w:val="00692610"/>
    <w:rsid w:val="00692B11"/>
    <w:rsid w:val="00692C4A"/>
    <w:rsid w:val="00692C4B"/>
    <w:rsid w:val="006939BC"/>
    <w:rsid w:val="00693BE1"/>
    <w:rsid w:val="0069432A"/>
    <w:rsid w:val="00694B80"/>
    <w:rsid w:val="006954F3"/>
    <w:rsid w:val="006957F6"/>
    <w:rsid w:val="00695AAF"/>
    <w:rsid w:val="00695DB2"/>
    <w:rsid w:val="00695E1B"/>
    <w:rsid w:val="0069608F"/>
    <w:rsid w:val="00696280"/>
    <w:rsid w:val="0069691B"/>
    <w:rsid w:val="006A01E1"/>
    <w:rsid w:val="006A0383"/>
    <w:rsid w:val="006A03DE"/>
    <w:rsid w:val="006A0452"/>
    <w:rsid w:val="006A0CE5"/>
    <w:rsid w:val="006A18E4"/>
    <w:rsid w:val="006A1F10"/>
    <w:rsid w:val="006A1F1A"/>
    <w:rsid w:val="006A1FC5"/>
    <w:rsid w:val="006A2B63"/>
    <w:rsid w:val="006A2F52"/>
    <w:rsid w:val="006A2F58"/>
    <w:rsid w:val="006A31A4"/>
    <w:rsid w:val="006A3A11"/>
    <w:rsid w:val="006A4112"/>
    <w:rsid w:val="006A4738"/>
    <w:rsid w:val="006A4778"/>
    <w:rsid w:val="006A4A17"/>
    <w:rsid w:val="006A4AA5"/>
    <w:rsid w:val="006A4B3B"/>
    <w:rsid w:val="006A5901"/>
    <w:rsid w:val="006A64E3"/>
    <w:rsid w:val="006A6711"/>
    <w:rsid w:val="006A6853"/>
    <w:rsid w:val="006A6D84"/>
    <w:rsid w:val="006A6F16"/>
    <w:rsid w:val="006A7090"/>
    <w:rsid w:val="006A7224"/>
    <w:rsid w:val="006A7920"/>
    <w:rsid w:val="006A7BEC"/>
    <w:rsid w:val="006B067E"/>
    <w:rsid w:val="006B06D3"/>
    <w:rsid w:val="006B0882"/>
    <w:rsid w:val="006B097B"/>
    <w:rsid w:val="006B100B"/>
    <w:rsid w:val="006B163A"/>
    <w:rsid w:val="006B1B62"/>
    <w:rsid w:val="006B1C67"/>
    <w:rsid w:val="006B1EDB"/>
    <w:rsid w:val="006B25AA"/>
    <w:rsid w:val="006B2A20"/>
    <w:rsid w:val="006B2BDB"/>
    <w:rsid w:val="006B2C32"/>
    <w:rsid w:val="006B2C4A"/>
    <w:rsid w:val="006B356B"/>
    <w:rsid w:val="006B35AF"/>
    <w:rsid w:val="006B3875"/>
    <w:rsid w:val="006B3D81"/>
    <w:rsid w:val="006B44F5"/>
    <w:rsid w:val="006B4513"/>
    <w:rsid w:val="006B51DB"/>
    <w:rsid w:val="006B580E"/>
    <w:rsid w:val="006B5FA9"/>
    <w:rsid w:val="006B6059"/>
    <w:rsid w:val="006B6223"/>
    <w:rsid w:val="006B6CFB"/>
    <w:rsid w:val="006B7656"/>
    <w:rsid w:val="006B7803"/>
    <w:rsid w:val="006B7B69"/>
    <w:rsid w:val="006B7FB8"/>
    <w:rsid w:val="006C0265"/>
    <w:rsid w:val="006C0485"/>
    <w:rsid w:val="006C058D"/>
    <w:rsid w:val="006C08E8"/>
    <w:rsid w:val="006C0B26"/>
    <w:rsid w:val="006C0D6C"/>
    <w:rsid w:val="006C0D8B"/>
    <w:rsid w:val="006C1341"/>
    <w:rsid w:val="006C16ED"/>
    <w:rsid w:val="006C1E32"/>
    <w:rsid w:val="006C21A7"/>
    <w:rsid w:val="006C27F5"/>
    <w:rsid w:val="006C313B"/>
    <w:rsid w:val="006C3429"/>
    <w:rsid w:val="006C351A"/>
    <w:rsid w:val="006C3C80"/>
    <w:rsid w:val="006C3F45"/>
    <w:rsid w:val="006C42C7"/>
    <w:rsid w:val="006C49A5"/>
    <w:rsid w:val="006C4AF6"/>
    <w:rsid w:val="006C4BFB"/>
    <w:rsid w:val="006C500D"/>
    <w:rsid w:val="006C607B"/>
    <w:rsid w:val="006C6EB0"/>
    <w:rsid w:val="006C7195"/>
    <w:rsid w:val="006C74C0"/>
    <w:rsid w:val="006C77A6"/>
    <w:rsid w:val="006C7F33"/>
    <w:rsid w:val="006D04FD"/>
    <w:rsid w:val="006D0A6F"/>
    <w:rsid w:val="006D0ADB"/>
    <w:rsid w:val="006D0C0A"/>
    <w:rsid w:val="006D0C88"/>
    <w:rsid w:val="006D0F4F"/>
    <w:rsid w:val="006D0F9C"/>
    <w:rsid w:val="006D1B12"/>
    <w:rsid w:val="006D1B1B"/>
    <w:rsid w:val="006D2043"/>
    <w:rsid w:val="006D2298"/>
    <w:rsid w:val="006D25A9"/>
    <w:rsid w:val="006D2DC5"/>
    <w:rsid w:val="006D2F32"/>
    <w:rsid w:val="006D30C5"/>
    <w:rsid w:val="006D32AB"/>
    <w:rsid w:val="006D3DEE"/>
    <w:rsid w:val="006D3E7B"/>
    <w:rsid w:val="006D3F85"/>
    <w:rsid w:val="006D45EA"/>
    <w:rsid w:val="006D4EDF"/>
    <w:rsid w:val="006D5021"/>
    <w:rsid w:val="006D51E6"/>
    <w:rsid w:val="006D576F"/>
    <w:rsid w:val="006D5F62"/>
    <w:rsid w:val="006D63FE"/>
    <w:rsid w:val="006D6C55"/>
    <w:rsid w:val="006E02A4"/>
    <w:rsid w:val="006E04AC"/>
    <w:rsid w:val="006E0C42"/>
    <w:rsid w:val="006E0F02"/>
    <w:rsid w:val="006E1AC7"/>
    <w:rsid w:val="006E1BC7"/>
    <w:rsid w:val="006E1CB8"/>
    <w:rsid w:val="006E2317"/>
    <w:rsid w:val="006E2508"/>
    <w:rsid w:val="006E2925"/>
    <w:rsid w:val="006E2B80"/>
    <w:rsid w:val="006E35D7"/>
    <w:rsid w:val="006E36AE"/>
    <w:rsid w:val="006E3804"/>
    <w:rsid w:val="006E3A82"/>
    <w:rsid w:val="006E3C9F"/>
    <w:rsid w:val="006E4106"/>
    <w:rsid w:val="006E41F3"/>
    <w:rsid w:val="006E461B"/>
    <w:rsid w:val="006E46DD"/>
    <w:rsid w:val="006E4A97"/>
    <w:rsid w:val="006E4BF6"/>
    <w:rsid w:val="006E4EBC"/>
    <w:rsid w:val="006E5057"/>
    <w:rsid w:val="006E5074"/>
    <w:rsid w:val="006E5181"/>
    <w:rsid w:val="006E5203"/>
    <w:rsid w:val="006E5494"/>
    <w:rsid w:val="006E5554"/>
    <w:rsid w:val="006E5594"/>
    <w:rsid w:val="006E55BC"/>
    <w:rsid w:val="006E5648"/>
    <w:rsid w:val="006E59EC"/>
    <w:rsid w:val="006E5DC6"/>
    <w:rsid w:val="006E6F32"/>
    <w:rsid w:val="006E749A"/>
    <w:rsid w:val="006F01B0"/>
    <w:rsid w:val="006F0586"/>
    <w:rsid w:val="006F0864"/>
    <w:rsid w:val="006F095A"/>
    <w:rsid w:val="006F0979"/>
    <w:rsid w:val="006F0AAB"/>
    <w:rsid w:val="006F0D0F"/>
    <w:rsid w:val="006F16CB"/>
    <w:rsid w:val="006F187B"/>
    <w:rsid w:val="006F1CD1"/>
    <w:rsid w:val="006F1D7D"/>
    <w:rsid w:val="006F1DC7"/>
    <w:rsid w:val="006F1EF6"/>
    <w:rsid w:val="006F261E"/>
    <w:rsid w:val="006F2695"/>
    <w:rsid w:val="006F2787"/>
    <w:rsid w:val="006F2978"/>
    <w:rsid w:val="006F29EF"/>
    <w:rsid w:val="006F3B5C"/>
    <w:rsid w:val="006F3F96"/>
    <w:rsid w:val="006F4402"/>
    <w:rsid w:val="006F58E9"/>
    <w:rsid w:val="006F5B86"/>
    <w:rsid w:val="006F5C35"/>
    <w:rsid w:val="006F5E5C"/>
    <w:rsid w:val="006F6069"/>
    <w:rsid w:val="006F645D"/>
    <w:rsid w:val="006F6F8C"/>
    <w:rsid w:val="006F74CD"/>
    <w:rsid w:val="006F7538"/>
    <w:rsid w:val="006F78B9"/>
    <w:rsid w:val="006F7BE5"/>
    <w:rsid w:val="006F7C1D"/>
    <w:rsid w:val="006F7F20"/>
    <w:rsid w:val="0070038B"/>
    <w:rsid w:val="007004A1"/>
    <w:rsid w:val="00700769"/>
    <w:rsid w:val="00700872"/>
    <w:rsid w:val="00701625"/>
    <w:rsid w:val="0070165F"/>
    <w:rsid w:val="007019D2"/>
    <w:rsid w:val="00701A5B"/>
    <w:rsid w:val="00702402"/>
    <w:rsid w:val="00702551"/>
    <w:rsid w:val="007029E5"/>
    <w:rsid w:val="00702A50"/>
    <w:rsid w:val="007039ED"/>
    <w:rsid w:val="00703F63"/>
    <w:rsid w:val="007042A6"/>
    <w:rsid w:val="007043F9"/>
    <w:rsid w:val="007047DC"/>
    <w:rsid w:val="00705196"/>
    <w:rsid w:val="0070521A"/>
    <w:rsid w:val="0070528E"/>
    <w:rsid w:val="00705CE9"/>
    <w:rsid w:val="00705F89"/>
    <w:rsid w:val="007060B5"/>
    <w:rsid w:val="00706345"/>
    <w:rsid w:val="00706A9A"/>
    <w:rsid w:val="00706B1D"/>
    <w:rsid w:val="00706D67"/>
    <w:rsid w:val="0070743D"/>
    <w:rsid w:val="00707907"/>
    <w:rsid w:val="007111CC"/>
    <w:rsid w:val="007112EE"/>
    <w:rsid w:val="00711B2C"/>
    <w:rsid w:val="00711BA6"/>
    <w:rsid w:val="00711BD1"/>
    <w:rsid w:val="00711C7E"/>
    <w:rsid w:val="00711F80"/>
    <w:rsid w:val="007123AE"/>
    <w:rsid w:val="00712548"/>
    <w:rsid w:val="0071284C"/>
    <w:rsid w:val="0071327C"/>
    <w:rsid w:val="00713574"/>
    <w:rsid w:val="00713A5D"/>
    <w:rsid w:val="00713B1A"/>
    <w:rsid w:val="00713FE2"/>
    <w:rsid w:val="00714063"/>
    <w:rsid w:val="00714231"/>
    <w:rsid w:val="007148B7"/>
    <w:rsid w:val="00714E1B"/>
    <w:rsid w:val="0071505B"/>
    <w:rsid w:val="00715EF4"/>
    <w:rsid w:val="00716217"/>
    <w:rsid w:val="007165B3"/>
    <w:rsid w:val="0071679B"/>
    <w:rsid w:val="00716B4C"/>
    <w:rsid w:val="00716D62"/>
    <w:rsid w:val="0071717B"/>
    <w:rsid w:val="007171AC"/>
    <w:rsid w:val="00717348"/>
    <w:rsid w:val="00717B44"/>
    <w:rsid w:val="00720461"/>
    <w:rsid w:val="007207A8"/>
    <w:rsid w:val="0072093E"/>
    <w:rsid w:val="007209CF"/>
    <w:rsid w:val="00720C6E"/>
    <w:rsid w:val="007214AD"/>
    <w:rsid w:val="00721A4C"/>
    <w:rsid w:val="0072248B"/>
    <w:rsid w:val="00722A3F"/>
    <w:rsid w:val="00722E88"/>
    <w:rsid w:val="00722EEB"/>
    <w:rsid w:val="00722F9D"/>
    <w:rsid w:val="007236D6"/>
    <w:rsid w:val="007237E6"/>
    <w:rsid w:val="00724135"/>
    <w:rsid w:val="007248B8"/>
    <w:rsid w:val="0072529E"/>
    <w:rsid w:val="0072530A"/>
    <w:rsid w:val="0072586C"/>
    <w:rsid w:val="00725FE0"/>
    <w:rsid w:val="00726033"/>
    <w:rsid w:val="007262E0"/>
    <w:rsid w:val="007264FB"/>
    <w:rsid w:val="00726BA9"/>
    <w:rsid w:val="00726D51"/>
    <w:rsid w:val="0072732E"/>
    <w:rsid w:val="00727462"/>
    <w:rsid w:val="007274BE"/>
    <w:rsid w:val="00727C10"/>
    <w:rsid w:val="00727D98"/>
    <w:rsid w:val="00730385"/>
    <w:rsid w:val="00730449"/>
    <w:rsid w:val="00730552"/>
    <w:rsid w:val="00730C3E"/>
    <w:rsid w:val="00731049"/>
    <w:rsid w:val="00731107"/>
    <w:rsid w:val="007314AE"/>
    <w:rsid w:val="007317C2"/>
    <w:rsid w:val="0073180B"/>
    <w:rsid w:val="00732443"/>
    <w:rsid w:val="0073253E"/>
    <w:rsid w:val="00732918"/>
    <w:rsid w:val="00732D50"/>
    <w:rsid w:val="00733207"/>
    <w:rsid w:val="00733D08"/>
    <w:rsid w:val="0073475C"/>
    <w:rsid w:val="00734FF0"/>
    <w:rsid w:val="007352BA"/>
    <w:rsid w:val="00735351"/>
    <w:rsid w:val="007354FA"/>
    <w:rsid w:val="00735A44"/>
    <w:rsid w:val="00735DD5"/>
    <w:rsid w:val="00736715"/>
    <w:rsid w:val="00736B1A"/>
    <w:rsid w:val="00736B47"/>
    <w:rsid w:val="007373ED"/>
    <w:rsid w:val="00737400"/>
    <w:rsid w:val="0073759A"/>
    <w:rsid w:val="00737787"/>
    <w:rsid w:val="007379A0"/>
    <w:rsid w:val="00737ED0"/>
    <w:rsid w:val="00737F24"/>
    <w:rsid w:val="007403B6"/>
    <w:rsid w:val="007403FC"/>
    <w:rsid w:val="0074043F"/>
    <w:rsid w:val="00740756"/>
    <w:rsid w:val="00740B69"/>
    <w:rsid w:val="007412F2"/>
    <w:rsid w:val="007415AB"/>
    <w:rsid w:val="0074187F"/>
    <w:rsid w:val="00741D14"/>
    <w:rsid w:val="00742255"/>
    <w:rsid w:val="007428B9"/>
    <w:rsid w:val="00743BAE"/>
    <w:rsid w:val="00743FF3"/>
    <w:rsid w:val="00744BFB"/>
    <w:rsid w:val="00745691"/>
    <w:rsid w:val="0074620D"/>
    <w:rsid w:val="00746241"/>
    <w:rsid w:val="007474CD"/>
    <w:rsid w:val="007476B2"/>
    <w:rsid w:val="00750296"/>
    <w:rsid w:val="00750361"/>
    <w:rsid w:val="00750435"/>
    <w:rsid w:val="007515FD"/>
    <w:rsid w:val="00751A7E"/>
    <w:rsid w:val="00751B39"/>
    <w:rsid w:val="00752033"/>
    <w:rsid w:val="00752072"/>
    <w:rsid w:val="00752153"/>
    <w:rsid w:val="007523C3"/>
    <w:rsid w:val="007526B3"/>
    <w:rsid w:val="00752986"/>
    <w:rsid w:val="00752A19"/>
    <w:rsid w:val="00752A79"/>
    <w:rsid w:val="00753227"/>
    <w:rsid w:val="0075393F"/>
    <w:rsid w:val="00753A01"/>
    <w:rsid w:val="00753C94"/>
    <w:rsid w:val="0075440F"/>
    <w:rsid w:val="007546C6"/>
    <w:rsid w:val="00754845"/>
    <w:rsid w:val="007548FE"/>
    <w:rsid w:val="00754AE6"/>
    <w:rsid w:val="007555C5"/>
    <w:rsid w:val="00755928"/>
    <w:rsid w:val="00755AB9"/>
    <w:rsid w:val="00755E9D"/>
    <w:rsid w:val="007564C6"/>
    <w:rsid w:val="00756502"/>
    <w:rsid w:val="00756609"/>
    <w:rsid w:val="00756A51"/>
    <w:rsid w:val="00756F35"/>
    <w:rsid w:val="00757032"/>
    <w:rsid w:val="007570A1"/>
    <w:rsid w:val="007572EE"/>
    <w:rsid w:val="007575E6"/>
    <w:rsid w:val="00757A5E"/>
    <w:rsid w:val="0076005A"/>
    <w:rsid w:val="00760AF6"/>
    <w:rsid w:val="00760E72"/>
    <w:rsid w:val="00761528"/>
    <w:rsid w:val="0076180A"/>
    <w:rsid w:val="00761BAC"/>
    <w:rsid w:val="00762466"/>
    <w:rsid w:val="00762C4A"/>
    <w:rsid w:val="007631D3"/>
    <w:rsid w:val="00763768"/>
    <w:rsid w:val="007638C0"/>
    <w:rsid w:val="0076451C"/>
    <w:rsid w:val="0076467B"/>
    <w:rsid w:val="00764965"/>
    <w:rsid w:val="00764AC1"/>
    <w:rsid w:val="00764BCB"/>
    <w:rsid w:val="0076502D"/>
    <w:rsid w:val="007650A8"/>
    <w:rsid w:val="00765669"/>
    <w:rsid w:val="00765FE0"/>
    <w:rsid w:val="007661D5"/>
    <w:rsid w:val="00766442"/>
    <w:rsid w:val="00766866"/>
    <w:rsid w:val="007668EF"/>
    <w:rsid w:val="00766CC0"/>
    <w:rsid w:val="00766DCD"/>
    <w:rsid w:val="00766E5D"/>
    <w:rsid w:val="00766E7E"/>
    <w:rsid w:val="00767164"/>
    <w:rsid w:val="007671FE"/>
    <w:rsid w:val="00767293"/>
    <w:rsid w:val="007676C0"/>
    <w:rsid w:val="00767D6E"/>
    <w:rsid w:val="00767F6E"/>
    <w:rsid w:val="007703C9"/>
    <w:rsid w:val="0077066C"/>
    <w:rsid w:val="00770ED4"/>
    <w:rsid w:val="0077177B"/>
    <w:rsid w:val="00771EF6"/>
    <w:rsid w:val="00771FC4"/>
    <w:rsid w:val="007720B0"/>
    <w:rsid w:val="007726B8"/>
    <w:rsid w:val="00772DF9"/>
    <w:rsid w:val="00772E92"/>
    <w:rsid w:val="007737AA"/>
    <w:rsid w:val="007737D2"/>
    <w:rsid w:val="00773A8B"/>
    <w:rsid w:val="00773BC3"/>
    <w:rsid w:val="00773F87"/>
    <w:rsid w:val="00774A04"/>
    <w:rsid w:val="007750E8"/>
    <w:rsid w:val="00775331"/>
    <w:rsid w:val="007755E0"/>
    <w:rsid w:val="007755E9"/>
    <w:rsid w:val="007759C4"/>
    <w:rsid w:val="00775DF9"/>
    <w:rsid w:val="00776555"/>
    <w:rsid w:val="0077662E"/>
    <w:rsid w:val="007772B3"/>
    <w:rsid w:val="00777A8B"/>
    <w:rsid w:val="00777B69"/>
    <w:rsid w:val="00777C0E"/>
    <w:rsid w:val="00780559"/>
    <w:rsid w:val="00780E5F"/>
    <w:rsid w:val="00780F04"/>
    <w:rsid w:val="00780FA4"/>
    <w:rsid w:val="007826FE"/>
    <w:rsid w:val="00782EA1"/>
    <w:rsid w:val="0078311B"/>
    <w:rsid w:val="00783246"/>
    <w:rsid w:val="007837CA"/>
    <w:rsid w:val="00783B40"/>
    <w:rsid w:val="00783F77"/>
    <w:rsid w:val="007842DF"/>
    <w:rsid w:val="0078454F"/>
    <w:rsid w:val="00785144"/>
    <w:rsid w:val="00785AB6"/>
    <w:rsid w:val="00785ABA"/>
    <w:rsid w:val="00785FF1"/>
    <w:rsid w:val="00787124"/>
    <w:rsid w:val="007873FA"/>
    <w:rsid w:val="007874B7"/>
    <w:rsid w:val="00787871"/>
    <w:rsid w:val="00787A57"/>
    <w:rsid w:val="00787BE8"/>
    <w:rsid w:val="007906A3"/>
    <w:rsid w:val="00790EF8"/>
    <w:rsid w:val="00790EFE"/>
    <w:rsid w:val="007913F0"/>
    <w:rsid w:val="00791520"/>
    <w:rsid w:val="00791548"/>
    <w:rsid w:val="00791889"/>
    <w:rsid w:val="00791D96"/>
    <w:rsid w:val="00791F60"/>
    <w:rsid w:val="007922C5"/>
    <w:rsid w:val="007929EB"/>
    <w:rsid w:val="00792ABA"/>
    <w:rsid w:val="00792C10"/>
    <w:rsid w:val="00794343"/>
    <w:rsid w:val="007946DA"/>
    <w:rsid w:val="00794A61"/>
    <w:rsid w:val="00794C39"/>
    <w:rsid w:val="00794E6F"/>
    <w:rsid w:val="0079565B"/>
    <w:rsid w:val="007959B5"/>
    <w:rsid w:val="00795ADD"/>
    <w:rsid w:val="00795E7E"/>
    <w:rsid w:val="00797002"/>
    <w:rsid w:val="007971A3"/>
    <w:rsid w:val="007977BE"/>
    <w:rsid w:val="007A05B0"/>
    <w:rsid w:val="007A097F"/>
    <w:rsid w:val="007A0F84"/>
    <w:rsid w:val="007A116B"/>
    <w:rsid w:val="007A1357"/>
    <w:rsid w:val="007A13CF"/>
    <w:rsid w:val="007A146D"/>
    <w:rsid w:val="007A1609"/>
    <w:rsid w:val="007A1618"/>
    <w:rsid w:val="007A1FC8"/>
    <w:rsid w:val="007A2635"/>
    <w:rsid w:val="007A2AD9"/>
    <w:rsid w:val="007A3160"/>
    <w:rsid w:val="007A38CB"/>
    <w:rsid w:val="007A47AE"/>
    <w:rsid w:val="007A47DA"/>
    <w:rsid w:val="007A4942"/>
    <w:rsid w:val="007A4AB1"/>
    <w:rsid w:val="007A5C0F"/>
    <w:rsid w:val="007A665C"/>
    <w:rsid w:val="007A6A2C"/>
    <w:rsid w:val="007A6B9E"/>
    <w:rsid w:val="007A6F6E"/>
    <w:rsid w:val="007A7B92"/>
    <w:rsid w:val="007B015F"/>
    <w:rsid w:val="007B03ED"/>
    <w:rsid w:val="007B053D"/>
    <w:rsid w:val="007B0AA6"/>
    <w:rsid w:val="007B0FA4"/>
    <w:rsid w:val="007B1609"/>
    <w:rsid w:val="007B1769"/>
    <w:rsid w:val="007B1AC8"/>
    <w:rsid w:val="007B1F87"/>
    <w:rsid w:val="007B37A5"/>
    <w:rsid w:val="007B37C9"/>
    <w:rsid w:val="007B3A1F"/>
    <w:rsid w:val="007B3B61"/>
    <w:rsid w:val="007B3D8A"/>
    <w:rsid w:val="007B4B9A"/>
    <w:rsid w:val="007B5D35"/>
    <w:rsid w:val="007B5E68"/>
    <w:rsid w:val="007B5F01"/>
    <w:rsid w:val="007B6352"/>
    <w:rsid w:val="007B6500"/>
    <w:rsid w:val="007B6998"/>
    <w:rsid w:val="007B7730"/>
    <w:rsid w:val="007B797A"/>
    <w:rsid w:val="007B79F1"/>
    <w:rsid w:val="007B7B4D"/>
    <w:rsid w:val="007C0286"/>
    <w:rsid w:val="007C083A"/>
    <w:rsid w:val="007C0DB9"/>
    <w:rsid w:val="007C1127"/>
    <w:rsid w:val="007C1131"/>
    <w:rsid w:val="007C1180"/>
    <w:rsid w:val="007C1E6E"/>
    <w:rsid w:val="007C1F29"/>
    <w:rsid w:val="007C1FAF"/>
    <w:rsid w:val="007C20F3"/>
    <w:rsid w:val="007C21DB"/>
    <w:rsid w:val="007C309E"/>
    <w:rsid w:val="007C3428"/>
    <w:rsid w:val="007C3438"/>
    <w:rsid w:val="007C3664"/>
    <w:rsid w:val="007C3704"/>
    <w:rsid w:val="007C436A"/>
    <w:rsid w:val="007C45F9"/>
    <w:rsid w:val="007C46C3"/>
    <w:rsid w:val="007C47FF"/>
    <w:rsid w:val="007C4DB7"/>
    <w:rsid w:val="007C4F48"/>
    <w:rsid w:val="007C5371"/>
    <w:rsid w:val="007C53F9"/>
    <w:rsid w:val="007C54D9"/>
    <w:rsid w:val="007C5697"/>
    <w:rsid w:val="007C6294"/>
    <w:rsid w:val="007C7802"/>
    <w:rsid w:val="007C7B7A"/>
    <w:rsid w:val="007C7E43"/>
    <w:rsid w:val="007D00E7"/>
    <w:rsid w:val="007D03EE"/>
    <w:rsid w:val="007D100F"/>
    <w:rsid w:val="007D141A"/>
    <w:rsid w:val="007D1FA5"/>
    <w:rsid w:val="007D22D7"/>
    <w:rsid w:val="007D22D9"/>
    <w:rsid w:val="007D256A"/>
    <w:rsid w:val="007D3107"/>
    <w:rsid w:val="007D321F"/>
    <w:rsid w:val="007D3551"/>
    <w:rsid w:val="007D35DA"/>
    <w:rsid w:val="007D36F0"/>
    <w:rsid w:val="007D381B"/>
    <w:rsid w:val="007D3910"/>
    <w:rsid w:val="007D3A0A"/>
    <w:rsid w:val="007D3A98"/>
    <w:rsid w:val="007D3B80"/>
    <w:rsid w:val="007D3CEC"/>
    <w:rsid w:val="007D4DDA"/>
    <w:rsid w:val="007D55E6"/>
    <w:rsid w:val="007D57B9"/>
    <w:rsid w:val="007D5AD7"/>
    <w:rsid w:val="007D5F2A"/>
    <w:rsid w:val="007D61B8"/>
    <w:rsid w:val="007D660C"/>
    <w:rsid w:val="007D6C75"/>
    <w:rsid w:val="007D6CBE"/>
    <w:rsid w:val="007D6FB4"/>
    <w:rsid w:val="007D7911"/>
    <w:rsid w:val="007D7989"/>
    <w:rsid w:val="007D7C4C"/>
    <w:rsid w:val="007D7CF2"/>
    <w:rsid w:val="007D7E58"/>
    <w:rsid w:val="007E0476"/>
    <w:rsid w:val="007E066B"/>
    <w:rsid w:val="007E06DD"/>
    <w:rsid w:val="007E081F"/>
    <w:rsid w:val="007E1E5F"/>
    <w:rsid w:val="007E1FCA"/>
    <w:rsid w:val="007E2039"/>
    <w:rsid w:val="007E2083"/>
    <w:rsid w:val="007E2721"/>
    <w:rsid w:val="007E27DA"/>
    <w:rsid w:val="007E2C92"/>
    <w:rsid w:val="007E32C9"/>
    <w:rsid w:val="007E386B"/>
    <w:rsid w:val="007E39AB"/>
    <w:rsid w:val="007E3DD2"/>
    <w:rsid w:val="007E3E82"/>
    <w:rsid w:val="007E3EE4"/>
    <w:rsid w:val="007E454F"/>
    <w:rsid w:val="007E4819"/>
    <w:rsid w:val="007E4E4C"/>
    <w:rsid w:val="007E5CCB"/>
    <w:rsid w:val="007E65F3"/>
    <w:rsid w:val="007E6E03"/>
    <w:rsid w:val="007E73B6"/>
    <w:rsid w:val="007E78C2"/>
    <w:rsid w:val="007E7A01"/>
    <w:rsid w:val="007F003C"/>
    <w:rsid w:val="007F04B1"/>
    <w:rsid w:val="007F175B"/>
    <w:rsid w:val="007F1834"/>
    <w:rsid w:val="007F1849"/>
    <w:rsid w:val="007F1E88"/>
    <w:rsid w:val="007F1FF3"/>
    <w:rsid w:val="007F23E5"/>
    <w:rsid w:val="007F24BD"/>
    <w:rsid w:val="007F2C99"/>
    <w:rsid w:val="007F2CDA"/>
    <w:rsid w:val="007F3150"/>
    <w:rsid w:val="007F3BB9"/>
    <w:rsid w:val="007F3BF1"/>
    <w:rsid w:val="007F3C42"/>
    <w:rsid w:val="007F3C5F"/>
    <w:rsid w:val="007F4060"/>
    <w:rsid w:val="007F40C5"/>
    <w:rsid w:val="007F43B9"/>
    <w:rsid w:val="007F4443"/>
    <w:rsid w:val="007F4BAD"/>
    <w:rsid w:val="007F4C37"/>
    <w:rsid w:val="007F536F"/>
    <w:rsid w:val="007F537C"/>
    <w:rsid w:val="007F6310"/>
    <w:rsid w:val="007F68F0"/>
    <w:rsid w:val="007F6C04"/>
    <w:rsid w:val="007F6EE8"/>
    <w:rsid w:val="007F7141"/>
    <w:rsid w:val="007F733D"/>
    <w:rsid w:val="007F763B"/>
    <w:rsid w:val="008002FB"/>
    <w:rsid w:val="008009C4"/>
    <w:rsid w:val="00800CCC"/>
    <w:rsid w:val="00800F06"/>
    <w:rsid w:val="0080164B"/>
    <w:rsid w:val="00801AF1"/>
    <w:rsid w:val="008024F1"/>
    <w:rsid w:val="00802F5D"/>
    <w:rsid w:val="00803449"/>
    <w:rsid w:val="008034CD"/>
    <w:rsid w:val="008035F9"/>
    <w:rsid w:val="00803779"/>
    <w:rsid w:val="0080390D"/>
    <w:rsid w:val="00804986"/>
    <w:rsid w:val="00804A71"/>
    <w:rsid w:val="00805127"/>
    <w:rsid w:val="008051C2"/>
    <w:rsid w:val="008057AB"/>
    <w:rsid w:val="00805ACA"/>
    <w:rsid w:val="00805F2D"/>
    <w:rsid w:val="00805F38"/>
    <w:rsid w:val="0080616B"/>
    <w:rsid w:val="008063D9"/>
    <w:rsid w:val="0080692A"/>
    <w:rsid w:val="00806C5A"/>
    <w:rsid w:val="00806C93"/>
    <w:rsid w:val="008074D1"/>
    <w:rsid w:val="00807D42"/>
    <w:rsid w:val="0081049C"/>
    <w:rsid w:val="00810BFB"/>
    <w:rsid w:val="00810C21"/>
    <w:rsid w:val="0081119B"/>
    <w:rsid w:val="00811203"/>
    <w:rsid w:val="00811428"/>
    <w:rsid w:val="00811BF4"/>
    <w:rsid w:val="00811C00"/>
    <w:rsid w:val="00811E33"/>
    <w:rsid w:val="00811EB2"/>
    <w:rsid w:val="008120C6"/>
    <w:rsid w:val="0081231F"/>
    <w:rsid w:val="00812B1C"/>
    <w:rsid w:val="00812B9B"/>
    <w:rsid w:val="00812E82"/>
    <w:rsid w:val="00812F6C"/>
    <w:rsid w:val="00812FCB"/>
    <w:rsid w:val="0081322A"/>
    <w:rsid w:val="00813752"/>
    <w:rsid w:val="00813823"/>
    <w:rsid w:val="00813861"/>
    <w:rsid w:val="008138D6"/>
    <w:rsid w:val="00813A1C"/>
    <w:rsid w:val="00813A65"/>
    <w:rsid w:val="00813B12"/>
    <w:rsid w:val="00813F3E"/>
    <w:rsid w:val="008141C8"/>
    <w:rsid w:val="00814318"/>
    <w:rsid w:val="008144CC"/>
    <w:rsid w:val="008145B9"/>
    <w:rsid w:val="00814CDF"/>
    <w:rsid w:val="008153A8"/>
    <w:rsid w:val="00815A51"/>
    <w:rsid w:val="00815BC9"/>
    <w:rsid w:val="0081607A"/>
    <w:rsid w:val="008160C5"/>
    <w:rsid w:val="008165C7"/>
    <w:rsid w:val="0081664C"/>
    <w:rsid w:val="008166DB"/>
    <w:rsid w:val="00816C0C"/>
    <w:rsid w:val="00816CCF"/>
    <w:rsid w:val="00816F18"/>
    <w:rsid w:val="00817466"/>
    <w:rsid w:val="008175BC"/>
    <w:rsid w:val="0081797A"/>
    <w:rsid w:val="00820276"/>
    <w:rsid w:val="0082097A"/>
    <w:rsid w:val="0082113A"/>
    <w:rsid w:val="008211EF"/>
    <w:rsid w:val="008213BB"/>
    <w:rsid w:val="00821956"/>
    <w:rsid w:val="00821F1D"/>
    <w:rsid w:val="008221AA"/>
    <w:rsid w:val="008222CD"/>
    <w:rsid w:val="0082239E"/>
    <w:rsid w:val="0082273B"/>
    <w:rsid w:val="0082287C"/>
    <w:rsid w:val="008228E2"/>
    <w:rsid w:val="00822C9F"/>
    <w:rsid w:val="008233DD"/>
    <w:rsid w:val="008236A5"/>
    <w:rsid w:val="00823C70"/>
    <w:rsid w:val="00824121"/>
    <w:rsid w:val="00824322"/>
    <w:rsid w:val="00824A39"/>
    <w:rsid w:val="00824AB6"/>
    <w:rsid w:val="00824E5E"/>
    <w:rsid w:val="00825E68"/>
    <w:rsid w:val="00826377"/>
    <w:rsid w:val="008266D6"/>
    <w:rsid w:val="00826770"/>
    <w:rsid w:val="008269EE"/>
    <w:rsid w:val="00826E40"/>
    <w:rsid w:val="0082709A"/>
    <w:rsid w:val="00827206"/>
    <w:rsid w:val="00827330"/>
    <w:rsid w:val="0083034A"/>
    <w:rsid w:val="00830C19"/>
    <w:rsid w:val="00830EB7"/>
    <w:rsid w:val="0083184A"/>
    <w:rsid w:val="00831A53"/>
    <w:rsid w:val="00831F90"/>
    <w:rsid w:val="00832039"/>
    <w:rsid w:val="00832353"/>
    <w:rsid w:val="00832A38"/>
    <w:rsid w:val="0083324F"/>
    <w:rsid w:val="00833274"/>
    <w:rsid w:val="00833D1E"/>
    <w:rsid w:val="0083405D"/>
    <w:rsid w:val="00834256"/>
    <w:rsid w:val="0083434A"/>
    <w:rsid w:val="0083454C"/>
    <w:rsid w:val="008345BB"/>
    <w:rsid w:val="00834A0C"/>
    <w:rsid w:val="00834B23"/>
    <w:rsid w:val="00834E90"/>
    <w:rsid w:val="008351A6"/>
    <w:rsid w:val="00836C32"/>
    <w:rsid w:val="00836C3A"/>
    <w:rsid w:val="00836FA4"/>
    <w:rsid w:val="008372B3"/>
    <w:rsid w:val="00837596"/>
    <w:rsid w:val="00837848"/>
    <w:rsid w:val="00837878"/>
    <w:rsid w:val="00840679"/>
    <w:rsid w:val="00840D5B"/>
    <w:rsid w:val="00841289"/>
    <w:rsid w:val="00841997"/>
    <w:rsid w:val="0084236D"/>
    <w:rsid w:val="008426FA"/>
    <w:rsid w:val="00842ACE"/>
    <w:rsid w:val="008434F9"/>
    <w:rsid w:val="008435F1"/>
    <w:rsid w:val="008438DD"/>
    <w:rsid w:val="00843959"/>
    <w:rsid w:val="00843B1F"/>
    <w:rsid w:val="00843C78"/>
    <w:rsid w:val="00843C99"/>
    <w:rsid w:val="008447DD"/>
    <w:rsid w:val="008450D9"/>
    <w:rsid w:val="00845354"/>
    <w:rsid w:val="0084544E"/>
    <w:rsid w:val="00845BF9"/>
    <w:rsid w:val="00846241"/>
    <w:rsid w:val="0084683D"/>
    <w:rsid w:val="008468A0"/>
    <w:rsid w:val="00847155"/>
    <w:rsid w:val="00847FCC"/>
    <w:rsid w:val="0085001F"/>
    <w:rsid w:val="008504D4"/>
    <w:rsid w:val="00850B2D"/>
    <w:rsid w:val="00850E5F"/>
    <w:rsid w:val="0085113E"/>
    <w:rsid w:val="00851826"/>
    <w:rsid w:val="00851D9A"/>
    <w:rsid w:val="008524DC"/>
    <w:rsid w:val="00852FB9"/>
    <w:rsid w:val="0085330C"/>
    <w:rsid w:val="00853659"/>
    <w:rsid w:val="008538E1"/>
    <w:rsid w:val="00853B71"/>
    <w:rsid w:val="008540E3"/>
    <w:rsid w:val="0085430A"/>
    <w:rsid w:val="00854D67"/>
    <w:rsid w:val="00854F00"/>
    <w:rsid w:val="00854F8D"/>
    <w:rsid w:val="0085509C"/>
    <w:rsid w:val="00855786"/>
    <w:rsid w:val="00855A42"/>
    <w:rsid w:val="00855A54"/>
    <w:rsid w:val="0085611B"/>
    <w:rsid w:val="00856733"/>
    <w:rsid w:val="0085692D"/>
    <w:rsid w:val="00856AB4"/>
    <w:rsid w:val="00857AC5"/>
    <w:rsid w:val="00857AFE"/>
    <w:rsid w:val="00857BAA"/>
    <w:rsid w:val="00857CD3"/>
    <w:rsid w:val="00860003"/>
    <w:rsid w:val="0086095A"/>
    <w:rsid w:val="00860B59"/>
    <w:rsid w:val="00860E9F"/>
    <w:rsid w:val="008610D8"/>
    <w:rsid w:val="008615F7"/>
    <w:rsid w:val="008618B1"/>
    <w:rsid w:val="008619AD"/>
    <w:rsid w:val="00861AA6"/>
    <w:rsid w:val="00861B6F"/>
    <w:rsid w:val="00861C52"/>
    <w:rsid w:val="00861D0C"/>
    <w:rsid w:val="00862ADC"/>
    <w:rsid w:val="00862DCD"/>
    <w:rsid w:val="00862FE9"/>
    <w:rsid w:val="0086307A"/>
    <w:rsid w:val="00863512"/>
    <w:rsid w:val="00863D29"/>
    <w:rsid w:val="00863EFB"/>
    <w:rsid w:val="00864CD0"/>
    <w:rsid w:val="00865073"/>
    <w:rsid w:val="00865674"/>
    <w:rsid w:val="00865867"/>
    <w:rsid w:val="00865C57"/>
    <w:rsid w:val="00866DBC"/>
    <w:rsid w:val="00866EF1"/>
    <w:rsid w:val="008672BE"/>
    <w:rsid w:val="00867E52"/>
    <w:rsid w:val="0087036F"/>
    <w:rsid w:val="008704DE"/>
    <w:rsid w:val="00870738"/>
    <w:rsid w:val="008708E2"/>
    <w:rsid w:val="00871139"/>
    <w:rsid w:val="008718CD"/>
    <w:rsid w:val="00871AA5"/>
    <w:rsid w:val="00871FDB"/>
    <w:rsid w:val="00872865"/>
    <w:rsid w:val="00872EE1"/>
    <w:rsid w:val="0087332B"/>
    <w:rsid w:val="00873DA4"/>
    <w:rsid w:val="00873FEE"/>
    <w:rsid w:val="00874384"/>
    <w:rsid w:val="00874A5F"/>
    <w:rsid w:val="00874C55"/>
    <w:rsid w:val="00874E2F"/>
    <w:rsid w:val="00875360"/>
    <w:rsid w:val="00875972"/>
    <w:rsid w:val="00875B96"/>
    <w:rsid w:val="00875DD0"/>
    <w:rsid w:val="00875FBB"/>
    <w:rsid w:val="0087615E"/>
    <w:rsid w:val="008762C3"/>
    <w:rsid w:val="00876868"/>
    <w:rsid w:val="00876CF3"/>
    <w:rsid w:val="00877628"/>
    <w:rsid w:val="00877864"/>
    <w:rsid w:val="00877D20"/>
    <w:rsid w:val="0088014F"/>
    <w:rsid w:val="008806D0"/>
    <w:rsid w:val="00880960"/>
    <w:rsid w:val="0088116C"/>
    <w:rsid w:val="00882243"/>
    <w:rsid w:val="008825B2"/>
    <w:rsid w:val="008829FF"/>
    <w:rsid w:val="00882F1D"/>
    <w:rsid w:val="00882F81"/>
    <w:rsid w:val="00883384"/>
    <w:rsid w:val="00883413"/>
    <w:rsid w:val="0088415F"/>
    <w:rsid w:val="00884946"/>
    <w:rsid w:val="00884B26"/>
    <w:rsid w:val="00884FFE"/>
    <w:rsid w:val="00885540"/>
    <w:rsid w:val="0088566A"/>
    <w:rsid w:val="0088592A"/>
    <w:rsid w:val="00885BFE"/>
    <w:rsid w:val="00885D50"/>
    <w:rsid w:val="00886454"/>
    <w:rsid w:val="00886D2B"/>
    <w:rsid w:val="00886EFA"/>
    <w:rsid w:val="00887077"/>
    <w:rsid w:val="0088756D"/>
    <w:rsid w:val="00887689"/>
    <w:rsid w:val="008878A6"/>
    <w:rsid w:val="00887A0A"/>
    <w:rsid w:val="00887AF3"/>
    <w:rsid w:val="00887B14"/>
    <w:rsid w:val="008900B5"/>
    <w:rsid w:val="0089033A"/>
    <w:rsid w:val="00890377"/>
    <w:rsid w:val="0089039E"/>
    <w:rsid w:val="008908DF"/>
    <w:rsid w:val="00890947"/>
    <w:rsid w:val="0089097D"/>
    <w:rsid w:val="00890FBB"/>
    <w:rsid w:val="00891123"/>
    <w:rsid w:val="0089153B"/>
    <w:rsid w:val="008918F5"/>
    <w:rsid w:val="00891A5E"/>
    <w:rsid w:val="00891DE4"/>
    <w:rsid w:val="0089224B"/>
    <w:rsid w:val="008928EC"/>
    <w:rsid w:val="00892B6F"/>
    <w:rsid w:val="008932F6"/>
    <w:rsid w:val="00893C64"/>
    <w:rsid w:val="00893CD3"/>
    <w:rsid w:val="00893DFF"/>
    <w:rsid w:val="00893E4B"/>
    <w:rsid w:val="00893F61"/>
    <w:rsid w:val="0089419D"/>
    <w:rsid w:val="00894277"/>
    <w:rsid w:val="00894412"/>
    <w:rsid w:val="008944B6"/>
    <w:rsid w:val="00894747"/>
    <w:rsid w:val="00894AC6"/>
    <w:rsid w:val="00895C41"/>
    <w:rsid w:val="00895E64"/>
    <w:rsid w:val="00895F1C"/>
    <w:rsid w:val="00895F87"/>
    <w:rsid w:val="008969ED"/>
    <w:rsid w:val="00896A6E"/>
    <w:rsid w:val="00896FE6"/>
    <w:rsid w:val="00897176"/>
    <w:rsid w:val="008A1368"/>
    <w:rsid w:val="008A1433"/>
    <w:rsid w:val="008A210B"/>
    <w:rsid w:val="008A22E4"/>
    <w:rsid w:val="008A2505"/>
    <w:rsid w:val="008A2D53"/>
    <w:rsid w:val="008A3055"/>
    <w:rsid w:val="008A33A4"/>
    <w:rsid w:val="008A3553"/>
    <w:rsid w:val="008A3FFF"/>
    <w:rsid w:val="008A410E"/>
    <w:rsid w:val="008A4157"/>
    <w:rsid w:val="008A4DC8"/>
    <w:rsid w:val="008A5081"/>
    <w:rsid w:val="008A559D"/>
    <w:rsid w:val="008A55B7"/>
    <w:rsid w:val="008A59C9"/>
    <w:rsid w:val="008A5A37"/>
    <w:rsid w:val="008A63C6"/>
    <w:rsid w:val="008A66C3"/>
    <w:rsid w:val="008A69E9"/>
    <w:rsid w:val="008A6B3C"/>
    <w:rsid w:val="008A6E24"/>
    <w:rsid w:val="008A7323"/>
    <w:rsid w:val="008A743E"/>
    <w:rsid w:val="008A756E"/>
    <w:rsid w:val="008A75E9"/>
    <w:rsid w:val="008A7A93"/>
    <w:rsid w:val="008B03D4"/>
    <w:rsid w:val="008B03EF"/>
    <w:rsid w:val="008B0701"/>
    <w:rsid w:val="008B0741"/>
    <w:rsid w:val="008B07C1"/>
    <w:rsid w:val="008B08FF"/>
    <w:rsid w:val="008B0E99"/>
    <w:rsid w:val="008B14AE"/>
    <w:rsid w:val="008B151E"/>
    <w:rsid w:val="008B1BA1"/>
    <w:rsid w:val="008B21A5"/>
    <w:rsid w:val="008B232A"/>
    <w:rsid w:val="008B2935"/>
    <w:rsid w:val="008B2E2D"/>
    <w:rsid w:val="008B3227"/>
    <w:rsid w:val="008B3341"/>
    <w:rsid w:val="008B3519"/>
    <w:rsid w:val="008B36D2"/>
    <w:rsid w:val="008B3B4B"/>
    <w:rsid w:val="008B4369"/>
    <w:rsid w:val="008B441F"/>
    <w:rsid w:val="008B446A"/>
    <w:rsid w:val="008B47BB"/>
    <w:rsid w:val="008B4C94"/>
    <w:rsid w:val="008B4E95"/>
    <w:rsid w:val="008B4FA6"/>
    <w:rsid w:val="008B52A9"/>
    <w:rsid w:val="008B53E8"/>
    <w:rsid w:val="008B53FC"/>
    <w:rsid w:val="008B54A6"/>
    <w:rsid w:val="008B57E7"/>
    <w:rsid w:val="008B5A55"/>
    <w:rsid w:val="008B5A5C"/>
    <w:rsid w:val="008B5A63"/>
    <w:rsid w:val="008B5F08"/>
    <w:rsid w:val="008B6181"/>
    <w:rsid w:val="008B6563"/>
    <w:rsid w:val="008B65FD"/>
    <w:rsid w:val="008B6608"/>
    <w:rsid w:val="008B6655"/>
    <w:rsid w:val="008B6690"/>
    <w:rsid w:val="008B69F8"/>
    <w:rsid w:val="008B6C58"/>
    <w:rsid w:val="008B70B9"/>
    <w:rsid w:val="008B7114"/>
    <w:rsid w:val="008B7B04"/>
    <w:rsid w:val="008B7E50"/>
    <w:rsid w:val="008B7E7D"/>
    <w:rsid w:val="008B7F8C"/>
    <w:rsid w:val="008C0F7F"/>
    <w:rsid w:val="008C10D2"/>
    <w:rsid w:val="008C14CA"/>
    <w:rsid w:val="008C14E9"/>
    <w:rsid w:val="008C1635"/>
    <w:rsid w:val="008C25C6"/>
    <w:rsid w:val="008C2BC3"/>
    <w:rsid w:val="008C3489"/>
    <w:rsid w:val="008C3A06"/>
    <w:rsid w:val="008C3DB5"/>
    <w:rsid w:val="008C3DB6"/>
    <w:rsid w:val="008C3DE9"/>
    <w:rsid w:val="008C44FE"/>
    <w:rsid w:val="008C4747"/>
    <w:rsid w:val="008C4989"/>
    <w:rsid w:val="008C49ED"/>
    <w:rsid w:val="008C4A6C"/>
    <w:rsid w:val="008C4E65"/>
    <w:rsid w:val="008C5A97"/>
    <w:rsid w:val="008C5D93"/>
    <w:rsid w:val="008C6002"/>
    <w:rsid w:val="008C6031"/>
    <w:rsid w:val="008C6182"/>
    <w:rsid w:val="008C624F"/>
    <w:rsid w:val="008C6733"/>
    <w:rsid w:val="008C747D"/>
    <w:rsid w:val="008C7513"/>
    <w:rsid w:val="008C79DC"/>
    <w:rsid w:val="008C7CED"/>
    <w:rsid w:val="008D04F6"/>
    <w:rsid w:val="008D0B33"/>
    <w:rsid w:val="008D0E75"/>
    <w:rsid w:val="008D116E"/>
    <w:rsid w:val="008D1351"/>
    <w:rsid w:val="008D17B8"/>
    <w:rsid w:val="008D1D17"/>
    <w:rsid w:val="008D21CF"/>
    <w:rsid w:val="008D279D"/>
    <w:rsid w:val="008D27C3"/>
    <w:rsid w:val="008D2925"/>
    <w:rsid w:val="008D2BB9"/>
    <w:rsid w:val="008D2F63"/>
    <w:rsid w:val="008D31E9"/>
    <w:rsid w:val="008D342A"/>
    <w:rsid w:val="008D3780"/>
    <w:rsid w:val="008D3C96"/>
    <w:rsid w:val="008D3F4D"/>
    <w:rsid w:val="008D41C7"/>
    <w:rsid w:val="008D49B5"/>
    <w:rsid w:val="008D52D6"/>
    <w:rsid w:val="008D531D"/>
    <w:rsid w:val="008D6022"/>
    <w:rsid w:val="008D6221"/>
    <w:rsid w:val="008D663B"/>
    <w:rsid w:val="008D6AD1"/>
    <w:rsid w:val="008D6DDE"/>
    <w:rsid w:val="008D7346"/>
    <w:rsid w:val="008D743A"/>
    <w:rsid w:val="008D75C9"/>
    <w:rsid w:val="008D75CB"/>
    <w:rsid w:val="008D7ED5"/>
    <w:rsid w:val="008E012C"/>
    <w:rsid w:val="008E02A1"/>
    <w:rsid w:val="008E048A"/>
    <w:rsid w:val="008E0AEF"/>
    <w:rsid w:val="008E1050"/>
    <w:rsid w:val="008E1176"/>
    <w:rsid w:val="008E1344"/>
    <w:rsid w:val="008E165C"/>
    <w:rsid w:val="008E1826"/>
    <w:rsid w:val="008E1C88"/>
    <w:rsid w:val="008E1C94"/>
    <w:rsid w:val="008E266A"/>
    <w:rsid w:val="008E2814"/>
    <w:rsid w:val="008E2F19"/>
    <w:rsid w:val="008E3002"/>
    <w:rsid w:val="008E3D18"/>
    <w:rsid w:val="008E3E1D"/>
    <w:rsid w:val="008E44E1"/>
    <w:rsid w:val="008E45D2"/>
    <w:rsid w:val="008E45D9"/>
    <w:rsid w:val="008E4872"/>
    <w:rsid w:val="008E4A43"/>
    <w:rsid w:val="008E4B49"/>
    <w:rsid w:val="008E4DB4"/>
    <w:rsid w:val="008E4E6C"/>
    <w:rsid w:val="008E506D"/>
    <w:rsid w:val="008E575B"/>
    <w:rsid w:val="008E5BF2"/>
    <w:rsid w:val="008E5CA8"/>
    <w:rsid w:val="008E5EAF"/>
    <w:rsid w:val="008E634C"/>
    <w:rsid w:val="008E638E"/>
    <w:rsid w:val="008E6468"/>
    <w:rsid w:val="008E6892"/>
    <w:rsid w:val="008E6F16"/>
    <w:rsid w:val="008E71EB"/>
    <w:rsid w:val="008E737E"/>
    <w:rsid w:val="008E7451"/>
    <w:rsid w:val="008E776E"/>
    <w:rsid w:val="008E7815"/>
    <w:rsid w:val="008F0605"/>
    <w:rsid w:val="008F0CA5"/>
    <w:rsid w:val="008F0FC2"/>
    <w:rsid w:val="008F1158"/>
    <w:rsid w:val="008F1B41"/>
    <w:rsid w:val="008F1E2B"/>
    <w:rsid w:val="008F1E64"/>
    <w:rsid w:val="008F203B"/>
    <w:rsid w:val="008F22A4"/>
    <w:rsid w:val="008F280F"/>
    <w:rsid w:val="008F2AB3"/>
    <w:rsid w:val="008F2AEB"/>
    <w:rsid w:val="008F39FB"/>
    <w:rsid w:val="008F3B52"/>
    <w:rsid w:val="008F3CCE"/>
    <w:rsid w:val="008F468A"/>
    <w:rsid w:val="008F4960"/>
    <w:rsid w:val="008F4B16"/>
    <w:rsid w:val="008F508B"/>
    <w:rsid w:val="008F549D"/>
    <w:rsid w:val="008F6534"/>
    <w:rsid w:val="008F6D89"/>
    <w:rsid w:val="008F7159"/>
    <w:rsid w:val="008F774A"/>
    <w:rsid w:val="008F7978"/>
    <w:rsid w:val="008F79B5"/>
    <w:rsid w:val="008F7DD4"/>
    <w:rsid w:val="00900735"/>
    <w:rsid w:val="00900C3D"/>
    <w:rsid w:val="00900CBF"/>
    <w:rsid w:val="0090160F"/>
    <w:rsid w:val="00901B3A"/>
    <w:rsid w:val="00901DAF"/>
    <w:rsid w:val="00901E62"/>
    <w:rsid w:val="00902326"/>
    <w:rsid w:val="00902933"/>
    <w:rsid w:val="00902CF6"/>
    <w:rsid w:val="0090325E"/>
    <w:rsid w:val="00903786"/>
    <w:rsid w:val="00903FE7"/>
    <w:rsid w:val="009048B5"/>
    <w:rsid w:val="00905228"/>
    <w:rsid w:val="0090572C"/>
    <w:rsid w:val="00905B0F"/>
    <w:rsid w:val="00905C19"/>
    <w:rsid w:val="00906140"/>
    <w:rsid w:val="0090620E"/>
    <w:rsid w:val="0090687D"/>
    <w:rsid w:val="00906B97"/>
    <w:rsid w:val="00906DD8"/>
    <w:rsid w:val="00907095"/>
    <w:rsid w:val="00907531"/>
    <w:rsid w:val="0090773A"/>
    <w:rsid w:val="00910028"/>
    <w:rsid w:val="00910068"/>
    <w:rsid w:val="009100C3"/>
    <w:rsid w:val="009103F7"/>
    <w:rsid w:val="00910537"/>
    <w:rsid w:val="00910A35"/>
    <w:rsid w:val="00910C27"/>
    <w:rsid w:val="00911338"/>
    <w:rsid w:val="0091156C"/>
    <w:rsid w:val="009118FA"/>
    <w:rsid w:val="00911B56"/>
    <w:rsid w:val="00912148"/>
    <w:rsid w:val="009129A8"/>
    <w:rsid w:val="00912B28"/>
    <w:rsid w:val="00912F12"/>
    <w:rsid w:val="00913142"/>
    <w:rsid w:val="009136BA"/>
    <w:rsid w:val="009138FD"/>
    <w:rsid w:val="00913AB9"/>
    <w:rsid w:val="009144D2"/>
    <w:rsid w:val="00914966"/>
    <w:rsid w:val="0091536F"/>
    <w:rsid w:val="0091554B"/>
    <w:rsid w:val="00915C9A"/>
    <w:rsid w:val="00915F60"/>
    <w:rsid w:val="0091618A"/>
    <w:rsid w:val="00916ADB"/>
    <w:rsid w:val="00916D37"/>
    <w:rsid w:val="00917D61"/>
    <w:rsid w:val="00917E19"/>
    <w:rsid w:val="00920646"/>
    <w:rsid w:val="009207F6"/>
    <w:rsid w:val="00920BCA"/>
    <w:rsid w:val="00920C16"/>
    <w:rsid w:val="0092208A"/>
    <w:rsid w:val="009220AE"/>
    <w:rsid w:val="00922FC0"/>
    <w:rsid w:val="0092468E"/>
    <w:rsid w:val="0092494D"/>
    <w:rsid w:val="00924B17"/>
    <w:rsid w:val="0092511E"/>
    <w:rsid w:val="009256EF"/>
    <w:rsid w:val="009260DC"/>
    <w:rsid w:val="009261F3"/>
    <w:rsid w:val="00926953"/>
    <w:rsid w:val="00926D38"/>
    <w:rsid w:val="009274A6"/>
    <w:rsid w:val="00927B40"/>
    <w:rsid w:val="00927D73"/>
    <w:rsid w:val="009303AA"/>
    <w:rsid w:val="00930ED7"/>
    <w:rsid w:val="00930EDD"/>
    <w:rsid w:val="00931288"/>
    <w:rsid w:val="00931473"/>
    <w:rsid w:val="00931622"/>
    <w:rsid w:val="00932251"/>
    <w:rsid w:val="0093242D"/>
    <w:rsid w:val="00932847"/>
    <w:rsid w:val="00932F92"/>
    <w:rsid w:val="0093301F"/>
    <w:rsid w:val="00933A1B"/>
    <w:rsid w:val="00933A98"/>
    <w:rsid w:val="00933D8C"/>
    <w:rsid w:val="009348C2"/>
    <w:rsid w:val="00934B95"/>
    <w:rsid w:val="00934F34"/>
    <w:rsid w:val="0093582A"/>
    <w:rsid w:val="0093594A"/>
    <w:rsid w:val="00935982"/>
    <w:rsid w:val="00935AF7"/>
    <w:rsid w:val="00935D47"/>
    <w:rsid w:val="00935E8F"/>
    <w:rsid w:val="00935F7C"/>
    <w:rsid w:val="009364A3"/>
    <w:rsid w:val="009367C4"/>
    <w:rsid w:val="00936B3E"/>
    <w:rsid w:val="009370AA"/>
    <w:rsid w:val="0093738B"/>
    <w:rsid w:val="00937391"/>
    <w:rsid w:val="009375CD"/>
    <w:rsid w:val="00937F25"/>
    <w:rsid w:val="00940834"/>
    <w:rsid w:val="00940C7B"/>
    <w:rsid w:val="00940E2F"/>
    <w:rsid w:val="00940EC4"/>
    <w:rsid w:val="00941316"/>
    <w:rsid w:val="0094173C"/>
    <w:rsid w:val="00941900"/>
    <w:rsid w:val="00941A51"/>
    <w:rsid w:val="00941EF5"/>
    <w:rsid w:val="00941F9C"/>
    <w:rsid w:val="009424C7"/>
    <w:rsid w:val="00942518"/>
    <w:rsid w:val="00942618"/>
    <w:rsid w:val="009427AF"/>
    <w:rsid w:val="009428B4"/>
    <w:rsid w:val="00942CD8"/>
    <w:rsid w:val="00942D70"/>
    <w:rsid w:val="00942D7A"/>
    <w:rsid w:val="009431D1"/>
    <w:rsid w:val="009437D0"/>
    <w:rsid w:val="00943B10"/>
    <w:rsid w:val="00943DC9"/>
    <w:rsid w:val="0094406A"/>
    <w:rsid w:val="00944084"/>
    <w:rsid w:val="00944312"/>
    <w:rsid w:val="00944566"/>
    <w:rsid w:val="009445F9"/>
    <w:rsid w:val="00944DEC"/>
    <w:rsid w:val="009450AE"/>
    <w:rsid w:val="009456DD"/>
    <w:rsid w:val="009457AD"/>
    <w:rsid w:val="00945A9C"/>
    <w:rsid w:val="00945AF6"/>
    <w:rsid w:val="00945E0D"/>
    <w:rsid w:val="00945EFD"/>
    <w:rsid w:val="00946014"/>
    <w:rsid w:val="009471F4"/>
    <w:rsid w:val="00947380"/>
    <w:rsid w:val="0094746A"/>
    <w:rsid w:val="00947721"/>
    <w:rsid w:val="00947A3D"/>
    <w:rsid w:val="0095008F"/>
    <w:rsid w:val="00950B0E"/>
    <w:rsid w:val="00951AB2"/>
    <w:rsid w:val="00951E70"/>
    <w:rsid w:val="00951ED1"/>
    <w:rsid w:val="009526F1"/>
    <w:rsid w:val="0095299B"/>
    <w:rsid w:val="00953164"/>
    <w:rsid w:val="009532B3"/>
    <w:rsid w:val="009539A3"/>
    <w:rsid w:val="00953A65"/>
    <w:rsid w:val="00953ED4"/>
    <w:rsid w:val="0095416E"/>
    <w:rsid w:val="00954470"/>
    <w:rsid w:val="009544D9"/>
    <w:rsid w:val="00954684"/>
    <w:rsid w:val="0095469E"/>
    <w:rsid w:val="0095573F"/>
    <w:rsid w:val="0095578D"/>
    <w:rsid w:val="009557D7"/>
    <w:rsid w:val="00955C19"/>
    <w:rsid w:val="00955C36"/>
    <w:rsid w:val="00955DF2"/>
    <w:rsid w:val="0095661F"/>
    <w:rsid w:val="00956983"/>
    <w:rsid w:val="00956DEB"/>
    <w:rsid w:val="00956E3F"/>
    <w:rsid w:val="009571AD"/>
    <w:rsid w:val="0095726B"/>
    <w:rsid w:val="00957960"/>
    <w:rsid w:val="00957C55"/>
    <w:rsid w:val="00957F8F"/>
    <w:rsid w:val="00960283"/>
    <w:rsid w:val="009605F9"/>
    <w:rsid w:val="0096086A"/>
    <w:rsid w:val="00960C31"/>
    <w:rsid w:val="00960D9D"/>
    <w:rsid w:val="00960DBE"/>
    <w:rsid w:val="00961475"/>
    <w:rsid w:val="009621BD"/>
    <w:rsid w:val="00962206"/>
    <w:rsid w:val="009622E4"/>
    <w:rsid w:val="009625FD"/>
    <w:rsid w:val="00962DCC"/>
    <w:rsid w:val="009630D3"/>
    <w:rsid w:val="00963A8F"/>
    <w:rsid w:val="00963B40"/>
    <w:rsid w:val="00964037"/>
    <w:rsid w:val="009640F5"/>
    <w:rsid w:val="00964300"/>
    <w:rsid w:val="00965076"/>
    <w:rsid w:val="009652B7"/>
    <w:rsid w:val="00965653"/>
    <w:rsid w:val="00965CBE"/>
    <w:rsid w:val="00966D89"/>
    <w:rsid w:val="00966EFA"/>
    <w:rsid w:val="009670A3"/>
    <w:rsid w:val="00967E74"/>
    <w:rsid w:val="00970342"/>
    <w:rsid w:val="009703F6"/>
    <w:rsid w:val="0097088C"/>
    <w:rsid w:val="00970969"/>
    <w:rsid w:val="009709DA"/>
    <w:rsid w:val="00970B13"/>
    <w:rsid w:val="00970F22"/>
    <w:rsid w:val="009710A3"/>
    <w:rsid w:val="009711BE"/>
    <w:rsid w:val="00971360"/>
    <w:rsid w:val="00971852"/>
    <w:rsid w:val="009720C3"/>
    <w:rsid w:val="009722CF"/>
    <w:rsid w:val="0097257D"/>
    <w:rsid w:val="0097285F"/>
    <w:rsid w:val="00972E39"/>
    <w:rsid w:val="00972F8E"/>
    <w:rsid w:val="009730E1"/>
    <w:rsid w:val="00973754"/>
    <w:rsid w:val="00973AC3"/>
    <w:rsid w:val="00973B49"/>
    <w:rsid w:val="00973EA7"/>
    <w:rsid w:val="009743E7"/>
    <w:rsid w:val="009747EA"/>
    <w:rsid w:val="00976391"/>
    <w:rsid w:val="009769F7"/>
    <w:rsid w:val="0097745D"/>
    <w:rsid w:val="009774B3"/>
    <w:rsid w:val="009776CC"/>
    <w:rsid w:val="00977AF2"/>
    <w:rsid w:val="00977C47"/>
    <w:rsid w:val="00977CC8"/>
    <w:rsid w:val="00977E43"/>
    <w:rsid w:val="0098026B"/>
    <w:rsid w:val="00980719"/>
    <w:rsid w:val="00981168"/>
    <w:rsid w:val="009812F5"/>
    <w:rsid w:val="00981485"/>
    <w:rsid w:val="009815F4"/>
    <w:rsid w:val="00981615"/>
    <w:rsid w:val="009819A2"/>
    <w:rsid w:val="00981ED1"/>
    <w:rsid w:val="009820F2"/>
    <w:rsid w:val="00982225"/>
    <w:rsid w:val="00982345"/>
    <w:rsid w:val="00982547"/>
    <w:rsid w:val="00982832"/>
    <w:rsid w:val="00982E2F"/>
    <w:rsid w:val="009830B9"/>
    <w:rsid w:val="009832C4"/>
    <w:rsid w:val="00983548"/>
    <w:rsid w:val="00983675"/>
    <w:rsid w:val="0098381E"/>
    <w:rsid w:val="00983A77"/>
    <w:rsid w:val="00983B61"/>
    <w:rsid w:val="00983EDA"/>
    <w:rsid w:val="00983F5A"/>
    <w:rsid w:val="00983F6A"/>
    <w:rsid w:val="00984014"/>
    <w:rsid w:val="009844BA"/>
    <w:rsid w:val="009845DD"/>
    <w:rsid w:val="00984A8B"/>
    <w:rsid w:val="00984B6A"/>
    <w:rsid w:val="00984DFD"/>
    <w:rsid w:val="0098520D"/>
    <w:rsid w:val="0098598C"/>
    <w:rsid w:val="0098660E"/>
    <w:rsid w:val="00986723"/>
    <w:rsid w:val="0098688A"/>
    <w:rsid w:val="0098695F"/>
    <w:rsid w:val="00986C1F"/>
    <w:rsid w:val="009872D0"/>
    <w:rsid w:val="00987CA7"/>
    <w:rsid w:val="009902CF"/>
    <w:rsid w:val="00990324"/>
    <w:rsid w:val="009908CB"/>
    <w:rsid w:val="00990A2F"/>
    <w:rsid w:val="00990A86"/>
    <w:rsid w:val="00990C54"/>
    <w:rsid w:val="00990F6F"/>
    <w:rsid w:val="009910CC"/>
    <w:rsid w:val="00991963"/>
    <w:rsid w:val="009922C0"/>
    <w:rsid w:val="00992892"/>
    <w:rsid w:val="0099292A"/>
    <w:rsid w:val="00992A33"/>
    <w:rsid w:val="00992BE4"/>
    <w:rsid w:val="00992F2B"/>
    <w:rsid w:val="0099334D"/>
    <w:rsid w:val="009946C4"/>
    <w:rsid w:val="00994A35"/>
    <w:rsid w:val="00994E5F"/>
    <w:rsid w:val="00994FB7"/>
    <w:rsid w:val="00995273"/>
    <w:rsid w:val="0099598E"/>
    <w:rsid w:val="00997841"/>
    <w:rsid w:val="00997A0B"/>
    <w:rsid w:val="009A0029"/>
    <w:rsid w:val="009A052D"/>
    <w:rsid w:val="009A05FA"/>
    <w:rsid w:val="009A0711"/>
    <w:rsid w:val="009A0990"/>
    <w:rsid w:val="009A0C49"/>
    <w:rsid w:val="009A1195"/>
    <w:rsid w:val="009A1293"/>
    <w:rsid w:val="009A195E"/>
    <w:rsid w:val="009A1AF0"/>
    <w:rsid w:val="009A1F28"/>
    <w:rsid w:val="009A2C9F"/>
    <w:rsid w:val="009A3040"/>
    <w:rsid w:val="009A34E3"/>
    <w:rsid w:val="009A39CC"/>
    <w:rsid w:val="009A3CB3"/>
    <w:rsid w:val="009A4290"/>
    <w:rsid w:val="009A4491"/>
    <w:rsid w:val="009A45DE"/>
    <w:rsid w:val="009A4B7B"/>
    <w:rsid w:val="009A4DA1"/>
    <w:rsid w:val="009A4F71"/>
    <w:rsid w:val="009A531B"/>
    <w:rsid w:val="009A6152"/>
    <w:rsid w:val="009A676E"/>
    <w:rsid w:val="009A6CB5"/>
    <w:rsid w:val="009A6DC6"/>
    <w:rsid w:val="009A7A36"/>
    <w:rsid w:val="009B0505"/>
    <w:rsid w:val="009B0685"/>
    <w:rsid w:val="009B0B36"/>
    <w:rsid w:val="009B0BE8"/>
    <w:rsid w:val="009B10C3"/>
    <w:rsid w:val="009B125F"/>
    <w:rsid w:val="009B13C7"/>
    <w:rsid w:val="009B2107"/>
    <w:rsid w:val="009B213A"/>
    <w:rsid w:val="009B2278"/>
    <w:rsid w:val="009B2C40"/>
    <w:rsid w:val="009B2DB8"/>
    <w:rsid w:val="009B2ECD"/>
    <w:rsid w:val="009B3407"/>
    <w:rsid w:val="009B3FB4"/>
    <w:rsid w:val="009B40B7"/>
    <w:rsid w:val="009B4600"/>
    <w:rsid w:val="009B4F4D"/>
    <w:rsid w:val="009B4F62"/>
    <w:rsid w:val="009B52AC"/>
    <w:rsid w:val="009B5377"/>
    <w:rsid w:val="009B6444"/>
    <w:rsid w:val="009B6668"/>
    <w:rsid w:val="009B6766"/>
    <w:rsid w:val="009B6849"/>
    <w:rsid w:val="009B6894"/>
    <w:rsid w:val="009B69A4"/>
    <w:rsid w:val="009B6B94"/>
    <w:rsid w:val="009B6C4B"/>
    <w:rsid w:val="009B6CC0"/>
    <w:rsid w:val="009B7964"/>
    <w:rsid w:val="009B7B52"/>
    <w:rsid w:val="009C02D3"/>
    <w:rsid w:val="009C063D"/>
    <w:rsid w:val="009C0959"/>
    <w:rsid w:val="009C0D33"/>
    <w:rsid w:val="009C10F8"/>
    <w:rsid w:val="009C11A6"/>
    <w:rsid w:val="009C15BC"/>
    <w:rsid w:val="009C26B7"/>
    <w:rsid w:val="009C2962"/>
    <w:rsid w:val="009C2A60"/>
    <w:rsid w:val="009C2AEB"/>
    <w:rsid w:val="009C2B6D"/>
    <w:rsid w:val="009C34AF"/>
    <w:rsid w:val="009C39AA"/>
    <w:rsid w:val="009C3FA8"/>
    <w:rsid w:val="009C4C5B"/>
    <w:rsid w:val="009C4CAC"/>
    <w:rsid w:val="009C525B"/>
    <w:rsid w:val="009C5712"/>
    <w:rsid w:val="009C59C4"/>
    <w:rsid w:val="009C5ECF"/>
    <w:rsid w:val="009C605A"/>
    <w:rsid w:val="009C669E"/>
    <w:rsid w:val="009C6D48"/>
    <w:rsid w:val="009D021F"/>
    <w:rsid w:val="009D082C"/>
    <w:rsid w:val="009D0974"/>
    <w:rsid w:val="009D0A19"/>
    <w:rsid w:val="009D0A8D"/>
    <w:rsid w:val="009D1004"/>
    <w:rsid w:val="009D1123"/>
    <w:rsid w:val="009D12A8"/>
    <w:rsid w:val="009D12D4"/>
    <w:rsid w:val="009D1352"/>
    <w:rsid w:val="009D177D"/>
    <w:rsid w:val="009D17FD"/>
    <w:rsid w:val="009D1F54"/>
    <w:rsid w:val="009D2F73"/>
    <w:rsid w:val="009D30CA"/>
    <w:rsid w:val="009D3DD4"/>
    <w:rsid w:val="009D4116"/>
    <w:rsid w:val="009D4876"/>
    <w:rsid w:val="009D4959"/>
    <w:rsid w:val="009D4984"/>
    <w:rsid w:val="009D4BE9"/>
    <w:rsid w:val="009D4F7D"/>
    <w:rsid w:val="009D5B64"/>
    <w:rsid w:val="009D6491"/>
    <w:rsid w:val="009D6526"/>
    <w:rsid w:val="009D6675"/>
    <w:rsid w:val="009D6B2B"/>
    <w:rsid w:val="009D6DBE"/>
    <w:rsid w:val="009D6E19"/>
    <w:rsid w:val="009D7523"/>
    <w:rsid w:val="009D776C"/>
    <w:rsid w:val="009D7EC5"/>
    <w:rsid w:val="009D7FE7"/>
    <w:rsid w:val="009E0AE8"/>
    <w:rsid w:val="009E0C3E"/>
    <w:rsid w:val="009E10EF"/>
    <w:rsid w:val="009E11E5"/>
    <w:rsid w:val="009E1521"/>
    <w:rsid w:val="009E17DE"/>
    <w:rsid w:val="009E1E06"/>
    <w:rsid w:val="009E1E7B"/>
    <w:rsid w:val="009E201F"/>
    <w:rsid w:val="009E27FB"/>
    <w:rsid w:val="009E2E87"/>
    <w:rsid w:val="009E340F"/>
    <w:rsid w:val="009E383D"/>
    <w:rsid w:val="009E452B"/>
    <w:rsid w:val="009E49C2"/>
    <w:rsid w:val="009E4EE8"/>
    <w:rsid w:val="009E515D"/>
    <w:rsid w:val="009E5492"/>
    <w:rsid w:val="009E57D8"/>
    <w:rsid w:val="009E5DD0"/>
    <w:rsid w:val="009E6009"/>
    <w:rsid w:val="009E61E1"/>
    <w:rsid w:val="009E62EF"/>
    <w:rsid w:val="009E66DC"/>
    <w:rsid w:val="009E670C"/>
    <w:rsid w:val="009E68DD"/>
    <w:rsid w:val="009E6A6B"/>
    <w:rsid w:val="009E6B71"/>
    <w:rsid w:val="009E6B98"/>
    <w:rsid w:val="009E6D49"/>
    <w:rsid w:val="009E719D"/>
    <w:rsid w:val="009E7598"/>
    <w:rsid w:val="009E7C70"/>
    <w:rsid w:val="009F013E"/>
    <w:rsid w:val="009F048A"/>
    <w:rsid w:val="009F050C"/>
    <w:rsid w:val="009F06FB"/>
    <w:rsid w:val="009F0895"/>
    <w:rsid w:val="009F0926"/>
    <w:rsid w:val="009F10DA"/>
    <w:rsid w:val="009F14B6"/>
    <w:rsid w:val="009F1905"/>
    <w:rsid w:val="009F1F6D"/>
    <w:rsid w:val="009F22BD"/>
    <w:rsid w:val="009F2374"/>
    <w:rsid w:val="009F2633"/>
    <w:rsid w:val="009F2A82"/>
    <w:rsid w:val="009F3296"/>
    <w:rsid w:val="009F37C6"/>
    <w:rsid w:val="009F3995"/>
    <w:rsid w:val="009F3B89"/>
    <w:rsid w:val="009F3F06"/>
    <w:rsid w:val="009F43E6"/>
    <w:rsid w:val="009F45E1"/>
    <w:rsid w:val="009F4666"/>
    <w:rsid w:val="009F52E5"/>
    <w:rsid w:val="009F56F8"/>
    <w:rsid w:val="009F586E"/>
    <w:rsid w:val="009F5B7C"/>
    <w:rsid w:val="009F607D"/>
    <w:rsid w:val="009F6563"/>
    <w:rsid w:val="009F66E3"/>
    <w:rsid w:val="009F6987"/>
    <w:rsid w:val="009F6A3B"/>
    <w:rsid w:val="009F71C6"/>
    <w:rsid w:val="009F7952"/>
    <w:rsid w:val="009F79CA"/>
    <w:rsid w:val="009F7A41"/>
    <w:rsid w:val="00A003E8"/>
    <w:rsid w:val="00A00C0D"/>
    <w:rsid w:val="00A00D37"/>
    <w:rsid w:val="00A00F74"/>
    <w:rsid w:val="00A0117D"/>
    <w:rsid w:val="00A011FC"/>
    <w:rsid w:val="00A01845"/>
    <w:rsid w:val="00A01E49"/>
    <w:rsid w:val="00A01E8B"/>
    <w:rsid w:val="00A02509"/>
    <w:rsid w:val="00A025EA"/>
    <w:rsid w:val="00A02946"/>
    <w:rsid w:val="00A02970"/>
    <w:rsid w:val="00A029D6"/>
    <w:rsid w:val="00A02B8C"/>
    <w:rsid w:val="00A02F26"/>
    <w:rsid w:val="00A03A79"/>
    <w:rsid w:val="00A03AAA"/>
    <w:rsid w:val="00A03D24"/>
    <w:rsid w:val="00A03FB9"/>
    <w:rsid w:val="00A04C15"/>
    <w:rsid w:val="00A04F3F"/>
    <w:rsid w:val="00A0502F"/>
    <w:rsid w:val="00A0554C"/>
    <w:rsid w:val="00A05622"/>
    <w:rsid w:val="00A05B8C"/>
    <w:rsid w:val="00A05D44"/>
    <w:rsid w:val="00A0621F"/>
    <w:rsid w:val="00A0631C"/>
    <w:rsid w:val="00A066BF"/>
    <w:rsid w:val="00A06708"/>
    <w:rsid w:val="00A0671D"/>
    <w:rsid w:val="00A06A1A"/>
    <w:rsid w:val="00A07036"/>
    <w:rsid w:val="00A0716E"/>
    <w:rsid w:val="00A071AE"/>
    <w:rsid w:val="00A07856"/>
    <w:rsid w:val="00A07983"/>
    <w:rsid w:val="00A07B3C"/>
    <w:rsid w:val="00A10182"/>
    <w:rsid w:val="00A1041F"/>
    <w:rsid w:val="00A105CE"/>
    <w:rsid w:val="00A1066C"/>
    <w:rsid w:val="00A10A99"/>
    <w:rsid w:val="00A10B5C"/>
    <w:rsid w:val="00A10D5F"/>
    <w:rsid w:val="00A10EAA"/>
    <w:rsid w:val="00A113EA"/>
    <w:rsid w:val="00A11A15"/>
    <w:rsid w:val="00A11DA4"/>
    <w:rsid w:val="00A11DD9"/>
    <w:rsid w:val="00A122A2"/>
    <w:rsid w:val="00A12B57"/>
    <w:rsid w:val="00A12DC3"/>
    <w:rsid w:val="00A1336A"/>
    <w:rsid w:val="00A13430"/>
    <w:rsid w:val="00A1353E"/>
    <w:rsid w:val="00A13989"/>
    <w:rsid w:val="00A14275"/>
    <w:rsid w:val="00A148DC"/>
    <w:rsid w:val="00A14BF7"/>
    <w:rsid w:val="00A14C3B"/>
    <w:rsid w:val="00A14DA7"/>
    <w:rsid w:val="00A15851"/>
    <w:rsid w:val="00A15D3D"/>
    <w:rsid w:val="00A1602B"/>
    <w:rsid w:val="00A163AB"/>
    <w:rsid w:val="00A16748"/>
    <w:rsid w:val="00A171CC"/>
    <w:rsid w:val="00A17C7F"/>
    <w:rsid w:val="00A17D04"/>
    <w:rsid w:val="00A17D28"/>
    <w:rsid w:val="00A20469"/>
    <w:rsid w:val="00A20BBA"/>
    <w:rsid w:val="00A20CE2"/>
    <w:rsid w:val="00A22E3F"/>
    <w:rsid w:val="00A231A2"/>
    <w:rsid w:val="00A23310"/>
    <w:rsid w:val="00A233D9"/>
    <w:rsid w:val="00A2350A"/>
    <w:rsid w:val="00A23933"/>
    <w:rsid w:val="00A24B76"/>
    <w:rsid w:val="00A253A6"/>
    <w:rsid w:val="00A2544D"/>
    <w:rsid w:val="00A254BD"/>
    <w:rsid w:val="00A25EC7"/>
    <w:rsid w:val="00A25F09"/>
    <w:rsid w:val="00A26116"/>
    <w:rsid w:val="00A262FE"/>
    <w:rsid w:val="00A266A2"/>
    <w:rsid w:val="00A266C6"/>
    <w:rsid w:val="00A2682D"/>
    <w:rsid w:val="00A269AA"/>
    <w:rsid w:val="00A26F29"/>
    <w:rsid w:val="00A27000"/>
    <w:rsid w:val="00A274DA"/>
    <w:rsid w:val="00A27581"/>
    <w:rsid w:val="00A27A5F"/>
    <w:rsid w:val="00A27E3E"/>
    <w:rsid w:val="00A27F81"/>
    <w:rsid w:val="00A30224"/>
    <w:rsid w:val="00A306F7"/>
    <w:rsid w:val="00A3092B"/>
    <w:rsid w:val="00A309C7"/>
    <w:rsid w:val="00A312D1"/>
    <w:rsid w:val="00A3142A"/>
    <w:rsid w:val="00A314D1"/>
    <w:rsid w:val="00A31840"/>
    <w:rsid w:val="00A31DA2"/>
    <w:rsid w:val="00A33740"/>
    <w:rsid w:val="00A33752"/>
    <w:rsid w:val="00A33D73"/>
    <w:rsid w:val="00A34022"/>
    <w:rsid w:val="00A347CD"/>
    <w:rsid w:val="00A34D2E"/>
    <w:rsid w:val="00A34E2D"/>
    <w:rsid w:val="00A34E5A"/>
    <w:rsid w:val="00A34EC9"/>
    <w:rsid w:val="00A34F71"/>
    <w:rsid w:val="00A35093"/>
    <w:rsid w:val="00A3557B"/>
    <w:rsid w:val="00A35CF4"/>
    <w:rsid w:val="00A35D4A"/>
    <w:rsid w:val="00A35FCF"/>
    <w:rsid w:val="00A3613C"/>
    <w:rsid w:val="00A361DC"/>
    <w:rsid w:val="00A3680F"/>
    <w:rsid w:val="00A36947"/>
    <w:rsid w:val="00A371CB"/>
    <w:rsid w:val="00A3726C"/>
    <w:rsid w:val="00A37294"/>
    <w:rsid w:val="00A373AF"/>
    <w:rsid w:val="00A37524"/>
    <w:rsid w:val="00A3798A"/>
    <w:rsid w:val="00A37992"/>
    <w:rsid w:val="00A400F8"/>
    <w:rsid w:val="00A405FB"/>
    <w:rsid w:val="00A4061D"/>
    <w:rsid w:val="00A40A60"/>
    <w:rsid w:val="00A413F5"/>
    <w:rsid w:val="00A416C6"/>
    <w:rsid w:val="00A417B9"/>
    <w:rsid w:val="00A41BEB"/>
    <w:rsid w:val="00A42676"/>
    <w:rsid w:val="00A42A00"/>
    <w:rsid w:val="00A42B0E"/>
    <w:rsid w:val="00A442A1"/>
    <w:rsid w:val="00A44395"/>
    <w:rsid w:val="00A4471C"/>
    <w:rsid w:val="00A44E0F"/>
    <w:rsid w:val="00A45015"/>
    <w:rsid w:val="00A4535D"/>
    <w:rsid w:val="00A467B6"/>
    <w:rsid w:val="00A46BDF"/>
    <w:rsid w:val="00A46D03"/>
    <w:rsid w:val="00A47911"/>
    <w:rsid w:val="00A47DEC"/>
    <w:rsid w:val="00A50985"/>
    <w:rsid w:val="00A50AEF"/>
    <w:rsid w:val="00A51428"/>
    <w:rsid w:val="00A51D14"/>
    <w:rsid w:val="00A51E17"/>
    <w:rsid w:val="00A52000"/>
    <w:rsid w:val="00A52237"/>
    <w:rsid w:val="00A525FC"/>
    <w:rsid w:val="00A526C3"/>
    <w:rsid w:val="00A5281C"/>
    <w:rsid w:val="00A529B1"/>
    <w:rsid w:val="00A53248"/>
    <w:rsid w:val="00A534EC"/>
    <w:rsid w:val="00A53CDA"/>
    <w:rsid w:val="00A540A6"/>
    <w:rsid w:val="00A54589"/>
    <w:rsid w:val="00A5463A"/>
    <w:rsid w:val="00A55305"/>
    <w:rsid w:val="00A55505"/>
    <w:rsid w:val="00A557FB"/>
    <w:rsid w:val="00A55BB9"/>
    <w:rsid w:val="00A55C86"/>
    <w:rsid w:val="00A566F7"/>
    <w:rsid w:val="00A5670B"/>
    <w:rsid w:val="00A56D10"/>
    <w:rsid w:val="00A5743B"/>
    <w:rsid w:val="00A575DA"/>
    <w:rsid w:val="00A5789C"/>
    <w:rsid w:val="00A57DB9"/>
    <w:rsid w:val="00A57EE8"/>
    <w:rsid w:val="00A57F2B"/>
    <w:rsid w:val="00A57FC5"/>
    <w:rsid w:val="00A57FFD"/>
    <w:rsid w:val="00A6055E"/>
    <w:rsid w:val="00A6068C"/>
    <w:rsid w:val="00A60BC4"/>
    <w:rsid w:val="00A610D8"/>
    <w:rsid w:val="00A61403"/>
    <w:rsid w:val="00A61918"/>
    <w:rsid w:val="00A61CF8"/>
    <w:rsid w:val="00A61FAA"/>
    <w:rsid w:val="00A622C9"/>
    <w:rsid w:val="00A62EE8"/>
    <w:rsid w:val="00A63253"/>
    <w:rsid w:val="00A63668"/>
    <w:rsid w:val="00A63778"/>
    <w:rsid w:val="00A63F64"/>
    <w:rsid w:val="00A643C5"/>
    <w:rsid w:val="00A64B09"/>
    <w:rsid w:val="00A65044"/>
    <w:rsid w:val="00A650FF"/>
    <w:rsid w:val="00A651F6"/>
    <w:rsid w:val="00A65BC6"/>
    <w:rsid w:val="00A65D32"/>
    <w:rsid w:val="00A65D95"/>
    <w:rsid w:val="00A66B8B"/>
    <w:rsid w:val="00A66E00"/>
    <w:rsid w:val="00A66FBC"/>
    <w:rsid w:val="00A673F5"/>
    <w:rsid w:val="00A6757A"/>
    <w:rsid w:val="00A679E7"/>
    <w:rsid w:val="00A67FCB"/>
    <w:rsid w:val="00A7065A"/>
    <w:rsid w:val="00A70854"/>
    <w:rsid w:val="00A70CD5"/>
    <w:rsid w:val="00A71090"/>
    <w:rsid w:val="00A710FB"/>
    <w:rsid w:val="00A71449"/>
    <w:rsid w:val="00A71A64"/>
    <w:rsid w:val="00A72211"/>
    <w:rsid w:val="00A724CA"/>
    <w:rsid w:val="00A7283E"/>
    <w:rsid w:val="00A72D57"/>
    <w:rsid w:val="00A73032"/>
    <w:rsid w:val="00A73B88"/>
    <w:rsid w:val="00A73E29"/>
    <w:rsid w:val="00A73EBE"/>
    <w:rsid w:val="00A73F39"/>
    <w:rsid w:val="00A74065"/>
    <w:rsid w:val="00A7433A"/>
    <w:rsid w:val="00A746CC"/>
    <w:rsid w:val="00A759BD"/>
    <w:rsid w:val="00A759BF"/>
    <w:rsid w:val="00A75F5D"/>
    <w:rsid w:val="00A7646C"/>
    <w:rsid w:val="00A76542"/>
    <w:rsid w:val="00A765F3"/>
    <w:rsid w:val="00A7681D"/>
    <w:rsid w:val="00A76975"/>
    <w:rsid w:val="00A76B70"/>
    <w:rsid w:val="00A76E66"/>
    <w:rsid w:val="00A774CB"/>
    <w:rsid w:val="00A775F6"/>
    <w:rsid w:val="00A7766A"/>
    <w:rsid w:val="00A77D63"/>
    <w:rsid w:val="00A77D85"/>
    <w:rsid w:val="00A80926"/>
    <w:rsid w:val="00A812B8"/>
    <w:rsid w:val="00A814FF"/>
    <w:rsid w:val="00A81600"/>
    <w:rsid w:val="00A81653"/>
    <w:rsid w:val="00A81683"/>
    <w:rsid w:val="00A819DD"/>
    <w:rsid w:val="00A819F8"/>
    <w:rsid w:val="00A82210"/>
    <w:rsid w:val="00A830A3"/>
    <w:rsid w:val="00A83550"/>
    <w:rsid w:val="00A835A6"/>
    <w:rsid w:val="00A840A0"/>
    <w:rsid w:val="00A842B8"/>
    <w:rsid w:val="00A84B58"/>
    <w:rsid w:val="00A84C40"/>
    <w:rsid w:val="00A85D76"/>
    <w:rsid w:val="00A86508"/>
    <w:rsid w:val="00A86639"/>
    <w:rsid w:val="00A869E6"/>
    <w:rsid w:val="00A87835"/>
    <w:rsid w:val="00A87DC5"/>
    <w:rsid w:val="00A87E52"/>
    <w:rsid w:val="00A90019"/>
    <w:rsid w:val="00A901F7"/>
    <w:rsid w:val="00A90B21"/>
    <w:rsid w:val="00A9110F"/>
    <w:rsid w:val="00A9134E"/>
    <w:rsid w:val="00A916E4"/>
    <w:rsid w:val="00A91A2E"/>
    <w:rsid w:val="00A920BC"/>
    <w:rsid w:val="00A92372"/>
    <w:rsid w:val="00A92B35"/>
    <w:rsid w:val="00A92D67"/>
    <w:rsid w:val="00A936F0"/>
    <w:rsid w:val="00A9386F"/>
    <w:rsid w:val="00A938DC"/>
    <w:rsid w:val="00A93DE3"/>
    <w:rsid w:val="00A93E13"/>
    <w:rsid w:val="00A94948"/>
    <w:rsid w:val="00A94C16"/>
    <w:rsid w:val="00A94D6A"/>
    <w:rsid w:val="00A951F0"/>
    <w:rsid w:val="00A9522C"/>
    <w:rsid w:val="00A955E0"/>
    <w:rsid w:val="00A95709"/>
    <w:rsid w:val="00A9590F"/>
    <w:rsid w:val="00A959DE"/>
    <w:rsid w:val="00A95A45"/>
    <w:rsid w:val="00A95CAB"/>
    <w:rsid w:val="00A960CA"/>
    <w:rsid w:val="00A96646"/>
    <w:rsid w:val="00A968ED"/>
    <w:rsid w:val="00A971F2"/>
    <w:rsid w:val="00A97CF3"/>
    <w:rsid w:val="00AA0298"/>
    <w:rsid w:val="00AA04A0"/>
    <w:rsid w:val="00AA0591"/>
    <w:rsid w:val="00AA0C9E"/>
    <w:rsid w:val="00AA0D93"/>
    <w:rsid w:val="00AA0DAA"/>
    <w:rsid w:val="00AA10D8"/>
    <w:rsid w:val="00AA13C3"/>
    <w:rsid w:val="00AA1692"/>
    <w:rsid w:val="00AA1C29"/>
    <w:rsid w:val="00AA1FC5"/>
    <w:rsid w:val="00AA214B"/>
    <w:rsid w:val="00AA22A5"/>
    <w:rsid w:val="00AA2594"/>
    <w:rsid w:val="00AA264D"/>
    <w:rsid w:val="00AA2B3E"/>
    <w:rsid w:val="00AA2D65"/>
    <w:rsid w:val="00AA2EB5"/>
    <w:rsid w:val="00AA2F04"/>
    <w:rsid w:val="00AA3406"/>
    <w:rsid w:val="00AA34F2"/>
    <w:rsid w:val="00AA39E4"/>
    <w:rsid w:val="00AA3B60"/>
    <w:rsid w:val="00AA413F"/>
    <w:rsid w:val="00AA42A8"/>
    <w:rsid w:val="00AA44B8"/>
    <w:rsid w:val="00AA4B0E"/>
    <w:rsid w:val="00AA53C8"/>
    <w:rsid w:val="00AA5BDF"/>
    <w:rsid w:val="00AA660D"/>
    <w:rsid w:val="00AA6F62"/>
    <w:rsid w:val="00AA7166"/>
    <w:rsid w:val="00AA77C5"/>
    <w:rsid w:val="00AA7A59"/>
    <w:rsid w:val="00AB0F1D"/>
    <w:rsid w:val="00AB14CD"/>
    <w:rsid w:val="00AB191B"/>
    <w:rsid w:val="00AB1A1E"/>
    <w:rsid w:val="00AB1BC5"/>
    <w:rsid w:val="00AB2060"/>
    <w:rsid w:val="00AB213B"/>
    <w:rsid w:val="00AB27E9"/>
    <w:rsid w:val="00AB2937"/>
    <w:rsid w:val="00AB37DA"/>
    <w:rsid w:val="00AB39A0"/>
    <w:rsid w:val="00AB3A12"/>
    <w:rsid w:val="00AB3DEA"/>
    <w:rsid w:val="00AB405C"/>
    <w:rsid w:val="00AB4662"/>
    <w:rsid w:val="00AB47F9"/>
    <w:rsid w:val="00AB4A22"/>
    <w:rsid w:val="00AB4B44"/>
    <w:rsid w:val="00AB58D2"/>
    <w:rsid w:val="00AB6127"/>
    <w:rsid w:val="00AB6D39"/>
    <w:rsid w:val="00AB6E49"/>
    <w:rsid w:val="00AB760D"/>
    <w:rsid w:val="00AB785A"/>
    <w:rsid w:val="00AB7AB6"/>
    <w:rsid w:val="00AC0011"/>
    <w:rsid w:val="00AC0910"/>
    <w:rsid w:val="00AC09DC"/>
    <w:rsid w:val="00AC0D2D"/>
    <w:rsid w:val="00AC11D3"/>
    <w:rsid w:val="00AC18E8"/>
    <w:rsid w:val="00AC18F0"/>
    <w:rsid w:val="00AC1918"/>
    <w:rsid w:val="00AC1EE4"/>
    <w:rsid w:val="00AC26C4"/>
    <w:rsid w:val="00AC2E7C"/>
    <w:rsid w:val="00AC3263"/>
    <w:rsid w:val="00AC3D9D"/>
    <w:rsid w:val="00AC4569"/>
    <w:rsid w:val="00AC4840"/>
    <w:rsid w:val="00AC4E56"/>
    <w:rsid w:val="00AC503C"/>
    <w:rsid w:val="00AC56F3"/>
    <w:rsid w:val="00AC5B42"/>
    <w:rsid w:val="00AC686F"/>
    <w:rsid w:val="00AC6AD7"/>
    <w:rsid w:val="00AC6B54"/>
    <w:rsid w:val="00AC71EF"/>
    <w:rsid w:val="00AC7539"/>
    <w:rsid w:val="00AC75C9"/>
    <w:rsid w:val="00AC7DBC"/>
    <w:rsid w:val="00AC7E5B"/>
    <w:rsid w:val="00AD0093"/>
    <w:rsid w:val="00AD0150"/>
    <w:rsid w:val="00AD048C"/>
    <w:rsid w:val="00AD06D1"/>
    <w:rsid w:val="00AD0771"/>
    <w:rsid w:val="00AD07A8"/>
    <w:rsid w:val="00AD07E9"/>
    <w:rsid w:val="00AD0D5A"/>
    <w:rsid w:val="00AD1042"/>
    <w:rsid w:val="00AD1107"/>
    <w:rsid w:val="00AD127D"/>
    <w:rsid w:val="00AD18E0"/>
    <w:rsid w:val="00AD1C79"/>
    <w:rsid w:val="00AD2CBA"/>
    <w:rsid w:val="00AD2D58"/>
    <w:rsid w:val="00AD2E4A"/>
    <w:rsid w:val="00AD3B3A"/>
    <w:rsid w:val="00AD44B6"/>
    <w:rsid w:val="00AD471F"/>
    <w:rsid w:val="00AD47D3"/>
    <w:rsid w:val="00AD4BBA"/>
    <w:rsid w:val="00AD4F3D"/>
    <w:rsid w:val="00AD52FB"/>
    <w:rsid w:val="00AD5377"/>
    <w:rsid w:val="00AD56CD"/>
    <w:rsid w:val="00AD5EF2"/>
    <w:rsid w:val="00AD62C8"/>
    <w:rsid w:val="00AD66E8"/>
    <w:rsid w:val="00AD693B"/>
    <w:rsid w:val="00AD6A17"/>
    <w:rsid w:val="00AD6B4C"/>
    <w:rsid w:val="00AD6B8A"/>
    <w:rsid w:val="00AD7166"/>
    <w:rsid w:val="00AD7267"/>
    <w:rsid w:val="00AD7B45"/>
    <w:rsid w:val="00AE02EF"/>
    <w:rsid w:val="00AE051B"/>
    <w:rsid w:val="00AE07D9"/>
    <w:rsid w:val="00AE0B37"/>
    <w:rsid w:val="00AE114A"/>
    <w:rsid w:val="00AE11CF"/>
    <w:rsid w:val="00AE19BF"/>
    <w:rsid w:val="00AE234E"/>
    <w:rsid w:val="00AE24AF"/>
    <w:rsid w:val="00AE252E"/>
    <w:rsid w:val="00AE2679"/>
    <w:rsid w:val="00AE29F1"/>
    <w:rsid w:val="00AE2E1A"/>
    <w:rsid w:val="00AE301E"/>
    <w:rsid w:val="00AE3040"/>
    <w:rsid w:val="00AE35B5"/>
    <w:rsid w:val="00AE3C38"/>
    <w:rsid w:val="00AE43FB"/>
    <w:rsid w:val="00AE463E"/>
    <w:rsid w:val="00AE4948"/>
    <w:rsid w:val="00AE4A34"/>
    <w:rsid w:val="00AE51F4"/>
    <w:rsid w:val="00AE5629"/>
    <w:rsid w:val="00AE58D5"/>
    <w:rsid w:val="00AE5C7D"/>
    <w:rsid w:val="00AE61B4"/>
    <w:rsid w:val="00AE7198"/>
    <w:rsid w:val="00AE7683"/>
    <w:rsid w:val="00AE7BDF"/>
    <w:rsid w:val="00AE7E94"/>
    <w:rsid w:val="00AF05C2"/>
    <w:rsid w:val="00AF0A56"/>
    <w:rsid w:val="00AF0B5C"/>
    <w:rsid w:val="00AF0F14"/>
    <w:rsid w:val="00AF11F0"/>
    <w:rsid w:val="00AF1435"/>
    <w:rsid w:val="00AF1611"/>
    <w:rsid w:val="00AF19E3"/>
    <w:rsid w:val="00AF1C3A"/>
    <w:rsid w:val="00AF1DBE"/>
    <w:rsid w:val="00AF1FCC"/>
    <w:rsid w:val="00AF20DD"/>
    <w:rsid w:val="00AF21B2"/>
    <w:rsid w:val="00AF24EB"/>
    <w:rsid w:val="00AF2B28"/>
    <w:rsid w:val="00AF303B"/>
    <w:rsid w:val="00AF318C"/>
    <w:rsid w:val="00AF33FE"/>
    <w:rsid w:val="00AF3B7C"/>
    <w:rsid w:val="00AF3CAA"/>
    <w:rsid w:val="00AF4218"/>
    <w:rsid w:val="00AF44FB"/>
    <w:rsid w:val="00AF4564"/>
    <w:rsid w:val="00AF475E"/>
    <w:rsid w:val="00AF49EE"/>
    <w:rsid w:val="00AF4C21"/>
    <w:rsid w:val="00AF4C3A"/>
    <w:rsid w:val="00AF4C87"/>
    <w:rsid w:val="00AF53CE"/>
    <w:rsid w:val="00AF5D62"/>
    <w:rsid w:val="00AF5F07"/>
    <w:rsid w:val="00AF6268"/>
    <w:rsid w:val="00AF6313"/>
    <w:rsid w:val="00AF6488"/>
    <w:rsid w:val="00AF6C26"/>
    <w:rsid w:val="00AF708C"/>
    <w:rsid w:val="00AF73B6"/>
    <w:rsid w:val="00AF77BF"/>
    <w:rsid w:val="00AF7B3C"/>
    <w:rsid w:val="00AF7D74"/>
    <w:rsid w:val="00B002D0"/>
    <w:rsid w:val="00B005C9"/>
    <w:rsid w:val="00B00A1E"/>
    <w:rsid w:val="00B00D5C"/>
    <w:rsid w:val="00B017CB"/>
    <w:rsid w:val="00B02018"/>
    <w:rsid w:val="00B02119"/>
    <w:rsid w:val="00B02832"/>
    <w:rsid w:val="00B02A12"/>
    <w:rsid w:val="00B02ED6"/>
    <w:rsid w:val="00B02EFE"/>
    <w:rsid w:val="00B03004"/>
    <w:rsid w:val="00B03C17"/>
    <w:rsid w:val="00B03D23"/>
    <w:rsid w:val="00B03EC6"/>
    <w:rsid w:val="00B03F58"/>
    <w:rsid w:val="00B04324"/>
    <w:rsid w:val="00B0493B"/>
    <w:rsid w:val="00B04EA6"/>
    <w:rsid w:val="00B05F21"/>
    <w:rsid w:val="00B06120"/>
    <w:rsid w:val="00B0622A"/>
    <w:rsid w:val="00B06396"/>
    <w:rsid w:val="00B067FD"/>
    <w:rsid w:val="00B06CB1"/>
    <w:rsid w:val="00B06EF8"/>
    <w:rsid w:val="00B071A1"/>
    <w:rsid w:val="00B0784A"/>
    <w:rsid w:val="00B0789D"/>
    <w:rsid w:val="00B07D41"/>
    <w:rsid w:val="00B1035F"/>
    <w:rsid w:val="00B1063D"/>
    <w:rsid w:val="00B10754"/>
    <w:rsid w:val="00B10B1F"/>
    <w:rsid w:val="00B10D3F"/>
    <w:rsid w:val="00B10E9B"/>
    <w:rsid w:val="00B110F6"/>
    <w:rsid w:val="00B11515"/>
    <w:rsid w:val="00B11547"/>
    <w:rsid w:val="00B115A7"/>
    <w:rsid w:val="00B116C9"/>
    <w:rsid w:val="00B12681"/>
    <w:rsid w:val="00B12AB4"/>
    <w:rsid w:val="00B12AC1"/>
    <w:rsid w:val="00B12B7E"/>
    <w:rsid w:val="00B12C5A"/>
    <w:rsid w:val="00B12DFB"/>
    <w:rsid w:val="00B13175"/>
    <w:rsid w:val="00B13542"/>
    <w:rsid w:val="00B1389E"/>
    <w:rsid w:val="00B138CF"/>
    <w:rsid w:val="00B14505"/>
    <w:rsid w:val="00B1492A"/>
    <w:rsid w:val="00B1495C"/>
    <w:rsid w:val="00B14F51"/>
    <w:rsid w:val="00B14FAA"/>
    <w:rsid w:val="00B1564E"/>
    <w:rsid w:val="00B156B9"/>
    <w:rsid w:val="00B15D2E"/>
    <w:rsid w:val="00B166A1"/>
    <w:rsid w:val="00B1674C"/>
    <w:rsid w:val="00B1690D"/>
    <w:rsid w:val="00B16BBE"/>
    <w:rsid w:val="00B1701B"/>
    <w:rsid w:val="00B171F2"/>
    <w:rsid w:val="00B17810"/>
    <w:rsid w:val="00B178EF"/>
    <w:rsid w:val="00B17A41"/>
    <w:rsid w:val="00B17B93"/>
    <w:rsid w:val="00B20B0B"/>
    <w:rsid w:val="00B21872"/>
    <w:rsid w:val="00B22260"/>
    <w:rsid w:val="00B22842"/>
    <w:rsid w:val="00B22AA4"/>
    <w:rsid w:val="00B233D3"/>
    <w:rsid w:val="00B233F7"/>
    <w:rsid w:val="00B23518"/>
    <w:rsid w:val="00B2351E"/>
    <w:rsid w:val="00B23B90"/>
    <w:rsid w:val="00B240EF"/>
    <w:rsid w:val="00B24720"/>
    <w:rsid w:val="00B24743"/>
    <w:rsid w:val="00B24D8E"/>
    <w:rsid w:val="00B24EB5"/>
    <w:rsid w:val="00B250D2"/>
    <w:rsid w:val="00B25A8F"/>
    <w:rsid w:val="00B25B22"/>
    <w:rsid w:val="00B260F5"/>
    <w:rsid w:val="00B264D4"/>
    <w:rsid w:val="00B2686A"/>
    <w:rsid w:val="00B26F8C"/>
    <w:rsid w:val="00B27925"/>
    <w:rsid w:val="00B27CEA"/>
    <w:rsid w:val="00B3006B"/>
    <w:rsid w:val="00B307E3"/>
    <w:rsid w:val="00B309AA"/>
    <w:rsid w:val="00B30E59"/>
    <w:rsid w:val="00B30F00"/>
    <w:rsid w:val="00B30FC6"/>
    <w:rsid w:val="00B3166E"/>
    <w:rsid w:val="00B32778"/>
    <w:rsid w:val="00B33140"/>
    <w:rsid w:val="00B33648"/>
    <w:rsid w:val="00B336B8"/>
    <w:rsid w:val="00B3398D"/>
    <w:rsid w:val="00B33B2A"/>
    <w:rsid w:val="00B33BB4"/>
    <w:rsid w:val="00B342BB"/>
    <w:rsid w:val="00B3449F"/>
    <w:rsid w:val="00B34535"/>
    <w:rsid w:val="00B34558"/>
    <w:rsid w:val="00B348D4"/>
    <w:rsid w:val="00B34FB4"/>
    <w:rsid w:val="00B35552"/>
    <w:rsid w:val="00B35C04"/>
    <w:rsid w:val="00B36462"/>
    <w:rsid w:val="00B370B5"/>
    <w:rsid w:val="00B37389"/>
    <w:rsid w:val="00B3758A"/>
    <w:rsid w:val="00B379DB"/>
    <w:rsid w:val="00B402F9"/>
    <w:rsid w:val="00B40D4B"/>
    <w:rsid w:val="00B41052"/>
    <w:rsid w:val="00B4159C"/>
    <w:rsid w:val="00B41708"/>
    <w:rsid w:val="00B42120"/>
    <w:rsid w:val="00B42378"/>
    <w:rsid w:val="00B423C0"/>
    <w:rsid w:val="00B426FB"/>
    <w:rsid w:val="00B42A9E"/>
    <w:rsid w:val="00B431D1"/>
    <w:rsid w:val="00B4324A"/>
    <w:rsid w:val="00B4331E"/>
    <w:rsid w:val="00B43438"/>
    <w:rsid w:val="00B4397D"/>
    <w:rsid w:val="00B43D0F"/>
    <w:rsid w:val="00B44347"/>
    <w:rsid w:val="00B4464C"/>
    <w:rsid w:val="00B44BB0"/>
    <w:rsid w:val="00B44E0C"/>
    <w:rsid w:val="00B46021"/>
    <w:rsid w:val="00B46243"/>
    <w:rsid w:val="00B464E1"/>
    <w:rsid w:val="00B46C81"/>
    <w:rsid w:val="00B46EA1"/>
    <w:rsid w:val="00B46F87"/>
    <w:rsid w:val="00B47133"/>
    <w:rsid w:val="00B472DD"/>
    <w:rsid w:val="00B47518"/>
    <w:rsid w:val="00B477E3"/>
    <w:rsid w:val="00B47852"/>
    <w:rsid w:val="00B50508"/>
    <w:rsid w:val="00B51321"/>
    <w:rsid w:val="00B51918"/>
    <w:rsid w:val="00B525FF"/>
    <w:rsid w:val="00B52C66"/>
    <w:rsid w:val="00B52DE0"/>
    <w:rsid w:val="00B531E2"/>
    <w:rsid w:val="00B5374F"/>
    <w:rsid w:val="00B538B2"/>
    <w:rsid w:val="00B53A21"/>
    <w:rsid w:val="00B53DCC"/>
    <w:rsid w:val="00B53EDE"/>
    <w:rsid w:val="00B544E7"/>
    <w:rsid w:val="00B54598"/>
    <w:rsid w:val="00B54D73"/>
    <w:rsid w:val="00B5538B"/>
    <w:rsid w:val="00B559B2"/>
    <w:rsid w:val="00B56230"/>
    <w:rsid w:val="00B572E3"/>
    <w:rsid w:val="00B574B4"/>
    <w:rsid w:val="00B574D8"/>
    <w:rsid w:val="00B57689"/>
    <w:rsid w:val="00B60076"/>
    <w:rsid w:val="00B6041B"/>
    <w:rsid w:val="00B607DB"/>
    <w:rsid w:val="00B608B3"/>
    <w:rsid w:val="00B608D8"/>
    <w:rsid w:val="00B60997"/>
    <w:rsid w:val="00B60B53"/>
    <w:rsid w:val="00B6135B"/>
    <w:rsid w:val="00B614D5"/>
    <w:rsid w:val="00B6185A"/>
    <w:rsid w:val="00B624D0"/>
    <w:rsid w:val="00B62654"/>
    <w:rsid w:val="00B62959"/>
    <w:rsid w:val="00B62EED"/>
    <w:rsid w:val="00B63308"/>
    <w:rsid w:val="00B6349D"/>
    <w:rsid w:val="00B63527"/>
    <w:rsid w:val="00B63BCA"/>
    <w:rsid w:val="00B63C11"/>
    <w:rsid w:val="00B63E91"/>
    <w:rsid w:val="00B642F5"/>
    <w:rsid w:val="00B64D77"/>
    <w:rsid w:val="00B64DDF"/>
    <w:rsid w:val="00B651D0"/>
    <w:rsid w:val="00B653A0"/>
    <w:rsid w:val="00B6583E"/>
    <w:rsid w:val="00B65EDA"/>
    <w:rsid w:val="00B66287"/>
    <w:rsid w:val="00B668CC"/>
    <w:rsid w:val="00B66A08"/>
    <w:rsid w:val="00B66CB4"/>
    <w:rsid w:val="00B6735A"/>
    <w:rsid w:val="00B674D3"/>
    <w:rsid w:val="00B676A2"/>
    <w:rsid w:val="00B67845"/>
    <w:rsid w:val="00B67D88"/>
    <w:rsid w:val="00B67DE2"/>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B78"/>
    <w:rsid w:val="00B735F5"/>
    <w:rsid w:val="00B74171"/>
    <w:rsid w:val="00B7417D"/>
    <w:rsid w:val="00B74755"/>
    <w:rsid w:val="00B74B57"/>
    <w:rsid w:val="00B74D33"/>
    <w:rsid w:val="00B74E9A"/>
    <w:rsid w:val="00B74F4C"/>
    <w:rsid w:val="00B7523B"/>
    <w:rsid w:val="00B752D6"/>
    <w:rsid w:val="00B75E77"/>
    <w:rsid w:val="00B762E9"/>
    <w:rsid w:val="00B7653A"/>
    <w:rsid w:val="00B765B0"/>
    <w:rsid w:val="00B7668D"/>
    <w:rsid w:val="00B76BA2"/>
    <w:rsid w:val="00B76F41"/>
    <w:rsid w:val="00B77328"/>
    <w:rsid w:val="00B773B3"/>
    <w:rsid w:val="00B77477"/>
    <w:rsid w:val="00B77A00"/>
    <w:rsid w:val="00B77BEE"/>
    <w:rsid w:val="00B801D8"/>
    <w:rsid w:val="00B80840"/>
    <w:rsid w:val="00B80EE2"/>
    <w:rsid w:val="00B811B6"/>
    <w:rsid w:val="00B81B7F"/>
    <w:rsid w:val="00B81C60"/>
    <w:rsid w:val="00B82057"/>
    <w:rsid w:val="00B821AD"/>
    <w:rsid w:val="00B82ACC"/>
    <w:rsid w:val="00B82FEC"/>
    <w:rsid w:val="00B83104"/>
    <w:rsid w:val="00B8322B"/>
    <w:rsid w:val="00B8341C"/>
    <w:rsid w:val="00B83464"/>
    <w:rsid w:val="00B83A0E"/>
    <w:rsid w:val="00B83E7E"/>
    <w:rsid w:val="00B843EE"/>
    <w:rsid w:val="00B8481C"/>
    <w:rsid w:val="00B84918"/>
    <w:rsid w:val="00B84986"/>
    <w:rsid w:val="00B84C14"/>
    <w:rsid w:val="00B852A8"/>
    <w:rsid w:val="00B85FA4"/>
    <w:rsid w:val="00B86158"/>
    <w:rsid w:val="00B863EB"/>
    <w:rsid w:val="00B86852"/>
    <w:rsid w:val="00B86F01"/>
    <w:rsid w:val="00B87485"/>
    <w:rsid w:val="00B8749B"/>
    <w:rsid w:val="00B87A24"/>
    <w:rsid w:val="00B87C25"/>
    <w:rsid w:val="00B87DC7"/>
    <w:rsid w:val="00B900A5"/>
    <w:rsid w:val="00B901AD"/>
    <w:rsid w:val="00B901F3"/>
    <w:rsid w:val="00B9056B"/>
    <w:rsid w:val="00B905BE"/>
    <w:rsid w:val="00B906C5"/>
    <w:rsid w:val="00B90CD2"/>
    <w:rsid w:val="00B91386"/>
    <w:rsid w:val="00B9156B"/>
    <w:rsid w:val="00B92381"/>
    <w:rsid w:val="00B923AE"/>
    <w:rsid w:val="00B926D9"/>
    <w:rsid w:val="00B92A19"/>
    <w:rsid w:val="00B92B67"/>
    <w:rsid w:val="00B92C78"/>
    <w:rsid w:val="00B92CAC"/>
    <w:rsid w:val="00B931DB"/>
    <w:rsid w:val="00B93C85"/>
    <w:rsid w:val="00B93DC8"/>
    <w:rsid w:val="00B94388"/>
    <w:rsid w:val="00B94469"/>
    <w:rsid w:val="00B944CD"/>
    <w:rsid w:val="00B95163"/>
    <w:rsid w:val="00B953C4"/>
    <w:rsid w:val="00B956F1"/>
    <w:rsid w:val="00B95960"/>
    <w:rsid w:val="00B95C7D"/>
    <w:rsid w:val="00B9619F"/>
    <w:rsid w:val="00B96864"/>
    <w:rsid w:val="00B9690D"/>
    <w:rsid w:val="00B96BA3"/>
    <w:rsid w:val="00B97419"/>
    <w:rsid w:val="00BA06CF"/>
    <w:rsid w:val="00BA07AA"/>
    <w:rsid w:val="00BA0B31"/>
    <w:rsid w:val="00BA0B92"/>
    <w:rsid w:val="00BA0F8A"/>
    <w:rsid w:val="00BA149A"/>
    <w:rsid w:val="00BA155A"/>
    <w:rsid w:val="00BA2075"/>
    <w:rsid w:val="00BA238E"/>
    <w:rsid w:val="00BA2433"/>
    <w:rsid w:val="00BA320D"/>
    <w:rsid w:val="00BA3232"/>
    <w:rsid w:val="00BA3A69"/>
    <w:rsid w:val="00BA3F90"/>
    <w:rsid w:val="00BA3FB7"/>
    <w:rsid w:val="00BA44CD"/>
    <w:rsid w:val="00BA497D"/>
    <w:rsid w:val="00BA4C3B"/>
    <w:rsid w:val="00BA4E57"/>
    <w:rsid w:val="00BA5060"/>
    <w:rsid w:val="00BA5202"/>
    <w:rsid w:val="00BA5DF6"/>
    <w:rsid w:val="00BA5EC0"/>
    <w:rsid w:val="00BA66A5"/>
    <w:rsid w:val="00BA6DDE"/>
    <w:rsid w:val="00BA74A4"/>
    <w:rsid w:val="00BA78C2"/>
    <w:rsid w:val="00BA7A76"/>
    <w:rsid w:val="00BA7C7F"/>
    <w:rsid w:val="00BA7E35"/>
    <w:rsid w:val="00BB0004"/>
    <w:rsid w:val="00BB001D"/>
    <w:rsid w:val="00BB0127"/>
    <w:rsid w:val="00BB0242"/>
    <w:rsid w:val="00BB10AE"/>
    <w:rsid w:val="00BB1400"/>
    <w:rsid w:val="00BB148C"/>
    <w:rsid w:val="00BB14C8"/>
    <w:rsid w:val="00BB14F1"/>
    <w:rsid w:val="00BB1E18"/>
    <w:rsid w:val="00BB1FDF"/>
    <w:rsid w:val="00BB2E6F"/>
    <w:rsid w:val="00BB2FCD"/>
    <w:rsid w:val="00BB33CE"/>
    <w:rsid w:val="00BB3450"/>
    <w:rsid w:val="00BB3484"/>
    <w:rsid w:val="00BB3737"/>
    <w:rsid w:val="00BB3867"/>
    <w:rsid w:val="00BB3E07"/>
    <w:rsid w:val="00BB465F"/>
    <w:rsid w:val="00BB59FC"/>
    <w:rsid w:val="00BB5B83"/>
    <w:rsid w:val="00BB5D0E"/>
    <w:rsid w:val="00BB5DCE"/>
    <w:rsid w:val="00BB5EC6"/>
    <w:rsid w:val="00BB6032"/>
    <w:rsid w:val="00BB6306"/>
    <w:rsid w:val="00BB6505"/>
    <w:rsid w:val="00BB6624"/>
    <w:rsid w:val="00BB699B"/>
    <w:rsid w:val="00BB6E59"/>
    <w:rsid w:val="00BB7069"/>
    <w:rsid w:val="00BB7758"/>
    <w:rsid w:val="00BB7767"/>
    <w:rsid w:val="00BB78E1"/>
    <w:rsid w:val="00BB7F4A"/>
    <w:rsid w:val="00BC0548"/>
    <w:rsid w:val="00BC0E98"/>
    <w:rsid w:val="00BC0FDB"/>
    <w:rsid w:val="00BC0FEE"/>
    <w:rsid w:val="00BC1992"/>
    <w:rsid w:val="00BC24C7"/>
    <w:rsid w:val="00BC2A14"/>
    <w:rsid w:val="00BC2C28"/>
    <w:rsid w:val="00BC3409"/>
    <w:rsid w:val="00BC3446"/>
    <w:rsid w:val="00BC37A3"/>
    <w:rsid w:val="00BC3A87"/>
    <w:rsid w:val="00BC3CBA"/>
    <w:rsid w:val="00BC425B"/>
    <w:rsid w:val="00BC504B"/>
    <w:rsid w:val="00BC529B"/>
    <w:rsid w:val="00BC5745"/>
    <w:rsid w:val="00BC5982"/>
    <w:rsid w:val="00BC61F8"/>
    <w:rsid w:val="00BC634F"/>
    <w:rsid w:val="00BC64EE"/>
    <w:rsid w:val="00BC690F"/>
    <w:rsid w:val="00BC6913"/>
    <w:rsid w:val="00BC6D5A"/>
    <w:rsid w:val="00BC7142"/>
    <w:rsid w:val="00BC714B"/>
    <w:rsid w:val="00BC7B2A"/>
    <w:rsid w:val="00BC7BF2"/>
    <w:rsid w:val="00BC7D77"/>
    <w:rsid w:val="00BD04A0"/>
    <w:rsid w:val="00BD05D9"/>
    <w:rsid w:val="00BD078D"/>
    <w:rsid w:val="00BD0BEB"/>
    <w:rsid w:val="00BD0CF3"/>
    <w:rsid w:val="00BD0D0B"/>
    <w:rsid w:val="00BD14B4"/>
    <w:rsid w:val="00BD1BA2"/>
    <w:rsid w:val="00BD1BB6"/>
    <w:rsid w:val="00BD1CF4"/>
    <w:rsid w:val="00BD1E88"/>
    <w:rsid w:val="00BD217F"/>
    <w:rsid w:val="00BD2B12"/>
    <w:rsid w:val="00BD2B91"/>
    <w:rsid w:val="00BD2D0B"/>
    <w:rsid w:val="00BD320C"/>
    <w:rsid w:val="00BD34C8"/>
    <w:rsid w:val="00BD3B9C"/>
    <w:rsid w:val="00BD3FA4"/>
    <w:rsid w:val="00BD44F8"/>
    <w:rsid w:val="00BD4617"/>
    <w:rsid w:val="00BD4B09"/>
    <w:rsid w:val="00BD4BA6"/>
    <w:rsid w:val="00BD502E"/>
    <w:rsid w:val="00BD52A5"/>
    <w:rsid w:val="00BD59E0"/>
    <w:rsid w:val="00BD5B42"/>
    <w:rsid w:val="00BD5BDF"/>
    <w:rsid w:val="00BD5D4B"/>
    <w:rsid w:val="00BD5DF2"/>
    <w:rsid w:val="00BD62D8"/>
    <w:rsid w:val="00BD6373"/>
    <w:rsid w:val="00BD6923"/>
    <w:rsid w:val="00BD700B"/>
    <w:rsid w:val="00BD7A71"/>
    <w:rsid w:val="00BE042D"/>
    <w:rsid w:val="00BE0642"/>
    <w:rsid w:val="00BE083B"/>
    <w:rsid w:val="00BE0D13"/>
    <w:rsid w:val="00BE1357"/>
    <w:rsid w:val="00BE2DC9"/>
    <w:rsid w:val="00BE30F5"/>
    <w:rsid w:val="00BE3371"/>
    <w:rsid w:val="00BE3770"/>
    <w:rsid w:val="00BE3932"/>
    <w:rsid w:val="00BE3984"/>
    <w:rsid w:val="00BE3BEE"/>
    <w:rsid w:val="00BE3E93"/>
    <w:rsid w:val="00BE3FFB"/>
    <w:rsid w:val="00BE3FFF"/>
    <w:rsid w:val="00BE448B"/>
    <w:rsid w:val="00BE4B47"/>
    <w:rsid w:val="00BE4DEF"/>
    <w:rsid w:val="00BE586E"/>
    <w:rsid w:val="00BE5907"/>
    <w:rsid w:val="00BE59C9"/>
    <w:rsid w:val="00BE5F5A"/>
    <w:rsid w:val="00BE66E7"/>
    <w:rsid w:val="00BE7115"/>
    <w:rsid w:val="00BE7119"/>
    <w:rsid w:val="00BE7900"/>
    <w:rsid w:val="00BF021A"/>
    <w:rsid w:val="00BF0A2C"/>
    <w:rsid w:val="00BF0CA1"/>
    <w:rsid w:val="00BF0EEA"/>
    <w:rsid w:val="00BF1BAC"/>
    <w:rsid w:val="00BF258C"/>
    <w:rsid w:val="00BF25E0"/>
    <w:rsid w:val="00BF2E14"/>
    <w:rsid w:val="00BF32BB"/>
    <w:rsid w:val="00BF3625"/>
    <w:rsid w:val="00BF430B"/>
    <w:rsid w:val="00BF5043"/>
    <w:rsid w:val="00BF52E5"/>
    <w:rsid w:val="00BF649A"/>
    <w:rsid w:val="00BF6BD1"/>
    <w:rsid w:val="00BF6C2B"/>
    <w:rsid w:val="00BF6C4D"/>
    <w:rsid w:val="00BF6DB3"/>
    <w:rsid w:val="00BF6ED1"/>
    <w:rsid w:val="00BF74B6"/>
    <w:rsid w:val="00BF7558"/>
    <w:rsid w:val="00BF7620"/>
    <w:rsid w:val="00BF7834"/>
    <w:rsid w:val="00BF79CA"/>
    <w:rsid w:val="00BF7ACF"/>
    <w:rsid w:val="00BF7B6B"/>
    <w:rsid w:val="00BF7DCA"/>
    <w:rsid w:val="00C0005B"/>
    <w:rsid w:val="00C000E8"/>
    <w:rsid w:val="00C0037D"/>
    <w:rsid w:val="00C005BE"/>
    <w:rsid w:val="00C00734"/>
    <w:rsid w:val="00C00BE5"/>
    <w:rsid w:val="00C00FEA"/>
    <w:rsid w:val="00C011DD"/>
    <w:rsid w:val="00C0142D"/>
    <w:rsid w:val="00C024B1"/>
    <w:rsid w:val="00C028E9"/>
    <w:rsid w:val="00C030E1"/>
    <w:rsid w:val="00C03241"/>
    <w:rsid w:val="00C034DD"/>
    <w:rsid w:val="00C035D7"/>
    <w:rsid w:val="00C03665"/>
    <w:rsid w:val="00C036D2"/>
    <w:rsid w:val="00C03A23"/>
    <w:rsid w:val="00C03F70"/>
    <w:rsid w:val="00C0449D"/>
    <w:rsid w:val="00C045EC"/>
    <w:rsid w:val="00C04655"/>
    <w:rsid w:val="00C046C7"/>
    <w:rsid w:val="00C046ED"/>
    <w:rsid w:val="00C0478F"/>
    <w:rsid w:val="00C05088"/>
    <w:rsid w:val="00C05423"/>
    <w:rsid w:val="00C054A2"/>
    <w:rsid w:val="00C05594"/>
    <w:rsid w:val="00C057D0"/>
    <w:rsid w:val="00C057D9"/>
    <w:rsid w:val="00C05C5F"/>
    <w:rsid w:val="00C0618F"/>
    <w:rsid w:val="00C062D8"/>
    <w:rsid w:val="00C06A96"/>
    <w:rsid w:val="00C074D3"/>
    <w:rsid w:val="00C0764E"/>
    <w:rsid w:val="00C07850"/>
    <w:rsid w:val="00C07A9C"/>
    <w:rsid w:val="00C07B6D"/>
    <w:rsid w:val="00C07D24"/>
    <w:rsid w:val="00C07D9A"/>
    <w:rsid w:val="00C07FD8"/>
    <w:rsid w:val="00C100EA"/>
    <w:rsid w:val="00C102B7"/>
    <w:rsid w:val="00C1074F"/>
    <w:rsid w:val="00C1167A"/>
    <w:rsid w:val="00C11782"/>
    <w:rsid w:val="00C11D7C"/>
    <w:rsid w:val="00C12123"/>
    <w:rsid w:val="00C12652"/>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177E2"/>
    <w:rsid w:val="00C201A7"/>
    <w:rsid w:val="00C207E2"/>
    <w:rsid w:val="00C20ACE"/>
    <w:rsid w:val="00C20BE2"/>
    <w:rsid w:val="00C20C6F"/>
    <w:rsid w:val="00C20CD0"/>
    <w:rsid w:val="00C21306"/>
    <w:rsid w:val="00C21BDF"/>
    <w:rsid w:val="00C2221B"/>
    <w:rsid w:val="00C223DA"/>
    <w:rsid w:val="00C23266"/>
    <w:rsid w:val="00C23334"/>
    <w:rsid w:val="00C238CD"/>
    <w:rsid w:val="00C23CE4"/>
    <w:rsid w:val="00C23F73"/>
    <w:rsid w:val="00C2417E"/>
    <w:rsid w:val="00C24277"/>
    <w:rsid w:val="00C245F0"/>
    <w:rsid w:val="00C246A7"/>
    <w:rsid w:val="00C24A77"/>
    <w:rsid w:val="00C24FEB"/>
    <w:rsid w:val="00C25816"/>
    <w:rsid w:val="00C25B07"/>
    <w:rsid w:val="00C25DD3"/>
    <w:rsid w:val="00C25F46"/>
    <w:rsid w:val="00C26335"/>
    <w:rsid w:val="00C267AC"/>
    <w:rsid w:val="00C26E3D"/>
    <w:rsid w:val="00C2707D"/>
    <w:rsid w:val="00C27820"/>
    <w:rsid w:val="00C27B04"/>
    <w:rsid w:val="00C27F67"/>
    <w:rsid w:val="00C30168"/>
    <w:rsid w:val="00C3038D"/>
    <w:rsid w:val="00C307F1"/>
    <w:rsid w:val="00C31003"/>
    <w:rsid w:val="00C31596"/>
    <w:rsid w:val="00C3220A"/>
    <w:rsid w:val="00C32688"/>
    <w:rsid w:val="00C32848"/>
    <w:rsid w:val="00C32E68"/>
    <w:rsid w:val="00C331AC"/>
    <w:rsid w:val="00C33A88"/>
    <w:rsid w:val="00C34015"/>
    <w:rsid w:val="00C34316"/>
    <w:rsid w:val="00C349C3"/>
    <w:rsid w:val="00C34D8C"/>
    <w:rsid w:val="00C34E0F"/>
    <w:rsid w:val="00C35074"/>
    <w:rsid w:val="00C359FF"/>
    <w:rsid w:val="00C35DDB"/>
    <w:rsid w:val="00C369A1"/>
    <w:rsid w:val="00C3726D"/>
    <w:rsid w:val="00C379BE"/>
    <w:rsid w:val="00C37FE5"/>
    <w:rsid w:val="00C403FD"/>
    <w:rsid w:val="00C40482"/>
    <w:rsid w:val="00C40B0D"/>
    <w:rsid w:val="00C40F90"/>
    <w:rsid w:val="00C4116A"/>
    <w:rsid w:val="00C4147E"/>
    <w:rsid w:val="00C415A4"/>
    <w:rsid w:val="00C41794"/>
    <w:rsid w:val="00C41A9F"/>
    <w:rsid w:val="00C41D99"/>
    <w:rsid w:val="00C42FA9"/>
    <w:rsid w:val="00C434E7"/>
    <w:rsid w:val="00C43E8E"/>
    <w:rsid w:val="00C44C20"/>
    <w:rsid w:val="00C44EA4"/>
    <w:rsid w:val="00C45000"/>
    <w:rsid w:val="00C453DC"/>
    <w:rsid w:val="00C45FE8"/>
    <w:rsid w:val="00C4656B"/>
    <w:rsid w:val="00C46A1B"/>
    <w:rsid w:val="00C474FC"/>
    <w:rsid w:val="00C47B0A"/>
    <w:rsid w:val="00C47B7F"/>
    <w:rsid w:val="00C50CC1"/>
    <w:rsid w:val="00C50D45"/>
    <w:rsid w:val="00C5137A"/>
    <w:rsid w:val="00C51B69"/>
    <w:rsid w:val="00C51C53"/>
    <w:rsid w:val="00C52109"/>
    <w:rsid w:val="00C52419"/>
    <w:rsid w:val="00C525A3"/>
    <w:rsid w:val="00C52B91"/>
    <w:rsid w:val="00C52D7D"/>
    <w:rsid w:val="00C5305D"/>
    <w:rsid w:val="00C53123"/>
    <w:rsid w:val="00C53DC9"/>
    <w:rsid w:val="00C53E2B"/>
    <w:rsid w:val="00C54581"/>
    <w:rsid w:val="00C54EE8"/>
    <w:rsid w:val="00C54F4E"/>
    <w:rsid w:val="00C54F82"/>
    <w:rsid w:val="00C55A2E"/>
    <w:rsid w:val="00C55AF0"/>
    <w:rsid w:val="00C55B46"/>
    <w:rsid w:val="00C55FC3"/>
    <w:rsid w:val="00C565A9"/>
    <w:rsid w:val="00C56A60"/>
    <w:rsid w:val="00C570D9"/>
    <w:rsid w:val="00C57499"/>
    <w:rsid w:val="00C577E5"/>
    <w:rsid w:val="00C57F6F"/>
    <w:rsid w:val="00C60222"/>
    <w:rsid w:val="00C60B51"/>
    <w:rsid w:val="00C60C6F"/>
    <w:rsid w:val="00C60E34"/>
    <w:rsid w:val="00C60F62"/>
    <w:rsid w:val="00C61448"/>
    <w:rsid w:val="00C61A37"/>
    <w:rsid w:val="00C62855"/>
    <w:rsid w:val="00C633A8"/>
    <w:rsid w:val="00C63569"/>
    <w:rsid w:val="00C6435D"/>
    <w:rsid w:val="00C6470D"/>
    <w:rsid w:val="00C64720"/>
    <w:rsid w:val="00C64C9D"/>
    <w:rsid w:val="00C65398"/>
    <w:rsid w:val="00C659D6"/>
    <w:rsid w:val="00C65A15"/>
    <w:rsid w:val="00C6632D"/>
    <w:rsid w:val="00C66D78"/>
    <w:rsid w:val="00C66FC7"/>
    <w:rsid w:val="00C6701E"/>
    <w:rsid w:val="00C671B0"/>
    <w:rsid w:val="00C6747C"/>
    <w:rsid w:val="00C67622"/>
    <w:rsid w:val="00C67752"/>
    <w:rsid w:val="00C6776A"/>
    <w:rsid w:val="00C67E36"/>
    <w:rsid w:val="00C7054F"/>
    <w:rsid w:val="00C70682"/>
    <w:rsid w:val="00C70827"/>
    <w:rsid w:val="00C70940"/>
    <w:rsid w:val="00C7130D"/>
    <w:rsid w:val="00C714CB"/>
    <w:rsid w:val="00C71C11"/>
    <w:rsid w:val="00C72847"/>
    <w:rsid w:val="00C72E13"/>
    <w:rsid w:val="00C72EF7"/>
    <w:rsid w:val="00C72F41"/>
    <w:rsid w:val="00C73248"/>
    <w:rsid w:val="00C734B9"/>
    <w:rsid w:val="00C73ACE"/>
    <w:rsid w:val="00C73CB8"/>
    <w:rsid w:val="00C74066"/>
    <w:rsid w:val="00C740AA"/>
    <w:rsid w:val="00C74177"/>
    <w:rsid w:val="00C741C7"/>
    <w:rsid w:val="00C7430E"/>
    <w:rsid w:val="00C743E8"/>
    <w:rsid w:val="00C75261"/>
    <w:rsid w:val="00C7592A"/>
    <w:rsid w:val="00C75B92"/>
    <w:rsid w:val="00C75BF2"/>
    <w:rsid w:val="00C761D4"/>
    <w:rsid w:val="00C762B3"/>
    <w:rsid w:val="00C76389"/>
    <w:rsid w:val="00C76443"/>
    <w:rsid w:val="00C769B0"/>
    <w:rsid w:val="00C76B79"/>
    <w:rsid w:val="00C76E64"/>
    <w:rsid w:val="00C772A5"/>
    <w:rsid w:val="00C77736"/>
    <w:rsid w:val="00C77BF7"/>
    <w:rsid w:val="00C77CAF"/>
    <w:rsid w:val="00C77F77"/>
    <w:rsid w:val="00C77FD2"/>
    <w:rsid w:val="00C80173"/>
    <w:rsid w:val="00C8027F"/>
    <w:rsid w:val="00C8028E"/>
    <w:rsid w:val="00C80E89"/>
    <w:rsid w:val="00C80FD8"/>
    <w:rsid w:val="00C81490"/>
    <w:rsid w:val="00C816C4"/>
    <w:rsid w:val="00C819FA"/>
    <w:rsid w:val="00C81A6A"/>
    <w:rsid w:val="00C81CD2"/>
    <w:rsid w:val="00C82611"/>
    <w:rsid w:val="00C82DE2"/>
    <w:rsid w:val="00C8337F"/>
    <w:rsid w:val="00C83463"/>
    <w:rsid w:val="00C83AD8"/>
    <w:rsid w:val="00C84887"/>
    <w:rsid w:val="00C84E42"/>
    <w:rsid w:val="00C85024"/>
    <w:rsid w:val="00C8503E"/>
    <w:rsid w:val="00C852DF"/>
    <w:rsid w:val="00C853FA"/>
    <w:rsid w:val="00C85AE3"/>
    <w:rsid w:val="00C85BDC"/>
    <w:rsid w:val="00C85C6F"/>
    <w:rsid w:val="00C86837"/>
    <w:rsid w:val="00C868A5"/>
    <w:rsid w:val="00C871E7"/>
    <w:rsid w:val="00C8735D"/>
    <w:rsid w:val="00C87702"/>
    <w:rsid w:val="00C902A7"/>
    <w:rsid w:val="00C90906"/>
    <w:rsid w:val="00C9099E"/>
    <w:rsid w:val="00C90CE8"/>
    <w:rsid w:val="00C90DD1"/>
    <w:rsid w:val="00C91249"/>
    <w:rsid w:val="00C91A3F"/>
    <w:rsid w:val="00C92405"/>
    <w:rsid w:val="00C9246F"/>
    <w:rsid w:val="00C924EF"/>
    <w:rsid w:val="00C925CD"/>
    <w:rsid w:val="00C927DF"/>
    <w:rsid w:val="00C92CDD"/>
    <w:rsid w:val="00C9314B"/>
    <w:rsid w:val="00C932DD"/>
    <w:rsid w:val="00C93966"/>
    <w:rsid w:val="00C93D8D"/>
    <w:rsid w:val="00C945EA"/>
    <w:rsid w:val="00C94663"/>
    <w:rsid w:val="00C94888"/>
    <w:rsid w:val="00C94A88"/>
    <w:rsid w:val="00C95256"/>
    <w:rsid w:val="00C952EC"/>
    <w:rsid w:val="00C95339"/>
    <w:rsid w:val="00C95410"/>
    <w:rsid w:val="00C95742"/>
    <w:rsid w:val="00C96511"/>
    <w:rsid w:val="00C9693F"/>
    <w:rsid w:val="00C96C19"/>
    <w:rsid w:val="00C9757C"/>
    <w:rsid w:val="00C976DC"/>
    <w:rsid w:val="00C97B93"/>
    <w:rsid w:val="00C97BEE"/>
    <w:rsid w:val="00CA0131"/>
    <w:rsid w:val="00CA03B1"/>
    <w:rsid w:val="00CA0AE6"/>
    <w:rsid w:val="00CA0D04"/>
    <w:rsid w:val="00CA11C8"/>
    <w:rsid w:val="00CA1495"/>
    <w:rsid w:val="00CA1697"/>
    <w:rsid w:val="00CA22D9"/>
    <w:rsid w:val="00CA23AC"/>
    <w:rsid w:val="00CA26A7"/>
    <w:rsid w:val="00CA28B5"/>
    <w:rsid w:val="00CA306C"/>
    <w:rsid w:val="00CA383B"/>
    <w:rsid w:val="00CA3C8B"/>
    <w:rsid w:val="00CA400D"/>
    <w:rsid w:val="00CA40EB"/>
    <w:rsid w:val="00CA417D"/>
    <w:rsid w:val="00CA4840"/>
    <w:rsid w:val="00CA4877"/>
    <w:rsid w:val="00CA48D9"/>
    <w:rsid w:val="00CA4C6D"/>
    <w:rsid w:val="00CA4E71"/>
    <w:rsid w:val="00CA4F2D"/>
    <w:rsid w:val="00CA5BD2"/>
    <w:rsid w:val="00CA5D82"/>
    <w:rsid w:val="00CA5DF9"/>
    <w:rsid w:val="00CA63A8"/>
    <w:rsid w:val="00CA661A"/>
    <w:rsid w:val="00CA673A"/>
    <w:rsid w:val="00CA6BE4"/>
    <w:rsid w:val="00CA6D53"/>
    <w:rsid w:val="00CA71F7"/>
    <w:rsid w:val="00CA7297"/>
    <w:rsid w:val="00CA72EB"/>
    <w:rsid w:val="00CA76DB"/>
    <w:rsid w:val="00CA7A6C"/>
    <w:rsid w:val="00CA7CE6"/>
    <w:rsid w:val="00CB0236"/>
    <w:rsid w:val="00CB034C"/>
    <w:rsid w:val="00CB08EF"/>
    <w:rsid w:val="00CB0919"/>
    <w:rsid w:val="00CB1508"/>
    <w:rsid w:val="00CB1571"/>
    <w:rsid w:val="00CB188F"/>
    <w:rsid w:val="00CB22DD"/>
    <w:rsid w:val="00CB2396"/>
    <w:rsid w:val="00CB23B2"/>
    <w:rsid w:val="00CB255E"/>
    <w:rsid w:val="00CB27A8"/>
    <w:rsid w:val="00CB2A45"/>
    <w:rsid w:val="00CB2DDF"/>
    <w:rsid w:val="00CB3229"/>
    <w:rsid w:val="00CB39D8"/>
    <w:rsid w:val="00CB404C"/>
    <w:rsid w:val="00CB4222"/>
    <w:rsid w:val="00CB4477"/>
    <w:rsid w:val="00CB44E2"/>
    <w:rsid w:val="00CB4A66"/>
    <w:rsid w:val="00CB51CB"/>
    <w:rsid w:val="00CB52A6"/>
    <w:rsid w:val="00CB535F"/>
    <w:rsid w:val="00CB5499"/>
    <w:rsid w:val="00CB553C"/>
    <w:rsid w:val="00CB5DA1"/>
    <w:rsid w:val="00CB5EB0"/>
    <w:rsid w:val="00CB5F44"/>
    <w:rsid w:val="00CB6707"/>
    <w:rsid w:val="00CB6994"/>
    <w:rsid w:val="00CB6DA9"/>
    <w:rsid w:val="00CB6F6F"/>
    <w:rsid w:val="00CB6FFC"/>
    <w:rsid w:val="00CB7476"/>
    <w:rsid w:val="00CB7610"/>
    <w:rsid w:val="00CB7C96"/>
    <w:rsid w:val="00CB7E35"/>
    <w:rsid w:val="00CC0AFD"/>
    <w:rsid w:val="00CC0CB3"/>
    <w:rsid w:val="00CC0DF5"/>
    <w:rsid w:val="00CC0F69"/>
    <w:rsid w:val="00CC181E"/>
    <w:rsid w:val="00CC210A"/>
    <w:rsid w:val="00CC215B"/>
    <w:rsid w:val="00CC2231"/>
    <w:rsid w:val="00CC2510"/>
    <w:rsid w:val="00CC27A5"/>
    <w:rsid w:val="00CC345F"/>
    <w:rsid w:val="00CC3707"/>
    <w:rsid w:val="00CC3B6E"/>
    <w:rsid w:val="00CC3BCE"/>
    <w:rsid w:val="00CC3C67"/>
    <w:rsid w:val="00CC3FF8"/>
    <w:rsid w:val="00CC494C"/>
    <w:rsid w:val="00CC4BDF"/>
    <w:rsid w:val="00CC4C50"/>
    <w:rsid w:val="00CC540F"/>
    <w:rsid w:val="00CC5B44"/>
    <w:rsid w:val="00CC5BC9"/>
    <w:rsid w:val="00CC5D77"/>
    <w:rsid w:val="00CC5FE2"/>
    <w:rsid w:val="00CC6207"/>
    <w:rsid w:val="00CC6620"/>
    <w:rsid w:val="00CC6947"/>
    <w:rsid w:val="00CC6BB8"/>
    <w:rsid w:val="00CC7032"/>
    <w:rsid w:val="00CC7BD2"/>
    <w:rsid w:val="00CC7EEA"/>
    <w:rsid w:val="00CD0083"/>
    <w:rsid w:val="00CD044F"/>
    <w:rsid w:val="00CD0FD9"/>
    <w:rsid w:val="00CD121E"/>
    <w:rsid w:val="00CD12A6"/>
    <w:rsid w:val="00CD12D9"/>
    <w:rsid w:val="00CD12FB"/>
    <w:rsid w:val="00CD1765"/>
    <w:rsid w:val="00CD24A3"/>
    <w:rsid w:val="00CD3464"/>
    <w:rsid w:val="00CD428A"/>
    <w:rsid w:val="00CD43A3"/>
    <w:rsid w:val="00CD443F"/>
    <w:rsid w:val="00CD45A5"/>
    <w:rsid w:val="00CD4B0C"/>
    <w:rsid w:val="00CD551A"/>
    <w:rsid w:val="00CD5A37"/>
    <w:rsid w:val="00CD617F"/>
    <w:rsid w:val="00CD65DC"/>
    <w:rsid w:val="00CD6860"/>
    <w:rsid w:val="00CD6C4B"/>
    <w:rsid w:val="00CD75DF"/>
    <w:rsid w:val="00CD7988"/>
    <w:rsid w:val="00CE074B"/>
    <w:rsid w:val="00CE0B9B"/>
    <w:rsid w:val="00CE0CAE"/>
    <w:rsid w:val="00CE1DF5"/>
    <w:rsid w:val="00CE2221"/>
    <w:rsid w:val="00CE234B"/>
    <w:rsid w:val="00CE2561"/>
    <w:rsid w:val="00CE2EBA"/>
    <w:rsid w:val="00CE2F5A"/>
    <w:rsid w:val="00CE3352"/>
    <w:rsid w:val="00CE33EB"/>
    <w:rsid w:val="00CE3766"/>
    <w:rsid w:val="00CE3781"/>
    <w:rsid w:val="00CE37D0"/>
    <w:rsid w:val="00CE3B50"/>
    <w:rsid w:val="00CE3DAF"/>
    <w:rsid w:val="00CE3F57"/>
    <w:rsid w:val="00CE40FD"/>
    <w:rsid w:val="00CE432C"/>
    <w:rsid w:val="00CE482C"/>
    <w:rsid w:val="00CE4A7D"/>
    <w:rsid w:val="00CE4B37"/>
    <w:rsid w:val="00CE59EA"/>
    <w:rsid w:val="00CE5B68"/>
    <w:rsid w:val="00CE5BFE"/>
    <w:rsid w:val="00CE610B"/>
    <w:rsid w:val="00CE6354"/>
    <w:rsid w:val="00CE6501"/>
    <w:rsid w:val="00CE65B7"/>
    <w:rsid w:val="00CE6BE3"/>
    <w:rsid w:val="00CE7985"/>
    <w:rsid w:val="00CF0397"/>
    <w:rsid w:val="00CF03A5"/>
    <w:rsid w:val="00CF1047"/>
    <w:rsid w:val="00CF12E3"/>
    <w:rsid w:val="00CF14CF"/>
    <w:rsid w:val="00CF1A73"/>
    <w:rsid w:val="00CF1AA3"/>
    <w:rsid w:val="00CF1F86"/>
    <w:rsid w:val="00CF2201"/>
    <w:rsid w:val="00CF23BA"/>
    <w:rsid w:val="00CF256F"/>
    <w:rsid w:val="00CF2A3D"/>
    <w:rsid w:val="00CF2AFC"/>
    <w:rsid w:val="00CF2B8E"/>
    <w:rsid w:val="00CF2D52"/>
    <w:rsid w:val="00CF2EAC"/>
    <w:rsid w:val="00CF37B0"/>
    <w:rsid w:val="00CF39CB"/>
    <w:rsid w:val="00CF4206"/>
    <w:rsid w:val="00CF43CA"/>
    <w:rsid w:val="00CF4E72"/>
    <w:rsid w:val="00CF523C"/>
    <w:rsid w:val="00CF5548"/>
    <w:rsid w:val="00CF5753"/>
    <w:rsid w:val="00CF6369"/>
    <w:rsid w:val="00CF68F7"/>
    <w:rsid w:val="00CF69F1"/>
    <w:rsid w:val="00CF71DD"/>
    <w:rsid w:val="00CF73D7"/>
    <w:rsid w:val="00CF7D90"/>
    <w:rsid w:val="00CF7E75"/>
    <w:rsid w:val="00CF7E78"/>
    <w:rsid w:val="00D00261"/>
    <w:rsid w:val="00D007B1"/>
    <w:rsid w:val="00D00BB5"/>
    <w:rsid w:val="00D012CF"/>
    <w:rsid w:val="00D017DC"/>
    <w:rsid w:val="00D01CBA"/>
    <w:rsid w:val="00D02982"/>
    <w:rsid w:val="00D02CA8"/>
    <w:rsid w:val="00D02E0F"/>
    <w:rsid w:val="00D02E11"/>
    <w:rsid w:val="00D03488"/>
    <w:rsid w:val="00D03A2A"/>
    <w:rsid w:val="00D03BB6"/>
    <w:rsid w:val="00D03E3A"/>
    <w:rsid w:val="00D040BE"/>
    <w:rsid w:val="00D04440"/>
    <w:rsid w:val="00D04684"/>
    <w:rsid w:val="00D04885"/>
    <w:rsid w:val="00D04B04"/>
    <w:rsid w:val="00D050D6"/>
    <w:rsid w:val="00D054D9"/>
    <w:rsid w:val="00D057F1"/>
    <w:rsid w:val="00D05839"/>
    <w:rsid w:val="00D06574"/>
    <w:rsid w:val="00D065F4"/>
    <w:rsid w:val="00D06813"/>
    <w:rsid w:val="00D07549"/>
    <w:rsid w:val="00D07967"/>
    <w:rsid w:val="00D079C0"/>
    <w:rsid w:val="00D07CDA"/>
    <w:rsid w:val="00D105E6"/>
    <w:rsid w:val="00D11521"/>
    <w:rsid w:val="00D11562"/>
    <w:rsid w:val="00D11569"/>
    <w:rsid w:val="00D11DF5"/>
    <w:rsid w:val="00D122C8"/>
    <w:rsid w:val="00D1255F"/>
    <w:rsid w:val="00D127AF"/>
    <w:rsid w:val="00D127D6"/>
    <w:rsid w:val="00D128F4"/>
    <w:rsid w:val="00D1291A"/>
    <w:rsid w:val="00D12CC9"/>
    <w:rsid w:val="00D13026"/>
    <w:rsid w:val="00D13755"/>
    <w:rsid w:val="00D1408A"/>
    <w:rsid w:val="00D15178"/>
    <w:rsid w:val="00D15345"/>
    <w:rsid w:val="00D161BC"/>
    <w:rsid w:val="00D168DA"/>
    <w:rsid w:val="00D168F2"/>
    <w:rsid w:val="00D17710"/>
    <w:rsid w:val="00D179F5"/>
    <w:rsid w:val="00D17A56"/>
    <w:rsid w:val="00D17BFB"/>
    <w:rsid w:val="00D17D2B"/>
    <w:rsid w:val="00D2088A"/>
    <w:rsid w:val="00D20ABA"/>
    <w:rsid w:val="00D20E17"/>
    <w:rsid w:val="00D20E7B"/>
    <w:rsid w:val="00D2131E"/>
    <w:rsid w:val="00D213EA"/>
    <w:rsid w:val="00D21464"/>
    <w:rsid w:val="00D215D3"/>
    <w:rsid w:val="00D22A0A"/>
    <w:rsid w:val="00D22B2C"/>
    <w:rsid w:val="00D22E36"/>
    <w:rsid w:val="00D233EA"/>
    <w:rsid w:val="00D23859"/>
    <w:rsid w:val="00D23956"/>
    <w:rsid w:val="00D24003"/>
    <w:rsid w:val="00D2418F"/>
    <w:rsid w:val="00D24803"/>
    <w:rsid w:val="00D24B51"/>
    <w:rsid w:val="00D24D7E"/>
    <w:rsid w:val="00D24DFD"/>
    <w:rsid w:val="00D25551"/>
    <w:rsid w:val="00D26624"/>
    <w:rsid w:val="00D26D41"/>
    <w:rsid w:val="00D26DA1"/>
    <w:rsid w:val="00D272B0"/>
    <w:rsid w:val="00D27315"/>
    <w:rsid w:val="00D27477"/>
    <w:rsid w:val="00D2760E"/>
    <w:rsid w:val="00D27A21"/>
    <w:rsid w:val="00D27DBA"/>
    <w:rsid w:val="00D30A20"/>
    <w:rsid w:val="00D30E0F"/>
    <w:rsid w:val="00D31353"/>
    <w:rsid w:val="00D315BB"/>
    <w:rsid w:val="00D31D28"/>
    <w:rsid w:val="00D322E6"/>
    <w:rsid w:val="00D325F4"/>
    <w:rsid w:val="00D32C06"/>
    <w:rsid w:val="00D32D12"/>
    <w:rsid w:val="00D333DC"/>
    <w:rsid w:val="00D33590"/>
    <w:rsid w:val="00D33B66"/>
    <w:rsid w:val="00D33C03"/>
    <w:rsid w:val="00D33C1D"/>
    <w:rsid w:val="00D33C94"/>
    <w:rsid w:val="00D33CE7"/>
    <w:rsid w:val="00D33DFA"/>
    <w:rsid w:val="00D346D7"/>
    <w:rsid w:val="00D34ADC"/>
    <w:rsid w:val="00D34BD1"/>
    <w:rsid w:val="00D35519"/>
    <w:rsid w:val="00D35A58"/>
    <w:rsid w:val="00D361BD"/>
    <w:rsid w:val="00D3664B"/>
    <w:rsid w:val="00D36945"/>
    <w:rsid w:val="00D370B2"/>
    <w:rsid w:val="00D379A1"/>
    <w:rsid w:val="00D379BB"/>
    <w:rsid w:val="00D379F1"/>
    <w:rsid w:val="00D37D31"/>
    <w:rsid w:val="00D400A9"/>
    <w:rsid w:val="00D40978"/>
    <w:rsid w:val="00D40BB5"/>
    <w:rsid w:val="00D40D65"/>
    <w:rsid w:val="00D40F30"/>
    <w:rsid w:val="00D4174C"/>
    <w:rsid w:val="00D422A6"/>
    <w:rsid w:val="00D4233D"/>
    <w:rsid w:val="00D42A62"/>
    <w:rsid w:val="00D43453"/>
    <w:rsid w:val="00D43638"/>
    <w:rsid w:val="00D43845"/>
    <w:rsid w:val="00D43A11"/>
    <w:rsid w:val="00D43B79"/>
    <w:rsid w:val="00D4412B"/>
    <w:rsid w:val="00D44260"/>
    <w:rsid w:val="00D44447"/>
    <w:rsid w:val="00D447E3"/>
    <w:rsid w:val="00D44E5E"/>
    <w:rsid w:val="00D44F80"/>
    <w:rsid w:val="00D4507D"/>
    <w:rsid w:val="00D45887"/>
    <w:rsid w:val="00D45A5F"/>
    <w:rsid w:val="00D45AC5"/>
    <w:rsid w:val="00D45D08"/>
    <w:rsid w:val="00D45D64"/>
    <w:rsid w:val="00D4631E"/>
    <w:rsid w:val="00D46AA4"/>
    <w:rsid w:val="00D474D7"/>
    <w:rsid w:val="00D50288"/>
    <w:rsid w:val="00D502F6"/>
    <w:rsid w:val="00D50327"/>
    <w:rsid w:val="00D50BAF"/>
    <w:rsid w:val="00D50E12"/>
    <w:rsid w:val="00D5140E"/>
    <w:rsid w:val="00D51542"/>
    <w:rsid w:val="00D51602"/>
    <w:rsid w:val="00D517E6"/>
    <w:rsid w:val="00D51801"/>
    <w:rsid w:val="00D52290"/>
    <w:rsid w:val="00D522DE"/>
    <w:rsid w:val="00D52380"/>
    <w:rsid w:val="00D5270F"/>
    <w:rsid w:val="00D52B7B"/>
    <w:rsid w:val="00D54128"/>
    <w:rsid w:val="00D548D4"/>
    <w:rsid w:val="00D54CCE"/>
    <w:rsid w:val="00D55157"/>
    <w:rsid w:val="00D552C4"/>
    <w:rsid w:val="00D55412"/>
    <w:rsid w:val="00D55589"/>
    <w:rsid w:val="00D558C6"/>
    <w:rsid w:val="00D55F15"/>
    <w:rsid w:val="00D55FE9"/>
    <w:rsid w:val="00D560B4"/>
    <w:rsid w:val="00D56633"/>
    <w:rsid w:val="00D5716A"/>
    <w:rsid w:val="00D602F3"/>
    <w:rsid w:val="00D606D6"/>
    <w:rsid w:val="00D608E3"/>
    <w:rsid w:val="00D61010"/>
    <w:rsid w:val="00D61370"/>
    <w:rsid w:val="00D613BF"/>
    <w:rsid w:val="00D6202D"/>
    <w:rsid w:val="00D62192"/>
    <w:rsid w:val="00D6235D"/>
    <w:rsid w:val="00D62586"/>
    <w:rsid w:val="00D62869"/>
    <w:rsid w:val="00D62E52"/>
    <w:rsid w:val="00D633E4"/>
    <w:rsid w:val="00D639D4"/>
    <w:rsid w:val="00D63AEC"/>
    <w:rsid w:val="00D63B72"/>
    <w:rsid w:val="00D63D89"/>
    <w:rsid w:val="00D64016"/>
    <w:rsid w:val="00D64644"/>
    <w:rsid w:val="00D64F37"/>
    <w:rsid w:val="00D65917"/>
    <w:rsid w:val="00D65D26"/>
    <w:rsid w:val="00D660B5"/>
    <w:rsid w:val="00D66137"/>
    <w:rsid w:val="00D66184"/>
    <w:rsid w:val="00D664A4"/>
    <w:rsid w:val="00D66A5C"/>
    <w:rsid w:val="00D66CAA"/>
    <w:rsid w:val="00D67026"/>
    <w:rsid w:val="00D671A9"/>
    <w:rsid w:val="00D671FA"/>
    <w:rsid w:val="00D678E8"/>
    <w:rsid w:val="00D67B0A"/>
    <w:rsid w:val="00D708D7"/>
    <w:rsid w:val="00D708F8"/>
    <w:rsid w:val="00D70BA6"/>
    <w:rsid w:val="00D70BA7"/>
    <w:rsid w:val="00D70CE2"/>
    <w:rsid w:val="00D70D50"/>
    <w:rsid w:val="00D712B2"/>
    <w:rsid w:val="00D718E7"/>
    <w:rsid w:val="00D71D8D"/>
    <w:rsid w:val="00D71E4B"/>
    <w:rsid w:val="00D72907"/>
    <w:rsid w:val="00D72AE6"/>
    <w:rsid w:val="00D72FC5"/>
    <w:rsid w:val="00D73181"/>
    <w:rsid w:val="00D73239"/>
    <w:rsid w:val="00D735D8"/>
    <w:rsid w:val="00D739E4"/>
    <w:rsid w:val="00D73AB6"/>
    <w:rsid w:val="00D73EB4"/>
    <w:rsid w:val="00D73FA7"/>
    <w:rsid w:val="00D74333"/>
    <w:rsid w:val="00D74474"/>
    <w:rsid w:val="00D74ECA"/>
    <w:rsid w:val="00D74FB9"/>
    <w:rsid w:val="00D75032"/>
    <w:rsid w:val="00D75244"/>
    <w:rsid w:val="00D75277"/>
    <w:rsid w:val="00D75971"/>
    <w:rsid w:val="00D75A5E"/>
    <w:rsid w:val="00D764D2"/>
    <w:rsid w:val="00D7672C"/>
    <w:rsid w:val="00D76B29"/>
    <w:rsid w:val="00D76C20"/>
    <w:rsid w:val="00D77025"/>
    <w:rsid w:val="00D77162"/>
    <w:rsid w:val="00D77619"/>
    <w:rsid w:val="00D77974"/>
    <w:rsid w:val="00D77AFD"/>
    <w:rsid w:val="00D77DD1"/>
    <w:rsid w:val="00D80001"/>
    <w:rsid w:val="00D8078B"/>
    <w:rsid w:val="00D8092A"/>
    <w:rsid w:val="00D80A26"/>
    <w:rsid w:val="00D80AA2"/>
    <w:rsid w:val="00D80E86"/>
    <w:rsid w:val="00D81920"/>
    <w:rsid w:val="00D81CA6"/>
    <w:rsid w:val="00D81F63"/>
    <w:rsid w:val="00D82067"/>
    <w:rsid w:val="00D8270A"/>
    <w:rsid w:val="00D82BF3"/>
    <w:rsid w:val="00D82C48"/>
    <w:rsid w:val="00D82FDD"/>
    <w:rsid w:val="00D83136"/>
    <w:rsid w:val="00D8326C"/>
    <w:rsid w:val="00D833F4"/>
    <w:rsid w:val="00D8369C"/>
    <w:rsid w:val="00D83726"/>
    <w:rsid w:val="00D83874"/>
    <w:rsid w:val="00D838ED"/>
    <w:rsid w:val="00D84680"/>
    <w:rsid w:val="00D84991"/>
    <w:rsid w:val="00D84AF4"/>
    <w:rsid w:val="00D84BF2"/>
    <w:rsid w:val="00D8558E"/>
    <w:rsid w:val="00D855DD"/>
    <w:rsid w:val="00D85DC8"/>
    <w:rsid w:val="00D861B0"/>
    <w:rsid w:val="00D86458"/>
    <w:rsid w:val="00D8648A"/>
    <w:rsid w:val="00D86E24"/>
    <w:rsid w:val="00D87835"/>
    <w:rsid w:val="00D9088C"/>
    <w:rsid w:val="00D908EF"/>
    <w:rsid w:val="00D909A0"/>
    <w:rsid w:val="00D90BDA"/>
    <w:rsid w:val="00D91750"/>
    <w:rsid w:val="00D91D98"/>
    <w:rsid w:val="00D9206A"/>
    <w:rsid w:val="00D920A2"/>
    <w:rsid w:val="00D920ED"/>
    <w:rsid w:val="00D921FE"/>
    <w:rsid w:val="00D927B2"/>
    <w:rsid w:val="00D92AD1"/>
    <w:rsid w:val="00D937B6"/>
    <w:rsid w:val="00D93BE3"/>
    <w:rsid w:val="00D943DF"/>
    <w:rsid w:val="00D9440D"/>
    <w:rsid w:val="00D945ED"/>
    <w:rsid w:val="00D94F05"/>
    <w:rsid w:val="00D953ED"/>
    <w:rsid w:val="00D95B4F"/>
    <w:rsid w:val="00D95B8C"/>
    <w:rsid w:val="00D96287"/>
    <w:rsid w:val="00D964B2"/>
    <w:rsid w:val="00D96B36"/>
    <w:rsid w:val="00D96F00"/>
    <w:rsid w:val="00D972E9"/>
    <w:rsid w:val="00D97844"/>
    <w:rsid w:val="00D97DD2"/>
    <w:rsid w:val="00DA04FA"/>
    <w:rsid w:val="00DA0853"/>
    <w:rsid w:val="00DA0BED"/>
    <w:rsid w:val="00DA0D73"/>
    <w:rsid w:val="00DA1350"/>
    <w:rsid w:val="00DA1636"/>
    <w:rsid w:val="00DA1F7C"/>
    <w:rsid w:val="00DA3734"/>
    <w:rsid w:val="00DA3809"/>
    <w:rsid w:val="00DA3970"/>
    <w:rsid w:val="00DA5119"/>
    <w:rsid w:val="00DA526C"/>
    <w:rsid w:val="00DA5CEF"/>
    <w:rsid w:val="00DA5DDD"/>
    <w:rsid w:val="00DA5E6C"/>
    <w:rsid w:val="00DA6091"/>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87D"/>
    <w:rsid w:val="00DB1D13"/>
    <w:rsid w:val="00DB1F31"/>
    <w:rsid w:val="00DB2FF4"/>
    <w:rsid w:val="00DB3289"/>
    <w:rsid w:val="00DB3549"/>
    <w:rsid w:val="00DB39B9"/>
    <w:rsid w:val="00DB3ED2"/>
    <w:rsid w:val="00DB40C5"/>
    <w:rsid w:val="00DB42A8"/>
    <w:rsid w:val="00DB46C8"/>
    <w:rsid w:val="00DB49E7"/>
    <w:rsid w:val="00DB4A15"/>
    <w:rsid w:val="00DB4CE7"/>
    <w:rsid w:val="00DB56E2"/>
    <w:rsid w:val="00DB66A2"/>
    <w:rsid w:val="00DB69E2"/>
    <w:rsid w:val="00DB736D"/>
    <w:rsid w:val="00DB7776"/>
    <w:rsid w:val="00DB7957"/>
    <w:rsid w:val="00DC03D2"/>
    <w:rsid w:val="00DC0966"/>
    <w:rsid w:val="00DC10B8"/>
    <w:rsid w:val="00DC123C"/>
    <w:rsid w:val="00DC1611"/>
    <w:rsid w:val="00DC165C"/>
    <w:rsid w:val="00DC19B0"/>
    <w:rsid w:val="00DC1AD8"/>
    <w:rsid w:val="00DC1DB6"/>
    <w:rsid w:val="00DC1F7F"/>
    <w:rsid w:val="00DC2059"/>
    <w:rsid w:val="00DC20B6"/>
    <w:rsid w:val="00DC28FC"/>
    <w:rsid w:val="00DC3303"/>
    <w:rsid w:val="00DC33C5"/>
    <w:rsid w:val="00DC35B7"/>
    <w:rsid w:val="00DC4119"/>
    <w:rsid w:val="00DC4186"/>
    <w:rsid w:val="00DC4457"/>
    <w:rsid w:val="00DC44DF"/>
    <w:rsid w:val="00DC479C"/>
    <w:rsid w:val="00DC547A"/>
    <w:rsid w:val="00DC5854"/>
    <w:rsid w:val="00DC5858"/>
    <w:rsid w:val="00DC5E6C"/>
    <w:rsid w:val="00DC616C"/>
    <w:rsid w:val="00DC61FE"/>
    <w:rsid w:val="00DC65B7"/>
    <w:rsid w:val="00DC701E"/>
    <w:rsid w:val="00DC76D2"/>
    <w:rsid w:val="00DC7720"/>
    <w:rsid w:val="00DC794D"/>
    <w:rsid w:val="00DC7BDA"/>
    <w:rsid w:val="00DD0033"/>
    <w:rsid w:val="00DD012E"/>
    <w:rsid w:val="00DD03CC"/>
    <w:rsid w:val="00DD0AED"/>
    <w:rsid w:val="00DD10C1"/>
    <w:rsid w:val="00DD11CB"/>
    <w:rsid w:val="00DD12D5"/>
    <w:rsid w:val="00DD1462"/>
    <w:rsid w:val="00DD1727"/>
    <w:rsid w:val="00DD1C40"/>
    <w:rsid w:val="00DD1EC0"/>
    <w:rsid w:val="00DD24BF"/>
    <w:rsid w:val="00DD2598"/>
    <w:rsid w:val="00DD27A2"/>
    <w:rsid w:val="00DD2978"/>
    <w:rsid w:val="00DD3220"/>
    <w:rsid w:val="00DD3624"/>
    <w:rsid w:val="00DD3B62"/>
    <w:rsid w:val="00DD40FB"/>
    <w:rsid w:val="00DD41A4"/>
    <w:rsid w:val="00DD42A2"/>
    <w:rsid w:val="00DD42EB"/>
    <w:rsid w:val="00DD4607"/>
    <w:rsid w:val="00DD460A"/>
    <w:rsid w:val="00DD4E93"/>
    <w:rsid w:val="00DD5297"/>
    <w:rsid w:val="00DD5411"/>
    <w:rsid w:val="00DD5615"/>
    <w:rsid w:val="00DD5D05"/>
    <w:rsid w:val="00DD7355"/>
    <w:rsid w:val="00DD7911"/>
    <w:rsid w:val="00DD7C8D"/>
    <w:rsid w:val="00DD7EBC"/>
    <w:rsid w:val="00DD7F0E"/>
    <w:rsid w:val="00DE00F6"/>
    <w:rsid w:val="00DE0546"/>
    <w:rsid w:val="00DE09A2"/>
    <w:rsid w:val="00DE127B"/>
    <w:rsid w:val="00DE1441"/>
    <w:rsid w:val="00DE14C4"/>
    <w:rsid w:val="00DE177C"/>
    <w:rsid w:val="00DE1885"/>
    <w:rsid w:val="00DE27E2"/>
    <w:rsid w:val="00DE2A2F"/>
    <w:rsid w:val="00DE2E32"/>
    <w:rsid w:val="00DE3762"/>
    <w:rsid w:val="00DE3974"/>
    <w:rsid w:val="00DE4452"/>
    <w:rsid w:val="00DE4691"/>
    <w:rsid w:val="00DE4B89"/>
    <w:rsid w:val="00DE4C29"/>
    <w:rsid w:val="00DE4C4E"/>
    <w:rsid w:val="00DE5035"/>
    <w:rsid w:val="00DE514F"/>
    <w:rsid w:val="00DE58E2"/>
    <w:rsid w:val="00DE59F3"/>
    <w:rsid w:val="00DE5C64"/>
    <w:rsid w:val="00DE652D"/>
    <w:rsid w:val="00DE6C14"/>
    <w:rsid w:val="00DE6D19"/>
    <w:rsid w:val="00DE7530"/>
    <w:rsid w:val="00DE790A"/>
    <w:rsid w:val="00DE7D6A"/>
    <w:rsid w:val="00DF060F"/>
    <w:rsid w:val="00DF0C74"/>
    <w:rsid w:val="00DF115E"/>
    <w:rsid w:val="00DF11AF"/>
    <w:rsid w:val="00DF2899"/>
    <w:rsid w:val="00DF2DB0"/>
    <w:rsid w:val="00DF303D"/>
    <w:rsid w:val="00DF34D6"/>
    <w:rsid w:val="00DF3825"/>
    <w:rsid w:val="00DF4399"/>
    <w:rsid w:val="00DF46B9"/>
    <w:rsid w:val="00DF4842"/>
    <w:rsid w:val="00DF4C37"/>
    <w:rsid w:val="00DF50C1"/>
    <w:rsid w:val="00DF53F7"/>
    <w:rsid w:val="00DF54E2"/>
    <w:rsid w:val="00DF586F"/>
    <w:rsid w:val="00DF5A44"/>
    <w:rsid w:val="00DF5E08"/>
    <w:rsid w:val="00DF5FCA"/>
    <w:rsid w:val="00DF643C"/>
    <w:rsid w:val="00DF661D"/>
    <w:rsid w:val="00DF6842"/>
    <w:rsid w:val="00DF6A5C"/>
    <w:rsid w:val="00DF6DB9"/>
    <w:rsid w:val="00DF6E91"/>
    <w:rsid w:val="00DF6F47"/>
    <w:rsid w:val="00DF7E3D"/>
    <w:rsid w:val="00E00337"/>
    <w:rsid w:val="00E00431"/>
    <w:rsid w:val="00E00480"/>
    <w:rsid w:val="00E005F8"/>
    <w:rsid w:val="00E01019"/>
    <w:rsid w:val="00E012C0"/>
    <w:rsid w:val="00E0136E"/>
    <w:rsid w:val="00E013B0"/>
    <w:rsid w:val="00E01580"/>
    <w:rsid w:val="00E01619"/>
    <w:rsid w:val="00E018F8"/>
    <w:rsid w:val="00E0263A"/>
    <w:rsid w:val="00E0268D"/>
    <w:rsid w:val="00E02FBC"/>
    <w:rsid w:val="00E032CB"/>
    <w:rsid w:val="00E034D6"/>
    <w:rsid w:val="00E03779"/>
    <w:rsid w:val="00E03E95"/>
    <w:rsid w:val="00E03FA9"/>
    <w:rsid w:val="00E042A5"/>
    <w:rsid w:val="00E044C9"/>
    <w:rsid w:val="00E047FD"/>
    <w:rsid w:val="00E052C4"/>
    <w:rsid w:val="00E0538F"/>
    <w:rsid w:val="00E053FA"/>
    <w:rsid w:val="00E05B29"/>
    <w:rsid w:val="00E05C30"/>
    <w:rsid w:val="00E05D78"/>
    <w:rsid w:val="00E0622F"/>
    <w:rsid w:val="00E0658D"/>
    <w:rsid w:val="00E06A08"/>
    <w:rsid w:val="00E06A77"/>
    <w:rsid w:val="00E06CF2"/>
    <w:rsid w:val="00E07561"/>
    <w:rsid w:val="00E07644"/>
    <w:rsid w:val="00E07B8A"/>
    <w:rsid w:val="00E10275"/>
    <w:rsid w:val="00E109FF"/>
    <w:rsid w:val="00E10BBB"/>
    <w:rsid w:val="00E1150F"/>
    <w:rsid w:val="00E1205E"/>
    <w:rsid w:val="00E122E4"/>
    <w:rsid w:val="00E1243F"/>
    <w:rsid w:val="00E12A70"/>
    <w:rsid w:val="00E12FCA"/>
    <w:rsid w:val="00E13170"/>
    <w:rsid w:val="00E13B55"/>
    <w:rsid w:val="00E1443F"/>
    <w:rsid w:val="00E14786"/>
    <w:rsid w:val="00E14B33"/>
    <w:rsid w:val="00E14F30"/>
    <w:rsid w:val="00E15114"/>
    <w:rsid w:val="00E15180"/>
    <w:rsid w:val="00E15215"/>
    <w:rsid w:val="00E15AF5"/>
    <w:rsid w:val="00E161EE"/>
    <w:rsid w:val="00E16463"/>
    <w:rsid w:val="00E167E5"/>
    <w:rsid w:val="00E17022"/>
    <w:rsid w:val="00E173EB"/>
    <w:rsid w:val="00E174F3"/>
    <w:rsid w:val="00E1755D"/>
    <w:rsid w:val="00E17623"/>
    <w:rsid w:val="00E17915"/>
    <w:rsid w:val="00E17AAA"/>
    <w:rsid w:val="00E17C6F"/>
    <w:rsid w:val="00E17C9D"/>
    <w:rsid w:val="00E17F2A"/>
    <w:rsid w:val="00E2009B"/>
    <w:rsid w:val="00E20FF9"/>
    <w:rsid w:val="00E2140B"/>
    <w:rsid w:val="00E21B42"/>
    <w:rsid w:val="00E21C55"/>
    <w:rsid w:val="00E21C5E"/>
    <w:rsid w:val="00E21F3C"/>
    <w:rsid w:val="00E22716"/>
    <w:rsid w:val="00E22904"/>
    <w:rsid w:val="00E22CE5"/>
    <w:rsid w:val="00E23148"/>
    <w:rsid w:val="00E23184"/>
    <w:rsid w:val="00E23482"/>
    <w:rsid w:val="00E236A1"/>
    <w:rsid w:val="00E2370D"/>
    <w:rsid w:val="00E23B6F"/>
    <w:rsid w:val="00E23D42"/>
    <w:rsid w:val="00E23D6F"/>
    <w:rsid w:val="00E23DEF"/>
    <w:rsid w:val="00E241B3"/>
    <w:rsid w:val="00E24203"/>
    <w:rsid w:val="00E24385"/>
    <w:rsid w:val="00E250C3"/>
    <w:rsid w:val="00E25150"/>
    <w:rsid w:val="00E251F8"/>
    <w:rsid w:val="00E25375"/>
    <w:rsid w:val="00E25638"/>
    <w:rsid w:val="00E25FED"/>
    <w:rsid w:val="00E26330"/>
    <w:rsid w:val="00E26629"/>
    <w:rsid w:val="00E26A42"/>
    <w:rsid w:val="00E26F30"/>
    <w:rsid w:val="00E275D7"/>
    <w:rsid w:val="00E31418"/>
    <w:rsid w:val="00E31619"/>
    <w:rsid w:val="00E31D0A"/>
    <w:rsid w:val="00E31D77"/>
    <w:rsid w:val="00E31E62"/>
    <w:rsid w:val="00E31EB3"/>
    <w:rsid w:val="00E32410"/>
    <w:rsid w:val="00E32504"/>
    <w:rsid w:val="00E32908"/>
    <w:rsid w:val="00E330C1"/>
    <w:rsid w:val="00E33278"/>
    <w:rsid w:val="00E336D5"/>
    <w:rsid w:val="00E3495B"/>
    <w:rsid w:val="00E34BD7"/>
    <w:rsid w:val="00E34CE5"/>
    <w:rsid w:val="00E35118"/>
    <w:rsid w:val="00E352A7"/>
    <w:rsid w:val="00E35454"/>
    <w:rsid w:val="00E357AE"/>
    <w:rsid w:val="00E35887"/>
    <w:rsid w:val="00E35B78"/>
    <w:rsid w:val="00E361B9"/>
    <w:rsid w:val="00E36AE8"/>
    <w:rsid w:val="00E3727A"/>
    <w:rsid w:val="00E378B2"/>
    <w:rsid w:val="00E37A5D"/>
    <w:rsid w:val="00E4017A"/>
    <w:rsid w:val="00E40325"/>
    <w:rsid w:val="00E40329"/>
    <w:rsid w:val="00E409B3"/>
    <w:rsid w:val="00E40C87"/>
    <w:rsid w:val="00E417F4"/>
    <w:rsid w:val="00E41D0E"/>
    <w:rsid w:val="00E41E33"/>
    <w:rsid w:val="00E421A2"/>
    <w:rsid w:val="00E42515"/>
    <w:rsid w:val="00E42613"/>
    <w:rsid w:val="00E427F9"/>
    <w:rsid w:val="00E42E72"/>
    <w:rsid w:val="00E43BEE"/>
    <w:rsid w:val="00E43CB6"/>
    <w:rsid w:val="00E44788"/>
    <w:rsid w:val="00E447BA"/>
    <w:rsid w:val="00E4493E"/>
    <w:rsid w:val="00E44A46"/>
    <w:rsid w:val="00E4539C"/>
    <w:rsid w:val="00E454B2"/>
    <w:rsid w:val="00E4554A"/>
    <w:rsid w:val="00E458AF"/>
    <w:rsid w:val="00E45B53"/>
    <w:rsid w:val="00E45FC2"/>
    <w:rsid w:val="00E46277"/>
    <w:rsid w:val="00E46394"/>
    <w:rsid w:val="00E4645D"/>
    <w:rsid w:val="00E4655A"/>
    <w:rsid w:val="00E46738"/>
    <w:rsid w:val="00E46760"/>
    <w:rsid w:val="00E46891"/>
    <w:rsid w:val="00E46D34"/>
    <w:rsid w:val="00E46E61"/>
    <w:rsid w:val="00E46F6E"/>
    <w:rsid w:val="00E47195"/>
    <w:rsid w:val="00E471B8"/>
    <w:rsid w:val="00E471F5"/>
    <w:rsid w:val="00E47847"/>
    <w:rsid w:val="00E47A28"/>
    <w:rsid w:val="00E47E1A"/>
    <w:rsid w:val="00E50866"/>
    <w:rsid w:val="00E50BDA"/>
    <w:rsid w:val="00E50EB6"/>
    <w:rsid w:val="00E51026"/>
    <w:rsid w:val="00E5118D"/>
    <w:rsid w:val="00E511D0"/>
    <w:rsid w:val="00E51515"/>
    <w:rsid w:val="00E51574"/>
    <w:rsid w:val="00E52FD1"/>
    <w:rsid w:val="00E53423"/>
    <w:rsid w:val="00E53778"/>
    <w:rsid w:val="00E53A69"/>
    <w:rsid w:val="00E53DA0"/>
    <w:rsid w:val="00E53EC7"/>
    <w:rsid w:val="00E5400B"/>
    <w:rsid w:val="00E54519"/>
    <w:rsid w:val="00E54D27"/>
    <w:rsid w:val="00E557B2"/>
    <w:rsid w:val="00E55A07"/>
    <w:rsid w:val="00E55E55"/>
    <w:rsid w:val="00E55FCF"/>
    <w:rsid w:val="00E56165"/>
    <w:rsid w:val="00E5694F"/>
    <w:rsid w:val="00E56CAD"/>
    <w:rsid w:val="00E56F55"/>
    <w:rsid w:val="00E5791F"/>
    <w:rsid w:val="00E57A2B"/>
    <w:rsid w:val="00E57E03"/>
    <w:rsid w:val="00E60083"/>
    <w:rsid w:val="00E6123F"/>
    <w:rsid w:val="00E616E6"/>
    <w:rsid w:val="00E61CD9"/>
    <w:rsid w:val="00E61E7B"/>
    <w:rsid w:val="00E6208C"/>
    <w:rsid w:val="00E629EC"/>
    <w:rsid w:val="00E62A78"/>
    <w:rsid w:val="00E62AD6"/>
    <w:rsid w:val="00E62CEF"/>
    <w:rsid w:val="00E6335C"/>
    <w:rsid w:val="00E635C1"/>
    <w:rsid w:val="00E63753"/>
    <w:rsid w:val="00E63CEB"/>
    <w:rsid w:val="00E65056"/>
    <w:rsid w:val="00E6554D"/>
    <w:rsid w:val="00E655CC"/>
    <w:rsid w:val="00E6697D"/>
    <w:rsid w:val="00E66CDF"/>
    <w:rsid w:val="00E66DAF"/>
    <w:rsid w:val="00E66DB8"/>
    <w:rsid w:val="00E673FC"/>
    <w:rsid w:val="00E676F3"/>
    <w:rsid w:val="00E70373"/>
    <w:rsid w:val="00E70537"/>
    <w:rsid w:val="00E70D07"/>
    <w:rsid w:val="00E70DF7"/>
    <w:rsid w:val="00E710D1"/>
    <w:rsid w:val="00E713A5"/>
    <w:rsid w:val="00E715E3"/>
    <w:rsid w:val="00E7171D"/>
    <w:rsid w:val="00E71F93"/>
    <w:rsid w:val="00E72671"/>
    <w:rsid w:val="00E727A6"/>
    <w:rsid w:val="00E72C9C"/>
    <w:rsid w:val="00E72EBE"/>
    <w:rsid w:val="00E730A6"/>
    <w:rsid w:val="00E730F0"/>
    <w:rsid w:val="00E73492"/>
    <w:rsid w:val="00E7356D"/>
    <w:rsid w:val="00E73593"/>
    <w:rsid w:val="00E737EA"/>
    <w:rsid w:val="00E7380D"/>
    <w:rsid w:val="00E73A1D"/>
    <w:rsid w:val="00E73B70"/>
    <w:rsid w:val="00E74E81"/>
    <w:rsid w:val="00E75388"/>
    <w:rsid w:val="00E755CA"/>
    <w:rsid w:val="00E757B1"/>
    <w:rsid w:val="00E763A8"/>
    <w:rsid w:val="00E76607"/>
    <w:rsid w:val="00E76CEC"/>
    <w:rsid w:val="00E76FFB"/>
    <w:rsid w:val="00E77144"/>
    <w:rsid w:val="00E77D40"/>
    <w:rsid w:val="00E800AB"/>
    <w:rsid w:val="00E8028C"/>
    <w:rsid w:val="00E80360"/>
    <w:rsid w:val="00E80953"/>
    <w:rsid w:val="00E810E3"/>
    <w:rsid w:val="00E81E74"/>
    <w:rsid w:val="00E81F93"/>
    <w:rsid w:val="00E8330A"/>
    <w:rsid w:val="00E834AA"/>
    <w:rsid w:val="00E83A28"/>
    <w:rsid w:val="00E83BE1"/>
    <w:rsid w:val="00E84B20"/>
    <w:rsid w:val="00E84BA0"/>
    <w:rsid w:val="00E84D0E"/>
    <w:rsid w:val="00E84E8A"/>
    <w:rsid w:val="00E85000"/>
    <w:rsid w:val="00E854DC"/>
    <w:rsid w:val="00E858AF"/>
    <w:rsid w:val="00E8593E"/>
    <w:rsid w:val="00E85B92"/>
    <w:rsid w:val="00E86178"/>
    <w:rsid w:val="00E8653F"/>
    <w:rsid w:val="00E86BCB"/>
    <w:rsid w:val="00E86EB8"/>
    <w:rsid w:val="00E87A07"/>
    <w:rsid w:val="00E90557"/>
    <w:rsid w:val="00E9059B"/>
    <w:rsid w:val="00E908F8"/>
    <w:rsid w:val="00E90AFA"/>
    <w:rsid w:val="00E90B01"/>
    <w:rsid w:val="00E90BE6"/>
    <w:rsid w:val="00E90BE8"/>
    <w:rsid w:val="00E90CA9"/>
    <w:rsid w:val="00E90F7B"/>
    <w:rsid w:val="00E90FEE"/>
    <w:rsid w:val="00E9113D"/>
    <w:rsid w:val="00E911D0"/>
    <w:rsid w:val="00E91892"/>
    <w:rsid w:val="00E92045"/>
    <w:rsid w:val="00E92420"/>
    <w:rsid w:val="00E929FE"/>
    <w:rsid w:val="00E92D55"/>
    <w:rsid w:val="00E92D81"/>
    <w:rsid w:val="00E92E6C"/>
    <w:rsid w:val="00E92FF9"/>
    <w:rsid w:val="00E93044"/>
    <w:rsid w:val="00E9359C"/>
    <w:rsid w:val="00E935AE"/>
    <w:rsid w:val="00E93852"/>
    <w:rsid w:val="00E93D6F"/>
    <w:rsid w:val="00E94124"/>
    <w:rsid w:val="00E94874"/>
    <w:rsid w:val="00E94F6B"/>
    <w:rsid w:val="00E95471"/>
    <w:rsid w:val="00E956C6"/>
    <w:rsid w:val="00E95B6A"/>
    <w:rsid w:val="00E9616B"/>
    <w:rsid w:val="00E96B77"/>
    <w:rsid w:val="00E96D01"/>
    <w:rsid w:val="00E96DAD"/>
    <w:rsid w:val="00E97884"/>
    <w:rsid w:val="00E97DDB"/>
    <w:rsid w:val="00EA02DE"/>
    <w:rsid w:val="00EA09E9"/>
    <w:rsid w:val="00EA1D91"/>
    <w:rsid w:val="00EA1FA2"/>
    <w:rsid w:val="00EA24FC"/>
    <w:rsid w:val="00EA256F"/>
    <w:rsid w:val="00EA3025"/>
    <w:rsid w:val="00EA37A1"/>
    <w:rsid w:val="00EA403D"/>
    <w:rsid w:val="00EA4575"/>
    <w:rsid w:val="00EA4D84"/>
    <w:rsid w:val="00EA4E1E"/>
    <w:rsid w:val="00EA4EB8"/>
    <w:rsid w:val="00EA4F61"/>
    <w:rsid w:val="00EA513F"/>
    <w:rsid w:val="00EA55FA"/>
    <w:rsid w:val="00EA57DB"/>
    <w:rsid w:val="00EA5AD9"/>
    <w:rsid w:val="00EA5B5D"/>
    <w:rsid w:val="00EA5D71"/>
    <w:rsid w:val="00EA5D8C"/>
    <w:rsid w:val="00EA65FA"/>
    <w:rsid w:val="00EA6925"/>
    <w:rsid w:val="00EA723D"/>
    <w:rsid w:val="00EA745D"/>
    <w:rsid w:val="00EA76C2"/>
    <w:rsid w:val="00EA76E9"/>
    <w:rsid w:val="00EA776D"/>
    <w:rsid w:val="00EA7FAA"/>
    <w:rsid w:val="00EB0017"/>
    <w:rsid w:val="00EB0BA9"/>
    <w:rsid w:val="00EB0E10"/>
    <w:rsid w:val="00EB0F32"/>
    <w:rsid w:val="00EB1661"/>
    <w:rsid w:val="00EB1743"/>
    <w:rsid w:val="00EB19AF"/>
    <w:rsid w:val="00EB1B0A"/>
    <w:rsid w:val="00EB1B52"/>
    <w:rsid w:val="00EB25D3"/>
    <w:rsid w:val="00EB2643"/>
    <w:rsid w:val="00EB2E07"/>
    <w:rsid w:val="00EB3838"/>
    <w:rsid w:val="00EB38EE"/>
    <w:rsid w:val="00EB38FF"/>
    <w:rsid w:val="00EB3A66"/>
    <w:rsid w:val="00EB4050"/>
    <w:rsid w:val="00EB4A21"/>
    <w:rsid w:val="00EB4A99"/>
    <w:rsid w:val="00EB4F9F"/>
    <w:rsid w:val="00EB50C0"/>
    <w:rsid w:val="00EB5122"/>
    <w:rsid w:val="00EB54D8"/>
    <w:rsid w:val="00EB57DD"/>
    <w:rsid w:val="00EB584E"/>
    <w:rsid w:val="00EB5B65"/>
    <w:rsid w:val="00EB5DC8"/>
    <w:rsid w:val="00EB5FEA"/>
    <w:rsid w:val="00EB6246"/>
    <w:rsid w:val="00EB6B30"/>
    <w:rsid w:val="00EB6CA3"/>
    <w:rsid w:val="00EB767E"/>
    <w:rsid w:val="00EB78D7"/>
    <w:rsid w:val="00EB79C1"/>
    <w:rsid w:val="00EB7DDC"/>
    <w:rsid w:val="00EC04FF"/>
    <w:rsid w:val="00EC0773"/>
    <w:rsid w:val="00EC086F"/>
    <w:rsid w:val="00EC0A95"/>
    <w:rsid w:val="00EC0AD9"/>
    <w:rsid w:val="00EC1145"/>
    <w:rsid w:val="00EC1B42"/>
    <w:rsid w:val="00EC2B2F"/>
    <w:rsid w:val="00EC3004"/>
    <w:rsid w:val="00EC31C4"/>
    <w:rsid w:val="00EC3B58"/>
    <w:rsid w:val="00EC3D88"/>
    <w:rsid w:val="00EC3E98"/>
    <w:rsid w:val="00EC4068"/>
    <w:rsid w:val="00EC4C38"/>
    <w:rsid w:val="00EC4E59"/>
    <w:rsid w:val="00EC5921"/>
    <w:rsid w:val="00EC5E25"/>
    <w:rsid w:val="00EC644B"/>
    <w:rsid w:val="00EC65EB"/>
    <w:rsid w:val="00EC660C"/>
    <w:rsid w:val="00EC68C3"/>
    <w:rsid w:val="00EC6C1A"/>
    <w:rsid w:val="00EC6DEB"/>
    <w:rsid w:val="00EC7390"/>
    <w:rsid w:val="00EC73F3"/>
    <w:rsid w:val="00EC766D"/>
    <w:rsid w:val="00EC7A37"/>
    <w:rsid w:val="00EC7A69"/>
    <w:rsid w:val="00EC7DEF"/>
    <w:rsid w:val="00ED0A64"/>
    <w:rsid w:val="00ED1208"/>
    <w:rsid w:val="00ED1280"/>
    <w:rsid w:val="00ED210C"/>
    <w:rsid w:val="00ED236F"/>
    <w:rsid w:val="00ED29FF"/>
    <w:rsid w:val="00ED2E3C"/>
    <w:rsid w:val="00ED2FB9"/>
    <w:rsid w:val="00ED2FC4"/>
    <w:rsid w:val="00ED30A2"/>
    <w:rsid w:val="00ED373F"/>
    <w:rsid w:val="00ED3A5B"/>
    <w:rsid w:val="00ED3B1B"/>
    <w:rsid w:val="00ED48F2"/>
    <w:rsid w:val="00ED499A"/>
    <w:rsid w:val="00ED4DDB"/>
    <w:rsid w:val="00ED62E6"/>
    <w:rsid w:val="00ED67DD"/>
    <w:rsid w:val="00ED7843"/>
    <w:rsid w:val="00EE0B24"/>
    <w:rsid w:val="00EE1741"/>
    <w:rsid w:val="00EE1AEF"/>
    <w:rsid w:val="00EE1B69"/>
    <w:rsid w:val="00EE1C1D"/>
    <w:rsid w:val="00EE1C79"/>
    <w:rsid w:val="00EE1DFF"/>
    <w:rsid w:val="00EE229E"/>
    <w:rsid w:val="00EE241F"/>
    <w:rsid w:val="00EE27AF"/>
    <w:rsid w:val="00EE2C47"/>
    <w:rsid w:val="00EE31AA"/>
    <w:rsid w:val="00EE369C"/>
    <w:rsid w:val="00EE36F8"/>
    <w:rsid w:val="00EE3A5E"/>
    <w:rsid w:val="00EE3DA2"/>
    <w:rsid w:val="00EE40B8"/>
    <w:rsid w:val="00EE438F"/>
    <w:rsid w:val="00EE494A"/>
    <w:rsid w:val="00EE497B"/>
    <w:rsid w:val="00EE49AB"/>
    <w:rsid w:val="00EE4C54"/>
    <w:rsid w:val="00EE4E68"/>
    <w:rsid w:val="00EE4F96"/>
    <w:rsid w:val="00EE529B"/>
    <w:rsid w:val="00EE52E9"/>
    <w:rsid w:val="00EE58D8"/>
    <w:rsid w:val="00EE5B23"/>
    <w:rsid w:val="00EE6093"/>
    <w:rsid w:val="00EE671B"/>
    <w:rsid w:val="00EE6DC4"/>
    <w:rsid w:val="00EE799A"/>
    <w:rsid w:val="00EE7A9C"/>
    <w:rsid w:val="00EE7AE5"/>
    <w:rsid w:val="00EE7CE6"/>
    <w:rsid w:val="00EE7F8E"/>
    <w:rsid w:val="00EE7FC0"/>
    <w:rsid w:val="00EF07D5"/>
    <w:rsid w:val="00EF124E"/>
    <w:rsid w:val="00EF195F"/>
    <w:rsid w:val="00EF1BB3"/>
    <w:rsid w:val="00EF23D2"/>
    <w:rsid w:val="00EF28B9"/>
    <w:rsid w:val="00EF29B9"/>
    <w:rsid w:val="00EF2D0E"/>
    <w:rsid w:val="00EF4C90"/>
    <w:rsid w:val="00EF5012"/>
    <w:rsid w:val="00EF5054"/>
    <w:rsid w:val="00EF575C"/>
    <w:rsid w:val="00EF5ED9"/>
    <w:rsid w:val="00EF6023"/>
    <w:rsid w:val="00EF63FD"/>
    <w:rsid w:val="00EF6C82"/>
    <w:rsid w:val="00EF6EE2"/>
    <w:rsid w:val="00F005B0"/>
    <w:rsid w:val="00F005BD"/>
    <w:rsid w:val="00F006B7"/>
    <w:rsid w:val="00F00947"/>
    <w:rsid w:val="00F009BB"/>
    <w:rsid w:val="00F011C6"/>
    <w:rsid w:val="00F018CF"/>
    <w:rsid w:val="00F01AF4"/>
    <w:rsid w:val="00F02204"/>
    <w:rsid w:val="00F02F93"/>
    <w:rsid w:val="00F040A6"/>
    <w:rsid w:val="00F053FA"/>
    <w:rsid w:val="00F05465"/>
    <w:rsid w:val="00F05AEE"/>
    <w:rsid w:val="00F05B57"/>
    <w:rsid w:val="00F05E01"/>
    <w:rsid w:val="00F0650A"/>
    <w:rsid w:val="00F06528"/>
    <w:rsid w:val="00F06B20"/>
    <w:rsid w:val="00F06F21"/>
    <w:rsid w:val="00F07348"/>
    <w:rsid w:val="00F07892"/>
    <w:rsid w:val="00F07A7D"/>
    <w:rsid w:val="00F07AF6"/>
    <w:rsid w:val="00F07DF6"/>
    <w:rsid w:val="00F10302"/>
    <w:rsid w:val="00F10375"/>
    <w:rsid w:val="00F10713"/>
    <w:rsid w:val="00F10714"/>
    <w:rsid w:val="00F10968"/>
    <w:rsid w:val="00F10B77"/>
    <w:rsid w:val="00F10C3D"/>
    <w:rsid w:val="00F10D72"/>
    <w:rsid w:val="00F1144B"/>
    <w:rsid w:val="00F114BF"/>
    <w:rsid w:val="00F114E7"/>
    <w:rsid w:val="00F11919"/>
    <w:rsid w:val="00F1283B"/>
    <w:rsid w:val="00F13440"/>
    <w:rsid w:val="00F137D2"/>
    <w:rsid w:val="00F13A0B"/>
    <w:rsid w:val="00F13A56"/>
    <w:rsid w:val="00F13F7C"/>
    <w:rsid w:val="00F13F89"/>
    <w:rsid w:val="00F14AA3"/>
    <w:rsid w:val="00F14BC4"/>
    <w:rsid w:val="00F14F98"/>
    <w:rsid w:val="00F15050"/>
    <w:rsid w:val="00F1525B"/>
    <w:rsid w:val="00F155CD"/>
    <w:rsid w:val="00F15701"/>
    <w:rsid w:val="00F15A02"/>
    <w:rsid w:val="00F15B07"/>
    <w:rsid w:val="00F16449"/>
    <w:rsid w:val="00F167E1"/>
    <w:rsid w:val="00F16B46"/>
    <w:rsid w:val="00F16CE6"/>
    <w:rsid w:val="00F16E37"/>
    <w:rsid w:val="00F171F7"/>
    <w:rsid w:val="00F1723C"/>
    <w:rsid w:val="00F17CD9"/>
    <w:rsid w:val="00F20013"/>
    <w:rsid w:val="00F20327"/>
    <w:rsid w:val="00F20395"/>
    <w:rsid w:val="00F205C3"/>
    <w:rsid w:val="00F20825"/>
    <w:rsid w:val="00F20A04"/>
    <w:rsid w:val="00F20F38"/>
    <w:rsid w:val="00F213F8"/>
    <w:rsid w:val="00F21750"/>
    <w:rsid w:val="00F21778"/>
    <w:rsid w:val="00F217F4"/>
    <w:rsid w:val="00F2192F"/>
    <w:rsid w:val="00F21A96"/>
    <w:rsid w:val="00F21D2E"/>
    <w:rsid w:val="00F21EEB"/>
    <w:rsid w:val="00F21FAD"/>
    <w:rsid w:val="00F22D88"/>
    <w:rsid w:val="00F22F02"/>
    <w:rsid w:val="00F23715"/>
    <w:rsid w:val="00F24ACA"/>
    <w:rsid w:val="00F24B79"/>
    <w:rsid w:val="00F25AFE"/>
    <w:rsid w:val="00F25F67"/>
    <w:rsid w:val="00F2607D"/>
    <w:rsid w:val="00F265E8"/>
    <w:rsid w:val="00F268B9"/>
    <w:rsid w:val="00F26A10"/>
    <w:rsid w:val="00F26B38"/>
    <w:rsid w:val="00F26E52"/>
    <w:rsid w:val="00F26F6D"/>
    <w:rsid w:val="00F271B9"/>
    <w:rsid w:val="00F272EF"/>
    <w:rsid w:val="00F2769B"/>
    <w:rsid w:val="00F27745"/>
    <w:rsid w:val="00F27D31"/>
    <w:rsid w:val="00F27FE8"/>
    <w:rsid w:val="00F303F8"/>
    <w:rsid w:val="00F30F7A"/>
    <w:rsid w:val="00F311CD"/>
    <w:rsid w:val="00F3131A"/>
    <w:rsid w:val="00F31456"/>
    <w:rsid w:val="00F315F5"/>
    <w:rsid w:val="00F317E2"/>
    <w:rsid w:val="00F31882"/>
    <w:rsid w:val="00F31EEA"/>
    <w:rsid w:val="00F32661"/>
    <w:rsid w:val="00F32987"/>
    <w:rsid w:val="00F32C75"/>
    <w:rsid w:val="00F32D86"/>
    <w:rsid w:val="00F33584"/>
    <w:rsid w:val="00F33D8C"/>
    <w:rsid w:val="00F3421F"/>
    <w:rsid w:val="00F34327"/>
    <w:rsid w:val="00F343D4"/>
    <w:rsid w:val="00F34EF1"/>
    <w:rsid w:val="00F3508E"/>
    <w:rsid w:val="00F351FD"/>
    <w:rsid w:val="00F35976"/>
    <w:rsid w:val="00F359A0"/>
    <w:rsid w:val="00F35ACD"/>
    <w:rsid w:val="00F35D0B"/>
    <w:rsid w:val="00F36239"/>
    <w:rsid w:val="00F3631B"/>
    <w:rsid w:val="00F364F3"/>
    <w:rsid w:val="00F367F6"/>
    <w:rsid w:val="00F36EE9"/>
    <w:rsid w:val="00F372EB"/>
    <w:rsid w:val="00F37988"/>
    <w:rsid w:val="00F37DAB"/>
    <w:rsid w:val="00F4009C"/>
    <w:rsid w:val="00F401E6"/>
    <w:rsid w:val="00F4098D"/>
    <w:rsid w:val="00F40EDF"/>
    <w:rsid w:val="00F40F2E"/>
    <w:rsid w:val="00F41084"/>
    <w:rsid w:val="00F41C56"/>
    <w:rsid w:val="00F41CD9"/>
    <w:rsid w:val="00F420B4"/>
    <w:rsid w:val="00F421A4"/>
    <w:rsid w:val="00F421E3"/>
    <w:rsid w:val="00F42BB8"/>
    <w:rsid w:val="00F42F37"/>
    <w:rsid w:val="00F432CA"/>
    <w:rsid w:val="00F432F5"/>
    <w:rsid w:val="00F434A1"/>
    <w:rsid w:val="00F43D17"/>
    <w:rsid w:val="00F44A5D"/>
    <w:rsid w:val="00F45163"/>
    <w:rsid w:val="00F452C0"/>
    <w:rsid w:val="00F45456"/>
    <w:rsid w:val="00F45974"/>
    <w:rsid w:val="00F45DD7"/>
    <w:rsid w:val="00F46111"/>
    <w:rsid w:val="00F46567"/>
    <w:rsid w:val="00F465F1"/>
    <w:rsid w:val="00F46E6C"/>
    <w:rsid w:val="00F47735"/>
    <w:rsid w:val="00F47996"/>
    <w:rsid w:val="00F47CA9"/>
    <w:rsid w:val="00F47E12"/>
    <w:rsid w:val="00F518E0"/>
    <w:rsid w:val="00F51958"/>
    <w:rsid w:val="00F52183"/>
    <w:rsid w:val="00F521EF"/>
    <w:rsid w:val="00F52467"/>
    <w:rsid w:val="00F524E2"/>
    <w:rsid w:val="00F5276A"/>
    <w:rsid w:val="00F529C2"/>
    <w:rsid w:val="00F52D49"/>
    <w:rsid w:val="00F52EBA"/>
    <w:rsid w:val="00F5309B"/>
    <w:rsid w:val="00F5323F"/>
    <w:rsid w:val="00F5350F"/>
    <w:rsid w:val="00F53831"/>
    <w:rsid w:val="00F53927"/>
    <w:rsid w:val="00F5447F"/>
    <w:rsid w:val="00F54607"/>
    <w:rsid w:val="00F54DC5"/>
    <w:rsid w:val="00F54F92"/>
    <w:rsid w:val="00F55455"/>
    <w:rsid w:val="00F55524"/>
    <w:rsid w:val="00F559C3"/>
    <w:rsid w:val="00F55A38"/>
    <w:rsid w:val="00F56244"/>
    <w:rsid w:val="00F56480"/>
    <w:rsid w:val="00F5649C"/>
    <w:rsid w:val="00F56613"/>
    <w:rsid w:val="00F5670C"/>
    <w:rsid w:val="00F5671A"/>
    <w:rsid w:val="00F56BFA"/>
    <w:rsid w:val="00F56FF4"/>
    <w:rsid w:val="00F5704F"/>
    <w:rsid w:val="00F57504"/>
    <w:rsid w:val="00F5765E"/>
    <w:rsid w:val="00F57C5F"/>
    <w:rsid w:val="00F600BA"/>
    <w:rsid w:val="00F60228"/>
    <w:rsid w:val="00F6032F"/>
    <w:rsid w:val="00F60977"/>
    <w:rsid w:val="00F611D9"/>
    <w:rsid w:val="00F61295"/>
    <w:rsid w:val="00F615A4"/>
    <w:rsid w:val="00F615DE"/>
    <w:rsid w:val="00F618C7"/>
    <w:rsid w:val="00F618C8"/>
    <w:rsid w:val="00F61D70"/>
    <w:rsid w:val="00F61EF8"/>
    <w:rsid w:val="00F62364"/>
    <w:rsid w:val="00F6284E"/>
    <w:rsid w:val="00F62C25"/>
    <w:rsid w:val="00F631F6"/>
    <w:rsid w:val="00F63210"/>
    <w:rsid w:val="00F6331E"/>
    <w:rsid w:val="00F63EA9"/>
    <w:rsid w:val="00F64583"/>
    <w:rsid w:val="00F6461D"/>
    <w:rsid w:val="00F64B83"/>
    <w:rsid w:val="00F64E36"/>
    <w:rsid w:val="00F64EEA"/>
    <w:rsid w:val="00F6599E"/>
    <w:rsid w:val="00F65EDF"/>
    <w:rsid w:val="00F663BC"/>
    <w:rsid w:val="00F670EB"/>
    <w:rsid w:val="00F6754E"/>
    <w:rsid w:val="00F676B3"/>
    <w:rsid w:val="00F679DE"/>
    <w:rsid w:val="00F700D6"/>
    <w:rsid w:val="00F7041E"/>
    <w:rsid w:val="00F70779"/>
    <w:rsid w:val="00F7077A"/>
    <w:rsid w:val="00F70888"/>
    <w:rsid w:val="00F712C5"/>
    <w:rsid w:val="00F71331"/>
    <w:rsid w:val="00F717CA"/>
    <w:rsid w:val="00F72850"/>
    <w:rsid w:val="00F72901"/>
    <w:rsid w:val="00F729D6"/>
    <w:rsid w:val="00F72B36"/>
    <w:rsid w:val="00F72BDA"/>
    <w:rsid w:val="00F72DC7"/>
    <w:rsid w:val="00F72F3A"/>
    <w:rsid w:val="00F73627"/>
    <w:rsid w:val="00F74936"/>
    <w:rsid w:val="00F74AE2"/>
    <w:rsid w:val="00F74C9E"/>
    <w:rsid w:val="00F74D22"/>
    <w:rsid w:val="00F75602"/>
    <w:rsid w:val="00F7577D"/>
    <w:rsid w:val="00F75AE3"/>
    <w:rsid w:val="00F75D76"/>
    <w:rsid w:val="00F75DF4"/>
    <w:rsid w:val="00F7600C"/>
    <w:rsid w:val="00F761AA"/>
    <w:rsid w:val="00F76465"/>
    <w:rsid w:val="00F76523"/>
    <w:rsid w:val="00F76901"/>
    <w:rsid w:val="00F769D8"/>
    <w:rsid w:val="00F76CA5"/>
    <w:rsid w:val="00F77003"/>
    <w:rsid w:val="00F7798B"/>
    <w:rsid w:val="00F77CDB"/>
    <w:rsid w:val="00F8017D"/>
    <w:rsid w:val="00F810BC"/>
    <w:rsid w:val="00F81145"/>
    <w:rsid w:val="00F8118D"/>
    <w:rsid w:val="00F811D2"/>
    <w:rsid w:val="00F81366"/>
    <w:rsid w:val="00F818A8"/>
    <w:rsid w:val="00F81B35"/>
    <w:rsid w:val="00F81C97"/>
    <w:rsid w:val="00F81F04"/>
    <w:rsid w:val="00F81F16"/>
    <w:rsid w:val="00F81F8D"/>
    <w:rsid w:val="00F824E0"/>
    <w:rsid w:val="00F828F9"/>
    <w:rsid w:val="00F82CC6"/>
    <w:rsid w:val="00F83046"/>
    <w:rsid w:val="00F83166"/>
    <w:rsid w:val="00F8318B"/>
    <w:rsid w:val="00F83407"/>
    <w:rsid w:val="00F8347F"/>
    <w:rsid w:val="00F83737"/>
    <w:rsid w:val="00F83BFF"/>
    <w:rsid w:val="00F83D31"/>
    <w:rsid w:val="00F83DDB"/>
    <w:rsid w:val="00F845ED"/>
    <w:rsid w:val="00F8461A"/>
    <w:rsid w:val="00F84A01"/>
    <w:rsid w:val="00F84F86"/>
    <w:rsid w:val="00F857D1"/>
    <w:rsid w:val="00F85DB8"/>
    <w:rsid w:val="00F85E89"/>
    <w:rsid w:val="00F85EF1"/>
    <w:rsid w:val="00F86035"/>
    <w:rsid w:val="00F86246"/>
    <w:rsid w:val="00F863B1"/>
    <w:rsid w:val="00F87D87"/>
    <w:rsid w:val="00F90179"/>
    <w:rsid w:val="00F9028C"/>
    <w:rsid w:val="00F90325"/>
    <w:rsid w:val="00F903D6"/>
    <w:rsid w:val="00F90931"/>
    <w:rsid w:val="00F90A5B"/>
    <w:rsid w:val="00F90BAA"/>
    <w:rsid w:val="00F920C9"/>
    <w:rsid w:val="00F92266"/>
    <w:rsid w:val="00F9247D"/>
    <w:rsid w:val="00F925CB"/>
    <w:rsid w:val="00F933DF"/>
    <w:rsid w:val="00F93530"/>
    <w:rsid w:val="00F93540"/>
    <w:rsid w:val="00F938C9"/>
    <w:rsid w:val="00F93B78"/>
    <w:rsid w:val="00F93FE2"/>
    <w:rsid w:val="00F944C1"/>
    <w:rsid w:val="00F94B40"/>
    <w:rsid w:val="00F95281"/>
    <w:rsid w:val="00F95490"/>
    <w:rsid w:val="00F95BEB"/>
    <w:rsid w:val="00F96A4F"/>
    <w:rsid w:val="00F96C57"/>
    <w:rsid w:val="00F971A4"/>
    <w:rsid w:val="00F9790D"/>
    <w:rsid w:val="00F979CD"/>
    <w:rsid w:val="00F97A36"/>
    <w:rsid w:val="00F97B92"/>
    <w:rsid w:val="00F97FCC"/>
    <w:rsid w:val="00FA036C"/>
    <w:rsid w:val="00FA0A63"/>
    <w:rsid w:val="00FA0CB8"/>
    <w:rsid w:val="00FA0CCD"/>
    <w:rsid w:val="00FA11A1"/>
    <w:rsid w:val="00FA1561"/>
    <w:rsid w:val="00FA15A7"/>
    <w:rsid w:val="00FA19A4"/>
    <w:rsid w:val="00FA1F69"/>
    <w:rsid w:val="00FA2018"/>
    <w:rsid w:val="00FA2555"/>
    <w:rsid w:val="00FA26E8"/>
    <w:rsid w:val="00FA274A"/>
    <w:rsid w:val="00FA2A7A"/>
    <w:rsid w:val="00FA2A89"/>
    <w:rsid w:val="00FA2C8F"/>
    <w:rsid w:val="00FA39DB"/>
    <w:rsid w:val="00FA412E"/>
    <w:rsid w:val="00FA4680"/>
    <w:rsid w:val="00FA473B"/>
    <w:rsid w:val="00FA4ED8"/>
    <w:rsid w:val="00FA56E8"/>
    <w:rsid w:val="00FA58C9"/>
    <w:rsid w:val="00FA5A41"/>
    <w:rsid w:val="00FA6E4A"/>
    <w:rsid w:val="00FA6EDE"/>
    <w:rsid w:val="00FA6FB7"/>
    <w:rsid w:val="00FA6FDE"/>
    <w:rsid w:val="00FA780D"/>
    <w:rsid w:val="00FA7951"/>
    <w:rsid w:val="00FB02B0"/>
    <w:rsid w:val="00FB0888"/>
    <w:rsid w:val="00FB097B"/>
    <w:rsid w:val="00FB0B66"/>
    <w:rsid w:val="00FB0DAF"/>
    <w:rsid w:val="00FB0EAB"/>
    <w:rsid w:val="00FB12DC"/>
    <w:rsid w:val="00FB15CC"/>
    <w:rsid w:val="00FB1636"/>
    <w:rsid w:val="00FB1748"/>
    <w:rsid w:val="00FB17E7"/>
    <w:rsid w:val="00FB217D"/>
    <w:rsid w:val="00FB247F"/>
    <w:rsid w:val="00FB26F3"/>
    <w:rsid w:val="00FB272C"/>
    <w:rsid w:val="00FB2E4B"/>
    <w:rsid w:val="00FB32D5"/>
    <w:rsid w:val="00FB3D43"/>
    <w:rsid w:val="00FB4A17"/>
    <w:rsid w:val="00FB4EF1"/>
    <w:rsid w:val="00FB52A1"/>
    <w:rsid w:val="00FB5348"/>
    <w:rsid w:val="00FB5952"/>
    <w:rsid w:val="00FB59D8"/>
    <w:rsid w:val="00FB6547"/>
    <w:rsid w:val="00FB68EA"/>
    <w:rsid w:val="00FB6E18"/>
    <w:rsid w:val="00FB6E9A"/>
    <w:rsid w:val="00FB74E4"/>
    <w:rsid w:val="00FB76EB"/>
    <w:rsid w:val="00FB7CAE"/>
    <w:rsid w:val="00FB7D81"/>
    <w:rsid w:val="00FC04E0"/>
    <w:rsid w:val="00FC0610"/>
    <w:rsid w:val="00FC1354"/>
    <w:rsid w:val="00FC1367"/>
    <w:rsid w:val="00FC15C5"/>
    <w:rsid w:val="00FC18B9"/>
    <w:rsid w:val="00FC1C5B"/>
    <w:rsid w:val="00FC1F64"/>
    <w:rsid w:val="00FC259B"/>
    <w:rsid w:val="00FC26DE"/>
    <w:rsid w:val="00FC2885"/>
    <w:rsid w:val="00FC2EC0"/>
    <w:rsid w:val="00FC2F0C"/>
    <w:rsid w:val="00FC3662"/>
    <w:rsid w:val="00FC3F11"/>
    <w:rsid w:val="00FC3F50"/>
    <w:rsid w:val="00FC46C7"/>
    <w:rsid w:val="00FC5941"/>
    <w:rsid w:val="00FC624B"/>
    <w:rsid w:val="00FC6401"/>
    <w:rsid w:val="00FC7805"/>
    <w:rsid w:val="00FC7964"/>
    <w:rsid w:val="00FD036D"/>
    <w:rsid w:val="00FD086A"/>
    <w:rsid w:val="00FD16B9"/>
    <w:rsid w:val="00FD1B65"/>
    <w:rsid w:val="00FD1FB9"/>
    <w:rsid w:val="00FD209C"/>
    <w:rsid w:val="00FD20F2"/>
    <w:rsid w:val="00FD2264"/>
    <w:rsid w:val="00FD271D"/>
    <w:rsid w:val="00FD2EB3"/>
    <w:rsid w:val="00FD3760"/>
    <w:rsid w:val="00FD4408"/>
    <w:rsid w:val="00FD4432"/>
    <w:rsid w:val="00FD4C2E"/>
    <w:rsid w:val="00FD51C5"/>
    <w:rsid w:val="00FD5D57"/>
    <w:rsid w:val="00FD6445"/>
    <w:rsid w:val="00FD69C3"/>
    <w:rsid w:val="00FD6C77"/>
    <w:rsid w:val="00FD6ED3"/>
    <w:rsid w:val="00FD719E"/>
    <w:rsid w:val="00FD7440"/>
    <w:rsid w:val="00FD752C"/>
    <w:rsid w:val="00FD76EC"/>
    <w:rsid w:val="00FD7E12"/>
    <w:rsid w:val="00FE040E"/>
    <w:rsid w:val="00FE049B"/>
    <w:rsid w:val="00FE0654"/>
    <w:rsid w:val="00FE0D15"/>
    <w:rsid w:val="00FE1316"/>
    <w:rsid w:val="00FE1501"/>
    <w:rsid w:val="00FE16CE"/>
    <w:rsid w:val="00FE2313"/>
    <w:rsid w:val="00FE2953"/>
    <w:rsid w:val="00FE308A"/>
    <w:rsid w:val="00FE3915"/>
    <w:rsid w:val="00FE3A39"/>
    <w:rsid w:val="00FE3D83"/>
    <w:rsid w:val="00FE3EF2"/>
    <w:rsid w:val="00FE4373"/>
    <w:rsid w:val="00FE43D8"/>
    <w:rsid w:val="00FE456E"/>
    <w:rsid w:val="00FE4716"/>
    <w:rsid w:val="00FE4E5E"/>
    <w:rsid w:val="00FE50DF"/>
    <w:rsid w:val="00FE5523"/>
    <w:rsid w:val="00FE5534"/>
    <w:rsid w:val="00FE55F3"/>
    <w:rsid w:val="00FE56B9"/>
    <w:rsid w:val="00FE607C"/>
    <w:rsid w:val="00FE6944"/>
    <w:rsid w:val="00FE72F3"/>
    <w:rsid w:val="00FE77AA"/>
    <w:rsid w:val="00FE7952"/>
    <w:rsid w:val="00FF06FC"/>
    <w:rsid w:val="00FF0954"/>
    <w:rsid w:val="00FF0DF7"/>
    <w:rsid w:val="00FF1247"/>
    <w:rsid w:val="00FF14EE"/>
    <w:rsid w:val="00FF176D"/>
    <w:rsid w:val="00FF1C61"/>
    <w:rsid w:val="00FF235A"/>
    <w:rsid w:val="00FF2509"/>
    <w:rsid w:val="00FF2D1D"/>
    <w:rsid w:val="00FF3593"/>
    <w:rsid w:val="00FF3E1E"/>
    <w:rsid w:val="00FF4046"/>
    <w:rsid w:val="00FF4516"/>
    <w:rsid w:val="00FF4BB2"/>
    <w:rsid w:val="00FF4D0B"/>
    <w:rsid w:val="00FF5292"/>
    <w:rsid w:val="00FF5463"/>
    <w:rsid w:val="00FF5488"/>
    <w:rsid w:val="00FF5939"/>
    <w:rsid w:val="00FF5DE0"/>
    <w:rsid w:val="00FF613E"/>
    <w:rsid w:val="00FF6375"/>
    <w:rsid w:val="00FF6466"/>
    <w:rsid w:val="00FF66EE"/>
    <w:rsid w:val="00FF6B5C"/>
    <w:rsid w:val="00FF7004"/>
    <w:rsid w:val="00FF7055"/>
    <w:rsid w:val="00FF72A1"/>
    <w:rsid w:val="00FF73A1"/>
    <w:rsid w:val="00FF74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5">
      <o:colormru v:ext="edit" colors="#f30,#f7f7f7"/>
    </o:shapedefaults>
    <o:shapelayout v:ext="edit">
      <o:idmap v:ext="edit" data="2"/>
    </o:shapelayout>
  </w:shapeDefaults>
  <w:decimalSymbol w:val="."/>
  <w:listSeparator w:val=","/>
  <w14:docId w14:val="2BECE2E2"/>
  <w15:docId w15:val="{BDF4E9CE-A847-4C6C-8863-D7AE8046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75AF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uiPriority w:val="20"/>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 w:type="character" w:customStyle="1" w:styleId="date-display-single">
    <w:name w:val="date-display-single"/>
    <w:basedOn w:val="DefaultParagraphFont"/>
    <w:rsid w:val="00BB1FDF"/>
  </w:style>
  <w:style w:type="character" w:customStyle="1" w:styleId="Heading4Char">
    <w:name w:val="Heading 4 Char"/>
    <w:basedOn w:val="DefaultParagraphFont"/>
    <w:link w:val="Heading4"/>
    <w:semiHidden/>
    <w:rsid w:val="00075AFA"/>
    <w:rPr>
      <w:rFonts w:asciiTheme="majorHAnsi" w:eastAsiaTheme="majorEastAsia" w:hAnsiTheme="majorHAnsi" w:cstheme="majorBidi"/>
      <w:i/>
      <w:iCs/>
      <w:color w:val="2F5496" w:themeColor="accent1" w:themeShade="BF"/>
      <w:sz w:val="24"/>
      <w:szCs w:val="24"/>
      <w:lang w:eastAsia="en-US"/>
    </w:rPr>
  </w:style>
  <w:style w:type="paragraph" w:customStyle="1" w:styleId="Clause">
    <w:name w:val="Clause"/>
    <w:basedOn w:val="Normal"/>
    <w:next w:val="Normal"/>
    <w:rsid w:val="00686903"/>
    <w:pPr>
      <w:suppressLineNumbers/>
      <w:tabs>
        <w:tab w:val="left" w:pos="426"/>
        <w:tab w:val="left" w:pos="992"/>
        <w:tab w:val="left" w:pos="1559"/>
        <w:tab w:val="left" w:pos="2126"/>
        <w:tab w:val="left" w:pos="2693"/>
        <w:tab w:val="left" w:pos="3260"/>
      </w:tabs>
      <w:overflowPunct w:val="0"/>
      <w:autoSpaceDE w:val="0"/>
      <w:autoSpaceDN w:val="0"/>
      <w:adjustRightInd w:val="0"/>
      <w:spacing w:before="180" w:line="264" w:lineRule="auto"/>
      <w:ind w:left="964" w:hanging="964"/>
      <w:textAlignment w:val="baseline"/>
    </w:pPr>
    <w:rPr>
      <w:sz w:val="20"/>
      <w:szCs w:val="20"/>
    </w:rPr>
  </w:style>
  <w:style w:type="paragraph" w:styleId="ListBullet2">
    <w:name w:val="List Bullet 2"/>
    <w:basedOn w:val="Normal"/>
    <w:autoRedefine/>
    <w:rsid w:val="00686903"/>
    <w:pPr>
      <w:numPr>
        <w:numId w:val="142"/>
      </w:numPr>
      <w:suppressLineNumbers/>
      <w:overflowPunct w:val="0"/>
      <w:autoSpaceDE w:val="0"/>
      <w:autoSpaceDN w:val="0"/>
      <w:adjustRightInd w:val="0"/>
      <w:spacing w:before="120"/>
      <w:textAlignment w:val="baseline"/>
    </w:pPr>
    <w:rPr>
      <w:szCs w:val="20"/>
    </w:rPr>
  </w:style>
  <w:style w:type="character" w:customStyle="1" w:styleId="DraftHeading1Char">
    <w:name w:val="Draft Heading 1 Char"/>
    <w:basedOn w:val="DefaultParagraphFont"/>
    <w:link w:val="DraftHeading1"/>
    <w:locked/>
    <w:rsid w:val="00686903"/>
    <w:rPr>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33773378">
      <w:bodyDiv w:val="1"/>
      <w:marLeft w:val="0"/>
      <w:marRight w:val="0"/>
      <w:marTop w:val="0"/>
      <w:marBottom w:val="0"/>
      <w:divBdr>
        <w:top w:val="none" w:sz="0" w:space="0" w:color="auto"/>
        <w:left w:val="none" w:sz="0" w:space="0" w:color="auto"/>
        <w:bottom w:val="none" w:sz="0" w:space="0" w:color="auto"/>
        <w:right w:val="none" w:sz="0" w:space="0" w:color="auto"/>
      </w:divBdr>
      <w:divsChild>
        <w:div w:id="148045834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3597357">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018282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2918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431">
      <w:bodyDiv w:val="1"/>
      <w:marLeft w:val="0"/>
      <w:marRight w:val="0"/>
      <w:marTop w:val="0"/>
      <w:marBottom w:val="0"/>
      <w:divBdr>
        <w:top w:val="none" w:sz="0" w:space="0" w:color="auto"/>
        <w:left w:val="none" w:sz="0" w:space="0" w:color="auto"/>
        <w:bottom w:val="none" w:sz="0" w:space="0" w:color="auto"/>
        <w:right w:val="none" w:sz="0" w:space="0" w:color="auto"/>
      </w:divBdr>
      <w:divsChild>
        <w:div w:id="597299975">
          <w:marLeft w:val="0"/>
          <w:marRight w:val="0"/>
          <w:marTop w:val="0"/>
          <w:marBottom w:val="0"/>
          <w:divBdr>
            <w:top w:val="none" w:sz="0" w:space="0" w:color="auto"/>
            <w:left w:val="none" w:sz="0" w:space="0" w:color="auto"/>
            <w:bottom w:val="none" w:sz="0" w:space="0" w:color="auto"/>
            <w:right w:val="none" w:sz="0" w:space="0" w:color="auto"/>
          </w:divBdr>
          <w:divsChild>
            <w:div w:id="85268683">
              <w:marLeft w:val="0"/>
              <w:marRight w:val="0"/>
              <w:marTop w:val="0"/>
              <w:marBottom w:val="0"/>
              <w:divBdr>
                <w:top w:val="none" w:sz="0" w:space="0" w:color="auto"/>
                <w:left w:val="none" w:sz="0" w:space="0" w:color="auto"/>
                <w:bottom w:val="none" w:sz="0" w:space="0" w:color="auto"/>
                <w:right w:val="none" w:sz="0" w:space="0" w:color="auto"/>
              </w:divBdr>
              <w:divsChild>
                <w:div w:id="468209576">
                  <w:marLeft w:val="960"/>
                  <w:marRight w:val="0"/>
                  <w:marTop w:val="480"/>
                  <w:marBottom w:val="240"/>
                  <w:divBdr>
                    <w:top w:val="none" w:sz="0" w:space="0" w:color="auto"/>
                    <w:left w:val="none" w:sz="0" w:space="0" w:color="auto"/>
                    <w:bottom w:val="none" w:sz="0" w:space="0" w:color="auto"/>
                    <w:right w:val="none" w:sz="0" w:space="0" w:color="auto"/>
                  </w:divBdr>
                  <w:divsChild>
                    <w:div w:id="1704162239">
                      <w:marLeft w:val="240"/>
                      <w:marRight w:val="240"/>
                      <w:marTop w:val="0"/>
                      <w:marBottom w:val="0"/>
                      <w:divBdr>
                        <w:top w:val="none" w:sz="0" w:space="0" w:color="auto"/>
                        <w:left w:val="none" w:sz="0" w:space="0" w:color="auto"/>
                        <w:bottom w:val="none" w:sz="0" w:space="0" w:color="auto"/>
                        <w:right w:val="none" w:sz="0" w:space="0" w:color="auto"/>
                      </w:divBdr>
                    </w:div>
                  </w:divsChild>
                </w:div>
                <w:div w:id="533344273">
                  <w:blockQuote w:val="1"/>
                  <w:marLeft w:val="768"/>
                  <w:marRight w:val="720"/>
                  <w:marTop w:val="0"/>
                  <w:marBottom w:val="0"/>
                  <w:divBdr>
                    <w:top w:val="none" w:sz="0" w:space="0" w:color="auto"/>
                    <w:left w:val="none" w:sz="0" w:space="0" w:color="auto"/>
                    <w:bottom w:val="none" w:sz="0" w:space="0" w:color="auto"/>
                    <w:right w:val="none" w:sz="0" w:space="0" w:color="auto"/>
                  </w:divBdr>
                  <w:divsChild>
                    <w:div w:id="445275594">
                      <w:marLeft w:val="960"/>
                      <w:marRight w:val="0"/>
                      <w:marTop w:val="480"/>
                      <w:marBottom w:val="240"/>
                      <w:divBdr>
                        <w:top w:val="none" w:sz="0" w:space="0" w:color="auto"/>
                        <w:left w:val="none" w:sz="0" w:space="0" w:color="auto"/>
                        <w:bottom w:val="none" w:sz="0" w:space="0" w:color="auto"/>
                        <w:right w:val="none" w:sz="0" w:space="0" w:color="auto"/>
                      </w:divBdr>
                      <w:divsChild>
                        <w:div w:id="610430138">
                          <w:marLeft w:val="240"/>
                          <w:marRight w:val="240"/>
                          <w:marTop w:val="0"/>
                          <w:marBottom w:val="0"/>
                          <w:divBdr>
                            <w:top w:val="none" w:sz="0" w:space="0" w:color="auto"/>
                            <w:left w:val="none" w:sz="0" w:space="0" w:color="auto"/>
                            <w:bottom w:val="none" w:sz="0" w:space="0" w:color="auto"/>
                            <w:right w:val="none" w:sz="0" w:space="0" w:color="auto"/>
                          </w:divBdr>
                        </w:div>
                        <w:div w:id="758017353">
                          <w:marLeft w:val="240"/>
                          <w:marRight w:val="240"/>
                          <w:marTop w:val="0"/>
                          <w:marBottom w:val="0"/>
                          <w:divBdr>
                            <w:top w:val="none" w:sz="0" w:space="0" w:color="auto"/>
                            <w:left w:val="none" w:sz="0" w:space="0" w:color="auto"/>
                            <w:bottom w:val="none" w:sz="0" w:space="0" w:color="auto"/>
                            <w:right w:val="none" w:sz="0" w:space="0" w:color="auto"/>
                          </w:divBdr>
                        </w:div>
                        <w:div w:id="966424047">
                          <w:marLeft w:val="240"/>
                          <w:marRight w:val="240"/>
                          <w:marTop w:val="0"/>
                          <w:marBottom w:val="0"/>
                          <w:divBdr>
                            <w:top w:val="none" w:sz="0" w:space="0" w:color="auto"/>
                            <w:left w:val="none" w:sz="0" w:space="0" w:color="auto"/>
                            <w:bottom w:val="none" w:sz="0" w:space="0" w:color="auto"/>
                            <w:right w:val="none" w:sz="0" w:space="0" w:color="auto"/>
                          </w:divBdr>
                        </w:div>
                        <w:div w:id="1274626637">
                          <w:marLeft w:val="240"/>
                          <w:marRight w:val="240"/>
                          <w:marTop w:val="0"/>
                          <w:marBottom w:val="0"/>
                          <w:divBdr>
                            <w:top w:val="none" w:sz="0" w:space="0" w:color="auto"/>
                            <w:left w:val="none" w:sz="0" w:space="0" w:color="auto"/>
                            <w:bottom w:val="none" w:sz="0" w:space="0" w:color="auto"/>
                            <w:right w:val="none" w:sz="0" w:space="0" w:color="auto"/>
                          </w:divBdr>
                        </w:div>
                        <w:div w:id="1980458132">
                          <w:marLeft w:val="240"/>
                          <w:marRight w:val="240"/>
                          <w:marTop w:val="0"/>
                          <w:marBottom w:val="0"/>
                          <w:divBdr>
                            <w:top w:val="none" w:sz="0" w:space="0" w:color="auto"/>
                            <w:left w:val="none" w:sz="0" w:space="0" w:color="auto"/>
                            <w:bottom w:val="none" w:sz="0" w:space="0" w:color="auto"/>
                            <w:right w:val="none" w:sz="0" w:space="0" w:color="auto"/>
                          </w:divBdr>
                        </w:div>
                        <w:div w:id="19850886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47351482">
                  <w:blockQuote w:val="1"/>
                  <w:marLeft w:val="768"/>
                  <w:marRight w:val="720"/>
                  <w:marTop w:val="0"/>
                  <w:marBottom w:val="0"/>
                  <w:divBdr>
                    <w:top w:val="none" w:sz="0" w:space="0" w:color="auto"/>
                    <w:left w:val="none" w:sz="0" w:space="0" w:color="auto"/>
                    <w:bottom w:val="none" w:sz="0" w:space="0" w:color="auto"/>
                    <w:right w:val="none" w:sz="0" w:space="0" w:color="auto"/>
                  </w:divBdr>
                </w:div>
                <w:div w:id="14679640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195594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23011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238709304">
      <w:bodyDiv w:val="1"/>
      <w:marLeft w:val="0"/>
      <w:marRight w:val="0"/>
      <w:marTop w:val="0"/>
      <w:marBottom w:val="0"/>
      <w:divBdr>
        <w:top w:val="none" w:sz="0" w:space="0" w:color="auto"/>
        <w:left w:val="none" w:sz="0" w:space="0" w:color="auto"/>
        <w:bottom w:val="none" w:sz="0" w:space="0" w:color="auto"/>
        <w:right w:val="none" w:sz="0" w:space="0" w:color="auto"/>
      </w:divBdr>
    </w:div>
    <w:div w:id="273756934">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375128670">
      <w:bodyDiv w:val="1"/>
      <w:marLeft w:val="0"/>
      <w:marRight w:val="0"/>
      <w:marTop w:val="0"/>
      <w:marBottom w:val="0"/>
      <w:divBdr>
        <w:top w:val="none" w:sz="0" w:space="0" w:color="auto"/>
        <w:left w:val="none" w:sz="0" w:space="0" w:color="auto"/>
        <w:bottom w:val="none" w:sz="0" w:space="0" w:color="auto"/>
        <w:right w:val="none" w:sz="0" w:space="0" w:color="auto"/>
      </w:divBdr>
      <w:divsChild>
        <w:div w:id="163047696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9611273">
      <w:bodyDiv w:val="1"/>
      <w:marLeft w:val="0"/>
      <w:marRight w:val="0"/>
      <w:marTop w:val="0"/>
      <w:marBottom w:val="0"/>
      <w:divBdr>
        <w:top w:val="none" w:sz="0" w:space="0" w:color="auto"/>
        <w:left w:val="none" w:sz="0" w:space="0" w:color="auto"/>
        <w:bottom w:val="none" w:sz="0" w:space="0" w:color="auto"/>
        <w:right w:val="none" w:sz="0" w:space="0" w:color="auto"/>
      </w:divBdr>
      <w:divsChild>
        <w:div w:id="149029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694311713">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300"/>
          <w:marBottom w:val="300"/>
          <w:divBdr>
            <w:top w:val="none" w:sz="0" w:space="0" w:color="auto"/>
            <w:left w:val="none" w:sz="0" w:space="0" w:color="auto"/>
            <w:bottom w:val="none" w:sz="0" w:space="0" w:color="auto"/>
            <w:right w:val="none" w:sz="0" w:space="0" w:color="auto"/>
          </w:divBdr>
          <w:divsChild>
            <w:div w:id="1099519264">
              <w:marLeft w:val="0"/>
              <w:marRight w:val="0"/>
              <w:marTop w:val="0"/>
              <w:marBottom w:val="0"/>
              <w:divBdr>
                <w:top w:val="none" w:sz="0" w:space="0" w:color="auto"/>
                <w:left w:val="none" w:sz="0" w:space="0" w:color="auto"/>
                <w:bottom w:val="none" w:sz="0" w:space="0" w:color="auto"/>
                <w:right w:val="none" w:sz="0" w:space="0" w:color="auto"/>
              </w:divBdr>
              <w:divsChild>
                <w:div w:id="8215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358">
          <w:marLeft w:val="0"/>
          <w:marRight w:val="0"/>
          <w:marTop w:val="300"/>
          <w:marBottom w:val="30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 w:id="1451506904">
              <w:marLeft w:val="0"/>
              <w:marRight w:val="0"/>
              <w:marTop w:val="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6595">
          <w:marLeft w:val="0"/>
          <w:marRight w:val="0"/>
          <w:marTop w:val="300"/>
          <w:marBottom w:val="300"/>
          <w:divBdr>
            <w:top w:val="none" w:sz="0" w:space="0" w:color="auto"/>
            <w:left w:val="none" w:sz="0" w:space="0" w:color="auto"/>
            <w:bottom w:val="none" w:sz="0" w:space="0" w:color="auto"/>
            <w:right w:val="none" w:sz="0" w:space="0" w:color="auto"/>
          </w:divBdr>
          <w:divsChild>
            <w:div w:id="1952080443">
              <w:marLeft w:val="0"/>
              <w:marRight w:val="0"/>
              <w:marTop w:val="0"/>
              <w:marBottom w:val="0"/>
              <w:divBdr>
                <w:top w:val="none" w:sz="0" w:space="0" w:color="auto"/>
                <w:left w:val="none" w:sz="0" w:space="0" w:color="auto"/>
                <w:bottom w:val="none" w:sz="0" w:space="0" w:color="auto"/>
                <w:right w:val="none" w:sz="0" w:space="0" w:color="auto"/>
              </w:divBdr>
            </w:div>
            <w:div w:id="2126388942">
              <w:marLeft w:val="0"/>
              <w:marRight w:val="0"/>
              <w:marTop w:val="0"/>
              <w:marBottom w:val="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130">
      <w:bodyDiv w:val="1"/>
      <w:marLeft w:val="0"/>
      <w:marRight w:val="0"/>
      <w:marTop w:val="0"/>
      <w:marBottom w:val="0"/>
      <w:divBdr>
        <w:top w:val="none" w:sz="0" w:space="0" w:color="auto"/>
        <w:left w:val="none" w:sz="0" w:space="0" w:color="auto"/>
        <w:bottom w:val="none" w:sz="0" w:space="0" w:color="auto"/>
        <w:right w:val="none" w:sz="0" w:space="0" w:color="auto"/>
      </w:divBdr>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797455711">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860901023">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1205777">
      <w:bodyDiv w:val="1"/>
      <w:marLeft w:val="0"/>
      <w:marRight w:val="0"/>
      <w:marTop w:val="0"/>
      <w:marBottom w:val="0"/>
      <w:divBdr>
        <w:top w:val="none" w:sz="0" w:space="0" w:color="auto"/>
        <w:left w:val="none" w:sz="0" w:space="0" w:color="auto"/>
        <w:bottom w:val="none" w:sz="0" w:space="0" w:color="auto"/>
        <w:right w:val="none" w:sz="0" w:space="0" w:color="auto"/>
      </w:divBdr>
      <w:divsChild>
        <w:div w:id="23361689">
          <w:marLeft w:val="0"/>
          <w:marRight w:val="0"/>
          <w:marTop w:val="0"/>
          <w:marBottom w:val="0"/>
          <w:divBdr>
            <w:top w:val="none" w:sz="0" w:space="0" w:color="auto"/>
            <w:left w:val="none" w:sz="0" w:space="0" w:color="auto"/>
            <w:bottom w:val="none" w:sz="0" w:space="0" w:color="auto"/>
            <w:right w:val="none" w:sz="0" w:space="0" w:color="auto"/>
          </w:divBdr>
          <w:divsChild>
            <w:div w:id="1532374886">
              <w:marLeft w:val="0"/>
              <w:marRight w:val="0"/>
              <w:marTop w:val="0"/>
              <w:marBottom w:val="0"/>
              <w:divBdr>
                <w:top w:val="none" w:sz="0" w:space="0" w:color="auto"/>
                <w:left w:val="none" w:sz="0" w:space="0" w:color="auto"/>
                <w:bottom w:val="none" w:sz="0" w:space="0" w:color="auto"/>
                <w:right w:val="none" w:sz="0" w:space="0" w:color="auto"/>
              </w:divBdr>
              <w:divsChild>
                <w:div w:id="216287806">
                  <w:marLeft w:val="960"/>
                  <w:marRight w:val="0"/>
                  <w:marTop w:val="480"/>
                  <w:marBottom w:val="240"/>
                  <w:divBdr>
                    <w:top w:val="none" w:sz="0" w:space="0" w:color="auto"/>
                    <w:left w:val="none" w:sz="0" w:space="0" w:color="auto"/>
                    <w:bottom w:val="none" w:sz="0" w:space="0" w:color="auto"/>
                    <w:right w:val="none" w:sz="0" w:space="0" w:color="auto"/>
                  </w:divBdr>
                  <w:divsChild>
                    <w:div w:id="1473520079">
                      <w:marLeft w:val="240"/>
                      <w:marRight w:val="240"/>
                      <w:marTop w:val="0"/>
                      <w:marBottom w:val="0"/>
                      <w:divBdr>
                        <w:top w:val="none" w:sz="0" w:space="0" w:color="auto"/>
                        <w:left w:val="none" w:sz="0" w:space="0" w:color="auto"/>
                        <w:bottom w:val="none" w:sz="0" w:space="0" w:color="auto"/>
                        <w:right w:val="none" w:sz="0" w:space="0" w:color="auto"/>
                      </w:divBdr>
                    </w:div>
                  </w:divsChild>
                </w:div>
                <w:div w:id="392969216">
                  <w:marLeft w:val="960"/>
                  <w:marRight w:val="0"/>
                  <w:marTop w:val="480"/>
                  <w:marBottom w:val="240"/>
                  <w:divBdr>
                    <w:top w:val="none" w:sz="0" w:space="0" w:color="auto"/>
                    <w:left w:val="none" w:sz="0" w:space="0" w:color="auto"/>
                    <w:bottom w:val="none" w:sz="0" w:space="0" w:color="auto"/>
                    <w:right w:val="none" w:sz="0" w:space="0" w:color="auto"/>
                  </w:divBdr>
                  <w:divsChild>
                    <w:div w:id="852257440">
                      <w:marLeft w:val="240"/>
                      <w:marRight w:val="240"/>
                      <w:marTop w:val="0"/>
                      <w:marBottom w:val="0"/>
                      <w:divBdr>
                        <w:top w:val="none" w:sz="0" w:space="0" w:color="auto"/>
                        <w:left w:val="none" w:sz="0" w:space="0" w:color="auto"/>
                        <w:bottom w:val="none" w:sz="0" w:space="0" w:color="auto"/>
                        <w:right w:val="none" w:sz="0" w:space="0" w:color="auto"/>
                      </w:divBdr>
                    </w:div>
                  </w:divsChild>
                </w:div>
                <w:div w:id="808934598">
                  <w:blockQuote w:val="1"/>
                  <w:marLeft w:val="768"/>
                  <w:marRight w:val="720"/>
                  <w:marTop w:val="0"/>
                  <w:marBottom w:val="0"/>
                  <w:divBdr>
                    <w:top w:val="none" w:sz="0" w:space="0" w:color="auto"/>
                    <w:left w:val="none" w:sz="0" w:space="0" w:color="auto"/>
                    <w:bottom w:val="none" w:sz="0" w:space="0" w:color="auto"/>
                    <w:right w:val="none" w:sz="0" w:space="0" w:color="auto"/>
                  </w:divBdr>
                </w:div>
                <w:div w:id="1744717573">
                  <w:marLeft w:val="960"/>
                  <w:marRight w:val="0"/>
                  <w:marTop w:val="480"/>
                  <w:marBottom w:val="240"/>
                  <w:divBdr>
                    <w:top w:val="none" w:sz="0" w:space="0" w:color="auto"/>
                    <w:left w:val="none" w:sz="0" w:space="0" w:color="auto"/>
                    <w:bottom w:val="none" w:sz="0" w:space="0" w:color="auto"/>
                    <w:right w:val="none" w:sz="0" w:space="0" w:color="auto"/>
                  </w:divBdr>
                  <w:divsChild>
                    <w:div w:id="175582257">
                      <w:marLeft w:val="240"/>
                      <w:marRight w:val="240"/>
                      <w:marTop w:val="0"/>
                      <w:marBottom w:val="0"/>
                      <w:divBdr>
                        <w:top w:val="none" w:sz="0" w:space="0" w:color="auto"/>
                        <w:left w:val="none" w:sz="0" w:space="0" w:color="auto"/>
                        <w:bottom w:val="none" w:sz="0" w:space="0" w:color="auto"/>
                        <w:right w:val="none" w:sz="0" w:space="0" w:color="auto"/>
                      </w:divBdr>
                    </w:div>
                  </w:divsChild>
                </w:div>
                <w:div w:id="2137942377">
                  <w:blockQuote w:val="1"/>
                  <w:marLeft w:val="768"/>
                  <w:marRight w:val="720"/>
                  <w:marTop w:val="0"/>
                  <w:marBottom w:val="0"/>
                  <w:divBdr>
                    <w:top w:val="none" w:sz="0" w:space="0" w:color="auto"/>
                    <w:left w:val="none" w:sz="0" w:space="0" w:color="auto"/>
                    <w:bottom w:val="none" w:sz="0" w:space="0" w:color="auto"/>
                    <w:right w:val="none" w:sz="0" w:space="0" w:color="auto"/>
                  </w:divBdr>
                </w:div>
                <w:div w:id="2141068577">
                  <w:marLeft w:val="960"/>
                  <w:marRight w:val="0"/>
                  <w:marTop w:val="480"/>
                  <w:marBottom w:val="240"/>
                  <w:divBdr>
                    <w:top w:val="none" w:sz="0" w:space="0" w:color="auto"/>
                    <w:left w:val="none" w:sz="0" w:space="0" w:color="auto"/>
                    <w:bottom w:val="none" w:sz="0" w:space="0" w:color="auto"/>
                    <w:right w:val="none" w:sz="0" w:space="0" w:color="auto"/>
                  </w:divBdr>
                  <w:divsChild>
                    <w:div w:id="11867460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81441439">
          <w:marLeft w:val="0"/>
          <w:marRight w:val="0"/>
          <w:marTop w:val="0"/>
          <w:marBottom w:val="0"/>
          <w:divBdr>
            <w:top w:val="none" w:sz="0" w:space="0" w:color="auto"/>
            <w:left w:val="none" w:sz="0" w:space="0" w:color="auto"/>
            <w:bottom w:val="none" w:sz="0" w:space="0" w:color="auto"/>
            <w:right w:val="none" w:sz="0" w:space="0" w:color="auto"/>
          </w:divBdr>
          <w:divsChild>
            <w:div w:id="1525829855">
              <w:marLeft w:val="0"/>
              <w:marRight w:val="0"/>
              <w:marTop w:val="0"/>
              <w:marBottom w:val="0"/>
              <w:divBdr>
                <w:top w:val="none" w:sz="0" w:space="0" w:color="auto"/>
                <w:left w:val="none" w:sz="0" w:space="0" w:color="auto"/>
                <w:bottom w:val="none" w:sz="0" w:space="0" w:color="auto"/>
                <w:right w:val="none" w:sz="0" w:space="0" w:color="auto"/>
              </w:divBdr>
              <w:divsChild>
                <w:div w:id="939484601">
                  <w:blockQuote w:val="1"/>
                  <w:marLeft w:val="768"/>
                  <w:marRight w:val="720"/>
                  <w:marTop w:val="0"/>
                  <w:marBottom w:val="0"/>
                  <w:divBdr>
                    <w:top w:val="none" w:sz="0" w:space="0" w:color="auto"/>
                    <w:left w:val="none" w:sz="0" w:space="0" w:color="auto"/>
                    <w:bottom w:val="none" w:sz="0" w:space="0" w:color="auto"/>
                    <w:right w:val="none" w:sz="0" w:space="0" w:color="auto"/>
                  </w:divBdr>
                </w:div>
                <w:div w:id="18753840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65513510">
                      <w:marLeft w:val="960"/>
                      <w:marRight w:val="0"/>
                      <w:marTop w:val="480"/>
                      <w:marBottom w:val="240"/>
                      <w:divBdr>
                        <w:top w:val="none" w:sz="0" w:space="0" w:color="auto"/>
                        <w:left w:val="none" w:sz="0" w:space="0" w:color="auto"/>
                        <w:bottom w:val="none" w:sz="0" w:space="0" w:color="auto"/>
                        <w:right w:val="none" w:sz="0" w:space="0" w:color="auto"/>
                      </w:divBdr>
                      <w:divsChild>
                        <w:div w:id="1300107037">
                          <w:marLeft w:val="240"/>
                          <w:marRight w:val="240"/>
                          <w:marTop w:val="0"/>
                          <w:marBottom w:val="0"/>
                          <w:divBdr>
                            <w:top w:val="none" w:sz="0" w:space="0" w:color="auto"/>
                            <w:left w:val="none" w:sz="0" w:space="0" w:color="auto"/>
                            <w:bottom w:val="none" w:sz="0" w:space="0" w:color="auto"/>
                            <w:right w:val="none" w:sz="0" w:space="0" w:color="auto"/>
                          </w:divBdr>
                        </w:div>
                        <w:div w:id="18628219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68323223">
      <w:bodyDiv w:val="1"/>
      <w:marLeft w:val="0"/>
      <w:marRight w:val="0"/>
      <w:marTop w:val="0"/>
      <w:marBottom w:val="0"/>
      <w:divBdr>
        <w:top w:val="none" w:sz="0" w:space="0" w:color="auto"/>
        <w:left w:val="none" w:sz="0" w:space="0" w:color="auto"/>
        <w:bottom w:val="none" w:sz="0" w:space="0" w:color="auto"/>
        <w:right w:val="none" w:sz="0" w:space="0" w:color="auto"/>
      </w:divBdr>
      <w:divsChild>
        <w:div w:id="227228076">
          <w:marLeft w:val="0"/>
          <w:marRight w:val="0"/>
          <w:marTop w:val="0"/>
          <w:marBottom w:val="0"/>
          <w:divBdr>
            <w:top w:val="none" w:sz="0" w:space="0" w:color="auto"/>
            <w:left w:val="none" w:sz="0" w:space="0" w:color="auto"/>
            <w:bottom w:val="none" w:sz="0" w:space="0" w:color="auto"/>
            <w:right w:val="none" w:sz="0" w:space="0" w:color="auto"/>
          </w:divBdr>
          <w:divsChild>
            <w:div w:id="589969455">
              <w:marLeft w:val="0"/>
              <w:marRight w:val="0"/>
              <w:marTop w:val="0"/>
              <w:marBottom w:val="0"/>
              <w:divBdr>
                <w:top w:val="none" w:sz="0" w:space="0" w:color="auto"/>
                <w:left w:val="none" w:sz="0" w:space="0" w:color="auto"/>
                <w:bottom w:val="none" w:sz="0" w:space="0" w:color="auto"/>
                <w:right w:val="none" w:sz="0" w:space="0" w:color="auto"/>
              </w:divBdr>
              <w:divsChild>
                <w:div w:id="762148840">
                  <w:marLeft w:val="960"/>
                  <w:marRight w:val="0"/>
                  <w:marTop w:val="480"/>
                  <w:marBottom w:val="240"/>
                  <w:divBdr>
                    <w:top w:val="none" w:sz="0" w:space="0" w:color="auto"/>
                    <w:left w:val="none" w:sz="0" w:space="0" w:color="auto"/>
                    <w:bottom w:val="none" w:sz="0" w:space="0" w:color="auto"/>
                    <w:right w:val="none" w:sz="0" w:space="0" w:color="auto"/>
                  </w:divBdr>
                  <w:divsChild>
                    <w:div w:id="64894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54174120">
          <w:marLeft w:val="0"/>
          <w:marRight w:val="0"/>
          <w:marTop w:val="0"/>
          <w:marBottom w:val="0"/>
          <w:divBdr>
            <w:top w:val="none" w:sz="0" w:space="0" w:color="auto"/>
            <w:left w:val="none" w:sz="0" w:space="0" w:color="auto"/>
            <w:bottom w:val="none" w:sz="0" w:space="0" w:color="auto"/>
            <w:right w:val="none" w:sz="0" w:space="0" w:color="auto"/>
          </w:divBdr>
          <w:divsChild>
            <w:div w:id="1766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17">
      <w:bodyDiv w:val="1"/>
      <w:marLeft w:val="0"/>
      <w:marRight w:val="0"/>
      <w:marTop w:val="0"/>
      <w:marBottom w:val="0"/>
      <w:divBdr>
        <w:top w:val="none" w:sz="0" w:space="0" w:color="auto"/>
        <w:left w:val="none" w:sz="0" w:space="0" w:color="auto"/>
        <w:bottom w:val="none" w:sz="0" w:space="0" w:color="auto"/>
        <w:right w:val="none" w:sz="0" w:space="0" w:color="auto"/>
      </w:divBdr>
    </w:div>
    <w:div w:id="987396299">
      <w:bodyDiv w:val="1"/>
      <w:marLeft w:val="0"/>
      <w:marRight w:val="0"/>
      <w:marTop w:val="0"/>
      <w:marBottom w:val="0"/>
      <w:divBdr>
        <w:top w:val="none" w:sz="0" w:space="0" w:color="auto"/>
        <w:left w:val="none" w:sz="0" w:space="0" w:color="auto"/>
        <w:bottom w:val="none" w:sz="0" w:space="0" w:color="auto"/>
        <w:right w:val="none" w:sz="0" w:space="0" w:color="auto"/>
      </w:divBdr>
      <w:divsChild>
        <w:div w:id="961881220">
          <w:marLeft w:val="0"/>
          <w:marRight w:val="0"/>
          <w:marTop w:val="0"/>
          <w:marBottom w:val="0"/>
          <w:divBdr>
            <w:top w:val="none" w:sz="0" w:space="0" w:color="auto"/>
            <w:left w:val="none" w:sz="0" w:space="0" w:color="auto"/>
            <w:bottom w:val="none" w:sz="0" w:space="0" w:color="auto"/>
            <w:right w:val="none" w:sz="0" w:space="0" w:color="auto"/>
          </w:divBdr>
          <w:divsChild>
            <w:div w:id="1822773882">
              <w:marLeft w:val="0"/>
              <w:marRight w:val="0"/>
              <w:marTop w:val="0"/>
              <w:marBottom w:val="0"/>
              <w:divBdr>
                <w:top w:val="none" w:sz="0" w:space="0" w:color="auto"/>
                <w:left w:val="none" w:sz="0" w:space="0" w:color="auto"/>
                <w:bottom w:val="none" w:sz="0" w:space="0" w:color="auto"/>
                <w:right w:val="none" w:sz="0" w:space="0" w:color="auto"/>
              </w:divBdr>
              <w:divsChild>
                <w:div w:id="162033211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6367584">
                      <w:marLeft w:val="960"/>
                      <w:marRight w:val="0"/>
                      <w:marTop w:val="480"/>
                      <w:marBottom w:val="240"/>
                      <w:divBdr>
                        <w:top w:val="none" w:sz="0" w:space="0" w:color="auto"/>
                        <w:left w:val="none" w:sz="0" w:space="0" w:color="auto"/>
                        <w:bottom w:val="none" w:sz="0" w:space="0" w:color="auto"/>
                        <w:right w:val="none" w:sz="0" w:space="0" w:color="auto"/>
                      </w:divBdr>
                      <w:divsChild>
                        <w:div w:id="221328555">
                          <w:marLeft w:val="240"/>
                          <w:marRight w:val="240"/>
                          <w:marTop w:val="0"/>
                          <w:marBottom w:val="0"/>
                          <w:divBdr>
                            <w:top w:val="none" w:sz="0" w:space="0" w:color="auto"/>
                            <w:left w:val="none" w:sz="0" w:space="0" w:color="auto"/>
                            <w:bottom w:val="none" w:sz="0" w:space="0" w:color="auto"/>
                            <w:right w:val="none" w:sz="0" w:space="0" w:color="auto"/>
                          </w:divBdr>
                        </w:div>
                        <w:div w:id="368992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30821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30378514">
                      <w:marLeft w:val="960"/>
                      <w:marRight w:val="0"/>
                      <w:marTop w:val="480"/>
                      <w:marBottom w:val="240"/>
                      <w:divBdr>
                        <w:top w:val="none" w:sz="0" w:space="0" w:color="auto"/>
                        <w:left w:val="none" w:sz="0" w:space="0" w:color="auto"/>
                        <w:bottom w:val="none" w:sz="0" w:space="0" w:color="auto"/>
                        <w:right w:val="none" w:sz="0" w:space="0" w:color="auto"/>
                      </w:divBdr>
                      <w:divsChild>
                        <w:div w:id="981807380">
                          <w:marLeft w:val="240"/>
                          <w:marRight w:val="240"/>
                          <w:marTop w:val="0"/>
                          <w:marBottom w:val="0"/>
                          <w:divBdr>
                            <w:top w:val="none" w:sz="0" w:space="0" w:color="auto"/>
                            <w:left w:val="none" w:sz="0" w:space="0" w:color="auto"/>
                            <w:bottom w:val="none" w:sz="0" w:space="0" w:color="auto"/>
                            <w:right w:val="none" w:sz="0" w:space="0" w:color="auto"/>
                          </w:divBdr>
                        </w:div>
                        <w:div w:id="19207446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5293">
          <w:marLeft w:val="0"/>
          <w:marRight w:val="0"/>
          <w:marTop w:val="0"/>
          <w:marBottom w:val="0"/>
          <w:divBdr>
            <w:top w:val="none" w:sz="0" w:space="0" w:color="auto"/>
            <w:left w:val="none" w:sz="0" w:space="0" w:color="auto"/>
            <w:bottom w:val="none" w:sz="0" w:space="0" w:color="auto"/>
            <w:right w:val="none" w:sz="0" w:space="0" w:color="auto"/>
          </w:divBdr>
          <w:divsChild>
            <w:div w:id="1963226786">
              <w:marLeft w:val="0"/>
              <w:marRight w:val="0"/>
              <w:marTop w:val="0"/>
              <w:marBottom w:val="0"/>
              <w:divBdr>
                <w:top w:val="none" w:sz="0" w:space="0" w:color="auto"/>
                <w:left w:val="none" w:sz="0" w:space="0" w:color="auto"/>
                <w:bottom w:val="none" w:sz="0" w:space="0" w:color="auto"/>
                <w:right w:val="none" w:sz="0" w:space="0" w:color="auto"/>
              </w:divBdr>
              <w:divsChild>
                <w:div w:id="1887182566">
                  <w:marLeft w:val="960"/>
                  <w:marRight w:val="0"/>
                  <w:marTop w:val="480"/>
                  <w:marBottom w:val="240"/>
                  <w:divBdr>
                    <w:top w:val="none" w:sz="0" w:space="0" w:color="auto"/>
                    <w:left w:val="none" w:sz="0" w:space="0" w:color="auto"/>
                    <w:bottom w:val="none" w:sz="0" w:space="0" w:color="auto"/>
                    <w:right w:val="none" w:sz="0" w:space="0" w:color="auto"/>
                  </w:divBdr>
                  <w:divsChild>
                    <w:div w:id="2060717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26057966">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125385908">
      <w:bodyDiv w:val="1"/>
      <w:marLeft w:val="0"/>
      <w:marRight w:val="0"/>
      <w:marTop w:val="0"/>
      <w:marBottom w:val="0"/>
      <w:divBdr>
        <w:top w:val="none" w:sz="0" w:space="0" w:color="auto"/>
        <w:left w:val="none" w:sz="0" w:space="0" w:color="auto"/>
        <w:bottom w:val="none" w:sz="0" w:space="0" w:color="auto"/>
        <w:right w:val="none" w:sz="0" w:space="0" w:color="auto"/>
      </w:divBdr>
    </w:div>
    <w:div w:id="1175995469">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235968330">
      <w:bodyDiv w:val="1"/>
      <w:marLeft w:val="0"/>
      <w:marRight w:val="0"/>
      <w:marTop w:val="0"/>
      <w:marBottom w:val="0"/>
      <w:divBdr>
        <w:top w:val="none" w:sz="0" w:space="0" w:color="auto"/>
        <w:left w:val="none" w:sz="0" w:space="0" w:color="auto"/>
        <w:bottom w:val="none" w:sz="0" w:space="0" w:color="auto"/>
        <w:right w:val="none" w:sz="0" w:space="0" w:color="auto"/>
      </w:divBdr>
    </w:div>
    <w:div w:id="1239752278">
      <w:bodyDiv w:val="1"/>
      <w:marLeft w:val="0"/>
      <w:marRight w:val="0"/>
      <w:marTop w:val="0"/>
      <w:marBottom w:val="0"/>
      <w:divBdr>
        <w:top w:val="none" w:sz="0" w:space="0" w:color="auto"/>
        <w:left w:val="none" w:sz="0" w:space="0" w:color="auto"/>
        <w:bottom w:val="none" w:sz="0" w:space="0" w:color="auto"/>
        <w:right w:val="none" w:sz="0" w:space="0" w:color="auto"/>
      </w:divBdr>
    </w:div>
    <w:div w:id="1304694992">
      <w:bodyDiv w:val="1"/>
      <w:marLeft w:val="0"/>
      <w:marRight w:val="0"/>
      <w:marTop w:val="0"/>
      <w:marBottom w:val="0"/>
      <w:divBdr>
        <w:top w:val="none" w:sz="0" w:space="0" w:color="auto"/>
        <w:left w:val="none" w:sz="0" w:space="0" w:color="auto"/>
        <w:bottom w:val="none" w:sz="0" w:space="0" w:color="auto"/>
        <w:right w:val="none" w:sz="0" w:space="0" w:color="auto"/>
      </w:divBdr>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4189141">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41129118">
      <w:bodyDiv w:val="1"/>
      <w:marLeft w:val="0"/>
      <w:marRight w:val="0"/>
      <w:marTop w:val="0"/>
      <w:marBottom w:val="0"/>
      <w:divBdr>
        <w:top w:val="none" w:sz="0" w:space="0" w:color="auto"/>
        <w:left w:val="none" w:sz="0" w:space="0" w:color="auto"/>
        <w:bottom w:val="none" w:sz="0" w:space="0" w:color="auto"/>
        <w:right w:val="none" w:sz="0" w:space="0" w:color="auto"/>
      </w:divBdr>
      <w:divsChild>
        <w:div w:id="187403382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400979100">
      <w:bodyDiv w:val="1"/>
      <w:marLeft w:val="0"/>
      <w:marRight w:val="0"/>
      <w:marTop w:val="0"/>
      <w:marBottom w:val="0"/>
      <w:divBdr>
        <w:top w:val="none" w:sz="0" w:space="0" w:color="auto"/>
        <w:left w:val="none" w:sz="0" w:space="0" w:color="auto"/>
        <w:bottom w:val="none" w:sz="0" w:space="0" w:color="auto"/>
        <w:right w:val="none" w:sz="0" w:space="0" w:color="auto"/>
      </w:divBdr>
      <w:divsChild>
        <w:div w:id="191773659">
          <w:marLeft w:val="960"/>
          <w:marRight w:val="0"/>
          <w:marTop w:val="480"/>
          <w:marBottom w:val="240"/>
          <w:divBdr>
            <w:top w:val="none" w:sz="0" w:space="0" w:color="auto"/>
            <w:left w:val="none" w:sz="0" w:space="0" w:color="auto"/>
            <w:bottom w:val="none" w:sz="0" w:space="0" w:color="auto"/>
            <w:right w:val="none" w:sz="0" w:space="0" w:color="auto"/>
          </w:divBdr>
          <w:divsChild>
            <w:div w:id="20056263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1583545">
      <w:bodyDiv w:val="1"/>
      <w:marLeft w:val="0"/>
      <w:marRight w:val="0"/>
      <w:marTop w:val="0"/>
      <w:marBottom w:val="0"/>
      <w:divBdr>
        <w:top w:val="none" w:sz="0" w:space="0" w:color="auto"/>
        <w:left w:val="none" w:sz="0" w:space="0" w:color="auto"/>
        <w:bottom w:val="none" w:sz="0" w:space="0" w:color="auto"/>
        <w:right w:val="none" w:sz="0" w:space="0" w:color="auto"/>
      </w:divBdr>
    </w:div>
    <w:div w:id="1425954407">
      <w:bodyDiv w:val="1"/>
      <w:marLeft w:val="0"/>
      <w:marRight w:val="0"/>
      <w:marTop w:val="0"/>
      <w:marBottom w:val="0"/>
      <w:divBdr>
        <w:top w:val="none" w:sz="0" w:space="0" w:color="auto"/>
        <w:left w:val="none" w:sz="0" w:space="0" w:color="auto"/>
        <w:bottom w:val="none" w:sz="0" w:space="0" w:color="auto"/>
        <w:right w:val="none" w:sz="0" w:space="0" w:color="auto"/>
      </w:divBdr>
    </w:div>
    <w:div w:id="1432703176">
      <w:bodyDiv w:val="1"/>
      <w:marLeft w:val="0"/>
      <w:marRight w:val="0"/>
      <w:marTop w:val="0"/>
      <w:marBottom w:val="0"/>
      <w:divBdr>
        <w:top w:val="none" w:sz="0" w:space="0" w:color="auto"/>
        <w:left w:val="none" w:sz="0" w:space="0" w:color="auto"/>
        <w:bottom w:val="none" w:sz="0" w:space="0" w:color="auto"/>
        <w:right w:val="none" w:sz="0" w:space="0" w:color="auto"/>
      </w:divBdr>
    </w:div>
    <w:div w:id="1461611793">
      <w:bodyDiv w:val="1"/>
      <w:marLeft w:val="0"/>
      <w:marRight w:val="0"/>
      <w:marTop w:val="0"/>
      <w:marBottom w:val="0"/>
      <w:divBdr>
        <w:top w:val="none" w:sz="0" w:space="0" w:color="auto"/>
        <w:left w:val="none" w:sz="0" w:space="0" w:color="auto"/>
        <w:bottom w:val="none" w:sz="0" w:space="0" w:color="auto"/>
        <w:right w:val="none" w:sz="0" w:space="0" w:color="auto"/>
      </w:divBdr>
      <w:divsChild>
        <w:div w:id="1206676536">
          <w:marLeft w:val="0"/>
          <w:marRight w:val="0"/>
          <w:marTop w:val="0"/>
          <w:marBottom w:val="0"/>
          <w:divBdr>
            <w:top w:val="none" w:sz="0" w:space="0" w:color="auto"/>
            <w:left w:val="none" w:sz="0" w:space="0" w:color="auto"/>
            <w:bottom w:val="none" w:sz="0" w:space="0" w:color="auto"/>
            <w:right w:val="none" w:sz="0" w:space="0" w:color="auto"/>
          </w:divBdr>
          <w:divsChild>
            <w:div w:id="501504041">
              <w:marLeft w:val="0"/>
              <w:marRight w:val="0"/>
              <w:marTop w:val="0"/>
              <w:marBottom w:val="0"/>
              <w:divBdr>
                <w:top w:val="none" w:sz="0" w:space="0" w:color="auto"/>
                <w:left w:val="none" w:sz="0" w:space="0" w:color="auto"/>
                <w:bottom w:val="none" w:sz="0" w:space="0" w:color="auto"/>
                <w:right w:val="none" w:sz="0" w:space="0" w:color="auto"/>
              </w:divBdr>
              <w:divsChild>
                <w:div w:id="1728457375">
                  <w:marLeft w:val="0"/>
                  <w:marRight w:val="0"/>
                  <w:marTop w:val="0"/>
                  <w:marBottom w:val="0"/>
                  <w:divBdr>
                    <w:top w:val="none" w:sz="0" w:space="0" w:color="auto"/>
                    <w:left w:val="none" w:sz="0" w:space="0" w:color="auto"/>
                    <w:bottom w:val="none" w:sz="0" w:space="0" w:color="auto"/>
                    <w:right w:val="none" w:sz="0" w:space="0" w:color="auto"/>
                  </w:divBdr>
                  <w:divsChild>
                    <w:div w:id="2231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28430">
      <w:bodyDiv w:val="1"/>
      <w:marLeft w:val="0"/>
      <w:marRight w:val="0"/>
      <w:marTop w:val="0"/>
      <w:marBottom w:val="0"/>
      <w:divBdr>
        <w:top w:val="none" w:sz="0" w:space="0" w:color="auto"/>
        <w:left w:val="none" w:sz="0" w:space="0" w:color="auto"/>
        <w:bottom w:val="none" w:sz="0" w:space="0" w:color="auto"/>
        <w:right w:val="none" w:sz="0" w:space="0" w:color="auto"/>
      </w:divBdr>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28907567">
      <w:bodyDiv w:val="1"/>
      <w:marLeft w:val="0"/>
      <w:marRight w:val="0"/>
      <w:marTop w:val="0"/>
      <w:marBottom w:val="0"/>
      <w:divBdr>
        <w:top w:val="none" w:sz="0" w:space="0" w:color="auto"/>
        <w:left w:val="none" w:sz="0" w:space="0" w:color="auto"/>
        <w:bottom w:val="none" w:sz="0" w:space="0" w:color="auto"/>
        <w:right w:val="none" w:sz="0" w:space="0" w:color="auto"/>
      </w:divBdr>
      <w:divsChild>
        <w:div w:id="275716725">
          <w:marLeft w:val="0"/>
          <w:marRight w:val="0"/>
          <w:marTop w:val="300"/>
          <w:marBottom w:val="300"/>
          <w:divBdr>
            <w:top w:val="none" w:sz="0" w:space="0" w:color="auto"/>
            <w:left w:val="none" w:sz="0" w:space="0" w:color="auto"/>
            <w:bottom w:val="none" w:sz="0" w:space="0" w:color="auto"/>
            <w:right w:val="none" w:sz="0" w:space="0" w:color="auto"/>
          </w:divBdr>
          <w:divsChild>
            <w:div w:id="192036502">
              <w:marLeft w:val="0"/>
              <w:marRight w:val="0"/>
              <w:marTop w:val="0"/>
              <w:marBottom w:val="0"/>
              <w:divBdr>
                <w:top w:val="none" w:sz="0" w:space="0" w:color="auto"/>
                <w:left w:val="none" w:sz="0" w:space="0" w:color="auto"/>
                <w:bottom w:val="none" w:sz="0" w:space="0" w:color="auto"/>
                <w:right w:val="none" w:sz="0" w:space="0" w:color="auto"/>
              </w:divBdr>
              <w:divsChild>
                <w:div w:id="7916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5338">
          <w:marLeft w:val="0"/>
          <w:marRight w:val="0"/>
          <w:marTop w:val="300"/>
          <w:marBottom w:val="300"/>
          <w:divBdr>
            <w:top w:val="none" w:sz="0" w:space="0" w:color="auto"/>
            <w:left w:val="none" w:sz="0" w:space="0" w:color="auto"/>
            <w:bottom w:val="none" w:sz="0" w:space="0" w:color="auto"/>
            <w:right w:val="none" w:sz="0" w:space="0" w:color="auto"/>
          </w:divBdr>
          <w:divsChild>
            <w:div w:id="53049053">
              <w:marLeft w:val="0"/>
              <w:marRight w:val="0"/>
              <w:marTop w:val="0"/>
              <w:marBottom w:val="0"/>
              <w:divBdr>
                <w:top w:val="none" w:sz="0" w:space="0" w:color="auto"/>
                <w:left w:val="none" w:sz="0" w:space="0" w:color="auto"/>
                <w:bottom w:val="none" w:sz="0" w:space="0" w:color="auto"/>
                <w:right w:val="none" w:sz="0" w:space="0" w:color="auto"/>
              </w:divBdr>
            </w:div>
            <w:div w:id="330647959">
              <w:marLeft w:val="0"/>
              <w:marRight w:val="0"/>
              <w:marTop w:val="0"/>
              <w:marBottom w:val="0"/>
              <w:divBdr>
                <w:top w:val="none" w:sz="0" w:space="0" w:color="auto"/>
                <w:left w:val="none" w:sz="0" w:space="0" w:color="auto"/>
                <w:bottom w:val="none" w:sz="0" w:space="0" w:color="auto"/>
                <w:right w:val="none" w:sz="0" w:space="0" w:color="auto"/>
              </w:divBdr>
              <w:divsChild>
                <w:div w:id="5612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3841">
          <w:marLeft w:val="0"/>
          <w:marRight w:val="0"/>
          <w:marTop w:val="300"/>
          <w:marBottom w:val="300"/>
          <w:divBdr>
            <w:top w:val="none" w:sz="0" w:space="0" w:color="auto"/>
            <w:left w:val="none" w:sz="0" w:space="0" w:color="auto"/>
            <w:bottom w:val="none" w:sz="0" w:space="0" w:color="auto"/>
            <w:right w:val="none" w:sz="0" w:space="0" w:color="auto"/>
          </w:divBdr>
          <w:divsChild>
            <w:div w:id="293603327">
              <w:marLeft w:val="0"/>
              <w:marRight w:val="0"/>
              <w:marTop w:val="0"/>
              <w:marBottom w:val="0"/>
              <w:divBdr>
                <w:top w:val="none" w:sz="0" w:space="0" w:color="auto"/>
                <w:left w:val="none" w:sz="0" w:space="0" w:color="auto"/>
                <w:bottom w:val="none" w:sz="0" w:space="0" w:color="auto"/>
                <w:right w:val="none" w:sz="0" w:space="0" w:color="auto"/>
              </w:divBdr>
              <w:divsChild>
                <w:div w:id="688213995">
                  <w:marLeft w:val="0"/>
                  <w:marRight w:val="0"/>
                  <w:marTop w:val="0"/>
                  <w:marBottom w:val="0"/>
                  <w:divBdr>
                    <w:top w:val="none" w:sz="0" w:space="0" w:color="auto"/>
                    <w:left w:val="none" w:sz="0" w:space="0" w:color="auto"/>
                    <w:bottom w:val="none" w:sz="0" w:space="0" w:color="auto"/>
                    <w:right w:val="none" w:sz="0" w:space="0" w:color="auto"/>
                  </w:divBdr>
                </w:div>
              </w:divsChild>
            </w:div>
            <w:div w:id="14743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427542">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717120920">
      <w:bodyDiv w:val="1"/>
      <w:marLeft w:val="0"/>
      <w:marRight w:val="0"/>
      <w:marTop w:val="0"/>
      <w:marBottom w:val="0"/>
      <w:divBdr>
        <w:top w:val="none" w:sz="0" w:space="0" w:color="auto"/>
        <w:left w:val="none" w:sz="0" w:space="0" w:color="auto"/>
        <w:bottom w:val="none" w:sz="0" w:space="0" w:color="auto"/>
        <w:right w:val="none" w:sz="0" w:space="0" w:color="auto"/>
      </w:divBdr>
    </w:div>
    <w:div w:id="1857111171">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07975237">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jade.io/article/661787" TargetMode="External"/><Relationship Id="rId26" Type="http://schemas.openxmlformats.org/officeDocument/2006/relationships/hyperlink" Target="https://jade.io/citation/2889488" TargetMode="External"/><Relationship Id="rId39" Type="http://schemas.openxmlformats.org/officeDocument/2006/relationships/hyperlink" Target="https://dfvbenchbook.aija.org.au/dynamics-of-domestic-and-family-violence/factors-affecting-risk/" TargetMode="External"/><Relationship Id="rId21" Type="http://schemas.openxmlformats.org/officeDocument/2006/relationships/hyperlink" Target="https://jade.io/article/819967" TargetMode="External"/><Relationship Id="rId34" Type="http://schemas.openxmlformats.org/officeDocument/2006/relationships/hyperlink" Target="https://jade.io/article/673800/section/140344" TargetMode="External"/><Relationship Id="rId42" Type="http://schemas.openxmlformats.org/officeDocument/2006/relationships/hyperlink" Target="https://dfvbenchbook.aija.org.au/vulnerable-groups/people-with-children/" TargetMode="External"/><Relationship Id="rId47" Type="http://schemas.openxmlformats.org/officeDocument/2006/relationships/hyperlink" Target="https://dfvbenchbook.aija.org.au/vulnerable-groups/people-with-poor-literacy-skills/" TargetMode="External"/><Relationship Id="rId50" Type="http://schemas.openxmlformats.org/officeDocument/2006/relationships/image" Target="media/image1.jpeg"/><Relationship Id="rId55" Type="http://schemas.openxmlformats.org/officeDocument/2006/relationships/hyperlink" Target="https://www.abs.gov.au/statistics/people/crime-and-justice/recorded-crime-offenders/latest-releas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ade.io/article/71732" TargetMode="External"/><Relationship Id="rId20" Type="http://schemas.openxmlformats.org/officeDocument/2006/relationships/hyperlink" Target="https://jade.io/article/791151" TargetMode="External"/><Relationship Id="rId29" Type="http://schemas.openxmlformats.org/officeDocument/2006/relationships/hyperlink" Target="https://jade.io/citation/2344240" TargetMode="External"/><Relationship Id="rId41" Type="http://schemas.openxmlformats.org/officeDocument/2006/relationships/hyperlink" Target="https://dfvbenchbook.aija.org.au/dynamics-of-domestic-and-family-violence/" TargetMode="External"/><Relationship Id="rId54"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jade.io/article/538665" TargetMode="External"/><Relationship Id="rId32" Type="http://schemas.openxmlformats.org/officeDocument/2006/relationships/hyperlink" Target="https://jade.io/article/673800" TargetMode="External"/><Relationship Id="rId37" Type="http://schemas.openxmlformats.org/officeDocument/2006/relationships/hyperlink" Target="https://jade.io/article/288126/section/140344" TargetMode="External"/><Relationship Id="rId40" Type="http://schemas.openxmlformats.org/officeDocument/2006/relationships/hyperlink" Target="https://dfvbenchbook.aija.org.au/perpetrator-intervention-programs/" TargetMode="External"/><Relationship Id="rId45" Type="http://schemas.openxmlformats.org/officeDocument/2006/relationships/hyperlink" Target="https://dfvbenchbook.aija.org.au/dynamics-of-domestic-and-family-violence/factors-affecting-risk/" TargetMode="External"/><Relationship Id="rId53" Type="http://schemas.openxmlformats.org/officeDocument/2006/relationships/image" Target="media/image3.png"/><Relationship Id="rId58"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www.austlii.edu.au/au/cases/cth/high_ct/183clr1.html" TargetMode="External"/><Relationship Id="rId23" Type="http://schemas.openxmlformats.org/officeDocument/2006/relationships/hyperlink" Target="https://jade.io/article/72073" TargetMode="External"/><Relationship Id="rId28" Type="http://schemas.openxmlformats.org/officeDocument/2006/relationships/hyperlink" Target="https://jade.io/citation/2347370" TargetMode="External"/><Relationship Id="rId36" Type="http://schemas.openxmlformats.org/officeDocument/2006/relationships/hyperlink" Target="https://jade.io/article/288126" TargetMode="External"/><Relationship Id="rId49" Type="http://schemas.openxmlformats.org/officeDocument/2006/relationships/hyperlink" Target="https://dfvbenchbook.aija.org.au/vulnerable-groups/people-with-mental-illness/" TargetMode="External"/><Relationship Id="rId57" Type="http://schemas.openxmlformats.org/officeDocument/2006/relationships/image" Target="media/image6.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jade.io/article/719923" TargetMode="External"/><Relationship Id="rId31" Type="http://schemas.openxmlformats.org/officeDocument/2006/relationships/hyperlink" Target="https://jade.io/citation/1402235" TargetMode="External"/><Relationship Id="rId44" Type="http://schemas.openxmlformats.org/officeDocument/2006/relationships/hyperlink" Target="https://dfvbenchbook.aija.org.au/vulnerable-groups/children/" TargetMode="External"/><Relationship Id="rId52" Type="http://schemas.openxmlformats.org/officeDocument/2006/relationships/image" Target="media/image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ustlii.edu.au/au/cases/nsw/NSWCCA/2001/324.html" TargetMode="External"/><Relationship Id="rId22" Type="http://schemas.openxmlformats.org/officeDocument/2006/relationships/hyperlink" Target="https://jade.io/article/819967" TargetMode="External"/><Relationship Id="rId27" Type="http://schemas.openxmlformats.org/officeDocument/2006/relationships/hyperlink" Target="https://jade.io/citation/2325198/section/1296158" TargetMode="External"/><Relationship Id="rId30" Type="http://schemas.openxmlformats.org/officeDocument/2006/relationships/hyperlink" Target="https://jade.io/citation/19063574" TargetMode="External"/><Relationship Id="rId35" Type="http://schemas.openxmlformats.org/officeDocument/2006/relationships/hyperlink" Target="https://jade.io/article/673800" TargetMode="External"/><Relationship Id="rId43" Type="http://schemas.openxmlformats.org/officeDocument/2006/relationships/hyperlink" Target="https://dfvbenchbook.aija.org.au/understanding-domestic-and-family-violence/exposing-children/" TargetMode="External"/><Relationship Id="rId48" Type="http://schemas.openxmlformats.org/officeDocument/2006/relationships/hyperlink" Target="https://dfvbenchbook.aija.org.au/vulnerable-groups/people-with-disability-and-impairment/" TargetMode="External"/><Relationship Id="rId56" Type="http://schemas.openxmlformats.org/officeDocument/2006/relationships/image" Target="media/image5.png"/><Relationship Id="rId8" Type="http://schemas.openxmlformats.org/officeDocument/2006/relationships/header" Target="header1.xml"/><Relationship Id="rId51" Type="http://schemas.openxmlformats.org/officeDocument/2006/relationships/hyperlink" Target="http://www.aic.gov.au"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jade.io/article/312063" TargetMode="External"/><Relationship Id="rId25" Type="http://schemas.openxmlformats.org/officeDocument/2006/relationships/hyperlink" Target="https://jade.io/article/538665/section/140798" TargetMode="External"/><Relationship Id="rId33" Type="http://schemas.openxmlformats.org/officeDocument/2006/relationships/hyperlink" Target="https://jade.io/article/673800/section/140344" TargetMode="External"/><Relationship Id="rId38" Type="http://schemas.openxmlformats.org/officeDocument/2006/relationships/hyperlink" Target="https://jade.io/article/288126/section/140344" TargetMode="External"/><Relationship Id="rId46" Type="http://schemas.openxmlformats.org/officeDocument/2006/relationships/hyperlink" Target="https://dfvbenchbook.aija.org.au/dynamics-of-domestic-and-family-violence/vulnerable-groups/" TargetMode="External"/><Relationship Id="rId5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439</Pages>
  <Words>296591</Words>
  <Characters>1690572</Characters>
  <Application>Microsoft Office Word</Application>
  <DocSecurity>0</DocSecurity>
  <Lines>14088</Lines>
  <Paragraphs>3966</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1983197</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 (CSV)</cp:lastModifiedBy>
  <cp:revision>2</cp:revision>
  <cp:lastPrinted>2025-02-25T02:38:00Z</cp:lastPrinted>
  <dcterms:created xsi:type="dcterms:W3CDTF">2025-04-14T00:05:00Z</dcterms:created>
  <dcterms:modified xsi:type="dcterms:W3CDTF">2025-04-14T00:05:00Z</dcterms:modified>
</cp:coreProperties>
</file>